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rPr>
          <w:rFonts w:hAnsi="宋体"/>
          <w:sz w:val="52"/>
          <w:szCs w:val="52"/>
          <w:highlight w:val="none"/>
        </w:rPr>
      </w:pPr>
    </w:p>
    <w:p>
      <w:pPr>
        <w:pStyle w:val="22"/>
        <w:rPr>
          <w:rFonts w:hAnsi="宋体"/>
          <w:sz w:val="52"/>
          <w:szCs w:val="52"/>
          <w:highlight w:val="none"/>
        </w:rPr>
      </w:pPr>
      <w:r>
        <w:rPr>
          <w:highlight w:val="none"/>
          <w:lang w:val="en-US"/>
        </w:rPr>
        <w:drawing>
          <wp:inline distT="0" distB="0" distL="0" distR="0">
            <wp:extent cx="2047875" cy="1885950"/>
            <wp:effectExtent l="19050" t="0" r="9525" b="0"/>
            <wp:docPr id="2" name="图片 12" descr="E:\聊天记录\1740548293\FileRecv\广远logo（新）2017.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descr="E:\聊天记录\1740548293\FileRecv\广远logo（新）2017.3.15.jpg"/>
                    <pic:cNvPicPr>
                      <a:picLocks noChangeAspect="1" noChangeArrowheads="1"/>
                    </pic:cNvPicPr>
                  </pic:nvPicPr>
                  <pic:blipFill>
                    <a:blip r:embed="rId11"/>
                    <a:srcRect l="15063" t="19231" r="16025" b="17307"/>
                    <a:stretch>
                      <a:fillRect/>
                    </a:stretch>
                  </pic:blipFill>
                  <pic:spPr>
                    <a:xfrm>
                      <a:off x="0" y="0"/>
                      <a:ext cx="2047875" cy="1885950"/>
                    </a:xfrm>
                    <a:prstGeom prst="rect">
                      <a:avLst/>
                    </a:prstGeom>
                    <a:noFill/>
                    <a:ln w="9525">
                      <a:noFill/>
                      <a:miter lim="800000"/>
                      <a:headEnd/>
                      <a:tailEnd/>
                    </a:ln>
                  </pic:spPr>
                </pic:pic>
              </a:graphicData>
            </a:graphic>
          </wp:inline>
        </w:drawing>
      </w:r>
    </w:p>
    <w:p>
      <w:pPr>
        <w:tabs>
          <w:tab w:val="left" w:pos="420"/>
          <w:tab w:val="left" w:pos="6660"/>
        </w:tabs>
        <w:jc w:val="center"/>
        <w:rPr>
          <w:rFonts w:hAnsi="宋体" w:cs="宋体"/>
          <w:b/>
          <w:sz w:val="56"/>
          <w:szCs w:val="52"/>
          <w:highlight w:val="none"/>
        </w:rPr>
      </w:pPr>
    </w:p>
    <w:p>
      <w:pPr>
        <w:tabs>
          <w:tab w:val="left" w:pos="420"/>
          <w:tab w:val="left" w:pos="6660"/>
        </w:tabs>
        <w:jc w:val="center"/>
        <w:rPr>
          <w:rFonts w:hAnsi="宋体" w:cs="宋体"/>
          <w:b/>
          <w:sz w:val="56"/>
          <w:szCs w:val="52"/>
          <w:highlight w:val="none"/>
        </w:rPr>
      </w:pPr>
      <w:r>
        <w:rPr>
          <w:rFonts w:hint="eastAsia" w:hAnsi="宋体" w:cs="宋体"/>
          <w:b/>
          <w:sz w:val="56"/>
          <w:szCs w:val="52"/>
          <w:highlight w:val="none"/>
        </w:rPr>
        <w:t>国家海洋局南海标准计量中心2023年船员服务采购项目</w:t>
      </w:r>
    </w:p>
    <w:p>
      <w:pPr>
        <w:tabs>
          <w:tab w:val="left" w:pos="420"/>
          <w:tab w:val="left" w:pos="6660"/>
        </w:tabs>
        <w:spacing w:line="1600" w:lineRule="atLeast"/>
        <w:jc w:val="center"/>
        <w:rPr>
          <w:rFonts w:hAnsi="宋体" w:cs="宋体"/>
          <w:b/>
          <w:sz w:val="72"/>
          <w:szCs w:val="72"/>
          <w:highlight w:val="none"/>
        </w:rPr>
      </w:pPr>
      <w:r>
        <w:rPr>
          <w:rFonts w:hint="eastAsia" w:hAnsi="宋体" w:cs="宋体"/>
          <w:b/>
          <w:sz w:val="72"/>
          <w:szCs w:val="72"/>
          <w:highlight w:val="none"/>
        </w:rPr>
        <w:t>公开招标文件</w:t>
      </w:r>
    </w:p>
    <w:p>
      <w:pPr>
        <w:spacing w:line="500" w:lineRule="exact"/>
        <w:jc w:val="center"/>
        <w:rPr>
          <w:rFonts w:hAnsi="宋体" w:cs="宋体"/>
          <w:b/>
          <w:bCs/>
          <w:sz w:val="28"/>
          <w:szCs w:val="28"/>
          <w:highlight w:val="none"/>
        </w:rPr>
      </w:pPr>
    </w:p>
    <w:p>
      <w:pPr>
        <w:spacing w:line="500" w:lineRule="exact"/>
        <w:rPr>
          <w:rFonts w:hAnsi="宋体" w:cs="宋体"/>
          <w:b/>
          <w:bCs/>
          <w:sz w:val="28"/>
          <w:szCs w:val="28"/>
          <w:highlight w:val="none"/>
        </w:rPr>
      </w:pPr>
    </w:p>
    <w:p>
      <w:pPr>
        <w:spacing w:line="500" w:lineRule="exact"/>
        <w:rPr>
          <w:rFonts w:hAnsi="宋体" w:cs="宋体"/>
          <w:b/>
          <w:bCs/>
          <w:sz w:val="28"/>
          <w:szCs w:val="28"/>
          <w:highlight w:val="none"/>
        </w:rPr>
      </w:pPr>
    </w:p>
    <w:p>
      <w:pPr>
        <w:spacing w:line="500" w:lineRule="exact"/>
        <w:jc w:val="center"/>
        <w:rPr>
          <w:rFonts w:hAnsi="宋体" w:cs="宋体"/>
          <w:b/>
          <w:bCs/>
          <w:sz w:val="28"/>
          <w:szCs w:val="28"/>
          <w:highlight w:val="none"/>
        </w:rPr>
      </w:pPr>
    </w:p>
    <w:p>
      <w:pPr>
        <w:rPr>
          <w:rFonts w:hAnsi="宋体" w:cs="宋体"/>
          <w:highlight w:val="none"/>
          <w:lang w:val="zh-CN"/>
        </w:rPr>
      </w:pPr>
    </w:p>
    <w:p>
      <w:pPr>
        <w:spacing w:line="500" w:lineRule="exact"/>
        <w:jc w:val="center"/>
        <w:rPr>
          <w:rFonts w:hAnsi="宋体" w:cs="宋体"/>
          <w:b/>
          <w:bCs/>
          <w:sz w:val="28"/>
          <w:szCs w:val="28"/>
          <w:highlight w:val="none"/>
        </w:rPr>
      </w:pPr>
      <w:r>
        <w:rPr>
          <w:rFonts w:hint="eastAsia" w:hAnsi="宋体" w:cs="宋体"/>
          <w:b/>
          <w:bCs/>
          <w:sz w:val="28"/>
          <w:szCs w:val="28"/>
          <w:highlight w:val="none"/>
        </w:rPr>
        <w:t>采购编号：GDYD221545</w:t>
      </w:r>
      <w:r>
        <w:rPr>
          <w:highlight w:val="none"/>
        </w:rPr>
        <w:fldChar w:fldCharType="begin"/>
      </w:r>
      <w:r>
        <w:rPr>
          <w:highlight w:val="none"/>
        </w:rPr>
        <w:instrText xml:space="preserve"> DOCVARIABLE  采购编号  \* MERGEFORMAT </w:instrText>
      </w:r>
      <w:r>
        <w:rPr>
          <w:highlight w:val="none"/>
        </w:rPr>
        <w:fldChar w:fldCharType="end"/>
      </w:r>
    </w:p>
    <w:p>
      <w:pPr>
        <w:spacing w:line="360" w:lineRule="auto"/>
        <w:rPr>
          <w:rFonts w:hAnsi="宋体" w:cs="宋体"/>
          <w:b/>
          <w:sz w:val="28"/>
          <w:szCs w:val="28"/>
          <w:highlight w:val="none"/>
        </w:rPr>
      </w:pPr>
    </w:p>
    <w:p>
      <w:pPr>
        <w:spacing w:line="360" w:lineRule="auto"/>
        <w:jc w:val="center"/>
        <w:rPr>
          <w:rFonts w:hAnsi="宋体" w:cs="宋体"/>
          <w:b/>
          <w:bCs/>
          <w:sz w:val="28"/>
          <w:szCs w:val="28"/>
          <w:highlight w:val="none"/>
        </w:rPr>
      </w:pPr>
    </w:p>
    <w:p>
      <w:pPr>
        <w:spacing w:line="360" w:lineRule="auto"/>
        <w:jc w:val="center"/>
        <w:rPr>
          <w:rFonts w:hAnsi="宋体" w:cs="宋体"/>
          <w:b/>
          <w:bCs/>
          <w:sz w:val="28"/>
          <w:szCs w:val="28"/>
          <w:highlight w:val="none"/>
        </w:rPr>
      </w:pPr>
      <w:r>
        <w:rPr>
          <w:rFonts w:hint="eastAsia" w:hAnsi="宋体" w:cs="宋体"/>
          <w:b/>
          <w:bCs/>
          <w:sz w:val="28"/>
          <w:szCs w:val="28"/>
          <w:highlight w:val="none"/>
        </w:rPr>
        <w:t>广东远东招标代理有限公司  编制</w:t>
      </w:r>
    </w:p>
    <w:p>
      <w:pPr>
        <w:spacing w:line="360" w:lineRule="auto"/>
        <w:jc w:val="center"/>
        <w:rPr>
          <w:rFonts w:hAnsi="宋体" w:cs="宋体"/>
          <w:b/>
          <w:bCs/>
          <w:sz w:val="28"/>
          <w:szCs w:val="28"/>
          <w:highlight w:val="none"/>
        </w:rPr>
      </w:pPr>
      <w:r>
        <w:rPr>
          <w:rFonts w:hint="eastAsia" w:hAnsi="宋体" w:cs="宋体"/>
          <w:b/>
          <w:bCs/>
          <w:sz w:val="28"/>
          <w:szCs w:val="28"/>
          <w:highlight w:val="none"/>
        </w:rPr>
        <w:t>发布日期：2022年12月</w:t>
      </w:r>
    </w:p>
    <w:p>
      <w:pPr>
        <w:pageBreakBefore/>
        <w:spacing w:line="360" w:lineRule="auto"/>
        <w:ind w:right="-34"/>
        <w:jc w:val="center"/>
        <w:rPr>
          <w:rFonts w:hAnsi="宋体" w:cs="宋体"/>
          <w:b/>
          <w:bCs/>
          <w:kern w:val="2"/>
          <w:sz w:val="32"/>
          <w:szCs w:val="32"/>
          <w:highlight w:val="none"/>
        </w:rPr>
      </w:pPr>
    </w:p>
    <w:p>
      <w:pPr>
        <w:spacing w:line="360" w:lineRule="auto"/>
        <w:ind w:right="16"/>
        <w:jc w:val="center"/>
        <w:rPr>
          <w:rFonts w:hAnsi="宋体" w:cs="宋体"/>
          <w:b/>
          <w:bCs/>
          <w:kern w:val="2"/>
          <w:sz w:val="36"/>
          <w:szCs w:val="36"/>
          <w:highlight w:val="none"/>
          <w:lang w:val="zh-CN"/>
        </w:rPr>
      </w:pPr>
      <w:r>
        <w:rPr>
          <w:rFonts w:hint="eastAsia" w:hAnsi="宋体" w:cs="宋体"/>
          <w:b/>
          <w:bCs/>
          <w:kern w:val="2"/>
          <w:sz w:val="36"/>
          <w:szCs w:val="36"/>
          <w:highlight w:val="none"/>
          <w:lang w:val="zh-CN"/>
        </w:rPr>
        <w:t>目  录</w:t>
      </w:r>
    </w:p>
    <w:p>
      <w:pPr>
        <w:spacing w:line="360" w:lineRule="auto"/>
        <w:ind w:right="16"/>
        <w:jc w:val="center"/>
        <w:rPr>
          <w:rFonts w:hAnsi="宋体" w:cs="宋体"/>
          <w:b/>
          <w:bCs/>
          <w:kern w:val="2"/>
          <w:sz w:val="32"/>
          <w:szCs w:val="32"/>
          <w:highlight w:val="none"/>
          <w:lang w:val="zh-CN"/>
        </w:rPr>
      </w:pPr>
    </w:p>
    <w:p>
      <w:pPr>
        <w:spacing w:line="360" w:lineRule="auto"/>
        <w:ind w:right="16"/>
        <w:jc w:val="center"/>
        <w:rPr>
          <w:rFonts w:hAnsi="宋体" w:cs="宋体"/>
          <w:kern w:val="2"/>
          <w:szCs w:val="21"/>
          <w:highlight w:val="none"/>
          <w:lang w:val="zh-CN"/>
        </w:rPr>
      </w:pPr>
    </w:p>
    <w:p>
      <w:pPr>
        <w:tabs>
          <w:tab w:val="left" w:pos="855"/>
        </w:tabs>
        <w:spacing w:line="360" w:lineRule="auto"/>
        <w:ind w:left="3165" w:leftChars="1100" w:right="-29" w:rightChars="-14" w:hanging="855"/>
        <w:jc w:val="both"/>
        <w:rPr>
          <w:rFonts w:hAnsi="宋体" w:cs="宋体"/>
          <w:b/>
          <w:bCs/>
          <w:kern w:val="2"/>
          <w:sz w:val="28"/>
          <w:szCs w:val="28"/>
          <w:highlight w:val="none"/>
          <w:lang w:val="zh-CN"/>
        </w:rPr>
      </w:pPr>
      <w:r>
        <w:rPr>
          <w:rFonts w:hint="eastAsia" w:hAnsi="宋体" w:cs="宋体"/>
          <w:b/>
          <w:bCs/>
          <w:kern w:val="2"/>
          <w:sz w:val="28"/>
          <w:szCs w:val="28"/>
          <w:highlight w:val="none"/>
          <w:lang w:val="zh-CN"/>
        </w:rPr>
        <w:t>第一篇  投标邀请书</w:t>
      </w:r>
    </w:p>
    <w:p>
      <w:pPr>
        <w:spacing w:line="360" w:lineRule="auto"/>
        <w:ind w:left="2310" w:leftChars="1100" w:right="-29" w:rightChars="-14"/>
        <w:jc w:val="both"/>
        <w:rPr>
          <w:rFonts w:hAnsi="宋体" w:cs="宋体"/>
          <w:b/>
          <w:bCs/>
          <w:kern w:val="2"/>
          <w:sz w:val="28"/>
          <w:szCs w:val="28"/>
          <w:highlight w:val="none"/>
          <w:lang w:val="zh-CN"/>
        </w:rPr>
      </w:pPr>
    </w:p>
    <w:p>
      <w:pPr>
        <w:tabs>
          <w:tab w:val="left" w:pos="855"/>
        </w:tabs>
        <w:spacing w:line="360" w:lineRule="auto"/>
        <w:ind w:left="3165" w:leftChars="1100" w:right="-29" w:rightChars="-14" w:hanging="855"/>
        <w:jc w:val="both"/>
        <w:rPr>
          <w:rFonts w:hAnsi="宋体" w:cs="宋体"/>
          <w:b/>
          <w:bCs/>
          <w:kern w:val="2"/>
          <w:sz w:val="28"/>
          <w:szCs w:val="28"/>
          <w:highlight w:val="none"/>
          <w:lang w:val="zh-CN"/>
        </w:rPr>
      </w:pPr>
      <w:r>
        <w:rPr>
          <w:rFonts w:hint="eastAsia" w:hAnsi="宋体" w:cs="宋体"/>
          <w:b/>
          <w:bCs/>
          <w:kern w:val="2"/>
          <w:sz w:val="28"/>
          <w:szCs w:val="28"/>
          <w:highlight w:val="none"/>
          <w:lang w:val="zh-CN"/>
        </w:rPr>
        <w:t xml:space="preserve">第二篇  </w:t>
      </w:r>
      <w:r>
        <w:rPr>
          <w:highlight w:val="none"/>
        </w:rPr>
        <w:fldChar w:fldCharType="begin"/>
      </w:r>
      <w:r>
        <w:rPr>
          <w:highlight w:val="none"/>
        </w:rPr>
        <w:instrText xml:space="preserve"> HYPERLINK "../../../../2013年7月11日桌面备份/海丰中医院/太和医院/l" </w:instrText>
      </w:r>
      <w:r>
        <w:rPr>
          <w:highlight w:val="none"/>
        </w:rPr>
        <w:fldChar w:fldCharType="separate"/>
      </w:r>
      <w:r>
        <w:rPr>
          <w:rFonts w:hint="eastAsia" w:hAnsi="宋体" w:cs="宋体"/>
          <w:b/>
          <w:bCs/>
          <w:kern w:val="2"/>
          <w:sz w:val="28"/>
          <w:szCs w:val="28"/>
          <w:highlight w:val="none"/>
          <w:lang w:val="zh-CN"/>
        </w:rPr>
        <w:t xml:space="preserve">投标人须知 </w:t>
      </w:r>
      <w:r>
        <w:rPr>
          <w:rFonts w:hint="eastAsia" w:hAnsi="宋体" w:cs="宋体"/>
          <w:b/>
          <w:bCs/>
          <w:kern w:val="2"/>
          <w:sz w:val="28"/>
          <w:szCs w:val="28"/>
          <w:highlight w:val="none"/>
          <w:lang w:val="zh-CN"/>
        </w:rPr>
        <w:fldChar w:fldCharType="end"/>
      </w:r>
    </w:p>
    <w:p>
      <w:pPr>
        <w:spacing w:line="360" w:lineRule="auto"/>
        <w:ind w:left="2310" w:leftChars="1100" w:right="-29" w:rightChars="-14"/>
        <w:jc w:val="both"/>
        <w:rPr>
          <w:rFonts w:hAnsi="宋体" w:cs="宋体"/>
          <w:b/>
          <w:bCs/>
          <w:kern w:val="2"/>
          <w:sz w:val="28"/>
          <w:szCs w:val="28"/>
          <w:highlight w:val="none"/>
          <w:lang w:val="zh-CN"/>
        </w:rPr>
      </w:pPr>
    </w:p>
    <w:p>
      <w:pPr>
        <w:tabs>
          <w:tab w:val="left" w:pos="855"/>
        </w:tabs>
        <w:spacing w:line="360" w:lineRule="auto"/>
        <w:ind w:left="3165" w:leftChars="1100" w:right="-29" w:rightChars="-14" w:hanging="855"/>
        <w:jc w:val="both"/>
        <w:rPr>
          <w:rFonts w:hAnsi="宋体" w:cs="宋体"/>
          <w:b/>
          <w:bCs/>
          <w:kern w:val="2"/>
          <w:sz w:val="28"/>
          <w:szCs w:val="28"/>
          <w:highlight w:val="none"/>
          <w:lang w:val="zh-CN"/>
        </w:rPr>
      </w:pPr>
      <w:r>
        <w:rPr>
          <w:rFonts w:hint="eastAsia" w:hAnsi="宋体" w:cs="宋体"/>
          <w:b/>
          <w:bCs/>
          <w:kern w:val="2"/>
          <w:sz w:val="28"/>
          <w:szCs w:val="28"/>
          <w:highlight w:val="none"/>
          <w:lang w:val="zh-CN"/>
        </w:rPr>
        <w:t xml:space="preserve">第三篇  </w:t>
      </w:r>
      <w:r>
        <w:rPr>
          <w:highlight w:val="none"/>
        </w:rPr>
        <w:fldChar w:fldCharType="begin"/>
      </w:r>
      <w:r>
        <w:rPr>
          <w:highlight w:val="none"/>
        </w:rPr>
        <w:instrText xml:space="preserve"> HYPERLINK "../../../../2013年7月11日桌面备份/海丰中医院/太和医院/l" </w:instrText>
      </w:r>
      <w:r>
        <w:rPr>
          <w:highlight w:val="none"/>
        </w:rPr>
        <w:fldChar w:fldCharType="separate"/>
      </w:r>
      <w:r>
        <w:rPr>
          <w:rFonts w:hint="eastAsia" w:hAnsi="宋体" w:cs="宋体"/>
          <w:b/>
          <w:bCs/>
          <w:kern w:val="2"/>
          <w:sz w:val="28"/>
          <w:szCs w:val="28"/>
          <w:highlight w:val="none"/>
          <w:lang w:val="zh-CN"/>
        </w:rPr>
        <w:t>合同条款</w:t>
      </w:r>
      <w:r>
        <w:rPr>
          <w:rFonts w:hint="eastAsia" w:hAnsi="宋体" w:cs="宋体"/>
          <w:b/>
          <w:bCs/>
          <w:kern w:val="2"/>
          <w:sz w:val="28"/>
          <w:szCs w:val="28"/>
          <w:highlight w:val="none"/>
          <w:lang w:val="zh-CN"/>
        </w:rPr>
        <w:fldChar w:fldCharType="end"/>
      </w:r>
      <w:r>
        <w:rPr>
          <w:rFonts w:hint="eastAsia" w:hAnsi="宋体" w:cs="宋体"/>
          <w:b/>
          <w:bCs/>
          <w:kern w:val="2"/>
          <w:sz w:val="28"/>
          <w:szCs w:val="28"/>
          <w:highlight w:val="none"/>
          <w:lang w:val="zh-CN"/>
        </w:rPr>
        <w:t>格式</w:t>
      </w:r>
    </w:p>
    <w:p>
      <w:pPr>
        <w:spacing w:line="360" w:lineRule="auto"/>
        <w:ind w:left="2310" w:leftChars="1100" w:right="-29" w:rightChars="-14"/>
        <w:jc w:val="both"/>
        <w:rPr>
          <w:rFonts w:hAnsi="宋体" w:cs="宋体"/>
          <w:b/>
          <w:bCs/>
          <w:kern w:val="2"/>
          <w:sz w:val="28"/>
          <w:szCs w:val="28"/>
          <w:highlight w:val="none"/>
          <w:lang w:val="zh-CN"/>
        </w:rPr>
      </w:pPr>
    </w:p>
    <w:p>
      <w:pPr>
        <w:tabs>
          <w:tab w:val="left" w:pos="855"/>
        </w:tabs>
        <w:spacing w:line="360" w:lineRule="auto"/>
        <w:ind w:left="3165" w:leftChars="1100" w:right="-29" w:rightChars="-14" w:hanging="855"/>
        <w:jc w:val="both"/>
        <w:rPr>
          <w:rFonts w:hAnsi="宋体" w:cs="宋体"/>
          <w:b/>
          <w:bCs/>
          <w:kern w:val="2"/>
          <w:sz w:val="28"/>
          <w:szCs w:val="28"/>
          <w:highlight w:val="none"/>
          <w:lang w:val="zh-CN"/>
        </w:rPr>
      </w:pPr>
      <w:r>
        <w:rPr>
          <w:rFonts w:hint="eastAsia" w:hAnsi="宋体" w:cs="宋体"/>
          <w:b/>
          <w:bCs/>
          <w:kern w:val="2"/>
          <w:sz w:val="28"/>
          <w:szCs w:val="28"/>
          <w:highlight w:val="none"/>
          <w:lang w:val="zh-CN"/>
        </w:rPr>
        <w:t>第四篇  用户需求书</w:t>
      </w:r>
    </w:p>
    <w:p>
      <w:pPr>
        <w:spacing w:line="360" w:lineRule="auto"/>
        <w:ind w:left="2310" w:leftChars="1100" w:right="-29" w:rightChars="-14"/>
        <w:jc w:val="both"/>
        <w:rPr>
          <w:rFonts w:hAnsi="宋体" w:cs="宋体"/>
          <w:b/>
          <w:bCs/>
          <w:kern w:val="2"/>
          <w:sz w:val="28"/>
          <w:szCs w:val="28"/>
          <w:highlight w:val="none"/>
          <w:lang w:val="zh-CN"/>
        </w:rPr>
      </w:pPr>
    </w:p>
    <w:p>
      <w:pPr>
        <w:tabs>
          <w:tab w:val="left" w:pos="855"/>
        </w:tabs>
        <w:spacing w:line="360" w:lineRule="auto"/>
        <w:ind w:left="3165" w:leftChars="1100" w:right="-29" w:rightChars="-14" w:hanging="855"/>
        <w:jc w:val="both"/>
        <w:rPr>
          <w:rFonts w:hAnsi="宋体" w:cs="宋体"/>
          <w:b/>
          <w:bCs/>
          <w:kern w:val="2"/>
          <w:sz w:val="28"/>
          <w:szCs w:val="28"/>
          <w:highlight w:val="none"/>
          <w:lang w:val="zh-CN"/>
        </w:rPr>
      </w:pPr>
      <w:r>
        <w:rPr>
          <w:rFonts w:hint="eastAsia" w:hAnsi="宋体" w:cs="宋体"/>
          <w:b/>
          <w:bCs/>
          <w:kern w:val="2"/>
          <w:sz w:val="28"/>
          <w:szCs w:val="28"/>
          <w:highlight w:val="none"/>
          <w:lang w:val="zh-CN"/>
        </w:rPr>
        <w:t>第五篇  投标文件格式</w:t>
      </w:r>
    </w:p>
    <w:p>
      <w:pPr>
        <w:spacing w:line="360" w:lineRule="auto"/>
        <w:ind w:left="2310" w:leftChars="1100" w:right="-29" w:rightChars="-14"/>
        <w:jc w:val="both"/>
        <w:rPr>
          <w:rFonts w:hAnsi="宋体" w:cs="宋体"/>
          <w:b/>
          <w:bCs/>
          <w:kern w:val="2"/>
          <w:sz w:val="28"/>
          <w:szCs w:val="28"/>
          <w:highlight w:val="none"/>
          <w:lang w:val="zh-CN"/>
        </w:rPr>
      </w:pPr>
    </w:p>
    <w:p>
      <w:pPr>
        <w:spacing w:line="360" w:lineRule="auto"/>
        <w:ind w:left="2310" w:leftChars="1100" w:right="-29" w:rightChars="-14"/>
        <w:jc w:val="both"/>
        <w:rPr>
          <w:rFonts w:hAnsi="宋体" w:cs="宋体"/>
          <w:b/>
          <w:bCs/>
          <w:kern w:val="2"/>
          <w:sz w:val="28"/>
          <w:szCs w:val="28"/>
          <w:highlight w:val="none"/>
          <w:lang w:val="zh-CN"/>
        </w:rPr>
      </w:pPr>
      <w:r>
        <w:rPr>
          <w:rFonts w:hint="eastAsia" w:hAnsi="宋体" w:cs="宋体"/>
          <w:b/>
          <w:bCs/>
          <w:kern w:val="2"/>
          <w:sz w:val="28"/>
          <w:szCs w:val="28"/>
          <w:highlight w:val="none"/>
          <w:lang w:val="zh-CN"/>
        </w:rPr>
        <w:t>附件一： 评标工作大纲</w:t>
      </w:r>
    </w:p>
    <w:p>
      <w:pPr>
        <w:spacing w:line="360" w:lineRule="auto"/>
        <w:ind w:left="2310" w:leftChars="1100" w:right="-29" w:rightChars="-14"/>
        <w:jc w:val="both"/>
        <w:rPr>
          <w:rFonts w:hAnsi="宋体" w:cs="宋体"/>
          <w:b/>
          <w:bCs/>
          <w:kern w:val="2"/>
          <w:sz w:val="28"/>
          <w:szCs w:val="28"/>
          <w:highlight w:val="none"/>
          <w:lang w:val="zh-CN"/>
        </w:rPr>
      </w:pPr>
    </w:p>
    <w:p>
      <w:pPr>
        <w:spacing w:line="360" w:lineRule="auto"/>
        <w:ind w:left="2310" w:leftChars="1100" w:right="-29" w:rightChars="-14"/>
        <w:jc w:val="both"/>
        <w:rPr>
          <w:rFonts w:hAnsi="宋体" w:cs="宋体"/>
          <w:b/>
          <w:bCs/>
          <w:kern w:val="2"/>
          <w:sz w:val="28"/>
          <w:szCs w:val="28"/>
          <w:highlight w:val="none"/>
          <w:lang w:val="zh-CN"/>
        </w:rPr>
      </w:pPr>
      <w:r>
        <w:rPr>
          <w:rFonts w:hint="eastAsia" w:hAnsi="宋体" w:cs="宋体"/>
          <w:b/>
          <w:bCs/>
          <w:kern w:val="2"/>
          <w:sz w:val="28"/>
          <w:szCs w:val="28"/>
          <w:highlight w:val="none"/>
          <w:lang w:val="zh-CN"/>
        </w:rPr>
        <w:t>附件二：  中标服务费收费标准</w:t>
      </w:r>
    </w:p>
    <w:p>
      <w:pPr>
        <w:pStyle w:val="4"/>
        <w:keepNext/>
        <w:keepLines/>
        <w:pageBreakBefore/>
        <w:tabs>
          <w:tab w:val="left" w:pos="1080"/>
        </w:tabs>
        <w:spacing w:line="360" w:lineRule="auto"/>
        <w:ind w:left="567" w:hanging="567"/>
        <w:jc w:val="center"/>
        <w:rPr>
          <w:rFonts w:hAnsi="宋体" w:cs="宋体"/>
          <w:b/>
          <w:bCs/>
          <w:kern w:val="44"/>
          <w:sz w:val="32"/>
          <w:szCs w:val="32"/>
          <w:highlight w:val="none"/>
          <w:lang w:val="zh-CN"/>
        </w:rPr>
      </w:pPr>
      <w:r>
        <w:rPr>
          <w:rFonts w:hint="eastAsia" w:hAnsi="宋体" w:cs="宋体"/>
          <w:b/>
          <w:bCs/>
          <w:kern w:val="44"/>
          <w:sz w:val="32"/>
          <w:szCs w:val="32"/>
          <w:highlight w:val="none"/>
          <w:lang w:val="zh-CN"/>
        </w:rPr>
        <w:t>第一篇</w:t>
      </w:r>
      <w:r>
        <w:rPr>
          <w:rFonts w:hint="eastAsia" w:hAnsi="宋体" w:cs="宋体"/>
          <w:b/>
          <w:bCs/>
          <w:kern w:val="44"/>
          <w:sz w:val="32"/>
          <w:szCs w:val="32"/>
          <w:highlight w:val="none"/>
          <w:lang w:val="zh-CN"/>
        </w:rPr>
        <w:tab/>
      </w:r>
      <w:r>
        <w:rPr>
          <w:rFonts w:hint="eastAsia" w:hAnsi="宋体" w:cs="宋体"/>
          <w:b/>
          <w:bCs/>
          <w:kern w:val="44"/>
          <w:sz w:val="32"/>
          <w:szCs w:val="32"/>
          <w:highlight w:val="none"/>
          <w:lang w:val="zh-CN"/>
        </w:rPr>
        <w:t>投标邀请书</w:t>
      </w:r>
    </w:p>
    <w:p>
      <w:pPr>
        <w:widowControl/>
        <w:spacing w:line="360" w:lineRule="auto"/>
        <w:ind w:firstLine="420" w:firstLineChars="200"/>
        <w:rPr>
          <w:rFonts w:hAnsi="宋体" w:cs="宋体"/>
          <w:szCs w:val="21"/>
          <w:highlight w:val="none"/>
        </w:rPr>
      </w:pPr>
      <w:r>
        <w:rPr>
          <w:rFonts w:hint="eastAsia" w:hAnsi="宋体" w:cs="宋体"/>
          <w:szCs w:val="21"/>
          <w:highlight w:val="none"/>
          <w:u w:val="single"/>
        </w:rPr>
        <w:t>广东远东招标代理有限公司</w:t>
      </w:r>
      <w:r>
        <w:rPr>
          <w:rFonts w:hint="eastAsia" w:hAnsi="宋体" w:cs="宋体"/>
          <w:szCs w:val="21"/>
          <w:highlight w:val="none"/>
        </w:rPr>
        <w:t>受</w:t>
      </w:r>
      <w:r>
        <w:rPr>
          <w:rFonts w:hint="eastAsia" w:hAnsi="宋体" w:cs="宋体"/>
          <w:bCs/>
          <w:szCs w:val="21"/>
          <w:highlight w:val="none"/>
          <w:u w:val="single"/>
          <w:lang w:val="zh-CN"/>
        </w:rPr>
        <w:t>国家海洋局南海标准计量中心</w:t>
      </w:r>
      <w:r>
        <w:rPr>
          <w:rFonts w:hint="eastAsia" w:hAnsi="宋体" w:cs="宋体"/>
          <w:szCs w:val="21"/>
          <w:highlight w:val="none"/>
        </w:rPr>
        <w:t>的委托，对</w:t>
      </w:r>
      <w:r>
        <w:rPr>
          <w:rFonts w:hint="eastAsia" w:hAnsi="宋体" w:cs="宋体"/>
          <w:bCs/>
          <w:szCs w:val="21"/>
          <w:highlight w:val="none"/>
          <w:u w:val="single"/>
          <w:lang w:val="zh-CN"/>
        </w:rPr>
        <w:t>国家海洋局南海标准计量中心2023年船员服务采购项目</w:t>
      </w:r>
      <w:r>
        <w:rPr>
          <w:rFonts w:hint="eastAsia" w:hAnsi="宋体" w:cs="宋体"/>
          <w:szCs w:val="21"/>
          <w:highlight w:val="none"/>
        </w:rPr>
        <w:t>进行公开招标采购，欢迎符合资格条件的供应商投标。</w:t>
      </w:r>
    </w:p>
    <w:p>
      <w:pPr>
        <w:widowControl/>
        <w:spacing w:line="360" w:lineRule="auto"/>
        <w:ind w:firstLine="560"/>
        <w:rPr>
          <w:rFonts w:hAnsi="宋体" w:cs="宋体"/>
          <w:szCs w:val="21"/>
          <w:highlight w:val="none"/>
        </w:rPr>
      </w:pPr>
      <w:r>
        <w:rPr>
          <w:rFonts w:hint="eastAsia" w:hAnsi="宋体" w:cs="宋体"/>
          <w:szCs w:val="21"/>
          <w:highlight w:val="none"/>
        </w:rPr>
        <w:t>一、采购编号：GDYD221545</w:t>
      </w:r>
    </w:p>
    <w:p>
      <w:pPr>
        <w:widowControl/>
        <w:spacing w:line="360" w:lineRule="auto"/>
        <w:ind w:firstLine="560"/>
        <w:rPr>
          <w:rFonts w:hAnsi="宋体" w:cs="宋体"/>
          <w:szCs w:val="21"/>
          <w:highlight w:val="none"/>
        </w:rPr>
      </w:pPr>
      <w:r>
        <w:rPr>
          <w:rFonts w:hint="eastAsia" w:hAnsi="宋体" w:cs="宋体"/>
          <w:szCs w:val="21"/>
          <w:highlight w:val="none"/>
        </w:rPr>
        <w:t>二、采购项目名称：</w:t>
      </w:r>
      <w:r>
        <w:rPr>
          <w:rFonts w:hint="eastAsia" w:hAnsi="宋体" w:cs="宋体"/>
          <w:bCs/>
          <w:szCs w:val="21"/>
          <w:highlight w:val="none"/>
          <w:u w:val="single"/>
          <w:lang w:val="zh-CN"/>
        </w:rPr>
        <w:t>国家海洋局南海标准计量中心2023年船员服务采购项目</w:t>
      </w:r>
    </w:p>
    <w:p>
      <w:pPr>
        <w:widowControl/>
        <w:spacing w:line="360" w:lineRule="auto"/>
        <w:ind w:firstLine="560"/>
        <w:rPr>
          <w:rFonts w:hAnsi="宋体" w:cs="宋体"/>
          <w:szCs w:val="21"/>
          <w:highlight w:val="none"/>
        </w:rPr>
      </w:pPr>
      <w:r>
        <w:rPr>
          <w:rFonts w:hint="eastAsia" w:hAnsi="宋体" w:cs="宋体"/>
          <w:szCs w:val="21"/>
          <w:highlight w:val="none"/>
        </w:rPr>
        <w:t>三、采购预算：</w:t>
      </w:r>
      <w:r>
        <w:rPr>
          <w:rFonts w:hint="eastAsia" w:hAnsi="宋体" w:cs="宋体"/>
          <w:szCs w:val="21"/>
          <w:highlight w:val="none"/>
          <w:lang w:val="en-US" w:eastAsia="zh-CN"/>
        </w:rPr>
        <w:t>不超过</w:t>
      </w:r>
      <w:r>
        <w:rPr>
          <w:rFonts w:hint="eastAsia" w:hAnsi="宋体" w:cs="宋体"/>
          <w:szCs w:val="21"/>
          <w:highlight w:val="none"/>
        </w:rPr>
        <w:t>人民币1623.97</w:t>
      </w:r>
      <w:r>
        <w:rPr>
          <w:rFonts w:hint="eastAsia" w:hAnsi="宋体" w:cs="宋体"/>
          <w:szCs w:val="21"/>
          <w:highlight w:val="none"/>
          <w:lang w:val="zh-CN"/>
        </w:rPr>
        <w:t>万元</w:t>
      </w:r>
    </w:p>
    <w:p>
      <w:pPr>
        <w:widowControl/>
        <w:spacing w:line="360" w:lineRule="auto"/>
        <w:ind w:firstLine="560"/>
        <w:rPr>
          <w:rFonts w:hAnsi="宋体" w:cs="宋体"/>
          <w:szCs w:val="21"/>
          <w:highlight w:val="none"/>
        </w:rPr>
      </w:pPr>
      <w:r>
        <w:rPr>
          <w:rFonts w:hint="eastAsia" w:hAnsi="宋体" w:cs="宋体"/>
          <w:szCs w:val="21"/>
          <w:highlight w:val="none"/>
        </w:rPr>
        <w:t>四、项目内容及需求：(采购项目技术规格、参数及要求) </w:t>
      </w:r>
    </w:p>
    <w:p>
      <w:pPr>
        <w:widowControl/>
        <w:spacing w:line="360" w:lineRule="auto"/>
        <w:ind w:firstLine="560"/>
        <w:rPr>
          <w:rFonts w:hAnsi="宋体" w:cs="宋体"/>
          <w:szCs w:val="21"/>
          <w:highlight w:val="none"/>
        </w:rPr>
      </w:pPr>
      <w:r>
        <w:rPr>
          <w:rFonts w:hint="eastAsia" w:hAnsi="宋体" w:cs="宋体"/>
          <w:szCs w:val="21"/>
          <w:highlight w:val="none"/>
        </w:rPr>
        <w:t>1.采购项目内容及最高限价</w:t>
      </w:r>
    </w:p>
    <w:tbl>
      <w:tblPr>
        <w:tblStyle w:val="49"/>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320"/>
        <w:gridCol w:w="945"/>
        <w:gridCol w:w="974"/>
        <w:gridCol w:w="1453"/>
        <w:gridCol w:w="1052"/>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3" w:type="dxa"/>
            <w:vAlign w:val="center"/>
          </w:tcPr>
          <w:p>
            <w:pPr>
              <w:spacing w:line="460" w:lineRule="exact"/>
              <w:jc w:val="center"/>
              <w:rPr>
                <w:rFonts w:hAnsi="宋体" w:cs="宋体"/>
                <w:b/>
                <w:bCs/>
                <w:iCs/>
                <w:szCs w:val="21"/>
                <w:highlight w:val="none"/>
              </w:rPr>
            </w:pPr>
            <w:r>
              <w:rPr>
                <w:rFonts w:hint="eastAsia" w:hAnsi="宋体" w:cs="宋体"/>
                <w:b/>
                <w:bCs/>
                <w:iCs/>
                <w:szCs w:val="21"/>
                <w:highlight w:val="none"/>
              </w:rPr>
              <w:t>序号</w:t>
            </w:r>
          </w:p>
        </w:tc>
        <w:tc>
          <w:tcPr>
            <w:tcW w:w="2320" w:type="dxa"/>
            <w:vAlign w:val="center"/>
          </w:tcPr>
          <w:p>
            <w:pPr>
              <w:spacing w:line="460" w:lineRule="exact"/>
              <w:jc w:val="center"/>
              <w:rPr>
                <w:rFonts w:hAnsi="宋体" w:cs="宋体"/>
                <w:b/>
                <w:bCs/>
                <w:iCs/>
                <w:szCs w:val="21"/>
                <w:highlight w:val="none"/>
              </w:rPr>
            </w:pPr>
            <w:r>
              <w:rPr>
                <w:rFonts w:hint="eastAsia" w:hAnsi="宋体" w:cs="宋体"/>
                <w:b/>
                <w:bCs/>
                <w:iCs/>
                <w:szCs w:val="21"/>
                <w:highlight w:val="none"/>
              </w:rPr>
              <w:t>标的名称</w:t>
            </w:r>
          </w:p>
        </w:tc>
        <w:tc>
          <w:tcPr>
            <w:tcW w:w="945" w:type="dxa"/>
            <w:vAlign w:val="center"/>
          </w:tcPr>
          <w:p>
            <w:pPr>
              <w:spacing w:line="460" w:lineRule="exact"/>
              <w:jc w:val="center"/>
              <w:rPr>
                <w:rFonts w:hAnsi="宋体" w:cs="宋体"/>
                <w:b/>
                <w:bCs/>
                <w:iCs/>
                <w:szCs w:val="21"/>
                <w:highlight w:val="none"/>
              </w:rPr>
            </w:pPr>
            <w:r>
              <w:rPr>
                <w:rFonts w:hint="eastAsia" w:hAnsi="宋体" w:cs="宋体"/>
                <w:b/>
                <w:bCs/>
                <w:iCs/>
                <w:szCs w:val="21"/>
                <w:highlight w:val="none"/>
              </w:rPr>
              <w:t>数量</w:t>
            </w:r>
          </w:p>
        </w:tc>
        <w:tc>
          <w:tcPr>
            <w:tcW w:w="974" w:type="dxa"/>
            <w:vAlign w:val="center"/>
          </w:tcPr>
          <w:p>
            <w:pPr>
              <w:spacing w:line="460" w:lineRule="exact"/>
              <w:jc w:val="center"/>
              <w:rPr>
                <w:rFonts w:hAnsi="宋体" w:cs="宋体"/>
                <w:b/>
                <w:bCs/>
                <w:iCs/>
                <w:szCs w:val="21"/>
                <w:highlight w:val="none"/>
              </w:rPr>
            </w:pPr>
            <w:r>
              <w:rPr>
                <w:rFonts w:hint="eastAsia" w:hAnsi="宋体" w:cs="宋体"/>
                <w:b/>
                <w:bCs/>
                <w:iCs/>
                <w:szCs w:val="21"/>
                <w:highlight w:val="none"/>
              </w:rPr>
              <w:t>计量</w:t>
            </w:r>
          </w:p>
          <w:p>
            <w:pPr>
              <w:spacing w:line="460" w:lineRule="exact"/>
              <w:jc w:val="center"/>
              <w:rPr>
                <w:rFonts w:hAnsi="宋体" w:cs="宋体"/>
                <w:b/>
                <w:bCs/>
                <w:iCs/>
                <w:szCs w:val="21"/>
                <w:highlight w:val="none"/>
              </w:rPr>
            </w:pPr>
            <w:r>
              <w:rPr>
                <w:rFonts w:hint="eastAsia" w:hAnsi="宋体" w:cs="宋体"/>
                <w:b/>
                <w:bCs/>
                <w:iCs/>
                <w:szCs w:val="21"/>
                <w:highlight w:val="none"/>
              </w:rPr>
              <w:t>单位</w:t>
            </w:r>
          </w:p>
        </w:tc>
        <w:tc>
          <w:tcPr>
            <w:tcW w:w="1453" w:type="dxa"/>
            <w:vAlign w:val="center"/>
          </w:tcPr>
          <w:p>
            <w:pPr>
              <w:spacing w:line="460" w:lineRule="exact"/>
              <w:jc w:val="center"/>
              <w:rPr>
                <w:rFonts w:hAnsi="宋体" w:cs="宋体"/>
                <w:b/>
                <w:bCs/>
                <w:iCs/>
                <w:szCs w:val="21"/>
                <w:highlight w:val="none"/>
              </w:rPr>
            </w:pPr>
            <w:r>
              <w:rPr>
                <w:rFonts w:hint="eastAsia" w:hAnsi="宋体" w:cs="宋体"/>
                <w:b/>
                <w:bCs/>
                <w:iCs/>
                <w:szCs w:val="21"/>
                <w:highlight w:val="none"/>
              </w:rPr>
              <w:t>单价</w:t>
            </w:r>
          </w:p>
          <w:p>
            <w:pPr>
              <w:spacing w:line="460" w:lineRule="exact"/>
              <w:jc w:val="center"/>
              <w:rPr>
                <w:rFonts w:hAnsi="宋体" w:cs="宋体"/>
                <w:b/>
                <w:bCs/>
                <w:iCs/>
                <w:szCs w:val="21"/>
                <w:highlight w:val="none"/>
              </w:rPr>
            </w:pPr>
            <w:r>
              <w:rPr>
                <w:rFonts w:hint="eastAsia" w:hAnsi="宋体" w:cs="宋体"/>
                <w:b/>
                <w:bCs/>
                <w:iCs/>
                <w:szCs w:val="21"/>
                <w:highlight w:val="none"/>
              </w:rPr>
              <w:t>（万元）</w:t>
            </w:r>
          </w:p>
        </w:tc>
        <w:tc>
          <w:tcPr>
            <w:tcW w:w="1052" w:type="dxa"/>
            <w:vAlign w:val="center"/>
          </w:tcPr>
          <w:p>
            <w:pPr>
              <w:spacing w:line="460" w:lineRule="exact"/>
              <w:jc w:val="center"/>
              <w:rPr>
                <w:rFonts w:hAnsi="宋体" w:cs="宋体"/>
                <w:b/>
                <w:bCs/>
                <w:iCs/>
                <w:szCs w:val="21"/>
                <w:highlight w:val="none"/>
              </w:rPr>
            </w:pPr>
            <w:r>
              <w:rPr>
                <w:rFonts w:hint="eastAsia" w:hAnsi="宋体" w:cs="宋体"/>
                <w:b/>
                <w:bCs/>
                <w:iCs/>
                <w:szCs w:val="21"/>
                <w:highlight w:val="none"/>
              </w:rPr>
              <w:t>是否</w:t>
            </w:r>
          </w:p>
          <w:p>
            <w:pPr>
              <w:spacing w:line="460" w:lineRule="exact"/>
              <w:jc w:val="center"/>
              <w:rPr>
                <w:rFonts w:hAnsi="宋体" w:cs="宋体"/>
                <w:b/>
                <w:bCs/>
                <w:iCs/>
                <w:szCs w:val="21"/>
                <w:highlight w:val="none"/>
              </w:rPr>
            </w:pPr>
            <w:r>
              <w:rPr>
                <w:rFonts w:hint="eastAsia" w:hAnsi="宋体" w:cs="宋体"/>
                <w:b/>
                <w:bCs/>
                <w:iCs/>
                <w:szCs w:val="21"/>
                <w:highlight w:val="none"/>
              </w:rPr>
              <w:t>进口</w:t>
            </w:r>
          </w:p>
        </w:tc>
        <w:tc>
          <w:tcPr>
            <w:tcW w:w="2119" w:type="dxa"/>
            <w:vAlign w:val="center"/>
          </w:tcPr>
          <w:p>
            <w:pPr>
              <w:spacing w:line="460" w:lineRule="exact"/>
              <w:jc w:val="center"/>
              <w:rPr>
                <w:rFonts w:hAnsi="宋体" w:cs="宋体"/>
                <w:b/>
                <w:bCs/>
                <w:iCs/>
                <w:szCs w:val="21"/>
                <w:highlight w:val="none"/>
              </w:rPr>
            </w:pPr>
            <w:r>
              <w:rPr>
                <w:rFonts w:hint="eastAsia" w:hAnsi="宋体" w:cs="宋体"/>
                <w:b/>
                <w:bCs/>
                <w:iCs/>
                <w:szCs w:val="21"/>
                <w:highlight w:val="none"/>
              </w:rPr>
              <w:t>分包要求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vAlign w:val="center"/>
          </w:tcPr>
          <w:p>
            <w:pPr>
              <w:spacing w:line="460" w:lineRule="exact"/>
              <w:jc w:val="center"/>
              <w:rPr>
                <w:rFonts w:hAnsi="宋体" w:cs="宋体"/>
                <w:iCs/>
                <w:szCs w:val="21"/>
                <w:highlight w:val="none"/>
              </w:rPr>
            </w:pPr>
            <w:r>
              <w:rPr>
                <w:rFonts w:hint="eastAsia" w:hAnsi="宋体" w:cs="宋体"/>
                <w:iCs/>
                <w:szCs w:val="21"/>
                <w:highlight w:val="none"/>
              </w:rPr>
              <w:t>1</w:t>
            </w:r>
          </w:p>
        </w:tc>
        <w:tc>
          <w:tcPr>
            <w:tcW w:w="2320" w:type="dxa"/>
            <w:vAlign w:val="center"/>
          </w:tcPr>
          <w:p>
            <w:pPr>
              <w:spacing w:line="460" w:lineRule="exact"/>
              <w:jc w:val="center"/>
              <w:rPr>
                <w:rFonts w:hAnsi="宋体" w:cs="宋体"/>
                <w:iCs/>
                <w:szCs w:val="21"/>
                <w:highlight w:val="none"/>
              </w:rPr>
            </w:pPr>
            <w:r>
              <w:rPr>
                <w:rFonts w:hint="eastAsia" w:hAnsi="宋体" w:cs="宋体"/>
                <w:iCs/>
                <w:szCs w:val="21"/>
                <w:highlight w:val="none"/>
              </w:rPr>
              <w:t>国家海洋局南海标准计量中心2023年船员服务采购项目</w:t>
            </w:r>
          </w:p>
        </w:tc>
        <w:tc>
          <w:tcPr>
            <w:tcW w:w="945" w:type="dxa"/>
            <w:vAlign w:val="center"/>
          </w:tcPr>
          <w:p>
            <w:pPr>
              <w:spacing w:line="460" w:lineRule="exact"/>
              <w:jc w:val="center"/>
              <w:rPr>
                <w:rFonts w:hAnsi="宋体" w:cs="宋体"/>
                <w:iCs/>
                <w:szCs w:val="21"/>
                <w:highlight w:val="none"/>
              </w:rPr>
            </w:pPr>
            <w:r>
              <w:rPr>
                <w:rFonts w:hint="eastAsia" w:hAnsi="宋体" w:cs="宋体"/>
                <w:iCs/>
                <w:szCs w:val="21"/>
                <w:highlight w:val="none"/>
              </w:rPr>
              <w:t>1</w:t>
            </w:r>
          </w:p>
        </w:tc>
        <w:tc>
          <w:tcPr>
            <w:tcW w:w="974" w:type="dxa"/>
            <w:vAlign w:val="center"/>
          </w:tcPr>
          <w:p>
            <w:pPr>
              <w:spacing w:line="460" w:lineRule="exact"/>
              <w:jc w:val="center"/>
              <w:rPr>
                <w:rFonts w:hAnsi="宋体" w:cs="宋体"/>
                <w:iCs/>
                <w:szCs w:val="21"/>
                <w:highlight w:val="none"/>
              </w:rPr>
            </w:pPr>
            <w:r>
              <w:rPr>
                <w:rFonts w:hint="eastAsia" w:hAnsi="宋体" w:cs="宋体"/>
                <w:iCs/>
                <w:szCs w:val="21"/>
                <w:highlight w:val="none"/>
              </w:rPr>
              <w:t>项</w:t>
            </w:r>
          </w:p>
        </w:tc>
        <w:tc>
          <w:tcPr>
            <w:tcW w:w="1453" w:type="dxa"/>
            <w:vAlign w:val="center"/>
          </w:tcPr>
          <w:p>
            <w:pPr>
              <w:spacing w:line="460" w:lineRule="exact"/>
              <w:jc w:val="center"/>
              <w:rPr>
                <w:rFonts w:hAnsi="宋体" w:cs="宋体"/>
                <w:iCs/>
                <w:szCs w:val="21"/>
                <w:highlight w:val="none"/>
              </w:rPr>
            </w:pPr>
            <w:r>
              <w:rPr>
                <w:rFonts w:hint="eastAsia" w:hAnsi="宋体" w:cs="宋体"/>
                <w:iCs/>
                <w:szCs w:val="21"/>
                <w:highlight w:val="none"/>
              </w:rPr>
              <w:t>1623.97</w:t>
            </w:r>
          </w:p>
        </w:tc>
        <w:tc>
          <w:tcPr>
            <w:tcW w:w="1052" w:type="dxa"/>
            <w:vAlign w:val="center"/>
          </w:tcPr>
          <w:p>
            <w:pPr>
              <w:spacing w:line="460" w:lineRule="exact"/>
              <w:jc w:val="center"/>
              <w:rPr>
                <w:rFonts w:hAnsi="宋体" w:cs="宋体"/>
                <w:iCs/>
                <w:szCs w:val="21"/>
                <w:highlight w:val="none"/>
              </w:rPr>
            </w:pPr>
            <w:r>
              <w:rPr>
                <w:rFonts w:hint="eastAsia" w:hAnsi="宋体" w:cs="宋体"/>
                <w:iCs/>
                <w:szCs w:val="21"/>
                <w:highlight w:val="none"/>
              </w:rPr>
              <w:t>否</w:t>
            </w:r>
          </w:p>
        </w:tc>
        <w:tc>
          <w:tcPr>
            <w:tcW w:w="2119" w:type="dxa"/>
            <w:vAlign w:val="center"/>
          </w:tcPr>
          <w:p>
            <w:pPr>
              <w:spacing w:line="460" w:lineRule="exact"/>
              <w:jc w:val="center"/>
              <w:rPr>
                <w:rFonts w:hAnsi="宋体" w:cs="宋体"/>
                <w:iCs/>
                <w:szCs w:val="21"/>
                <w:highlight w:val="none"/>
              </w:rPr>
            </w:pPr>
            <w:r>
              <w:rPr>
                <w:rFonts w:hint="eastAsia" w:hAnsi="宋体" w:cs="宋体"/>
                <w:iCs/>
                <w:szCs w:val="21"/>
                <w:highlight w:val="none"/>
              </w:rPr>
              <w:t>本项目不进行分包</w:t>
            </w:r>
          </w:p>
        </w:tc>
      </w:tr>
    </w:tbl>
    <w:p>
      <w:pPr>
        <w:widowControl/>
        <w:spacing w:line="360" w:lineRule="auto"/>
        <w:ind w:firstLine="420" w:firstLineChars="200"/>
        <w:rPr>
          <w:rFonts w:hAnsi="宋体" w:cs="宋体"/>
          <w:szCs w:val="21"/>
          <w:highlight w:val="none"/>
        </w:rPr>
      </w:pPr>
      <w:r>
        <w:rPr>
          <w:rFonts w:hint="eastAsia" w:hAnsi="宋体" w:cs="宋体"/>
          <w:szCs w:val="21"/>
          <w:highlight w:val="none"/>
        </w:rPr>
        <w:t xml:space="preserve">1.1 </w:t>
      </w:r>
      <w:r>
        <w:rPr>
          <w:rFonts w:hint="eastAsia" w:hAnsi="宋体"/>
          <w:szCs w:val="21"/>
          <w:highlight w:val="none"/>
        </w:rPr>
        <w:t>不允许投标人只对其中部分内容进行投标。</w:t>
      </w:r>
      <w:r>
        <w:rPr>
          <w:rFonts w:hint="eastAsia" w:hAnsi="宋体" w:cs="宋体"/>
          <w:szCs w:val="21"/>
          <w:highlight w:val="none"/>
        </w:rPr>
        <w:t>详细技术参数及执行标准、规格等详见招标文件中的第四篇用户需求书。</w:t>
      </w:r>
    </w:p>
    <w:p>
      <w:pPr>
        <w:widowControl/>
        <w:spacing w:line="360" w:lineRule="auto"/>
        <w:ind w:left="420"/>
        <w:rPr>
          <w:rFonts w:hAnsi="宋体" w:cs="宋体"/>
          <w:szCs w:val="21"/>
          <w:highlight w:val="none"/>
        </w:rPr>
      </w:pPr>
      <w:r>
        <w:rPr>
          <w:rFonts w:hint="eastAsia" w:hAnsi="宋体" w:cs="宋体"/>
          <w:szCs w:val="21"/>
          <w:highlight w:val="none"/>
        </w:rPr>
        <w:t>1.2 本项目适用的扶持性政策</w:t>
      </w:r>
    </w:p>
    <w:p>
      <w:pPr>
        <w:widowControl/>
        <w:spacing w:line="360" w:lineRule="auto"/>
        <w:ind w:left="840"/>
        <w:rPr>
          <w:rFonts w:hAnsi="宋体" w:cs="宋体"/>
          <w:szCs w:val="21"/>
          <w:highlight w:val="none"/>
        </w:rPr>
      </w:pPr>
      <w:r>
        <w:rPr>
          <w:rFonts w:hint="eastAsia" w:hAnsi="宋体" w:cs="宋体"/>
          <w:szCs w:val="21"/>
          <w:highlight w:val="none"/>
        </w:rPr>
        <w:t>1.2.1 《政府采购促进中小企业发展管理办法》(财库(2020)46号)</w:t>
      </w:r>
    </w:p>
    <w:p>
      <w:pPr>
        <w:widowControl/>
        <w:spacing w:line="360" w:lineRule="auto"/>
        <w:ind w:left="840"/>
        <w:rPr>
          <w:rFonts w:hAnsi="宋体" w:cs="宋体"/>
          <w:szCs w:val="21"/>
          <w:highlight w:val="none"/>
        </w:rPr>
      </w:pPr>
      <w:r>
        <w:rPr>
          <w:rFonts w:hint="eastAsia" w:hAnsi="宋体" w:cs="宋体"/>
          <w:szCs w:val="21"/>
          <w:highlight w:val="none"/>
        </w:rPr>
        <w:t>1.2.2 《关于政府采购支持监狱企业发展有关问题的通知》(财库〔2014〕68号)</w:t>
      </w:r>
    </w:p>
    <w:p>
      <w:pPr>
        <w:widowControl/>
        <w:spacing w:line="360" w:lineRule="auto"/>
        <w:ind w:left="840"/>
        <w:rPr>
          <w:rFonts w:hAnsi="宋体" w:cs="宋体"/>
          <w:szCs w:val="21"/>
          <w:highlight w:val="none"/>
        </w:rPr>
      </w:pPr>
      <w:r>
        <w:rPr>
          <w:rFonts w:hint="eastAsia" w:hAnsi="宋体" w:cs="宋体"/>
          <w:szCs w:val="21"/>
          <w:highlight w:val="none"/>
        </w:rPr>
        <w:t>1.2.3 《关于促进残疾人就业政府采购政策的通知》（财库〔2017〕141号)</w:t>
      </w:r>
    </w:p>
    <w:p>
      <w:pPr>
        <w:widowControl/>
        <w:spacing w:line="360" w:lineRule="auto"/>
        <w:ind w:left="420"/>
        <w:rPr>
          <w:rFonts w:hAnsi="宋体" w:cs="宋体"/>
          <w:szCs w:val="21"/>
          <w:highlight w:val="none"/>
        </w:rPr>
      </w:pPr>
      <w:r>
        <w:rPr>
          <w:rFonts w:hint="eastAsia" w:hAnsi="宋体" w:cs="宋体"/>
          <w:szCs w:val="21"/>
          <w:highlight w:val="none"/>
        </w:rPr>
        <w:t>2.采购项目品目：详见招标公告</w:t>
      </w:r>
    </w:p>
    <w:p>
      <w:pPr>
        <w:widowControl/>
        <w:spacing w:line="360" w:lineRule="auto"/>
        <w:ind w:left="420"/>
        <w:rPr>
          <w:rFonts w:hAnsi="宋体" w:cs="宋体"/>
          <w:szCs w:val="21"/>
          <w:highlight w:val="none"/>
        </w:rPr>
      </w:pPr>
      <w:r>
        <w:rPr>
          <w:rFonts w:hint="eastAsia" w:hAnsi="宋体" w:cs="宋体"/>
          <w:szCs w:val="21"/>
          <w:highlight w:val="none"/>
        </w:rPr>
        <w:t>3.项目基本情况介绍：</w:t>
      </w:r>
    </w:p>
    <w:p>
      <w:pPr>
        <w:widowControl/>
        <w:spacing w:line="360" w:lineRule="auto"/>
        <w:ind w:firstLine="560"/>
        <w:rPr>
          <w:rFonts w:hAnsi="宋体" w:cs="宋体"/>
          <w:szCs w:val="21"/>
          <w:highlight w:val="none"/>
        </w:rPr>
      </w:pPr>
      <w:r>
        <w:rPr>
          <w:rFonts w:hint="eastAsia" w:hAnsi="宋体" w:cs="宋体"/>
          <w:szCs w:val="21"/>
          <w:highlight w:val="none"/>
        </w:rPr>
        <w:t>本次采购是为了满足国家海洋局南海标准计量中心的业务需求。</w:t>
      </w:r>
    </w:p>
    <w:p>
      <w:pPr>
        <w:widowControl/>
        <w:spacing w:line="360" w:lineRule="auto"/>
        <w:ind w:firstLine="588"/>
        <w:rPr>
          <w:rFonts w:hAnsi="宋体" w:cs="宋体"/>
          <w:szCs w:val="21"/>
          <w:highlight w:val="none"/>
        </w:rPr>
      </w:pPr>
      <w:r>
        <w:rPr>
          <w:rFonts w:hint="eastAsia" w:hAnsi="宋体" w:cs="宋体"/>
          <w:szCs w:val="21"/>
          <w:highlight w:val="none"/>
        </w:rPr>
        <w:t>五、供应商资格：</w:t>
      </w:r>
    </w:p>
    <w:p>
      <w:pPr>
        <w:spacing w:line="360" w:lineRule="auto"/>
        <w:ind w:right="-34" w:firstLine="735" w:firstLineChars="350"/>
        <w:jc w:val="both"/>
        <w:rPr>
          <w:rFonts w:hAnsi="宋体" w:cs="宋体"/>
          <w:szCs w:val="21"/>
          <w:highlight w:val="none"/>
        </w:rPr>
      </w:pPr>
      <w:r>
        <w:rPr>
          <w:rFonts w:hint="eastAsia" w:hAnsi="宋体" w:cs="宋体"/>
          <w:szCs w:val="21"/>
          <w:highlight w:val="none"/>
        </w:rPr>
        <w:t>1.供应商应具备《政府采购法》第二十二条规定的条件；</w:t>
      </w:r>
    </w:p>
    <w:p>
      <w:pPr>
        <w:spacing w:line="360" w:lineRule="auto"/>
        <w:ind w:right="-34" w:firstLine="735" w:firstLineChars="350"/>
        <w:jc w:val="both"/>
        <w:rPr>
          <w:rFonts w:hAnsi="宋体" w:cs="宋体"/>
          <w:szCs w:val="21"/>
          <w:highlight w:val="none"/>
        </w:rPr>
      </w:pPr>
      <w:r>
        <w:rPr>
          <w:rFonts w:hint="eastAsia" w:hAnsi="宋体" w:cs="宋体"/>
          <w:szCs w:val="21"/>
          <w:highlight w:val="none"/>
        </w:rPr>
        <w:t>2.落实政府采购政策需满足的资格要求：本项目属于专门面向中小企业采购的项目。（本项目所属行业：其他服务业</w:t>
      </w:r>
      <w:bookmarkStart w:id="51" w:name="_GoBack"/>
      <w:bookmarkEnd w:id="51"/>
      <w:r>
        <w:rPr>
          <w:rFonts w:hint="eastAsia" w:hAnsi="宋体" w:cs="宋体"/>
          <w:szCs w:val="21"/>
          <w:highlight w:val="none"/>
        </w:rPr>
        <w:t>）</w:t>
      </w:r>
    </w:p>
    <w:p>
      <w:pPr>
        <w:spacing w:line="360" w:lineRule="auto"/>
        <w:ind w:right="-34" w:firstLine="735" w:firstLineChars="350"/>
        <w:jc w:val="both"/>
        <w:rPr>
          <w:rFonts w:hAnsi="宋体" w:cs="宋体"/>
          <w:szCs w:val="21"/>
          <w:highlight w:val="none"/>
        </w:rPr>
      </w:pPr>
      <w:r>
        <w:rPr>
          <w:rFonts w:hint="eastAsia" w:hAnsi="宋体" w:cs="宋体"/>
          <w:szCs w:val="21"/>
          <w:highlight w:val="none"/>
        </w:rPr>
        <w:t>3.具有独立民事责任的法人、其他组织或者自然人，并取得合法工商执照或者其它法人（负责人）证书，如供应商为自然人的需提供自然人身份证明。</w:t>
      </w:r>
    </w:p>
    <w:p>
      <w:pPr>
        <w:spacing w:line="360" w:lineRule="auto"/>
        <w:ind w:right="-34" w:firstLine="735" w:firstLineChars="350"/>
        <w:jc w:val="both"/>
        <w:rPr>
          <w:rFonts w:hAnsi="宋体" w:cs="宋体"/>
          <w:szCs w:val="21"/>
          <w:highlight w:val="none"/>
        </w:rPr>
      </w:pPr>
      <w:r>
        <w:rPr>
          <w:rFonts w:hint="eastAsia" w:hAnsi="宋体" w:cs="宋体"/>
          <w:szCs w:val="21"/>
          <w:highlight w:val="none"/>
        </w:rPr>
        <w:t>4.信用记录：供应商未被列入“信用中国”网站(www.creditchina.gov.cn)“失信被执行人或重大税收违法失信主体或政府采购严重违法失信行为记录名单”记录名单；不处于中国政府采购网(www.ccgp.gov.cn)“政府采购严重违法失信行为信息记录”中的禁止参加政府采购活动期间。（以采购代理机构在投标（响应）截止日当天在“信用中国”网站（www.creditchina.gov.cn）及中国政府采购网(www.ccgp.gov.cn)查询结果为准，注：如相关失信记录已失效，供应商需提供相关证明资料。）</w:t>
      </w:r>
    </w:p>
    <w:p>
      <w:pPr>
        <w:spacing w:line="360" w:lineRule="auto"/>
        <w:ind w:right="-34" w:firstLine="735" w:firstLineChars="350"/>
        <w:jc w:val="both"/>
        <w:rPr>
          <w:rFonts w:hAnsi="宋体" w:cs="宋体"/>
          <w:szCs w:val="21"/>
          <w:highlight w:val="none"/>
        </w:rPr>
      </w:pPr>
      <w:r>
        <w:rPr>
          <w:rFonts w:hint="eastAsia" w:hAnsi="宋体" w:cs="宋体"/>
          <w:szCs w:val="21"/>
          <w:highlight w:val="none"/>
        </w:rPr>
        <w:t>5.具备</w:t>
      </w:r>
      <w:r>
        <w:rPr>
          <w:rFonts w:hint="eastAsia" w:hAnsi="宋体"/>
          <w:szCs w:val="21"/>
          <w:highlight w:val="none"/>
        </w:rPr>
        <w:t>《劳务派遣经营许可证》</w:t>
      </w:r>
      <w:r>
        <w:rPr>
          <w:rFonts w:hint="eastAsia" w:hAnsi="宋体" w:cs="宋体"/>
          <w:szCs w:val="21"/>
          <w:highlight w:val="none"/>
        </w:rPr>
        <w:t>；</w:t>
      </w:r>
    </w:p>
    <w:p>
      <w:pPr>
        <w:spacing w:line="360" w:lineRule="auto"/>
        <w:ind w:right="-34" w:firstLine="735" w:firstLineChars="350"/>
        <w:jc w:val="both"/>
        <w:rPr>
          <w:rFonts w:hAnsi="宋体" w:cs="宋体"/>
          <w:szCs w:val="21"/>
          <w:highlight w:val="none"/>
        </w:rPr>
      </w:pPr>
      <w:r>
        <w:rPr>
          <w:rFonts w:hint="eastAsia" w:hAnsi="宋体" w:cs="宋体"/>
          <w:szCs w:val="21"/>
          <w:highlight w:val="none"/>
        </w:rPr>
        <w:t>6.提供</w:t>
      </w:r>
      <w:r>
        <w:rPr>
          <w:rFonts w:hint="eastAsia"/>
          <w:highlight w:val="none"/>
        </w:rPr>
        <w:t>近6个月</w:t>
      </w:r>
      <w:r>
        <w:rPr>
          <w:rFonts w:hint="eastAsia" w:hAnsi="宋体" w:cs="宋体"/>
          <w:szCs w:val="21"/>
          <w:highlight w:val="none"/>
        </w:rPr>
        <w:t>内任意一个月的依法缴纳社会保险的证明（缴费凭证）复印件，如依法不需要缴纳社会保障资金的，应提供相应文件证明其依法不需要缴纳社会保障资金；</w:t>
      </w:r>
    </w:p>
    <w:p>
      <w:pPr>
        <w:spacing w:line="360" w:lineRule="auto"/>
        <w:ind w:right="-34" w:firstLine="735" w:firstLineChars="350"/>
        <w:jc w:val="both"/>
        <w:rPr>
          <w:rFonts w:hAnsi="宋体" w:cs="宋体"/>
          <w:szCs w:val="21"/>
          <w:highlight w:val="none"/>
        </w:rPr>
      </w:pPr>
      <w:r>
        <w:rPr>
          <w:rFonts w:hint="eastAsia" w:hAnsi="宋体" w:cs="宋体"/>
          <w:szCs w:val="21"/>
          <w:highlight w:val="none"/>
        </w:rPr>
        <w:t>7.提供</w:t>
      </w:r>
      <w:r>
        <w:rPr>
          <w:rFonts w:hint="eastAsia"/>
          <w:highlight w:val="none"/>
        </w:rPr>
        <w:t>近6个月</w:t>
      </w:r>
      <w:r>
        <w:rPr>
          <w:rFonts w:hint="eastAsia" w:hAnsi="宋体" w:cs="宋体"/>
          <w:szCs w:val="21"/>
          <w:highlight w:val="none"/>
        </w:rPr>
        <w:t>内任意一个月的依法缴纳税收的证明（纳税凭证）复印件，如依法免税的，应提供相应文件证明其依法免税；</w:t>
      </w:r>
    </w:p>
    <w:p>
      <w:pPr>
        <w:spacing w:line="360" w:lineRule="auto"/>
        <w:ind w:right="-34" w:firstLine="735" w:firstLineChars="350"/>
        <w:jc w:val="both"/>
        <w:rPr>
          <w:rFonts w:hAnsi="宋体" w:cs="宋体"/>
          <w:szCs w:val="21"/>
          <w:highlight w:val="none"/>
        </w:rPr>
      </w:pPr>
      <w:r>
        <w:rPr>
          <w:rFonts w:hint="eastAsia" w:hAnsi="宋体" w:cs="宋体"/>
          <w:szCs w:val="21"/>
          <w:highlight w:val="none"/>
        </w:rPr>
        <w:t>8.本项目不接受联合体投标；</w:t>
      </w:r>
    </w:p>
    <w:p>
      <w:pPr>
        <w:spacing w:line="360" w:lineRule="auto"/>
        <w:ind w:right="-34" w:firstLine="735" w:firstLineChars="350"/>
        <w:jc w:val="both"/>
        <w:rPr>
          <w:rFonts w:hAnsi="宋体" w:cs="宋体"/>
          <w:szCs w:val="21"/>
          <w:highlight w:val="none"/>
        </w:rPr>
      </w:pPr>
      <w:r>
        <w:rPr>
          <w:rFonts w:hint="eastAsia" w:hAnsi="宋体" w:cs="宋体"/>
          <w:szCs w:val="21"/>
          <w:highlight w:val="none"/>
        </w:rPr>
        <w:t>9.供应商参加政府采购活动前三年内，在经营活动中没有重大违法记录（可参照报价函相关承诺格式内容）。重大违法记录，是指供应商因违法经营受到刑事处罚或者责令停产停业、吊销许可证或者执照、较大数额罚款等行政处罚。（较大数额罚款按照财库〔2022〕3号文，“较大数额罚款”认定为200万元以上的罚款，法律、行政法规以及国务院有关部门明确规定相关领域“较大数额罚款”标准高于200万元的，从其规定。）</w:t>
      </w:r>
    </w:p>
    <w:p>
      <w:pPr>
        <w:spacing w:line="360" w:lineRule="auto"/>
        <w:ind w:right="-34" w:firstLine="735" w:firstLineChars="350"/>
        <w:jc w:val="both"/>
        <w:rPr>
          <w:rFonts w:hAnsi="宋体" w:cs="宋体"/>
          <w:szCs w:val="21"/>
          <w:highlight w:val="none"/>
        </w:rPr>
      </w:pPr>
      <w:r>
        <w:rPr>
          <w:rFonts w:hint="eastAsia" w:hAnsi="宋体" w:cs="宋体"/>
          <w:szCs w:val="21"/>
          <w:highlight w:val="none"/>
        </w:rPr>
        <w:t>10.提供履行合同所必需的设备和专业技术能力的书面声明；（提供《资格声明书》，格式详见招标文件附表2.2）。</w:t>
      </w:r>
    </w:p>
    <w:p>
      <w:pPr>
        <w:spacing w:line="360" w:lineRule="auto"/>
        <w:ind w:right="-34" w:firstLine="735" w:firstLineChars="350"/>
        <w:jc w:val="both"/>
        <w:rPr>
          <w:rFonts w:hAnsi="宋体" w:cs="宋体"/>
          <w:szCs w:val="21"/>
          <w:highlight w:val="none"/>
        </w:rPr>
      </w:pPr>
      <w:r>
        <w:rPr>
          <w:rFonts w:hint="eastAsia" w:hAnsi="宋体" w:cs="宋体"/>
          <w:szCs w:val="21"/>
          <w:highlight w:val="none"/>
        </w:rPr>
        <w:t>11.存在隶属关系或同属一母公司或法人的企业，仅能由一家企业参与投标。</w:t>
      </w:r>
    </w:p>
    <w:p>
      <w:pPr>
        <w:spacing w:line="360" w:lineRule="auto"/>
        <w:ind w:right="-34" w:firstLine="735" w:firstLineChars="350"/>
        <w:jc w:val="both"/>
        <w:rPr>
          <w:rFonts w:hAnsi="宋体" w:cs="宋体"/>
          <w:szCs w:val="21"/>
          <w:highlight w:val="none"/>
        </w:rPr>
      </w:pPr>
      <w:r>
        <w:rPr>
          <w:rFonts w:hint="eastAsia" w:hAnsi="宋体" w:cs="宋体"/>
          <w:szCs w:val="21"/>
          <w:highlight w:val="none"/>
        </w:rPr>
        <w:t>12.已办理报名并成功购买本招标文件的供应商。</w:t>
      </w:r>
    </w:p>
    <w:p>
      <w:pPr>
        <w:spacing w:line="360" w:lineRule="auto"/>
        <w:ind w:right="-34" w:firstLine="420" w:firstLineChars="200"/>
        <w:jc w:val="both"/>
        <w:rPr>
          <w:rFonts w:hAnsi="宋体" w:cs="宋体"/>
          <w:szCs w:val="21"/>
          <w:highlight w:val="none"/>
        </w:rPr>
      </w:pPr>
      <w:r>
        <w:rPr>
          <w:rFonts w:hint="eastAsia" w:hAnsi="宋体" w:cs="宋体"/>
          <w:szCs w:val="21"/>
          <w:highlight w:val="none"/>
        </w:rPr>
        <w:t>六、获取招标文件：</w:t>
      </w:r>
    </w:p>
    <w:p>
      <w:pPr>
        <w:spacing w:line="360" w:lineRule="auto"/>
        <w:ind w:right="-34" w:firstLine="735" w:firstLineChars="350"/>
        <w:jc w:val="both"/>
        <w:rPr>
          <w:rFonts w:hAnsi="宋体" w:cs="宋体"/>
          <w:szCs w:val="21"/>
          <w:highlight w:val="none"/>
        </w:rPr>
      </w:pPr>
      <w:r>
        <w:rPr>
          <w:rFonts w:hAnsi="宋体" w:cs="宋体"/>
          <w:szCs w:val="21"/>
          <w:highlight w:val="none"/>
        </w:rPr>
        <w:t>1.</w:t>
      </w:r>
      <w:r>
        <w:rPr>
          <w:rFonts w:hint="eastAsia" w:hAnsi="宋体" w:cs="宋体"/>
          <w:szCs w:val="21"/>
          <w:highlight w:val="none"/>
        </w:rPr>
        <w:t>时间：</w:t>
      </w:r>
      <w:r>
        <w:rPr>
          <w:rFonts w:hAnsi="宋体" w:cs="宋体"/>
          <w:szCs w:val="21"/>
          <w:highlight w:val="none"/>
        </w:rPr>
        <w:t>2022</w:t>
      </w:r>
      <w:r>
        <w:rPr>
          <w:rFonts w:hint="eastAsia" w:hAnsi="宋体" w:cs="宋体"/>
          <w:szCs w:val="21"/>
          <w:highlight w:val="none"/>
        </w:rPr>
        <w:t>年</w:t>
      </w:r>
      <w:r>
        <w:rPr>
          <w:rFonts w:hAnsi="宋体" w:cs="宋体"/>
          <w:szCs w:val="21"/>
          <w:highlight w:val="none"/>
        </w:rPr>
        <w:t>12</w:t>
      </w:r>
      <w:r>
        <w:rPr>
          <w:rFonts w:hint="eastAsia" w:hAnsi="宋体" w:cs="宋体"/>
          <w:szCs w:val="21"/>
          <w:highlight w:val="none"/>
        </w:rPr>
        <w:t>月</w:t>
      </w:r>
      <w:r>
        <w:rPr>
          <w:rFonts w:hint="eastAsia" w:hAnsi="宋体" w:cs="宋体"/>
          <w:szCs w:val="21"/>
          <w:highlight w:val="none"/>
          <w:lang w:val="en-US" w:eastAsia="zh-CN"/>
        </w:rPr>
        <w:t>26</w:t>
      </w:r>
      <w:r>
        <w:rPr>
          <w:rFonts w:hint="eastAsia" w:hAnsi="宋体" w:cs="宋体"/>
          <w:szCs w:val="21"/>
          <w:highlight w:val="none"/>
        </w:rPr>
        <w:t>日至</w:t>
      </w:r>
      <w:r>
        <w:rPr>
          <w:rFonts w:hAnsi="宋体" w:cs="宋体"/>
          <w:szCs w:val="21"/>
          <w:highlight w:val="none"/>
        </w:rPr>
        <w:t>202</w:t>
      </w:r>
      <w:r>
        <w:rPr>
          <w:rFonts w:hint="eastAsia" w:hAnsi="宋体" w:cs="宋体"/>
          <w:szCs w:val="21"/>
          <w:highlight w:val="none"/>
          <w:lang w:val="en-US" w:eastAsia="zh-CN"/>
        </w:rPr>
        <w:t>3</w:t>
      </w:r>
      <w:r>
        <w:rPr>
          <w:rFonts w:hint="eastAsia" w:hAnsi="宋体" w:cs="宋体"/>
          <w:szCs w:val="21"/>
          <w:highlight w:val="none"/>
        </w:rPr>
        <w:t>年</w:t>
      </w:r>
      <w:r>
        <w:rPr>
          <w:rFonts w:hint="eastAsia" w:hAnsi="宋体" w:cs="宋体"/>
          <w:szCs w:val="21"/>
          <w:highlight w:val="none"/>
          <w:lang w:val="en-US" w:eastAsia="zh-CN"/>
        </w:rPr>
        <w:t>1</w:t>
      </w:r>
      <w:r>
        <w:rPr>
          <w:rFonts w:hint="eastAsia" w:hAnsi="宋体" w:cs="宋体"/>
          <w:szCs w:val="21"/>
          <w:highlight w:val="none"/>
        </w:rPr>
        <w:t>月</w:t>
      </w:r>
      <w:r>
        <w:rPr>
          <w:rFonts w:hint="eastAsia" w:hAnsi="宋体" w:cs="宋体"/>
          <w:szCs w:val="21"/>
          <w:highlight w:val="none"/>
          <w:lang w:val="en-US" w:eastAsia="zh-CN"/>
        </w:rPr>
        <w:t>3</w:t>
      </w:r>
      <w:r>
        <w:rPr>
          <w:rFonts w:hint="eastAsia" w:hAnsi="宋体" w:cs="宋体"/>
          <w:szCs w:val="21"/>
          <w:highlight w:val="none"/>
        </w:rPr>
        <w:t>日，每天上午</w:t>
      </w:r>
      <w:r>
        <w:rPr>
          <w:rFonts w:hAnsi="宋体" w:cs="宋体"/>
          <w:szCs w:val="21"/>
          <w:highlight w:val="none"/>
        </w:rPr>
        <w:t>0</w:t>
      </w:r>
      <w:r>
        <w:rPr>
          <w:rFonts w:hint="eastAsia" w:hAnsi="宋体" w:cs="宋体"/>
          <w:szCs w:val="21"/>
          <w:highlight w:val="none"/>
          <w:lang w:val="en-US" w:eastAsia="zh-CN"/>
        </w:rPr>
        <w:t>9</w:t>
      </w:r>
      <w:r>
        <w:rPr>
          <w:rFonts w:hAnsi="宋体" w:cs="宋体"/>
          <w:szCs w:val="21"/>
          <w:highlight w:val="none"/>
        </w:rPr>
        <w:t>:00</w:t>
      </w:r>
      <w:r>
        <w:rPr>
          <w:rFonts w:hint="eastAsia" w:hAnsi="宋体" w:cs="宋体"/>
          <w:szCs w:val="21"/>
          <w:highlight w:val="none"/>
        </w:rPr>
        <w:t>至</w:t>
      </w:r>
      <w:r>
        <w:rPr>
          <w:rFonts w:hAnsi="宋体" w:cs="宋体"/>
          <w:szCs w:val="21"/>
          <w:highlight w:val="none"/>
        </w:rPr>
        <w:t>12:00</w:t>
      </w:r>
      <w:r>
        <w:rPr>
          <w:rFonts w:hint="eastAsia" w:hAnsi="宋体" w:cs="宋体"/>
          <w:szCs w:val="21"/>
          <w:highlight w:val="none"/>
        </w:rPr>
        <w:t>，下午</w:t>
      </w:r>
      <w:r>
        <w:rPr>
          <w:rFonts w:hAnsi="宋体" w:cs="宋体"/>
          <w:szCs w:val="21"/>
          <w:highlight w:val="none"/>
        </w:rPr>
        <w:t>1</w:t>
      </w:r>
      <w:r>
        <w:rPr>
          <w:rFonts w:hint="eastAsia" w:hAnsi="宋体" w:cs="宋体"/>
          <w:szCs w:val="21"/>
          <w:highlight w:val="none"/>
          <w:lang w:val="en-US" w:eastAsia="zh-CN"/>
        </w:rPr>
        <w:t>4</w:t>
      </w:r>
      <w:r>
        <w:rPr>
          <w:rFonts w:hAnsi="宋体" w:cs="宋体"/>
          <w:szCs w:val="21"/>
          <w:highlight w:val="none"/>
        </w:rPr>
        <w:t>:</w:t>
      </w:r>
      <w:r>
        <w:rPr>
          <w:rFonts w:hint="eastAsia" w:hAnsi="宋体" w:cs="宋体"/>
          <w:szCs w:val="21"/>
          <w:highlight w:val="none"/>
          <w:lang w:val="en-US" w:eastAsia="zh-CN"/>
        </w:rPr>
        <w:t>3</w:t>
      </w:r>
      <w:r>
        <w:rPr>
          <w:rFonts w:hAnsi="宋体" w:cs="宋体"/>
          <w:szCs w:val="21"/>
          <w:highlight w:val="none"/>
        </w:rPr>
        <w:t>0</w:t>
      </w:r>
      <w:r>
        <w:rPr>
          <w:rFonts w:hint="eastAsia" w:hAnsi="宋体" w:cs="宋体"/>
          <w:szCs w:val="21"/>
          <w:highlight w:val="none"/>
        </w:rPr>
        <w:t>至</w:t>
      </w:r>
      <w:r>
        <w:rPr>
          <w:rFonts w:hint="eastAsia" w:hAnsi="宋体" w:cs="宋体"/>
          <w:szCs w:val="21"/>
          <w:highlight w:val="none"/>
          <w:lang w:val="en-US" w:eastAsia="zh-CN"/>
        </w:rPr>
        <w:t>17</w:t>
      </w:r>
      <w:r>
        <w:rPr>
          <w:rFonts w:hAnsi="宋体" w:cs="宋体"/>
          <w:szCs w:val="21"/>
          <w:highlight w:val="none"/>
        </w:rPr>
        <w:t>:</w:t>
      </w:r>
      <w:r>
        <w:rPr>
          <w:rFonts w:hint="eastAsia" w:hAnsi="宋体" w:cs="宋体"/>
          <w:szCs w:val="21"/>
          <w:highlight w:val="none"/>
          <w:lang w:val="en-US" w:eastAsia="zh-CN"/>
        </w:rPr>
        <w:t>30</w:t>
      </w:r>
      <w:r>
        <w:rPr>
          <w:rFonts w:hint="eastAsia" w:hAnsi="宋体" w:cs="宋体"/>
          <w:szCs w:val="21"/>
          <w:highlight w:val="none"/>
        </w:rPr>
        <w:t>。（北京时间，法定节假日除外。）</w:t>
      </w:r>
    </w:p>
    <w:p>
      <w:pPr>
        <w:spacing w:line="360" w:lineRule="auto"/>
        <w:ind w:right="-34" w:firstLine="735" w:firstLineChars="350"/>
        <w:jc w:val="both"/>
        <w:rPr>
          <w:rFonts w:hAnsi="宋体" w:cs="宋体"/>
          <w:szCs w:val="21"/>
          <w:highlight w:val="none"/>
        </w:rPr>
      </w:pPr>
      <w:r>
        <w:rPr>
          <w:rFonts w:hAnsi="宋体" w:cs="宋体"/>
          <w:szCs w:val="21"/>
          <w:highlight w:val="none"/>
        </w:rPr>
        <w:t>2.</w:t>
      </w:r>
      <w:r>
        <w:rPr>
          <w:rFonts w:hint="eastAsia" w:hAnsi="宋体" w:cs="宋体"/>
          <w:szCs w:val="21"/>
          <w:highlight w:val="none"/>
        </w:rPr>
        <w:t>地点：远东电子交易平台（详细可查看下载专区的《供应商操作手册》。））</w:t>
      </w:r>
    </w:p>
    <w:p>
      <w:pPr>
        <w:spacing w:line="360" w:lineRule="auto"/>
        <w:ind w:right="-34" w:firstLine="735" w:firstLineChars="350"/>
        <w:jc w:val="both"/>
        <w:rPr>
          <w:rFonts w:hAnsi="宋体" w:cs="宋体"/>
          <w:szCs w:val="21"/>
          <w:highlight w:val="none"/>
        </w:rPr>
      </w:pPr>
      <w:r>
        <w:rPr>
          <w:rFonts w:hint="eastAsia" w:hAnsi="宋体" w:cs="宋体"/>
          <w:szCs w:val="21"/>
          <w:highlight w:val="none"/>
        </w:rPr>
        <w:t>注意：本项目采购文件只在远东电子交易平台在线上发售，报价供应商在购买采购文件之前，登陆广东远东招标代理有限公司网站（远东电子交易平台）进行网上注册。有关网上注册、报名相关疑问，可至电（代理机构）高小姐，联系方式：</w:t>
      </w:r>
      <w:r>
        <w:rPr>
          <w:rFonts w:hAnsi="宋体" w:cs="宋体"/>
          <w:szCs w:val="21"/>
          <w:highlight w:val="none"/>
        </w:rPr>
        <w:t>020-83642820-</w:t>
      </w:r>
      <w:r>
        <w:rPr>
          <w:rFonts w:hint="eastAsia" w:hAnsi="宋体" w:cs="宋体"/>
          <w:szCs w:val="21"/>
          <w:highlight w:val="none"/>
        </w:rPr>
        <w:t>826。</w:t>
      </w:r>
    </w:p>
    <w:p>
      <w:pPr>
        <w:spacing w:line="360" w:lineRule="auto"/>
        <w:ind w:right="-34" w:firstLine="735" w:firstLineChars="350"/>
        <w:jc w:val="both"/>
        <w:rPr>
          <w:rFonts w:hAnsi="宋体" w:cs="宋体"/>
          <w:szCs w:val="21"/>
          <w:highlight w:val="none"/>
        </w:rPr>
      </w:pPr>
      <w:r>
        <w:rPr>
          <w:rFonts w:hAnsi="宋体" w:cs="宋体"/>
          <w:szCs w:val="21"/>
          <w:highlight w:val="none"/>
        </w:rPr>
        <w:t>3.</w:t>
      </w:r>
      <w:r>
        <w:rPr>
          <w:rFonts w:hint="eastAsia" w:hAnsi="宋体" w:cs="宋体"/>
          <w:szCs w:val="21"/>
          <w:highlight w:val="none"/>
        </w:rPr>
        <w:t>方式：自行下载。</w:t>
      </w:r>
    </w:p>
    <w:p>
      <w:pPr>
        <w:spacing w:line="360" w:lineRule="auto"/>
        <w:ind w:right="-34" w:firstLine="735" w:firstLineChars="350"/>
        <w:jc w:val="both"/>
        <w:rPr>
          <w:highlight w:val="none"/>
        </w:rPr>
      </w:pPr>
      <w:r>
        <w:rPr>
          <w:rFonts w:hAnsi="宋体" w:cs="宋体"/>
          <w:szCs w:val="21"/>
          <w:highlight w:val="none"/>
        </w:rPr>
        <w:t>4.</w:t>
      </w:r>
      <w:r>
        <w:rPr>
          <w:rFonts w:hint="eastAsia" w:hAnsi="宋体" w:cs="宋体"/>
          <w:szCs w:val="21"/>
          <w:highlight w:val="none"/>
        </w:rPr>
        <w:t>售价：￥50</w:t>
      </w:r>
      <w:r>
        <w:rPr>
          <w:rFonts w:hAnsi="宋体" w:cs="宋体"/>
          <w:szCs w:val="21"/>
          <w:highlight w:val="none"/>
        </w:rPr>
        <w:t>0.00</w:t>
      </w:r>
      <w:r>
        <w:rPr>
          <w:rFonts w:hint="eastAsia" w:hAnsi="宋体" w:cs="宋体"/>
          <w:szCs w:val="21"/>
          <w:highlight w:val="none"/>
        </w:rPr>
        <w:t>元，本公告包含的采购文件售价总和。</w:t>
      </w:r>
    </w:p>
    <w:p>
      <w:pPr>
        <w:spacing w:line="360" w:lineRule="auto"/>
        <w:ind w:right="-34" w:firstLine="420" w:firstLineChars="200"/>
        <w:jc w:val="both"/>
        <w:rPr>
          <w:rFonts w:hAnsi="宋体" w:cs="宋体"/>
          <w:szCs w:val="21"/>
          <w:highlight w:val="none"/>
        </w:rPr>
      </w:pPr>
      <w:r>
        <w:rPr>
          <w:rFonts w:hint="eastAsia" w:hAnsi="宋体" w:cs="宋体"/>
          <w:szCs w:val="21"/>
          <w:highlight w:val="none"/>
        </w:rPr>
        <w:t>七、投标截止时间：202</w:t>
      </w:r>
      <w:r>
        <w:rPr>
          <w:rFonts w:hint="eastAsia" w:hAnsi="宋体" w:cs="宋体"/>
          <w:szCs w:val="21"/>
          <w:highlight w:val="none"/>
          <w:lang w:val="en-US" w:eastAsia="zh-CN"/>
        </w:rPr>
        <w:t>3</w:t>
      </w:r>
      <w:r>
        <w:rPr>
          <w:rFonts w:hint="eastAsia" w:hAnsi="宋体" w:cs="宋体"/>
          <w:szCs w:val="21"/>
          <w:highlight w:val="none"/>
        </w:rPr>
        <w:t>年</w:t>
      </w:r>
      <w:r>
        <w:rPr>
          <w:rFonts w:hint="eastAsia" w:hAnsi="宋体" w:cs="宋体"/>
          <w:szCs w:val="21"/>
          <w:highlight w:val="none"/>
          <w:lang w:val="en-US" w:eastAsia="zh-CN"/>
        </w:rPr>
        <w:t>1</w:t>
      </w:r>
      <w:r>
        <w:rPr>
          <w:rFonts w:hint="eastAsia" w:hAnsi="宋体" w:cs="宋体"/>
          <w:szCs w:val="21"/>
          <w:highlight w:val="none"/>
        </w:rPr>
        <w:t>月</w:t>
      </w:r>
      <w:r>
        <w:rPr>
          <w:rFonts w:hint="eastAsia" w:hAnsi="宋体" w:cs="宋体"/>
          <w:szCs w:val="21"/>
          <w:highlight w:val="none"/>
          <w:lang w:val="en-US" w:eastAsia="zh-CN"/>
        </w:rPr>
        <w:t>16</w:t>
      </w:r>
      <w:r>
        <w:rPr>
          <w:rFonts w:hint="eastAsia" w:hAnsi="宋体" w:cs="宋体"/>
          <w:szCs w:val="21"/>
          <w:highlight w:val="none"/>
        </w:rPr>
        <w:t>日09时30分</w:t>
      </w:r>
    </w:p>
    <w:p>
      <w:pPr>
        <w:spacing w:line="360" w:lineRule="auto"/>
        <w:ind w:right="-34" w:firstLine="420" w:firstLineChars="200"/>
        <w:jc w:val="both"/>
        <w:rPr>
          <w:rFonts w:hAnsi="宋体" w:cs="宋体"/>
          <w:szCs w:val="21"/>
          <w:highlight w:val="none"/>
        </w:rPr>
      </w:pPr>
      <w:r>
        <w:rPr>
          <w:rFonts w:hint="eastAsia" w:hAnsi="宋体" w:cs="宋体"/>
          <w:szCs w:val="21"/>
          <w:highlight w:val="none"/>
        </w:rPr>
        <w:t>八、投标文件递交地点：广州市越秀区越秀北路222号越良大厦13楼开标室</w:t>
      </w:r>
    </w:p>
    <w:p>
      <w:pPr>
        <w:spacing w:line="360" w:lineRule="auto"/>
        <w:ind w:right="-34" w:firstLine="420" w:firstLineChars="200"/>
        <w:jc w:val="both"/>
        <w:rPr>
          <w:rFonts w:hAnsi="宋体" w:cs="宋体"/>
          <w:szCs w:val="21"/>
          <w:highlight w:val="none"/>
        </w:rPr>
      </w:pPr>
      <w:r>
        <w:rPr>
          <w:rFonts w:hint="eastAsia" w:hAnsi="宋体" w:cs="宋体"/>
          <w:szCs w:val="21"/>
          <w:highlight w:val="none"/>
        </w:rPr>
        <w:t>九、开标评标时间：202</w:t>
      </w:r>
      <w:r>
        <w:rPr>
          <w:rFonts w:hint="eastAsia" w:hAnsi="宋体" w:cs="宋体"/>
          <w:szCs w:val="21"/>
          <w:highlight w:val="none"/>
          <w:lang w:val="en-US" w:eastAsia="zh-CN"/>
        </w:rPr>
        <w:t>3</w:t>
      </w:r>
      <w:r>
        <w:rPr>
          <w:rFonts w:hint="eastAsia" w:hAnsi="宋体" w:cs="宋体"/>
          <w:szCs w:val="21"/>
          <w:highlight w:val="none"/>
        </w:rPr>
        <w:t>年</w:t>
      </w:r>
      <w:r>
        <w:rPr>
          <w:rFonts w:hint="eastAsia" w:hAnsi="宋体" w:cs="宋体"/>
          <w:szCs w:val="21"/>
          <w:highlight w:val="none"/>
          <w:lang w:val="en-US" w:eastAsia="zh-CN"/>
        </w:rPr>
        <w:t>1</w:t>
      </w:r>
      <w:r>
        <w:rPr>
          <w:rFonts w:hint="eastAsia" w:hAnsi="宋体" w:cs="宋体"/>
          <w:szCs w:val="21"/>
          <w:highlight w:val="none"/>
        </w:rPr>
        <w:t>月</w:t>
      </w:r>
      <w:r>
        <w:rPr>
          <w:rFonts w:hint="eastAsia" w:hAnsi="宋体" w:cs="宋体"/>
          <w:szCs w:val="21"/>
          <w:highlight w:val="none"/>
          <w:lang w:val="en-US" w:eastAsia="zh-CN"/>
        </w:rPr>
        <w:t>16</w:t>
      </w:r>
      <w:r>
        <w:rPr>
          <w:rFonts w:hint="eastAsia" w:hAnsi="宋体" w:cs="宋体"/>
          <w:szCs w:val="21"/>
          <w:highlight w:val="none"/>
        </w:rPr>
        <w:t>日09时30分</w:t>
      </w:r>
    </w:p>
    <w:p>
      <w:pPr>
        <w:spacing w:line="360" w:lineRule="auto"/>
        <w:ind w:right="-34" w:firstLine="420" w:firstLineChars="200"/>
        <w:jc w:val="both"/>
        <w:rPr>
          <w:rFonts w:hAnsi="宋体" w:cs="宋体"/>
          <w:szCs w:val="21"/>
          <w:highlight w:val="none"/>
        </w:rPr>
      </w:pPr>
      <w:r>
        <w:rPr>
          <w:rFonts w:hint="eastAsia" w:hAnsi="宋体" w:cs="宋体"/>
          <w:szCs w:val="21"/>
          <w:highlight w:val="none"/>
        </w:rPr>
        <w:t>十、开标评标地点：广州市越秀区越秀北路222号越良大厦13楼开标室</w:t>
      </w:r>
    </w:p>
    <w:p>
      <w:pPr>
        <w:spacing w:line="360" w:lineRule="auto"/>
        <w:ind w:right="-34" w:firstLine="420" w:firstLineChars="200"/>
        <w:jc w:val="both"/>
        <w:rPr>
          <w:rFonts w:hAnsi="宋体" w:cs="宋体"/>
          <w:szCs w:val="21"/>
          <w:highlight w:val="none"/>
        </w:rPr>
      </w:pPr>
      <w:r>
        <w:rPr>
          <w:rFonts w:hint="eastAsia" w:hAnsi="宋体" w:cs="宋体"/>
          <w:szCs w:val="21"/>
          <w:highlight w:val="none"/>
        </w:rPr>
        <w:t>十一、本公告期限（5个工作日）自2022年</w:t>
      </w:r>
      <w:r>
        <w:rPr>
          <w:rFonts w:hint="eastAsia" w:hAnsi="宋体" w:cs="宋体"/>
          <w:szCs w:val="21"/>
          <w:highlight w:val="none"/>
          <w:lang w:val="en-US" w:eastAsia="zh-CN"/>
        </w:rPr>
        <w:t>12</w:t>
      </w:r>
      <w:r>
        <w:rPr>
          <w:rFonts w:hint="eastAsia" w:hAnsi="宋体" w:cs="宋体"/>
          <w:szCs w:val="21"/>
          <w:highlight w:val="none"/>
        </w:rPr>
        <w:t>月</w:t>
      </w:r>
      <w:r>
        <w:rPr>
          <w:rFonts w:hint="eastAsia" w:hAnsi="宋体" w:cs="宋体"/>
          <w:szCs w:val="21"/>
          <w:highlight w:val="none"/>
          <w:lang w:val="en-US" w:eastAsia="zh-CN"/>
        </w:rPr>
        <w:t>26</w:t>
      </w:r>
      <w:r>
        <w:rPr>
          <w:rFonts w:hint="eastAsia" w:hAnsi="宋体" w:cs="宋体"/>
          <w:szCs w:val="21"/>
          <w:highlight w:val="none"/>
        </w:rPr>
        <w:t>日至202</w:t>
      </w:r>
      <w:r>
        <w:rPr>
          <w:rFonts w:hint="eastAsia" w:hAnsi="宋体" w:cs="宋体"/>
          <w:szCs w:val="21"/>
          <w:highlight w:val="none"/>
          <w:lang w:val="en-US" w:eastAsia="zh-CN"/>
        </w:rPr>
        <w:t>3</w:t>
      </w:r>
      <w:r>
        <w:rPr>
          <w:rFonts w:hint="eastAsia" w:hAnsi="宋体" w:cs="宋体"/>
          <w:szCs w:val="21"/>
          <w:highlight w:val="none"/>
        </w:rPr>
        <w:t>年</w:t>
      </w:r>
      <w:r>
        <w:rPr>
          <w:rFonts w:hint="eastAsia" w:hAnsi="宋体" w:cs="宋体"/>
          <w:szCs w:val="21"/>
          <w:highlight w:val="none"/>
          <w:lang w:val="en-US" w:eastAsia="zh-CN"/>
        </w:rPr>
        <w:t>1</w:t>
      </w:r>
      <w:r>
        <w:rPr>
          <w:rFonts w:hint="eastAsia" w:hAnsi="宋体" w:cs="宋体"/>
          <w:szCs w:val="21"/>
          <w:highlight w:val="none"/>
        </w:rPr>
        <w:t>月</w:t>
      </w:r>
      <w:r>
        <w:rPr>
          <w:rFonts w:hint="eastAsia" w:hAnsi="宋体" w:cs="宋体"/>
          <w:szCs w:val="21"/>
          <w:highlight w:val="none"/>
          <w:lang w:val="en-US" w:eastAsia="zh-CN"/>
        </w:rPr>
        <w:t>3</w:t>
      </w:r>
      <w:r>
        <w:rPr>
          <w:rFonts w:hint="eastAsia" w:hAnsi="宋体" w:cs="宋体"/>
          <w:szCs w:val="21"/>
          <w:highlight w:val="none"/>
        </w:rPr>
        <w:t>日止。</w:t>
      </w:r>
    </w:p>
    <w:tbl>
      <w:tblPr>
        <w:tblStyle w:val="49"/>
        <w:tblW w:w="9587" w:type="dxa"/>
        <w:tblInd w:w="160" w:type="dxa"/>
        <w:tblLayout w:type="fixed"/>
        <w:tblCellMar>
          <w:top w:w="0" w:type="dxa"/>
          <w:left w:w="0" w:type="dxa"/>
          <w:bottom w:w="0" w:type="dxa"/>
          <w:right w:w="0" w:type="dxa"/>
        </w:tblCellMar>
      </w:tblPr>
      <w:tblGrid>
        <w:gridCol w:w="1933"/>
        <w:gridCol w:w="3415"/>
        <w:gridCol w:w="1620"/>
        <w:gridCol w:w="2619"/>
      </w:tblGrid>
      <w:tr>
        <w:tblPrEx>
          <w:tblCellMar>
            <w:top w:w="0" w:type="dxa"/>
            <w:left w:w="0" w:type="dxa"/>
            <w:bottom w:w="0" w:type="dxa"/>
            <w:right w:w="0" w:type="dxa"/>
          </w:tblCellMar>
        </w:tblPrEx>
        <w:trPr>
          <w:trHeight w:val="227" w:hRule="atLeast"/>
        </w:trPr>
        <w:tc>
          <w:tcPr>
            <w:tcW w:w="1933" w:type="dxa"/>
            <w:tcMar>
              <w:top w:w="0" w:type="dxa"/>
              <w:left w:w="108" w:type="dxa"/>
              <w:bottom w:w="0" w:type="dxa"/>
              <w:right w:w="108" w:type="dxa"/>
            </w:tcMar>
          </w:tcPr>
          <w:p>
            <w:pPr>
              <w:widowControl/>
              <w:snapToGrid w:val="0"/>
              <w:spacing w:line="360" w:lineRule="auto"/>
              <w:rPr>
                <w:rFonts w:hAnsi="宋体" w:cs="宋体"/>
                <w:szCs w:val="21"/>
                <w:highlight w:val="none"/>
              </w:rPr>
            </w:pPr>
            <w:r>
              <w:rPr>
                <w:rFonts w:hint="eastAsia" w:hAnsi="宋体" w:cs="宋体"/>
                <w:szCs w:val="21"/>
                <w:highlight w:val="none"/>
              </w:rPr>
              <w:t>代理机构联系人：</w:t>
            </w:r>
          </w:p>
        </w:tc>
        <w:tc>
          <w:tcPr>
            <w:tcW w:w="3415" w:type="dxa"/>
            <w:tcMar>
              <w:top w:w="0" w:type="dxa"/>
              <w:left w:w="108" w:type="dxa"/>
              <w:bottom w:w="0" w:type="dxa"/>
              <w:right w:w="108" w:type="dxa"/>
            </w:tcMar>
          </w:tcPr>
          <w:p>
            <w:pPr>
              <w:widowControl/>
              <w:snapToGrid w:val="0"/>
              <w:spacing w:line="360" w:lineRule="auto"/>
              <w:rPr>
                <w:rFonts w:hAnsi="宋体" w:cs="宋体"/>
                <w:szCs w:val="21"/>
                <w:highlight w:val="none"/>
              </w:rPr>
            </w:pPr>
            <w:r>
              <w:rPr>
                <w:rFonts w:hint="eastAsia" w:hAnsi="宋体" w:cs="宋体"/>
                <w:szCs w:val="21"/>
                <w:highlight w:val="none"/>
              </w:rPr>
              <w:t>高小姐</w:t>
            </w:r>
          </w:p>
        </w:tc>
        <w:tc>
          <w:tcPr>
            <w:tcW w:w="1620" w:type="dxa"/>
            <w:tcMar>
              <w:top w:w="0" w:type="dxa"/>
              <w:left w:w="108" w:type="dxa"/>
              <w:bottom w:w="0" w:type="dxa"/>
              <w:right w:w="108" w:type="dxa"/>
            </w:tcMar>
          </w:tcPr>
          <w:p>
            <w:pPr>
              <w:widowControl/>
              <w:snapToGrid w:val="0"/>
              <w:rPr>
                <w:rFonts w:hAnsi="宋体" w:cs="宋体"/>
                <w:szCs w:val="21"/>
                <w:highlight w:val="none"/>
              </w:rPr>
            </w:pPr>
            <w:r>
              <w:rPr>
                <w:rFonts w:hint="eastAsia" w:hAnsi="宋体" w:cs="宋体"/>
                <w:szCs w:val="21"/>
                <w:highlight w:val="none"/>
              </w:rPr>
              <w:t>采购人联系人：</w:t>
            </w:r>
          </w:p>
        </w:tc>
        <w:tc>
          <w:tcPr>
            <w:tcW w:w="2619" w:type="dxa"/>
            <w:tcMar>
              <w:top w:w="0" w:type="dxa"/>
              <w:left w:w="108" w:type="dxa"/>
              <w:bottom w:w="0" w:type="dxa"/>
              <w:right w:w="108" w:type="dxa"/>
            </w:tcMar>
          </w:tcPr>
          <w:p>
            <w:pPr>
              <w:widowControl/>
              <w:snapToGrid w:val="0"/>
              <w:spacing w:line="360" w:lineRule="auto"/>
              <w:rPr>
                <w:rFonts w:hAnsi="宋体" w:cs="宋体"/>
                <w:szCs w:val="21"/>
                <w:highlight w:val="none"/>
              </w:rPr>
            </w:pPr>
            <w:r>
              <w:rPr>
                <w:rFonts w:hint="eastAsia" w:hAnsi="宋体" w:cs="宋体"/>
                <w:szCs w:val="21"/>
                <w:highlight w:val="none"/>
              </w:rPr>
              <w:t>方先生</w:t>
            </w:r>
          </w:p>
        </w:tc>
      </w:tr>
      <w:tr>
        <w:tblPrEx>
          <w:tblCellMar>
            <w:top w:w="0" w:type="dxa"/>
            <w:left w:w="0" w:type="dxa"/>
            <w:bottom w:w="0" w:type="dxa"/>
            <w:right w:w="0" w:type="dxa"/>
          </w:tblCellMar>
        </w:tblPrEx>
        <w:trPr>
          <w:trHeight w:val="227" w:hRule="atLeast"/>
        </w:trPr>
        <w:tc>
          <w:tcPr>
            <w:tcW w:w="1933" w:type="dxa"/>
            <w:tcMar>
              <w:top w:w="0" w:type="dxa"/>
              <w:left w:w="108" w:type="dxa"/>
              <w:bottom w:w="0" w:type="dxa"/>
              <w:right w:w="108" w:type="dxa"/>
            </w:tcMar>
          </w:tcPr>
          <w:p>
            <w:pPr>
              <w:widowControl/>
              <w:snapToGrid w:val="0"/>
              <w:spacing w:line="360" w:lineRule="auto"/>
              <w:rPr>
                <w:rFonts w:hAnsi="宋体" w:cs="宋体"/>
                <w:szCs w:val="21"/>
                <w:highlight w:val="none"/>
              </w:rPr>
            </w:pPr>
            <w:r>
              <w:rPr>
                <w:rFonts w:hint="eastAsia" w:hAnsi="宋体" w:cs="宋体"/>
                <w:szCs w:val="21"/>
                <w:highlight w:val="none"/>
              </w:rPr>
              <w:t>电话：</w:t>
            </w:r>
          </w:p>
        </w:tc>
        <w:tc>
          <w:tcPr>
            <w:tcW w:w="3415" w:type="dxa"/>
            <w:tcMar>
              <w:top w:w="0" w:type="dxa"/>
              <w:left w:w="108" w:type="dxa"/>
              <w:bottom w:w="0" w:type="dxa"/>
              <w:right w:w="108" w:type="dxa"/>
            </w:tcMar>
          </w:tcPr>
          <w:p>
            <w:pPr>
              <w:widowControl/>
              <w:snapToGrid w:val="0"/>
              <w:spacing w:line="360" w:lineRule="auto"/>
              <w:rPr>
                <w:rFonts w:hAnsi="宋体" w:cs="宋体"/>
                <w:szCs w:val="21"/>
                <w:highlight w:val="none"/>
              </w:rPr>
            </w:pPr>
            <w:r>
              <w:rPr>
                <w:rFonts w:hint="eastAsia" w:hAnsi="宋体" w:cs="宋体"/>
                <w:szCs w:val="21"/>
                <w:highlight w:val="none"/>
              </w:rPr>
              <w:t>020-83642820转826</w:t>
            </w:r>
          </w:p>
        </w:tc>
        <w:tc>
          <w:tcPr>
            <w:tcW w:w="1620" w:type="dxa"/>
            <w:tcMar>
              <w:top w:w="0" w:type="dxa"/>
              <w:left w:w="108" w:type="dxa"/>
              <w:bottom w:w="0" w:type="dxa"/>
              <w:right w:w="108" w:type="dxa"/>
            </w:tcMar>
          </w:tcPr>
          <w:p>
            <w:pPr>
              <w:widowControl/>
              <w:snapToGrid w:val="0"/>
              <w:rPr>
                <w:rFonts w:hAnsi="宋体" w:cs="宋体"/>
                <w:szCs w:val="21"/>
                <w:highlight w:val="none"/>
              </w:rPr>
            </w:pPr>
            <w:r>
              <w:rPr>
                <w:rFonts w:hint="eastAsia" w:hAnsi="宋体" w:cs="宋体"/>
                <w:szCs w:val="21"/>
                <w:highlight w:val="none"/>
              </w:rPr>
              <w:t>电话：</w:t>
            </w:r>
          </w:p>
        </w:tc>
        <w:tc>
          <w:tcPr>
            <w:tcW w:w="2619" w:type="dxa"/>
            <w:tcMar>
              <w:top w:w="0" w:type="dxa"/>
              <w:left w:w="108" w:type="dxa"/>
              <w:bottom w:w="0" w:type="dxa"/>
              <w:right w:w="108" w:type="dxa"/>
            </w:tcMar>
          </w:tcPr>
          <w:p>
            <w:pPr>
              <w:widowControl/>
              <w:snapToGrid w:val="0"/>
              <w:spacing w:line="360" w:lineRule="auto"/>
              <w:rPr>
                <w:rFonts w:hAnsi="宋体" w:cs="宋体"/>
                <w:szCs w:val="21"/>
                <w:highlight w:val="none"/>
              </w:rPr>
            </w:pPr>
            <w:r>
              <w:rPr>
                <w:rFonts w:hint="eastAsia" w:hAnsi="宋体" w:cs="宋体"/>
                <w:highlight w:val="none"/>
              </w:rPr>
              <w:t>020-84205272</w:t>
            </w:r>
          </w:p>
        </w:tc>
      </w:tr>
      <w:tr>
        <w:tblPrEx>
          <w:tblCellMar>
            <w:top w:w="0" w:type="dxa"/>
            <w:left w:w="0" w:type="dxa"/>
            <w:bottom w:w="0" w:type="dxa"/>
            <w:right w:w="0" w:type="dxa"/>
          </w:tblCellMar>
        </w:tblPrEx>
        <w:trPr>
          <w:trHeight w:val="227" w:hRule="atLeast"/>
        </w:trPr>
        <w:tc>
          <w:tcPr>
            <w:tcW w:w="1933" w:type="dxa"/>
            <w:tcMar>
              <w:top w:w="0" w:type="dxa"/>
              <w:left w:w="108" w:type="dxa"/>
              <w:bottom w:w="0" w:type="dxa"/>
              <w:right w:w="108" w:type="dxa"/>
            </w:tcMar>
          </w:tcPr>
          <w:p>
            <w:pPr>
              <w:widowControl/>
              <w:snapToGrid w:val="0"/>
              <w:spacing w:line="360" w:lineRule="auto"/>
              <w:rPr>
                <w:rFonts w:hAnsi="宋体" w:cs="宋体"/>
                <w:szCs w:val="21"/>
                <w:highlight w:val="none"/>
              </w:rPr>
            </w:pPr>
            <w:r>
              <w:rPr>
                <w:rFonts w:hint="eastAsia" w:hAnsi="宋体" w:cs="宋体"/>
                <w:szCs w:val="21"/>
                <w:highlight w:val="none"/>
              </w:rPr>
              <w:t>传真：</w:t>
            </w:r>
          </w:p>
        </w:tc>
        <w:tc>
          <w:tcPr>
            <w:tcW w:w="3415" w:type="dxa"/>
            <w:tcMar>
              <w:top w:w="0" w:type="dxa"/>
              <w:left w:w="108" w:type="dxa"/>
              <w:bottom w:w="0" w:type="dxa"/>
              <w:right w:w="108" w:type="dxa"/>
            </w:tcMar>
          </w:tcPr>
          <w:p>
            <w:pPr>
              <w:widowControl/>
              <w:snapToGrid w:val="0"/>
              <w:spacing w:line="360" w:lineRule="auto"/>
              <w:rPr>
                <w:rFonts w:hAnsi="宋体" w:cs="宋体"/>
                <w:szCs w:val="21"/>
                <w:highlight w:val="none"/>
              </w:rPr>
            </w:pPr>
            <w:r>
              <w:rPr>
                <w:rFonts w:hint="eastAsia" w:hAnsi="宋体" w:cs="宋体"/>
                <w:szCs w:val="21"/>
                <w:highlight w:val="none"/>
              </w:rPr>
              <w:t>020-83642820转822</w:t>
            </w:r>
          </w:p>
        </w:tc>
        <w:tc>
          <w:tcPr>
            <w:tcW w:w="1620" w:type="dxa"/>
            <w:tcMar>
              <w:top w:w="0" w:type="dxa"/>
              <w:left w:w="108" w:type="dxa"/>
              <w:bottom w:w="0" w:type="dxa"/>
              <w:right w:w="108" w:type="dxa"/>
            </w:tcMar>
          </w:tcPr>
          <w:p>
            <w:pPr>
              <w:widowControl/>
              <w:snapToGrid w:val="0"/>
              <w:rPr>
                <w:rFonts w:hAnsi="宋体" w:cs="宋体"/>
                <w:szCs w:val="21"/>
                <w:highlight w:val="none"/>
              </w:rPr>
            </w:pPr>
            <w:r>
              <w:rPr>
                <w:rFonts w:hint="eastAsia" w:hAnsi="宋体" w:cs="宋体"/>
                <w:szCs w:val="21"/>
                <w:highlight w:val="none"/>
              </w:rPr>
              <w:t>传真：</w:t>
            </w:r>
          </w:p>
        </w:tc>
        <w:tc>
          <w:tcPr>
            <w:tcW w:w="2619" w:type="dxa"/>
            <w:tcMar>
              <w:top w:w="0" w:type="dxa"/>
              <w:left w:w="108" w:type="dxa"/>
              <w:bottom w:w="0" w:type="dxa"/>
              <w:right w:w="108" w:type="dxa"/>
            </w:tcMar>
          </w:tcPr>
          <w:p>
            <w:pPr>
              <w:widowControl/>
              <w:snapToGrid w:val="0"/>
              <w:spacing w:line="360" w:lineRule="auto"/>
              <w:rPr>
                <w:rFonts w:hAnsi="宋体" w:cs="宋体"/>
                <w:szCs w:val="21"/>
                <w:highlight w:val="none"/>
              </w:rPr>
            </w:pPr>
            <w:r>
              <w:rPr>
                <w:rFonts w:hint="eastAsia" w:hAnsi="宋体" w:cs="宋体"/>
                <w:highlight w:val="none"/>
              </w:rPr>
              <w:t>020-84205272</w:t>
            </w:r>
          </w:p>
        </w:tc>
      </w:tr>
      <w:tr>
        <w:tblPrEx>
          <w:tblCellMar>
            <w:top w:w="0" w:type="dxa"/>
            <w:left w:w="0" w:type="dxa"/>
            <w:bottom w:w="0" w:type="dxa"/>
            <w:right w:w="0" w:type="dxa"/>
          </w:tblCellMar>
        </w:tblPrEx>
        <w:trPr>
          <w:trHeight w:val="227" w:hRule="atLeast"/>
        </w:trPr>
        <w:tc>
          <w:tcPr>
            <w:tcW w:w="1933" w:type="dxa"/>
            <w:tcMar>
              <w:top w:w="0" w:type="dxa"/>
              <w:left w:w="108" w:type="dxa"/>
              <w:bottom w:w="0" w:type="dxa"/>
              <w:right w:w="108" w:type="dxa"/>
            </w:tcMar>
          </w:tcPr>
          <w:p>
            <w:pPr>
              <w:widowControl/>
              <w:snapToGrid w:val="0"/>
              <w:spacing w:line="360" w:lineRule="auto"/>
              <w:rPr>
                <w:rFonts w:hAnsi="宋体" w:cs="宋体"/>
                <w:szCs w:val="21"/>
                <w:highlight w:val="none"/>
              </w:rPr>
            </w:pPr>
            <w:r>
              <w:rPr>
                <w:rFonts w:hint="eastAsia" w:hAnsi="宋体" w:cs="宋体"/>
                <w:szCs w:val="21"/>
                <w:highlight w:val="none"/>
              </w:rPr>
              <w:t>联系地址：</w:t>
            </w:r>
          </w:p>
        </w:tc>
        <w:tc>
          <w:tcPr>
            <w:tcW w:w="3415" w:type="dxa"/>
            <w:tcMar>
              <w:top w:w="0" w:type="dxa"/>
              <w:left w:w="108" w:type="dxa"/>
              <w:bottom w:w="0" w:type="dxa"/>
              <w:right w:w="108" w:type="dxa"/>
            </w:tcMar>
          </w:tcPr>
          <w:p>
            <w:pPr>
              <w:widowControl/>
              <w:snapToGrid w:val="0"/>
              <w:spacing w:line="360" w:lineRule="auto"/>
              <w:rPr>
                <w:rFonts w:hAnsi="宋体" w:cs="宋体"/>
                <w:szCs w:val="21"/>
                <w:highlight w:val="none"/>
              </w:rPr>
            </w:pPr>
            <w:r>
              <w:rPr>
                <w:rFonts w:hint="eastAsia" w:hAnsi="宋体" w:cs="宋体"/>
                <w:szCs w:val="21"/>
                <w:highlight w:val="none"/>
              </w:rPr>
              <w:t>广州市越秀区越秀北路222号越良大厦6楼</w:t>
            </w:r>
          </w:p>
        </w:tc>
        <w:tc>
          <w:tcPr>
            <w:tcW w:w="1620" w:type="dxa"/>
            <w:tcMar>
              <w:top w:w="0" w:type="dxa"/>
              <w:left w:w="108" w:type="dxa"/>
              <w:bottom w:w="0" w:type="dxa"/>
              <w:right w:w="108" w:type="dxa"/>
            </w:tcMar>
          </w:tcPr>
          <w:p>
            <w:pPr>
              <w:widowControl/>
              <w:snapToGrid w:val="0"/>
              <w:rPr>
                <w:rFonts w:hAnsi="宋体" w:cs="宋体"/>
                <w:szCs w:val="21"/>
                <w:highlight w:val="none"/>
              </w:rPr>
            </w:pPr>
            <w:r>
              <w:rPr>
                <w:rFonts w:hint="eastAsia" w:hAnsi="宋体" w:cs="宋体"/>
                <w:szCs w:val="21"/>
                <w:highlight w:val="none"/>
              </w:rPr>
              <w:t>联系地址：</w:t>
            </w:r>
          </w:p>
        </w:tc>
        <w:tc>
          <w:tcPr>
            <w:tcW w:w="2619" w:type="dxa"/>
            <w:tcMar>
              <w:top w:w="0" w:type="dxa"/>
              <w:left w:w="108" w:type="dxa"/>
              <w:bottom w:w="0" w:type="dxa"/>
              <w:right w:w="108" w:type="dxa"/>
            </w:tcMar>
          </w:tcPr>
          <w:p>
            <w:pPr>
              <w:widowControl/>
              <w:snapToGrid w:val="0"/>
              <w:spacing w:line="360" w:lineRule="auto"/>
              <w:rPr>
                <w:rFonts w:hAnsi="宋体" w:cs="宋体"/>
                <w:szCs w:val="21"/>
                <w:highlight w:val="none"/>
              </w:rPr>
            </w:pPr>
            <w:r>
              <w:rPr>
                <w:rFonts w:hint="eastAsia" w:hAnsi="宋体"/>
                <w:szCs w:val="21"/>
                <w:highlight w:val="none"/>
              </w:rPr>
              <w:t>广州市海珠区新港西路155号大院办公区域2号楼</w:t>
            </w:r>
          </w:p>
        </w:tc>
      </w:tr>
    </w:tbl>
    <w:p>
      <w:pPr>
        <w:widowControl/>
        <w:spacing w:line="360" w:lineRule="auto"/>
        <w:ind w:firstLine="4340"/>
        <w:jc w:val="right"/>
        <w:rPr>
          <w:rFonts w:hAnsi="宋体" w:cs="宋体"/>
          <w:szCs w:val="21"/>
          <w:highlight w:val="none"/>
        </w:rPr>
      </w:pPr>
    </w:p>
    <w:p>
      <w:pPr>
        <w:widowControl/>
        <w:spacing w:line="360" w:lineRule="auto"/>
        <w:ind w:firstLine="4340"/>
        <w:jc w:val="right"/>
        <w:rPr>
          <w:rFonts w:hAnsi="宋体" w:cs="宋体"/>
          <w:szCs w:val="21"/>
          <w:highlight w:val="none"/>
        </w:rPr>
      </w:pPr>
      <w:r>
        <w:rPr>
          <w:rFonts w:hint="eastAsia" w:hAnsi="宋体" w:cs="宋体"/>
          <w:szCs w:val="21"/>
          <w:highlight w:val="none"/>
        </w:rPr>
        <w:t>广东远东招标代理有限公司</w:t>
      </w:r>
    </w:p>
    <w:p>
      <w:pPr>
        <w:widowControl/>
        <w:spacing w:line="360" w:lineRule="auto"/>
        <w:ind w:right="315" w:firstLine="3920"/>
        <w:jc w:val="right"/>
        <w:rPr>
          <w:rFonts w:hAnsi="宋体" w:cs="宋体"/>
          <w:szCs w:val="21"/>
          <w:highlight w:val="none"/>
        </w:rPr>
      </w:pPr>
      <w:r>
        <w:rPr>
          <w:rFonts w:hint="eastAsia" w:hAnsi="宋体" w:cs="宋体"/>
          <w:szCs w:val="21"/>
          <w:highlight w:val="none"/>
        </w:rPr>
        <w:t>2022年</w:t>
      </w:r>
      <w:r>
        <w:rPr>
          <w:rFonts w:hAnsi="宋体" w:cs="宋体"/>
          <w:szCs w:val="21"/>
          <w:highlight w:val="none"/>
        </w:rPr>
        <w:t>12</w:t>
      </w:r>
      <w:r>
        <w:rPr>
          <w:rFonts w:hint="eastAsia" w:hAnsi="宋体" w:cs="宋体"/>
          <w:szCs w:val="21"/>
          <w:highlight w:val="none"/>
        </w:rPr>
        <w:t>月</w:t>
      </w:r>
      <w:r>
        <w:rPr>
          <w:rFonts w:hint="eastAsia" w:hAnsi="宋体" w:cs="宋体"/>
          <w:szCs w:val="21"/>
          <w:highlight w:val="none"/>
          <w:lang w:val="en-US" w:eastAsia="zh-CN"/>
        </w:rPr>
        <w:t>26</w:t>
      </w:r>
      <w:r>
        <w:rPr>
          <w:rFonts w:hint="eastAsia" w:hAnsi="宋体" w:cs="宋体"/>
          <w:szCs w:val="21"/>
          <w:highlight w:val="none"/>
        </w:rPr>
        <w:t>日</w:t>
      </w:r>
    </w:p>
    <w:p>
      <w:pPr>
        <w:pStyle w:val="4"/>
        <w:keepNext/>
        <w:keepLines/>
        <w:pageBreakBefore/>
        <w:tabs>
          <w:tab w:val="left" w:pos="1080"/>
        </w:tabs>
        <w:spacing w:line="360" w:lineRule="auto"/>
        <w:ind w:left="567" w:hanging="567"/>
        <w:jc w:val="center"/>
        <w:rPr>
          <w:rFonts w:hAnsi="宋体" w:cs="宋体"/>
          <w:b/>
          <w:bCs/>
          <w:kern w:val="44"/>
          <w:sz w:val="32"/>
          <w:szCs w:val="32"/>
          <w:highlight w:val="none"/>
          <w:lang w:val="zh-CN"/>
        </w:rPr>
      </w:pPr>
      <w:r>
        <w:rPr>
          <w:rFonts w:hint="eastAsia" w:hAnsi="宋体" w:cs="宋体"/>
          <w:b/>
          <w:bCs/>
          <w:kern w:val="44"/>
          <w:sz w:val="32"/>
          <w:szCs w:val="32"/>
          <w:highlight w:val="none"/>
          <w:lang w:val="zh-CN"/>
        </w:rPr>
        <w:t xml:space="preserve">  第二篇 </w:t>
      </w:r>
      <w:r>
        <w:rPr>
          <w:rFonts w:hint="eastAsia" w:hAnsi="宋体" w:cs="宋体"/>
          <w:b/>
          <w:bCs/>
          <w:kern w:val="44"/>
          <w:sz w:val="32"/>
          <w:szCs w:val="32"/>
          <w:highlight w:val="none"/>
          <w:lang w:val="zh-CN"/>
        </w:rPr>
        <w:tab/>
      </w:r>
      <w:r>
        <w:rPr>
          <w:rFonts w:hint="eastAsia" w:hAnsi="宋体" w:cs="宋体"/>
          <w:b/>
          <w:bCs/>
          <w:kern w:val="44"/>
          <w:sz w:val="32"/>
          <w:szCs w:val="32"/>
          <w:highlight w:val="none"/>
          <w:lang w:val="zh-CN"/>
        </w:rPr>
        <w:t>投标人须知</w:t>
      </w:r>
    </w:p>
    <w:p>
      <w:pPr>
        <w:pStyle w:val="4"/>
        <w:keepNext/>
        <w:keepLines/>
        <w:tabs>
          <w:tab w:val="left" w:pos="1134"/>
        </w:tabs>
        <w:spacing w:line="360" w:lineRule="auto"/>
        <w:ind w:left="1134" w:hanging="567"/>
        <w:jc w:val="center"/>
        <w:rPr>
          <w:rFonts w:hAnsi="宋体" w:cs="宋体"/>
          <w:b/>
          <w:bCs/>
          <w:kern w:val="44"/>
          <w:highlight w:val="none"/>
          <w:lang w:val="zh-CN"/>
        </w:rPr>
      </w:pPr>
      <w:r>
        <w:rPr>
          <w:rFonts w:hint="eastAsia" w:hAnsi="宋体" w:cs="宋体"/>
          <w:b/>
          <w:bCs/>
          <w:kern w:val="44"/>
          <w:highlight w:val="none"/>
          <w:lang w:val="zh-CN"/>
        </w:rPr>
        <w:t>一、投标须知前附表</w:t>
      </w:r>
    </w:p>
    <w:tbl>
      <w:tblPr>
        <w:tblStyle w:val="49"/>
        <w:tblW w:w="937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921"/>
        <w:gridCol w:w="675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blHeader/>
          <w:jc w:val="center"/>
        </w:trPr>
        <w:tc>
          <w:tcPr>
            <w:tcW w:w="699" w:type="dxa"/>
            <w:tcBorders>
              <w:top w:val="doub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szCs w:val="21"/>
                <w:highlight w:val="none"/>
              </w:rPr>
            </w:pPr>
            <w:r>
              <w:rPr>
                <w:rFonts w:hint="eastAsia" w:hAnsi="宋体" w:cs="宋体"/>
                <w:szCs w:val="21"/>
                <w:highlight w:val="none"/>
              </w:rPr>
              <w:t>项目</w:t>
            </w:r>
          </w:p>
        </w:tc>
        <w:tc>
          <w:tcPr>
            <w:tcW w:w="1921" w:type="dxa"/>
            <w:tcBorders>
              <w:top w:val="doub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szCs w:val="21"/>
                <w:highlight w:val="none"/>
              </w:rPr>
            </w:pPr>
            <w:r>
              <w:rPr>
                <w:rFonts w:hint="eastAsia" w:hAnsi="宋体" w:cs="宋体"/>
                <w:szCs w:val="21"/>
                <w:highlight w:val="none"/>
              </w:rPr>
              <w:t>内容</w:t>
            </w:r>
          </w:p>
        </w:tc>
        <w:tc>
          <w:tcPr>
            <w:tcW w:w="6756" w:type="dxa"/>
            <w:tcBorders>
              <w:top w:val="double" w:color="auto" w:sz="4" w:space="0"/>
              <w:left w:val="single" w:color="auto" w:sz="4" w:space="0"/>
              <w:bottom w:val="single" w:color="auto" w:sz="4" w:space="0"/>
              <w:right w:val="double" w:color="auto" w:sz="4" w:space="0"/>
            </w:tcBorders>
            <w:vAlign w:val="center"/>
          </w:tcPr>
          <w:p>
            <w:pPr>
              <w:spacing w:line="360" w:lineRule="auto"/>
              <w:jc w:val="center"/>
              <w:rPr>
                <w:rFonts w:hAnsi="宋体" w:cs="宋体"/>
                <w:szCs w:val="21"/>
                <w:highlight w:val="none"/>
              </w:rPr>
            </w:pPr>
            <w:r>
              <w:rPr>
                <w:rFonts w:hint="eastAsia" w:hAnsi="宋体" w:cs="宋体"/>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szCs w:val="21"/>
                <w:highlight w:val="none"/>
              </w:rPr>
            </w:pPr>
            <w:r>
              <w:rPr>
                <w:rFonts w:hint="eastAsia" w:hAnsi="宋体" w:cs="宋体"/>
                <w:szCs w:val="21"/>
                <w:highlight w:val="none"/>
              </w:rPr>
              <w:t>1</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Ansi="宋体" w:cs="宋体"/>
                <w:szCs w:val="21"/>
                <w:highlight w:val="none"/>
              </w:rPr>
            </w:pPr>
            <w:r>
              <w:rPr>
                <w:rFonts w:hint="eastAsia" w:hAnsi="宋体" w:cs="宋体"/>
                <w:szCs w:val="21"/>
                <w:highlight w:val="none"/>
              </w:rPr>
              <w:t>资金来源</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rPr>
                <w:rFonts w:hAnsi="宋体" w:cs="宋体"/>
                <w:szCs w:val="21"/>
                <w:highlight w:val="none"/>
              </w:rPr>
            </w:pPr>
            <w:r>
              <w:rPr>
                <w:rFonts w:hint="eastAsia" w:hAnsi="宋体" w:cs="宋体"/>
                <w:szCs w:val="21"/>
                <w:highlight w:val="none"/>
              </w:rPr>
              <w:t>财政资金。资金已落实。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99" w:type="dxa"/>
            <w:vMerge w:val="restart"/>
            <w:tcBorders>
              <w:top w:val="single" w:color="auto" w:sz="4" w:space="0"/>
              <w:left w:val="double" w:color="auto" w:sz="4" w:space="0"/>
              <w:right w:val="single" w:color="auto" w:sz="4" w:space="0"/>
            </w:tcBorders>
            <w:vAlign w:val="center"/>
          </w:tcPr>
          <w:p>
            <w:pPr>
              <w:spacing w:line="360" w:lineRule="auto"/>
              <w:jc w:val="center"/>
              <w:rPr>
                <w:rFonts w:hAnsi="宋体" w:cs="宋体"/>
                <w:szCs w:val="21"/>
                <w:highlight w:val="none"/>
              </w:rPr>
            </w:pPr>
            <w:r>
              <w:rPr>
                <w:rFonts w:hint="eastAsia" w:hAnsi="宋体" w:cs="宋体"/>
                <w:szCs w:val="21"/>
                <w:highlight w:val="none"/>
              </w:rPr>
              <w:t>2</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Ansi="宋体" w:cs="宋体"/>
                <w:szCs w:val="21"/>
                <w:highlight w:val="none"/>
              </w:rPr>
            </w:pPr>
            <w:r>
              <w:rPr>
                <w:rFonts w:hint="eastAsia" w:hAnsi="宋体" w:cs="宋体"/>
                <w:szCs w:val="21"/>
                <w:highlight w:val="none"/>
              </w:rPr>
              <w:t>合格的投标人</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rPr>
                <w:rFonts w:hAnsi="宋体" w:cs="宋体"/>
                <w:szCs w:val="21"/>
                <w:highlight w:val="none"/>
                <w:u w:val="single"/>
              </w:rPr>
            </w:pPr>
            <w:r>
              <w:rPr>
                <w:rFonts w:hint="eastAsia" w:hAnsi="宋体" w:cs="宋体"/>
                <w:szCs w:val="21"/>
                <w:highlight w:val="none"/>
                <w:lang w:val="zh-CN"/>
              </w:rPr>
              <w:t>具体要求见本招标文件第一篇第五点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99" w:type="dxa"/>
            <w:vMerge w:val="continue"/>
            <w:tcBorders>
              <w:left w:val="double" w:color="auto" w:sz="4" w:space="0"/>
              <w:right w:val="single" w:color="auto" w:sz="4" w:space="0"/>
            </w:tcBorders>
            <w:vAlign w:val="center"/>
          </w:tcPr>
          <w:p>
            <w:pPr>
              <w:spacing w:line="360" w:lineRule="auto"/>
              <w:ind w:left="125"/>
              <w:jc w:val="center"/>
              <w:rPr>
                <w:rFonts w:hAnsi="宋体" w:cs="宋体"/>
                <w:szCs w:val="21"/>
                <w:highlight w:val="none"/>
              </w:rPr>
            </w:pP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Ansi="宋体" w:cs="宋体"/>
                <w:szCs w:val="21"/>
                <w:highlight w:val="none"/>
              </w:rPr>
            </w:pPr>
            <w:r>
              <w:rPr>
                <w:rFonts w:hint="eastAsia" w:hAnsi="宋体" w:cs="宋体"/>
                <w:szCs w:val="21"/>
                <w:highlight w:val="none"/>
              </w:rPr>
              <w:t>关于联合体</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ind w:right="-195" w:rightChars="-93"/>
              <w:rPr>
                <w:rFonts w:hAnsi="宋体" w:cs="宋体"/>
                <w:szCs w:val="21"/>
                <w:highlight w:val="none"/>
                <w:lang w:val="zh-CN"/>
              </w:rPr>
            </w:pPr>
            <w:r>
              <w:rPr>
                <w:rFonts w:hint="eastAsia" w:hAnsi="宋体" w:cs="宋体"/>
                <w:szCs w:val="21"/>
                <w:highlight w:val="none"/>
                <w:lang w:val="zh-CN"/>
              </w:rPr>
              <w:t>本项目不允许联合体投标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99" w:type="dxa"/>
            <w:vMerge w:val="continue"/>
            <w:tcBorders>
              <w:left w:val="double" w:color="auto" w:sz="4" w:space="0"/>
              <w:right w:val="single" w:color="auto" w:sz="4" w:space="0"/>
            </w:tcBorders>
            <w:vAlign w:val="center"/>
          </w:tcPr>
          <w:p>
            <w:pPr>
              <w:spacing w:line="360" w:lineRule="auto"/>
              <w:ind w:left="125"/>
              <w:jc w:val="center"/>
              <w:rPr>
                <w:rFonts w:hAnsi="宋体" w:cs="宋体"/>
                <w:szCs w:val="21"/>
                <w:highlight w:val="none"/>
              </w:rPr>
            </w:pP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Ansi="宋体" w:cs="宋体"/>
                <w:szCs w:val="21"/>
                <w:highlight w:val="none"/>
              </w:rPr>
            </w:pPr>
            <w:r>
              <w:rPr>
                <w:rFonts w:hint="eastAsia" w:hAnsi="宋体" w:cs="宋体"/>
                <w:szCs w:val="21"/>
                <w:highlight w:val="none"/>
              </w:rPr>
              <w:t>投标人所投货物必须满足条件</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rPr>
                <w:rFonts w:hAnsi="宋体" w:cs="宋体"/>
                <w:szCs w:val="21"/>
                <w:highlight w:val="none"/>
              </w:rPr>
            </w:pPr>
            <w:r>
              <w:rPr>
                <w:rFonts w:hint="eastAsia" w:hAnsi="宋体" w:cs="宋体"/>
                <w:szCs w:val="21"/>
                <w:highlight w:val="none"/>
              </w:rPr>
              <w:t>详见第一篇《投标邀请书》中的规定。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99" w:type="dxa"/>
            <w:tcBorders>
              <w:left w:val="double" w:color="auto" w:sz="4" w:space="0"/>
              <w:right w:val="single" w:color="auto" w:sz="4" w:space="0"/>
            </w:tcBorders>
            <w:vAlign w:val="center"/>
          </w:tcPr>
          <w:p>
            <w:pPr>
              <w:spacing w:line="360" w:lineRule="auto"/>
              <w:jc w:val="center"/>
              <w:rPr>
                <w:rFonts w:hAnsi="宋体" w:cs="宋体"/>
                <w:szCs w:val="21"/>
                <w:highlight w:val="none"/>
              </w:rPr>
            </w:pPr>
            <w:r>
              <w:rPr>
                <w:rFonts w:hint="eastAsia" w:hAnsi="宋体" w:cs="宋体"/>
                <w:szCs w:val="21"/>
                <w:highlight w:val="none"/>
              </w:rPr>
              <w:t>3</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Ansi="宋体" w:cs="宋体"/>
                <w:szCs w:val="21"/>
                <w:highlight w:val="none"/>
              </w:rPr>
            </w:pPr>
            <w:r>
              <w:rPr>
                <w:rFonts w:hint="eastAsia" w:hAnsi="宋体" w:cs="宋体"/>
                <w:szCs w:val="21"/>
                <w:highlight w:val="none"/>
              </w:rPr>
              <w:t>踏勘现场</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rPr>
                <w:rFonts w:hAnsi="宋体" w:cs="宋体"/>
                <w:szCs w:val="21"/>
                <w:highlight w:val="none"/>
              </w:rPr>
            </w:pPr>
            <w:r>
              <w:rPr>
                <w:rFonts w:hint="eastAsia" w:hAnsi="宋体" w:cs="宋体"/>
                <w:szCs w:val="21"/>
                <w:highlight w:val="none"/>
              </w:rPr>
              <w:t>采购人不集中组织，由投标人自行踏勘。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szCs w:val="21"/>
                <w:highlight w:val="none"/>
              </w:rPr>
            </w:pPr>
            <w:r>
              <w:rPr>
                <w:rFonts w:hint="eastAsia" w:hAnsi="宋体" w:cs="宋体"/>
                <w:szCs w:val="21"/>
                <w:highlight w:val="none"/>
              </w:rPr>
              <w:t>4</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s="宋体"/>
                <w:kern w:val="2"/>
                <w:szCs w:val="21"/>
                <w:highlight w:val="none"/>
                <w:lang w:val="zh-CN"/>
              </w:rPr>
            </w:pPr>
            <w:r>
              <w:rPr>
                <w:rFonts w:hint="eastAsia" w:hAnsi="宋体" w:cs="宋体"/>
                <w:kern w:val="2"/>
                <w:szCs w:val="21"/>
                <w:highlight w:val="none"/>
                <w:lang w:val="zh-CN"/>
              </w:rPr>
              <w:t>定义</w:t>
            </w:r>
          </w:p>
        </w:tc>
        <w:tc>
          <w:tcPr>
            <w:tcW w:w="6756" w:type="dxa"/>
            <w:tcBorders>
              <w:top w:val="single" w:color="auto" w:sz="4" w:space="0"/>
              <w:left w:val="single" w:color="auto" w:sz="4" w:space="0"/>
              <w:bottom w:val="single" w:color="auto" w:sz="4" w:space="0"/>
              <w:right w:val="double" w:color="auto" w:sz="4" w:space="0"/>
            </w:tcBorders>
            <w:vAlign w:val="center"/>
          </w:tcPr>
          <w:p>
            <w:pPr>
              <w:tabs>
                <w:tab w:val="left" w:pos="19"/>
                <w:tab w:val="left" w:pos="586"/>
              </w:tabs>
              <w:spacing w:line="360" w:lineRule="auto"/>
              <w:jc w:val="both"/>
              <w:rPr>
                <w:rFonts w:hAnsi="宋体" w:cs="宋体"/>
                <w:kern w:val="2"/>
                <w:szCs w:val="21"/>
                <w:highlight w:val="none"/>
                <w:lang w:val="zh-CN"/>
              </w:rPr>
            </w:pPr>
            <w:r>
              <w:rPr>
                <w:rFonts w:hint="eastAsia" w:hAnsi="宋体" w:cs="宋体"/>
                <w:kern w:val="2"/>
                <w:szCs w:val="21"/>
                <w:highlight w:val="none"/>
                <w:lang w:val="zh-CN"/>
              </w:rPr>
              <w:t>1.采购人：本项目的采购人是</w:t>
            </w:r>
            <w:r>
              <w:rPr>
                <w:rFonts w:hint="eastAsia" w:hAnsi="宋体" w:cs="宋体"/>
                <w:szCs w:val="21"/>
                <w:highlight w:val="none"/>
                <w:u w:val="single"/>
              </w:rPr>
              <w:t>国家海洋局南海标准计量中心</w:t>
            </w:r>
            <w:r>
              <w:rPr>
                <w:rFonts w:hint="eastAsia" w:hAnsi="宋体" w:cs="宋体"/>
                <w:kern w:val="2"/>
                <w:szCs w:val="21"/>
                <w:highlight w:val="none"/>
                <w:lang w:val="zh-CN"/>
              </w:rPr>
              <w:t>。</w:t>
            </w:r>
          </w:p>
          <w:p>
            <w:pPr>
              <w:tabs>
                <w:tab w:val="left" w:pos="19"/>
                <w:tab w:val="left" w:pos="586"/>
              </w:tabs>
              <w:spacing w:line="360" w:lineRule="auto"/>
              <w:jc w:val="both"/>
              <w:rPr>
                <w:rFonts w:hAnsi="宋体" w:cs="宋体"/>
                <w:kern w:val="2"/>
                <w:szCs w:val="21"/>
                <w:highlight w:val="none"/>
                <w:lang w:val="zh-CN"/>
              </w:rPr>
            </w:pPr>
            <w:r>
              <w:rPr>
                <w:rFonts w:hint="eastAsia" w:hAnsi="宋体" w:cs="宋体"/>
                <w:kern w:val="2"/>
                <w:szCs w:val="21"/>
                <w:highlight w:val="none"/>
                <w:lang w:val="zh-CN"/>
              </w:rPr>
              <w:t>2.采购代理机构：系指</w:t>
            </w:r>
            <w:r>
              <w:rPr>
                <w:rFonts w:hint="eastAsia" w:hAnsi="宋体" w:cs="宋体"/>
                <w:kern w:val="2"/>
                <w:szCs w:val="21"/>
                <w:highlight w:val="none"/>
                <w:u w:val="single"/>
                <w:lang w:val="zh-CN"/>
              </w:rPr>
              <w:t xml:space="preserve"> 广东远东招标代理有限公司</w:t>
            </w:r>
            <w:r>
              <w:rPr>
                <w:rFonts w:hint="eastAsia" w:hAnsi="宋体" w:cs="宋体"/>
                <w:kern w:val="2"/>
                <w:szCs w:val="21"/>
                <w:highlight w:val="none"/>
                <w:lang w:val="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szCs w:val="21"/>
                <w:highlight w:val="none"/>
              </w:rPr>
            </w:pPr>
            <w:r>
              <w:rPr>
                <w:rFonts w:hint="eastAsia" w:hAnsi="宋体" w:cs="宋体"/>
                <w:szCs w:val="21"/>
                <w:highlight w:val="none"/>
              </w:rPr>
              <w:t>5</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Ansi="宋体" w:cs="宋体"/>
                <w:szCs w:val="21"/>
                <w:highlight w:val="none"/>
              </w:rPr>
            </w:pPr>
            <w:r>
              <w:rPr>
                <w:rFonts w:hint="eastAsia" w:hAnsi="宋体" w:cs="宋体"/>
                <w:kern w:val="2"/>
                <w:szCs w:val="21"/>
                <w:highlight w:val="none"/>
                <w:lang w:val="zh-CN"/>
              </w:rPr>
              <w:t>招标文件的澄清</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rPr>
                <w:rFonts w:hAnsi="宋体" w:cs="宋体"/>
                <w:szCs w:val="21"/>
                <w:highlight w:val="none"/>
              </w:rPr>
            </w:pPr>
            <w:r>
              <w:rPr>
                <w:rFonts w:hint="eastAsia" w:hAnsi="宋体" w:cs="宋体"/>
                <w:szCs w:val="21"/>
                <w:highlight w:val="none"/>
              </w:rPr>
              <w:t>1.采购人不统一组织答疑会</w:t>
            </w:r>
          </w:p>
          <w:p>
            <w:pPr>
              <w:spacing w:line="360" w:lineRule="auto"/>
              <w:rPr>
                <w:rFonts w:hAnsi="宋体" w:cs="宋体"/>
                <w:szCs w:val="21"/>
                <w:highlight w:val="none"/>
              </w:rPr>
            </w:pPr>
            <w:r>
              <w:rPr>
                <w:rFonts w:hint="eastAsia" w:hAnsi="宋体" w:cs="宋体"/>
                <w:szCs w:val="21"/>
                <w:highlight w:val="none"/>
              </w:rPr>
              <w:t>2.投标人质疑期限：招标文件公示期间或者自期满之日起7个工作日内以书面形式向采购人或招标代理机构提出质疑</w:t>
            </w:r>
          </w:p>
          <w:p>
            <w:pPr>
              <w:spacing w:line="360" w:lineRule="auto"/>
              <w:rPr>
                <w:rFonts w:hAnsi="宋体" w:cs="宋体"/>
                <w:szCs w:val="21"/>
                <w:highlight w:val="none"/>
              </w:rPr>
            </w:pPr>
            <w:r>
              <w:rPr>
                <w:rFonts w:hint="eastAsia" w:hAnsi="宋体" w:cs="宋体"/>
                <w:szCs w:val="21"/>
                <w:highlight w:val="none"/>
              </w:rPr>
              <w:t>3.采购人澄清、修补或答疑期限：在投标截止日期前</w:t>
            </w:r>
            <w:r>
              <w:rPr>
                <w:rFonts w:hint="eastAsia" w:hAnsi="宋体" w:cs="宋体"/>
                <w:szCs w:val="21"/>
                <w:highlight w:val="none"/>
                <w:u w:val="single"/>
              </w:rPr>
              <w:t>15</w:t>
            </w:r>
            <w:r>
              <w:rPr>
                <w:rFonts w:hint="eastAsia" w:hAnsi="宋体" w:cs="宋体"/>
                <w:szCs w:val="21"/>
                <w:highlight w:val="none"/>
              </w:rPr>
              <w:t>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99" w:type="dxa"/>
            <w:tcBorders>
              <w:left w:val="double" w:color="auto" w:sz="4" w:space="0"/>
              <w:bottom w:val="single" w:color="auto" w:sz="4" w:space="0"/>
              <w:right w:val="single" w:color="auto" w:sz="4" w:space="0"/>
            </w:tcBorders>
            <w:vAlign w:val="center"/>
          </w:tcPr>
          <w:p>
            <w:pPr>
              <w:spacing w:line="360" w:lineRule="auto"/>
              <w:jc w:val="center"/>
              <w:rPr>
                <w:rFonts w:hAnsi="宋体" w:cs="宋体"/>
                <w:szCs w:val="21"/>
                <w:highlight w:val="none"/>
              </w:rPr>
            </w:pPr>
            <w:r>
              <w:rPr>
                <w:rFonts w:hint="eastAsia" w:hAnsi="宋体" w:cs="宋体"/>
                <w:szCs w:val="21"/>
                <w:highlight w:val="none"/>
              </w:rPr>
              <w:t>6</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Ansi="宋体" w:cs="宋体"/>
                <w:szCs w:val="21"/>
                <w:highlight w:val="none"/>
              </w:rPr>
            </w:pPr>
            <w:r>
              <w:rPr>
                <w:rFonts w:hint="eastAsia" w:hAnsi="宋体" w:cs="宋体"/>
                <w:szCs w:val="21"/>
                <w:highlight w:val="none"/>
              </w:rPr>
              <w:t>投标样板</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rPr>
                <w:rFonts w:hAnsi="宋体" w:cs="宋体"/>
                <w:szCs w:val="21"/>
                <w:highlight w:val="none"/>
              </w:rPr>
            </w:pPr>
            <w:r>
              <w:rPr>
                <w:rFonts w:hint="eastAsia" w:hAnsi="宋体" w:cs="宋体"/>
                <w:szCs w:val="21"/>
                <w:highlight w:val="none"/>
              </w:rPr>
              <w:t>根据《用户需求书》要求设定；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szCs w:val="21"/>
                <w:highlight w:val="none"/>
              </w:rPr>
            </w:pPr>
            <w:r>
              <w:rPr>
                <w:rFonts w:hint="eastAsia" w:hAnsi="宋体" w:cs="宋体"/>
                <w:szCs w:val="21"/>
                <w:highlight w:val="none"/>
              </w:rPr>
              <w:t>7</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Ansi="宋体" w:cs="宋体"/>
                <w:szCs w:val="21"/>
                <w:highlight w:val="none"/>
              </w:rPr>
            </w:pPr>
            <w:r>
              <w:rPr>
                <w:rFonts w:hint="eastAsia" w:hAnsi="宋体" w:cs="宋体"/>
                <w:szCs w:val="21"/>
                <w:highlight w:val="none"/>
              </w:rPr>
              <w:t>投标报价</w:t>
            </w:r>
          </w:p>
        </w:tc>
        <w:tc>
          <w:tcPr>
            <w:tcW w:w="6756" w:type="dxa"/>
            <w:tcBorders>
              <w:top w:val="single" w:color="auto" w:sz="4" w:space="0"/>
              <w:left w:val="single" w:color="auto" w:sz="4" w:space="0"/>
              <w:bottom w:val="single" w:color="auto" w:sz="4" w:space="0"/>
              <w:right w:val="double" w:color="auto" w:sz="4" w:space="0"/>
            </w:tcBorders>
            <w:vAlign w:val="center"/>
          </w:tcPr>
          <w:p>
            <w:pPr>
              <w:autoSpaceDE/>
              <w:autoSpaceDN/>
              <w:adjustRightInd/>
              <w:spacing w:line="360" w:lineRule="auto"/>
              <w:jc w:val="both"/>
              <w:rPr>
                <w:rFonts w:hAnsi="宋体" w:cs="宋体"/>
                <w:szCs w:val="21"/>
                <w:highlight w:val="none"/>
              </w:rPr>
            </w:pPr>
            <w:r>
              <w:rPr>
                <w:rFonts w:hint="eastAsia" w:hAnsi="宋体" w:cs="宋体"/>
                <w:szCs w:val="21"/>
                <w:highlight w:val="none"/>
              </w:rPr>
              <w:t>本采购项目最高投标限价为：详见第一篇《投标邀请书》中的规定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szCs w:val="21"/>
                <w:highlight w:val="none"/>
              </w:rPr>
            </w:pPr>
            <w:r>
              <w:rPr>
                <w:rFonts w:hint="eastAsia" w:hAnsi="宋体" w:cs="宋体"/>
                <w:kern w:val="2"/>
                <w:szCs w:val="21"/>
                <w:highlight w:val="none"/>
                <w:lang w:val="zh-CN"/>
              </w:rPr>
              <w:t>8</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Ansi="宋体" w:cs="宋体"/>
                <w:szCs w:val="21"/>
                <w:highlight w:val="none"/>
              </w:rPr>
            </w:pPr>
            <w:r>
              <w:rPr>
                <w:rFonts w:hint="eastAsia" w:hAnsi="宋体" w:cs="宋体"/>
                <w:kern w:val="2"/>
                <w:szCs w:val="21"/>
                <w:highlight w:val="none"/>
                <w:lang w:val="zh-CN"/>
              </w:rPr>
              <w:t>证明投标人的资格性的证明文件</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rPr>
                <w:highlight w:val="none"/>
              </w:rPr>
            </w:pPr>
            <w:r>
              <w:rPr>
                <w:rFonts w:hint="eastAsia"/>
                <w:highlight w:val="none"/>
              </w:rPr>
              <w:t>投标人具有履行合同所需的财务、技术和维护能力的资格证明文件(复印件加盖投标人法人公章)：</w:t>
            </w:r>
          </w:p>
          <w:p>
            <w:pPr>
              <w:spacing w:line="360" w:lineRule="auto"/>
              <w:ind w:right="-34"/>
              <w:jc w:val="both"/>
              <w:rPr>
                <w:rFonts w:hAnsi="宋体" w:cs="宋体"/>
                <w:szCs w:val="21"/>
                <w:highlight w:val="none"/>
              </w:rPr>
            </w:pPr>
            <w:r>
              <w:rPr>
                <w:rFonts w:hint="eastAsia" w:hAnsi="宋体" w:cs="宋体"/>
                <w:szCs w:val="21"/>
                <w:highlight w:val="none"/>
              </w:rPr>
              <w:t>1.供应商应具备《政府采购法》第二十二条规定的条件；</w:t>
            </w:r>
          </w:p>
          <w:p>
            <w:pPr>
              <w:spacing w:line="360" w:lineRule="auto"/>
              <w:ind w:right="-34"/>
              <w:jc w:val="both"/>
              <w:rPr>
                <w:rFonts w:hAnsi="宋体" w:cs="宋体"/>
                <w:szCs w:val="21"/>
                <w:highlight w:val="none"/>
              </w:rPr>
            </w:pPr>
            <w:r>
              <w:rPr>
                <w:rFonts w:hint="eastAsia" w:hAnsi="宋体" w:cs="宋体"/>
                <w:szCs w:val="21"/>
                <w:highlight w:val="none"/>
              </w:rPr>
              <w:t>2.落实政府采购政策需满足的资格要求：本项目属于专门面向中小企业采购的项目。（本项目所属行业：其他未列明行业）</w:t>
            </w:r>
          </w:p>
          <w:p>
            <w:pPr>
              <w:spacing w:line="360" w:lineRule="auto"/>
              <w:ind w:right="-34"/>
              <w:jc w:val="both"/>
              <w:rPr>
                <w:rFonts w:hAnsi="宋体" w:cs="宋体"/>
                <w:szCs w:val="21"/>
                <w:highlight w:val="none"/>
              </w:rPr>
            </w:pPr>
            <w:r>
              <w:rPr>
                <w:rFonts w:hint="eastAsia" w:hAnsi="宋体" w:cs="宋体"/>
                <w:szCs w:val="21"/>
                <w:highlight w:val="none"/>
              </w:rPr>
              <w:t>3.具有独立民事责任的法人、其他组织或者自然人，并取得合法工商执照或者其它法人（负责人）证书，如供应商为自然人的需提供自然人身份证明。</w:t>
            </w:r>
          </w:p>
          <w:p>
            <w:pPr>
              <w:spacing w:line="360" w:lineRule="auto"/>
              <w:ind w:right="-34"/>
              <w:jc w:val="both"/>
              <w:rPr>
                <w:rFonts w:hAnsi="宋体" w:cs="宋体"/>
                <w:szCs w:val="21"/>
                <w:highlight w:val="none"/>
              </w:rPr>
            </w:pPr>
            <w:r>
              <w:rPr>
                <w:rFonts w:hint="eastAsia" w:hAnsi="宋体" w:cs="宋体"/>
                <w:szCs w:val="21"/>
                <w:highlight w:val="none"/>
              </w:rPr>
              <w:t>4.信用记录：供应商未被列入“信用中国”网站(www.creditchina.gov.cn)“失信被执行人或重大税收违法失信主体或政府采购严重违法失信行为记录名单”记录名单；不处于中国政府采购网(www.ccgp.gov.cn)“政府采购严重违法失信行为信息记录”中的禁止参加政府采购活动期间。（以采购代理机构在投标（响应）截止日当天在“信用中国”网站（www.creditchina.gov.cn）及中国政府采购网(www.ccgp.gov.cn)查询结果为准，注：如相关失信记录已失效，供应商需提供相关证明资料。）</w:t>
            </w:r>
          </w:p>
          <w:p>
            <w:pPr>
              <w:spacing w:line="360" w:lineRule="auto"/>
              <w:ind w:right="-34"/>
              <w:jc w:val="both"/>
              <w:rPr>
                <w:rFonts w:hAnsi="宋体" w:cs="宋体"/>
                <w:szCs w:val="21"/>
                <w:highlight w:val="none"/>
              </w:rPr>
            </w:pPr>
            <w:r>
              <w:rPr>
                <w:rFonts w:hint="eastAsia" w:hAnsi="宋体" w:cs="宋体"/>
                <w:szCs w:val="21"/>
                <w:highlight w:val="none"/>
              </w:rPr>
              <w:t>5.具备</w:t>
            </w:r>
            <w:r>
              <w:rPr>
                <w:rFonts w:hint="eastAsia" w:hAnsi="宋体"/>
                <w:szCs w:val="21"/>
                <w:highlight w:val="none"/>
              </w:rPr>
              <w:t>《劳务派遣经营许可证》</w:t>
            </w:r>
            <w:r>
              <w:rPr>
                <w:rFonts w:hint="eastAsia" w:hAnsi="宋体" w:cs="宋体"/>
                <w:szCs w:val="21"/>
                <w:highlight w:val="none"/>
              </w:rPr>
              <w:t>；</w:t>
            </w:r>
          </w:p>
          <w:p>
            <w:pPr>
              <w:spacing w:line="360" w:lineRule="auto"/>
              <w:ind w:right="-34"/>
              <w:jc w:val="both"/>
              <w:rPr>
                <w:rFonts w:hAnsi="宋体" w:cs="宋体"/>
                <w:szCs w:val="21"/>
                <w:highlight w:val="none"/>
              </w:rPr>
            </w:pPr>
            <w:r>
              <w:rPr>
                <w:rFonts w:hint="eastAsia" w:hAnsi="宋体" w:cs="宋体"/>
                <w:szCs w:val="21"/>
                <w:highlight w:val="none"/>
              </w:rPr>
              <w:t>6.提供</w:t>
            </w:r>
            <w:r>
              <w:rPr>
                <w:rFonts w:hint="eastAsia"/>
                <w:highlight w:val="none"/>
              </w:rPr>
              <w:t>近6个月</w:t>
            </w:r>
            <w:r>
              <w:rPr>
                <w:rFonts w:hint="eastAsia" w:hAnsi="宋体" w:cs="宋体"/>
                <w:szCs w:val="21"/>
                <w:highlight w:val="none"/>
              </w:rPr>
              <w:t>内任意一个月的依法缴纳社会保险的证明（缴费凭证）复印件，如依法不需要缴纳社会保障资金的，应提供相应文件证明其依法不需要缴纳社会保障资金；</w:t>
            </w:r>
          </w:p>
          <w:p>
            <w:pPr>
              <w:spacing w:line="360" w:lineRule="auto"/>
              <w:ind w:right="-34"/>
              <w:jc w:val="both"/>
              <w:rPr>
                <w:rFonts w:hAnsi="宋体" w:cs="宋体"/>
                <w:szCs w:val="21"/>
                <w:highlight w:val="none"/>
              </w:rPr>
            </w:pPr>
            <w:r>
              <w:rPr>
                <w:rFonts w:hint="eastAsia" w:hAnsi="宋体" w:cs="宋体"/>
                <w:szCs w:val="21"/>
                <w:highlight w:val="none"/>
              </w:rPr>
              <w:t>7.提供</w:t>
            </w:r>
            <w:r>
              <w:rPr>
                <w:rFonts w:hint="eastAsia"/>
                <w:highlight w:val="none"/>
              </w:rPr>
              <w:t>近6个月</w:t>
            </w:r>
            <w:r>
              <w:rPr>
                <w:rFonts w:hint="eastAsia" w:hAnsi="宋体" w:cs="宋体"/>
                <w:szCs w:val="21"/>
                <w:highlight w:val="none"/>
              </w:rPr>
              <w:t>内任意一个月的依法缴纳税收的证明（纳税凭证）复印件，如依法免税的，应提供相应文件证明其依法免税；</w:t>
            </w:r>
          </w:p>
          <w:p>
            <w:pPr>
              <w:spacing w:line="360" w:lineRule="auto"/>
              <w:ind w:right="-34"/>
              <w:jc w:val="both"/>
              <w:rPr>
                <w:rFonts w:hAnsi="宋体" w:cs="宋体"/>
                <w:szCs w:val="21"/>
                <w:highlight w:val="none"/>
              </w:rPr>
            </w:pPr>
            <w:r>
              <w:rPr>
                <w:rFonts w:hint="eastAsia" w:hAnsi="宋体" w:cs="宋体"/>
                <w:szCs w:val="21"/>
                <w:highlight w:val="none"/>
              </w:rPr>
              <w:t>8.本项目不接受联合体投标；</w:t>
            </w:r>
          </w:p>
          <w:p>
            <w:pPr>
              <w:spacing w:line="360" w:lineRule="auto"/>
              <w:ind w:right="-34"/>
              <w:jc w:val="both"/>
              <w:rPr>
                <w:rFonts w:hAnsi="宋体" w:cs="宋体"/>
                <w:szCs w:val="21"/>
                <w:highlight w:val="none"/>
              </w:rPr>
            </w:pPr>
            <w:r>
              <w:rPr>
                <w:rFonts w:hint="eastAsia" w:hAnsi="宋体" w:cs="宋体"/>
                <w:szCs w:val="21"/>
                <w:highlight w:val="none"/>
              </w:rPr>
              <w:t>9.供应商参加政府采购活动前三年内，在经营活动中没有重大违法记录（可参照报价函相关承诺格式内容）。重大违法记录，是指供应商因违法经营受到刑事处罚或者责令停产停业、吊销许可证或者执照、较大数额罚款等行政处罚。（较大数额罚款按照财库〔2022〕3号文，“较大数额罚款”认定为200万元以上的罚款，法律、行政法规以及国务院有关部门明确规定相关领域“较大数额罚款”标准高于200万元的，从其规定。）</w:t>
            </w:r>
          </w:p>
          <w:p>
            <w:pPr>
              <w:spacing w:line="360" w:lineRule="auto"/>
              <w:ind w:right="-34"/>
              <w:jc w:val="both"/>
              <w:rPr>
                <w:rFonts w:hAnsi="宋体" w:cs="宋体"/>
                <w:szCs w:val="21"/>
                <w:highlight w:val="none"/>
              </w:rPr>
            </w:pPr>
            <w:r>
              <w:rPr>
                <w:rFonts w:hint="eastAsia" w:hAnsi="宋体" w:cs="宋体"/>
                <w:szCs w:val="21"/>
                <w:highlight w:val="none"/>
              </w:rPr>
              <w:t>10.提供履行合同所必需的设备和专业技术能力的书面声明；（提供《资格声明书》，格式详见招标文件附表2.2）。</w:t>
            </w:r>
          </w:p>
          <w:p>
            <w:pPr>
              <w:spacing w:line="360" w:lineRule="auto"/>
              <w:ind w:right="-34"/>
              <w:jc w:val="both"/>
              <w:rPr>
                <w:rFonts w:hAnsi="宋体" w:cs="宋体"/>
                <w:szCs w:val="21"/>
                <w:highlight w:val="none"/>
              </w:rPr>
            </w:pPr>
            <w:r>
              <w:rPr>
                <w:rFonts w:hint="eastAsia" w:hAnsi="宋体" w:cs="宋体"/>
                <w:szCs w:val="21"/>
                <w:highlight w:val="none"/>
              </w:rPr>
              <w:t>11.存在隶属关系或同属一母公司或法人的企业，仅能由一家企业参与投标。</w:t>
            </w:r>
          </w:p>
          <w:p>
            <w:pPr>
              <w:spacing w:line="360" w:lineRule="auto"/>
              <w:ind w:right="-34"/>
              <w:jc w:val="both"/>
              <w:rPr>
                <w:rFonts w:hAnsi="宋体" w:cs="宋体"/>
                <w:szCs w:val="21"/>
                <w:highlight w:val="none"/>
              </w:rPr>
            </w:pPr>
            <w:r>
              <w:rPr>
                <w:rFonts w:hint="eastAsia" w:hAnsi="宋体" w:cs="宋体"/>
                <w:szCs w:val="21"/>
                <w:highlight w:val="none"/>
              </w:rPr>
              <w:t>12.已办理报名并成功购买本招标文件的供应商。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szCs w:val="21"/>
                <w:highlight w:val="none"/>
              </w:rPr>
            </w:pPr>
            <w:r>
              <w:rPr>
                <w:rFonts w:hint="eastAsia" w:hAnsi="宋体" w:cs="宋体"/>
                <w:szCs w:val="21"/>
                <w:highlight w:val="none"/>
              </w:rPr>
              <w:t>9</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Ansi="宋体" w:cs="宋体"/>
                <w:szCs w:val="21"/>
                <w:highlight w:val="none"/>
              </w:rPr>
            </w:pPr>
            <w:r>
              <w:rPr>
                <w:rFonts w:hint="eastAsia" w:hAnsi="宋体" w:cs="宋体"/>
                <w:szCs w:val="21"/>
                <w:highlight w:val="none"/>
              </w:rPr>
              <w:t>投标保证金</w:t>
            </w:r>
          </w:p>
        </w:tc>
        <w:tc>
          <w:tcPr>
            <w:tcW w:w="6756" w:type="dxa"/>
            <w:tcBorders>
              <w:top w:val="single" w:color="auto" w:sz="4" w:space="0"/>
              <w:left w:val="single" w:color="auto" w:sz="4" w:space="0"/>
              <w:bottom w:val="single" w:color="auto" w:sz="4" w:space="0"/>
              <w:right w:val="double" w:color="auto" w:sz="4" w:space="0"/>
            </w:tcBorders>
            <w:vAlign w:val="center"/>
          </w:tcPr>
          <w:p>
            <w:pPr>
              <w:autoSpaceDE/>
              <w:autoSpaceDN/>
              <w:adjustRightInd/>
              <w:spacing w:line="360" w:lineRule="auto"/>
              <w:jc w:val="both"/>
              <w:rPr>
                <w:rFonts w:hAnsi="宋体" w:cs="宋体"/>
                <w:bCs/>
                <w:szCs w:val="21"/>
                <w:highlight w:val="none"/>
                <w:lang w:val="zh-CN"/>
              </w:rPr>
            </w:pPr>
            <w:r>
              <w:rPr>
                <w:rFonts w:hint="eastAsia" w:hAnsi="宋体" w:cs="宋体"/>
                <w:bCs/>
                <w:szCs w:val="21"/>
                <w:highlight w:val="none"/>
              </w:rPr>
              <w:t>本次项目无需缴纳投标保证金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szCs w:val="21"/>
                <w:highlight w:val="none"/>
              </w:rPr>
            </w:pPr>
            <w:r>
              <w:rPr>
                <w:rFonts w:hint="eastAsia" w:hAnsi="宋体" w:cs="宋体"/>
                <w:szCs w:val="21"/>
                <w:highlight w:val="none"/>
              </w:rPr>
              <w:t>10</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Ansi="宋体" w:cs="宋体"/>
                <w:szCs w:val="21"/>
                <w:highlight w:val="none"/>
              </w:rPr>
            </w:pPr>
            <w:r>
              <w:rPr>
                <w:rFonts w:hint="eastAsia" w:hAnsi="宋体" w:cs="宋体"/>
                <w:kern w:val="2"/>
                <w:szCs w:val="21"/>
                <w:highlight w:val="none"/>
                <w:lang w:val="zh-CN"/>
              </w:rPr>
              <w:t>投标有效期</w:t>
            </w:r>
          </w:p>
        </w:tc>
        <w:tc>
          <w:tcPr>
            <w:tcW w:w="6756" w:type="dxa"/>
            <w:tcBorders>
              <w:top w:val="single" w:color="auto" w:sz="4" w:space="0"/>
              <w:left w:val="single" w:color="auto" w:sz="4" w:space="0"/>
              <w:bottom w:val="single" w:color="auto" w:sz="4" w:space="0"/>
              <w:right w:val="double" w:color="auto" w:sz="4" w:space="0"/>
            </w:tcBorders>
            <w:vAlign w:val="center"/>
          </w:tcPr>
          <w:p>
            <w:pPr>
              <w:autoSpaceDE/>
              <w:autoSpaceDN/>
              <w:adjustRightInd/>
              <w:spacing w:line="360" w:lineRule="auto"/>
              <w:jc w:val="both"/>
              <w:rPr>
                <w:rFonts w:hAnsi="宋体" w:cs="宋体"/>
                <w:bCs/>
                <w:szCs w:val="21"/>
                <w:highlight w:val="none"/>
              </w:rPr>
            </w:pPr>
            <w:r>
              <w:rPr>
                <w:rFonts w:hint="eastAsia" w:hAnsi="宋体" w:cs="宋体"/>
                <w:bCs/>
                <w:kern w:val="2"/>
                <w:szCs w:val="21"/>
                <w:highlight w:val="none"/>
                <w:lang w:val="zh-CN"/>
              </w:rPr>
              <w:t>递交投标文件截止日后90天内有效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szCs w:val="21"/>
                <w:highlight w:val="none"/>
              </w:rPr>
            </w:pPr>
            <w:r>
              <w:rPr>
                <w:rFonts w:hint="eastAsia" w:hAnsi="宋体" w:cs="宋体"/>
                <w:szCs w:val="21"/>
                <w:highlight w:val="none"/>
              </w:rPr>
              <w:t>11</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Ansi="宋体" w:cs="宋体"/>
                <w:kern w:val="2"/>
                <w:szCs w:val="21"/>
                <w:highlight w:val="none"/>
                <w:lang w:val="zh-CN"/>
              </w:rPr>
            </w:pPr>
            <w:r>
              <w:rPr>
                <w:rFonts w:hint="eastAsia" w:hAnsi="宋体" w:cs="宋体"/>
                <w:kern w:val="2"/>
                <w:szCs w:val="21"/>
                <w:highlight w:val="none"/>
                <w:lang w:val="zh-CN"/>
              </w:rPr>
              <w:t>投标文件份数</w:t>
            </w:r>
          </w:p>
        </w:tc>
        <w:tc>
          <w:tcPr>
            <w:tcW w:w="6756" w:type="dxa"/>
            <w:tcBorders>
              <w:top w:val="single" w:color="auto" w:sz="4" w:space="0"/>
              <w:left w:val="single" w:color="auto" w:sz="4" w:space="0"/>
              <w:bottom w:val="single" w:color="auto" w:sz="4" w:space="0"/>
              <w:right w:val="double" w:color="auto" w:sz="4" w:space="0"/>
            </w:tcBorders>
            <w:vAlign w:val="center"/>
          </w:tcPr>
          <w:p>
            <w:pPr>
              <w:autoSpaceDE/>
              <w:autoSpaceDN/>
              <w:adjustRightInd/>
              <w:spacing w:line="360" w:lineRule="auto"/>
              <w:ind w:left="315" w:hanging="315" w:hangingChars="150"/>
              <w:jc w:val="both"/>
              <w:rPr>
                <w:rFonts w:hAnsi="宋体" w:cs="宋体"/>
                <w:szCs w:val="21"/>
                <w:highlight w:val="none"/>
              </w:rPr>
            </w:pPr>
            <w:r>
              <w:rPr>
                <w:rFonts w:hint="eastAsia" w:hAnsi="宋体" w:cs="宋体"/>
                <w:szCs w:val="21"/>
                <w:highlight w:val="none"/>
              </w:rPr>
              <w:t>1.投标文件由自查表、商务技术文件、经济文件</w:t>
            </w:r>
            <w:r>
              <w:rPr>
                <w:rFonts w:hint="eastAsia" w:hAnsi="宋体" w:cs="宋体"/>
                <w:kern w:val="2"/>
                <w:szCs w:val="21"/>
                <w:highlight w:val="none"/>
                <w:lang w:val="zh-CN"/>
              </w:rPr>
              <w:t>三部分</w:t>
            </w:r>
            <w:r>
              <w:rPr>
                <w:rFonts w:hint="eastAsia" w:hAnsi="宋体" w:cs="宋体"/>
                <w:szCs w:val="21"/>
                <w:highlight w:val="none"/>
              </w:rPr>
              <w:t>组成，合编成一本投标文件。</w:t>
            </w:r>
          </w:p>
          <w:p>
            <w:pPr>
              <w:autoSpaceDE/>
              <w:autoSpaceDN/>
              <w:adjustRightInd/>
              <w:spacing w:line="360" w:lineRule="auto"/>
              <w:jc w:val="both"/>
              <w:rPr>
                <w:rFonts w:hAnsi="宋体" w:cs="宋体"/>
                <w:szCs w:val="21"/>
                <w:highlight w:val="none"/>
              </w:rPr>
            </w:pPr>
            <w:r>
              <w:rPr>
                <w:rFonts w:hint="eastAsia" w:hAnsi="宋体" w:cs="宋体"/>
                <w:szCs w:val="21"/>
                <w:highlight w:val="none"/>
              </w:rPr>
              <w:t>2.唱标信封一份。</w:t>
            </w:r>
          </w:p>
          <w:p>
            <w:pPr>
              <w:autoSpaceDE/>
              <w:autoSpaceDN/>
              <w:adjustRightInd/>
              <w:spacing w:line="360" w:lineRule="auto"/>
              <w:jc w:val="both"/>
              <w:rPr>
                <w:rFonts w:hAnsi="宋体" w:cs="宋体"/>
                <w:szCs w:val="21"/>
                <w:highlight w:val="none"/>
              </w:rPr>
            </w:pPr>
            <w:r>
              <w:rPr>
                <w:rFonts w:hint="eastAsia" w:hAnsi="宋体" w:cs="宋体"/>
                <w:szCs w:val="21"/>
                <w:highlight w:val="none"/>
              </w:rPr>
              <w:t>3.电子文件一份。</w:t>
            </w:r>
          </w:p>
          <w:p>
            <w:pPr>
              <w:autoSpaceDE/>
              <w:autoSpaceDN/>
              <w:adjustRightInd/>
              <w:spacing w:line="360" w:lineRule="auto"/>
              <w:ind w:left="210" w:leftChars="100"/>
              <w:jc w:val="both"/>
              <w:rPr>
                <w:rFonts w:hAnsi="宋体" w:cs="宋体"/>
                <w:szCs w:val="21"/>
                <w:highlight w:val="none"/>
              </w:rPr>
            </w:pPr>
            <w:r>
              <w:rPr>
                <w:rFonts w:hint="eastAsia" w:hAnsi="宋体" w:cs="宋体"/>
                <w:szCs w:val="21"/>
                <w:highlight w:val="none"/>
              </w:rPr>
              <w:t>投标文件一式陆份，其中，壹份正本，陆份副本。</w:t>
            </w:r>
          </w:p>
          <w:p>
            <w:pPr>
              <w:autoSpaceDE/>
              <w:autoSpaceDN/>
              <w:adjustRightInd/>
              <w:spacing w:line="360" w:lineRule="auto"/>
              <w:ind w:left="210" w:leftChars="100"/>
              <w:jc w:val="both"/>
              <w:rPr>
                <w:rFonts w:hAnsi="宋体" w:cs="宋体"/>
                <w:szCs w:val="21"/>
                <w:highlight w:val="none"/>
              </w:rPr>
            </w:pPr>
            <w:r>
              <w:rPr>
                <w:rFonts w:hint="eastAsia" w:hAnsi="宋体" w:cs="宋体"/>
                <w:szCs w:val="21"/>
                <w:highlight w:val="none"/>
              </w:rPr>
              <w:t>投标文件密封包封为1包（内含投标文件正本及副本）</w:t>
            </w:r>
          </w:p>
          <w:p>
            <w:pPr>
              <w:autoSpaceDE/>
              <w:autoSpaceDN/>
              <w:adjustRightInd/>
              <w:spacing w:line="360" w:lineRule="auto"/>
              <w:ind w:left="210" w:leftChars="100"/>
              <w:jc w:val="both"/>
              <w:rPr>
                <w:rFonts w:hAnsi="宋体" w:cs="宋体"/>
                <w:szCs w:val="21"/>
                <w:highlight w:val="none"/>
              </w:rPr>
            </w:pPr>
            <w:r>
              <w:rPr>
                <w:rFonts w:hint="eastAsia" w:hAnsi="宋体" w:cs="宋体"/>
                <w:szCs w:val="21"/>
                <w:highlight w:val="none"/>
              </w:rPr>
              <w:t>唱标信封密封包封为1包（内含唱标信封1份，投标文件电子文件1份）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szCs w:val="21"/>
                <w:highlight w:val="none"/>
              </w:rPr>
            </w:pPr>
            <w:r>
              <w:rPr>
                <w:rFonts w:hint="eastAsia" w:hAnsi="宋体" w:cs="宋体"/>
                <w:szCs w:val="21"/>
                <w:highlight w:val="none"/>
              </w:rPr>
              <w:t>12</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Ansi="宋体" w:cs="宋体"/>
                <w:kern w:val="2"/>
                <w:szCs w:val="21"/>
                <w:highlight w:val="none"/>
                <w:lang w:val="zh-CN"/>
              </w:rPr>
            </w:pPr>
            <w:r>
              <w:rPr>
                <w:rFonts w:hint="eastAsia" w:hAnsi="宋体" w:cs="宋体"/>
                <w:bCs/>
                <w:szCs w:val="21"/>
                <w:highlight w:val="none"/>
              </w:rPr>
              <w:t>投标文件的递交、接收和密封</w:t>
            </w:r>
          </w:p>
        </w:tc>
        <w:tc>
          <w:tcPr>
            <w:tcW w:w="6756" w:type="dxa"/>
            <w:tcBorders>
              <w:top w:val="single" w:color="auto" w:sz="4" w:space="0"/>
              <w:left w:val="single" w:color="auto" w:sz="4" w:space="0"/>
              <w:bottom w:val="single" w:color="auto" w:sz="4" w:space="0"/>
              <w:right w:val="double" w:color="auto" w:sz="4" w:space="0"/>
            </w:tcBorders>
            <w:vAlign w:val="center"/>
          </w:tcPr>
          <w:p>
            <w:pPr>
              <w:autoSpaceDE/>
              <w:autoSpaceDN/>
              <w:adjustRightInd/>
              <w:spacing w:line="360" w:lineRule="auto"/>
              <w:jc w:val="both"/>
              <w:rPr>
                <w:rFonts w:hAnsi="宋体" w:cs="宋体"/>
                <w:szCs w:val="21"/>
                <w:highlight w:val="none"/>
              </w:rPr>
            </w:pPr>
            <w:r>
              <w:rPr>
                <w:rFonts w:hint="eastAsia" w:hAnsi="宋体" w:cs="宋体"/>
                <w:szCs w:val="21"/>
                <w:highlight w:val="none"/>
              </w:rPr>
              <w:t>详见《投标邀请书》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szCs w:val="21"/>
                <w:highlight w:val="none"/>
              </w:rPr>
            </w:pPr>
            <w:r>
              <w:rPr>
                <w:rFonts w:hint="eastAsia" w:hAnsi="宋体" w:cs="宋体"/>
                <w:szCs w:val="21"/>
                <w:highlight w:val="none"/>
              </w:rPr>
              <w:t>13</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Ansi="宋体" w:cs="宋体"/>
                <w:bCs/>
                <w:szCs w:val="21"/>
                <w:highlight w:val="none"/>
              </w:rPr>
            </w:pPr>
            <w:r>
              <w:rPr>
                <w:rFonts w:hint="eastAsia" w:hAnsi="宋体" w:cs="宋体"/>
                <w:bCs/>
                <w:szCs w:val="21"/>
                <w:highlight w:val="none"/>
              </w:rPr>
              <w:t>开标时间、地点</w:t>
            </w:r>
          </w:p>
        </w:tc>
        <w:tc>
          <w:tcPr>
            <w:tcW w:w="6756" w:type="dxa"/>
            <w:tcBorders>
              <w:top w:val="single" w:color="auto" w:sz="4" w:space="0"/>
              <w:left w:val="single" w:color="auto" w:sz="4" w:space="0"/>
              <w:bottom w:val="single" w:color="auto" w:sz="4" w:space="0"/>
              <w:right w:val="double" w:color="auto" w:sz="4" w:space="0"/>
            </w:tcBorders>
            <w:vAlign w:val="center"/>
          </w:tcPr>
          <w:p>
            <w:pPr>
              <w:autoSpaceDE/>
              <w:autoSpaceDN/>
              <w:adjustRightInd/>
              <w:spacing w:line="360" w:lineRule="auto"/>
              <w:jc w:val="both"/>
              <w:rPr>
                <w:rFonts w:hAnsi="宋体" w:cs="宋体"/>
                <w:szCs w:val="21"/>
                <w:highlight w:val="none"/>
              </w:rPr>
            </w:pPr>
            <w:r>
              <w:rPr>
                <w:rFonts w:hint="eastAsia" w:hAnsi="宋体" w:cs="宋体"/>
                <w:szCs w:val="21"/>
                <w:highlight w:val="none"/>
              </w:rPr>
              <w:t>详见《投标邀请书》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szCs w:val="21"/>
                <w:highlight w:val="none"/>
              </w:rPr>
            </w:pPr>
            <w:r>
              <w:rPr>
                <w:rFonts w:hint="eastAsia" w:hAnsi="宋体" w:cs="宋体"/>
                <w:szCs w:val="21"/>
                <w:highlight w:val="none"/>
              </w:rPr>
              <w:t>14</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Ansi="宋体" w:cs="宋体"/>
                <w:bCs/>
                <w:szCs w:val="21"/>
                <w:highlight w:val="none"/>
              </w:rPr>
            </w:pPr>
            <w:r>
              <w:rPr>
                <w:rFonts w:hint="eastAsia" w:hAnsi="宋体" w:cs="宋体"/>
                <w:bCs/>
                <w:szCs w:val="21"/>
                <w:highlight w:val="none"/>
              </w:rPr>
              <w:t>评标委员会</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rPr>
                <w:rFonts w:hAnsi="宋体" w:cs="宋体"/>
                <w:szCs w:val="21"/>
                <w:highlight w:val="none"/>
              </w:rPr>
            </w:pPr>
            <w:r>
              <w:rPr>
                <w:rFonts w:hint="eastAsia" w:hAnsi="宋体" w:cs="宋体"/>
                <w:szCs w:val="21"/>
                <w:highlight w:val="none"/>
              </w:rPr>
              <w:t>评标委员会成员共</w:t>
            </w:r>
            <w:r>
              <w:rPr>
                <w:rFonts w:hint="eastAsia" w:hAnsi="宋体" w:cs="宋体"/>
                <w:szCs w:val="21"/>
                <w:highlight w:val="none"/>
                <w:u w:val="single"/>
                <w:lang w:val="en-US" w:eastAsia="zh-CN"/>
              </w:rPr>
              <w:t>7</w:t>
            </w:r>
            <w:r>
              <w:rPr>
                <w:rFonts w:hint="eastAsia" w:hAnsi="宋体" w:cs="宋体"/>
                <w:szCs w:val="21"/>
                <w:highlight w:val="none"/>
              </w:rPr>
              <w:t>人：</w:t>
            </w:r>
            <w:r>
              <w:rPr>
                <w:rFonts w:hint="eastAsia" w:hAnsi="宋体" w:cs="宋体"/>
                <w:kern w:val="2"/>
                <w:szCs w:val="21"/>
                <w:highlight w:val="none"/>
                <w:lang w:val="zh-CN"/>
              </w:rPr>
              <w:t>技术、经济等方面的专家由</w:t>
            </w:r>
            <w:r>
              <w:rPr>
                <w:rFonts w:hint="eastAsia" w:hAnsi="宋体" w:cs="宋体"/>
                <w:kern w:val="2"/>
                <w:szCs w:val="21"/>
                <w:highlight w:val="none"/>
              </w:rPr>
              <w:t>财政部</w:t>
            </w:r>
            <w:r>
              <w:rPr>
                <w:rFonts w:hint="eastAsia" w:hAnsi="宋体" w:cs="宋体"/>
                <w:kern w:val="2"/>
                <w:szCs w:val="21"/>
                <w:highlight w:val="none"/>
                <w:lang w:val="zh-CN"/>
              </w:rPr>
              <w:t>专家库中</w:t>
            </w:r>
            <w:r>
              <w:rPr>
                <w:rFonts w:hint="eastAsia" w:hAnsi="宋体" w:cs="宋体"/>
                <w:szCs w:val="21"/>
                <w:highlight w:val="none"/>
              </w:rPr>
              <w:t>随机抽取确定。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szCs w:val="21"/>
                <w:highlight w:val="none"/>
              </w:rPr>
            </w:pPr>
            <w:r>
              <w:rPr>
                <w:rFonts w:hint="eastAsia" w:hAnsi="宋体" w:cs="宋体"/>
                <w:szCs w:val="21"/>
                <w:highlight w:val="none"/>
              </w:rPr>
              <w:t>15</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Ansi="宋体" w:cs="宋体"/>
                <w:bCs/>
                <w:szCs w:val="21"/>
                <w:highlight w:val="none"/>
              </w:rPr>
            </w:pPr>
            <w:r>
              <w:rPr>
                <w:rFonts w:hint="eastAsia" w:hAnsi="宋体" w:cs="宋体"/>
                <w:bCs/>
                <w:szCs w:val="21"/>
                <w:highlight w:val="none"/>
              </w:rPr>
              <w:t>评标方法</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rPr>
                <w:rFonts w:hAnsi="宋体" w:cs="宋体"/>
                <w:szCs w:val="21"/>
                <w:highlight w:val="none"/>
              </w:rPr>
            </w:pPr>
            <w:r>
              <w:rPr>
                <w:rFonts w:hint="eastAsia" w:hAnsi="宋体" w:cs="宋体"/>
                <w:szCs w:val="21"/>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szCs w:val="21"/>
                <w:highlight w:val="none"/>
              </w:rPr>
            </w:pPr>
            <w:r>
              <w:rPr>
                <w:rFonts w:hint="eastAsia" w:hAnsi="宋体" w:cs="宋体"/>
                <w:szCs w:val="21"/>
                <w:highlight w:val="none"/>
              </w:rPr>
              <w:t>16</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Ansi="宋体" w:cs="宋体"/>
                <w:szCs w:val="21"/>
                <w:highlight w:val="none"/>
              </w:rPr>
            </w:pPr>
            <w:r>
              <w:rPr>
                <w:rFonts w:hint="eastAsia" w:hAnsi="宋体" w:cs="宋体"/>
                <w:szCs w:val="21"/>
                <w:highlight w:val="none"/>
              </w:rPr>
              <w:t>信息发布媒体</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rPr>
                <w:highlight w:val="none"/>
              </w:rPr>
            </w:pPr>
            <w:r>
              <w:rPr>
                <w:rFonts w:hint="eastAsia"/>
                <w:highlight w:val="none"/>
              </w:rPr>
              <w:t>1.中国政府采购网（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ighlight w:val="none"/>
              </w:rPr>
              <w:t>http://www.ccgp.gov.cn</w:t>
            </w:r>
            <w:r>
              <w:rPr>
                <w:rFonts w:hint="eastAsia"/>
                <w:highlight w:val="none"/>
              </w:rPr>
              <w:fldChar w:fldCharType="end"/>
            </w:r>
            <w:r>
              <w:rPr>
                <w:rFonts w:hint="eastAsia"/>
                <w:highlight w:val="none"/>
              </w:rPr>
              <w:t>）；</w:t>
            </w:r>
          </w:p>
          <w:p>
            <w:pPr>
              <w:pStyle w:val="35"/>
              <w:jc w:val="both"/>
              <w:rPr>
                <w:highlight w:val="none"/>
              </w:rPr>
            </w:pPr>
            <w:r>
              <w:rPr>
                <w:rFonts w:hint="eastAsia" w:cs="宋体"/>
                <w:szCs w:val="21"/>
                <w:highlight w:val="none"/>
              </w:rPr>
              <w:t>2.广东远东招标代理有限公司网（http://www.gdydzb.com）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99"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cs="宋体"/>
                <w:szCs w:val="21"/>
                <w:highlight w:val="none"/>
              </w:rPr>
            </w:pPr>
            <w:r>
              <w:rPr>
                <w:rFonts w:hint="eastAsia" w:hAnsi="宋体" w:cs="宋体"/>
                <w:szCs w:val="21"/>
                <w:highlight w:val="none"/>
              </w:rPr>
              <w:t>17</w:t>
            </w:r>
          </w:p>
        </w:tc>
        <w:tc>
          <w:tcPr>
            <w:tcW w:w="19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Ansi="宋体" w:cs="宋体"/>
                <w:bCs/>
                <w:szCs w:val="21"/>
                <w:highlight w:val="none"/>
              </w:rPr>
            </w:pPr>
            <w:r>
              <w:rPr>
                <w:rFonts w:hint="eastAsia" w:hAnsi="宋体" w:cs="宋体"/>
                <w:bCs/>
                <w:szCs w:val="21"/>
                <w:highlight w:val="none"/>
              </w:rPr>
              <w:t>履约保证金</w:t>
            </w:r>
          </w:p>
        </w:tc>
        <w:tc>
          <w:tcPr>
            <w:tcW w:w="6756" w:type="dxa"/>
            <w:tcBorders>
              <w:top w:val="single" w:color="auto" w:sz="4" w:space="0"/>
              <w:left w:val="single" w:color="auto" w:sz="4" w:space="0"/>
              <w:bottom w:val="single" w:color="auto" w:sz="4" w:space="0"/>
              <w:right w:val="double" w:color="auto" w:sz="4" w:space="0"/>
            </w:tcBorders>
            <w:vAlign w:val="center"/>
          </w:tcPr>
          <w:p>
            <w:pPr>
              <w:spacing w:line="360" w:lineRule="auto"/>
              <w:rPr>
                <w:rFonts w:hAnsi="宋体" w:cs="宋体"/>
                <w:szCs w:val="21"/>
                <w:highlight w:val="none"/>
              </w:rPr>
            </w:pPr>
            <w:r>
              <w:rPr>
                <w:rFonts w:hint="eastAsia" w:hAnsi="宋体" w:cs="宋体"/>
                <w:bCs/>
                <w:szCs w:val="21"/>
                <w:highlight w:val="none"/>
              </w:rPr>
              <w:t>不适用</w:t>
            </w:r>
          </w:p>
        </w:tc>
      </w:tr>
    </w:tbl>
    <w:p>
      <w:pPr>
        <w:tabs>
          <w:tab w:val="left" w:pos="567"/>
        </w:tabs>
        <w:spacing w:line="312" w:lineRule="auto"/>
        <w:ind w:left="567" w:hanging="567"/>
        <w:jc w:val="both"/>
        <w:rPr>
          <w:rFonts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pPr>
    </w:p>
    <w:p>
      <w:pPr>
        <w:pStyle w:val="4"/>
        <w:keepNext/>
        <w:keepLines/>
        <w:tabs>
          <w:tab w:val="left" w:pos="1134"/>
        </w:tabs>
        <w:spacing w:line="360" w:lineRule="auto"/>
        <w:ind w:left="1134" w:hanging="567"/>
        <w:jc w:val="center"/>
        <w:rPr>
          <w:rFonts w:hAnsi="宋体" w:cs="宋体"/>
          <w:b/>
          <w:bCs/>
          <w:kern w:val="44"/>
          <w:highlight w:val="none"/>
          <w:lang w:val="zh-CN"/>
        </w:rPr>
      </w:pPr>
      <w:r>
        <w:rPr>
          <w:rFonts w:hint="eastAsia" w:hAnsi="宋体" w:cs="宋体"/>
          <w:b/>
          <w:bCs/>
          <w:kern w:val="44"/>
          <w:highlight w:val="none"/>
          <w:lang w:val="zh-CN"/>
        </w:rPr>
        <w:br w:type="page"/>
      </w:r>
      <w:r>
        <w:rPr>
          <w:rFonts w:hint="eastAsia" w:hAnsi="宋体" w:cs="宋体"/>
          <w:b/>
          <w:bCs/>
          <w:kern w:val="44"/>
          <w:highlight w:val="none"/>
          <w:lang w:val="zh-CN"/>
        </w:rPr>
        <w:t>二、投标须知</w:t>
      </w:r>
    </w:p>
    <w:p>
      <w:pPr>
        <w:pStyle w:val="6"/>
        <w:spacing w:line="360" w:lineRule="auto"/>
        <w:rPr>
          <w:rFonts w:hAnsi="宋体" w:cs="宋体"/>
          <w:b w:val="0"/>
          <w:bCs/>
          <w:kern w:val="44"/>
          <w:szCs w:val="21"/>
          <w:highlight w:val="none"/>
          <w:lang w:val="zh-CN"/>
        </w:rPr>
      </w:pPr>
      <w:bookmarkStart w:id="0" w:name="_Toc413396489"/>
      <w:r>
        <w:rPr>
          <w:rFonts w:hint="eastAsia" w:hAnsi="宋体" w:cs="宋体"/>
          <w:b w:val="0"/>
          <w:bCs/>
          <w:kern w:val="44"/>
          <w:szCs w:val="21"/>
          <w:highlight w:val="none"/>
          <w:lang w:val="zh-CN"/>
        </w:rPr>
        <w:t>（一）总则</w:t>
      </w:r>
      <w:bookmarkEnd w:id="0"/>
    </w:p>
    <w:p>
      <w:pPr>
        <w:tabs>
          <w:tab w:val="left" w:pos="567"/>
        </w:tabs>
        <w:spacing w:line="360" w:lineRule="auto"/>
        <w:ind w:left="567" w:hanging="567"/>
        <w:jc w:val="both"/>
        <w:rPr>
          <w:rFonts w:hAnsi="宋体" w:cs="宋体"/>
          <w:szCs w:val="21"/>
          <w:highlight w:val="none"/>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1</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资金来源：详见</w:t>
      </w:r>
      <w:r>
        <w:rPr>
          <w:rFonts w:hint="eastAsia" w:hAnsi="宋体" w:cs="宋体"/>
          <w:szCs w:val="21"/>
          <w:highlight w:val="none"/>
        </w:rPr>
        <w:t>《投标须知前附表》。</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 xml:space="preserve">2    </w:t>
      </w:r>
      <w:r>
        <w:rPr>
          <w:rFonts w:hint="eastAsia" w:hAnsi="宋体" w:cs="宋体"/>
          <w:kern w:val="2"/>
          <w:szCs w:val="21"/>
          <w:highlight w:val="none"/>
          <w:lang w:val="zh-CN"/>
        </w:rPr>
        <w:t>招标适用范围：本招标文件仅适用于本次投标邀请中所叙述的货物及服务采购。本次招标采用一次报价一次评标定标的方式，投标人的报价必须固定，且只能作一个最有竞争力的报价和方案，否则将作无效投标处理。</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3     招标适用的法律：本次招标适用的主要法律法规为《中华人民共和国政府采购法》、《中华人民共和国政府采购法实施条例》（国务院第658号）、《政府采购货物和服务招标投标管理办法》（财政部令第87号）及国家和广东省政府采购相关法规。</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4</w:t>
      </w:r>
      <w:r>
        <w:rPr>
          <w:rFonts w:hint="eastAsia" w:hAnsi="宋体" w:cs="宋体"/>
          <w:kern w:val="2"/>
          <w:szCs w:val="21"/>
          <w:highlight w:val="none"/>
          <w:lang w:val="zh-CN"/>
        </w:rPr>
        <w:tab/>
      </w:r>
      <w:r>
        <w:rPr>
          <w:rFonts w:hint="eastAsia" w:hAnsi="宋体" w:cs="宋体"/>
          <w:kern w:val="2"/>
          <w:szCs w:val="21"/>
          <w:highlight w:val="none"/>
          <w:lang w:val="zh-CN"/>
        </w:rPr>
        <w:t>合格的投标人</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4.1</w:t>
      </w:r>
      <w:r>
        <w:rPr>
          <w:rFonts w:hint="eastAsia" w:hAnsi="宋体" w:cs="宋体"/>
          <w:kern w:val="2"/>
          <w:szCs w:val="21"/>
          <w:highlight w:val="none"/>
          <w:lang w:val="zh-CN"/>
        </w:rPr>
        <w:tab/>
      </w:r>
      <w:r>
        <w:rPr>
          <w:rFonts w:hint="eastAsia" w:hAnsi="宋体" w:cs="宋体"/>
          <w:kern w:val="2"/>
          <w:szCs w:val="21"/>
          <w:highlight w:val="none"/>
          <w:lang w:val="zh-CN"/>
        </w:rPr>
        <w:t>符合招标文件规定的资格要求及特殊条件要求，合格投标人的条件详见《投标须知前附表》的“合格的投标人”。</w:t>
      </w:r>
    </w:p>
    <w:p>
      <w:pPr>
        <w:tabs>
          <w:tab w:val="left" w:pos="567"/>
          <w:tab w:val="left" w:pos="720"/>
          <w:tab w:val="left" w:pos="3460"/>
        </w:tabs>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4.2</w:t>
      </w:r>
      <w:r>
        <w:rPr>
          <w:rFonts w:hint="eastAsia" w:hAnsi="宋体" w:cs="宋体"/>
          <w:kern w:val="2"/>
          <w:szCs w:val="21"/>
          <w:highlight w:val="none"/>
          <w:lang w:val="zh-CN"/>
        </w:rPr>
        <w:tab/>
      </w:r>
      <w:r>
        <w:rPr>
          <w:rFonts w:hint="eastAsia" w:hAnsi="宋体" w:cs="宋体"/>
          <w:kern w:val="2"/>
          <w:szCs w:val="21"/>
          <w:highlight w:val="none"/>
          <w:lang w:val="zh-CN"/>
        </w:rPr>
        <w:t>投标人必须按《中华人民共和国政府采购法》及国家和地方政府采购相关法规的规定进行投标。</w:t>
      </w:r>
    </w:p>
    <w:p>
      <w:pPr>
        <w:tabs>
          <w:tab w:val="left" w:pos="1260"/>
        </w:tabs>
        <w:autoSpaceDE/>
        <w:autoSpaceDN/>
        <w:adjustRightInd/>
        <w:spacing w:line="360" w:lineRule="auto"/>
        <w:jc w:val="both"/>
        <w:rPr>
          <w:rFonts w:hAnsi="宋体" w:cs="宋体"/>
          <w:kern w:val="2"/>
          <w:szCs w:val="21"/>
          <w:highlight w:val="none"/>
          <w:lang w:val="zh-CN"/>
        </w:rPr>
      </w:pPr>
      <w:r>
        <w:rPr>
          <w:rFonts w:hint="eastAsia" w:hAnsi="宋体" w:cs="宋体"/>
          <w:kern w:val="2"/>
          <w:szCs w:val="21"/>
          <w:highlight w:val="none"/>
          <w:lang w:val="zh-CN"/>
        </w:rPr>
        <w:t>4.3  不同的投标人之间有下列情形之一的，不接受作为参与同一采购项目竞争的供应商：</w:t>
      </w:r>
    </w:p>
    <w:p>
      <w:pPr>
        <w:tabs>
          <w:tab w:val="left" w:pos="567"/>
        </w:tabs>
        <w:spacing w:line="360" w:lineRule="auto"/>
        <w:ind w:left="504" w:leftChars="220" w:hanging="42" w:hangingChars="20"/>
        <w:jc w:val="both"/>
        <w:rPr>
          <w:rFonts w:hAnsi="宋体" w:cs="宋体"/>
          <w:kern w:val="2"/>
          <w:szCs w:val="21"/>
          <w:highlight w:val="none"/>
          <w:lang w:val="zh-CN"/>
        </w:rPr>
      </w:pPr>
      <w:r>
        <w:rPr>
          <w:rFonts w:hint="eastAsia" w:hAnsi="宋体" w:cs="宋体"/>
          <w:kern w:val="2"/>
          <w:szCs w:val="21"/>
          <w:highlight w:val="none"/>
          <w:lang w:val="zh-CN"/>
        </w:rPr>
        <w:t>4.3.1单位负责人为同一人或者存在直接控股、管理关系的不同供应商彼此存在投资与被投资关系的；</w:t>
      </w:r>
    </w:p>
    <w:p>
      <w:pPr>
        <w:tabs>
          <w:tab w:val="left" w:pos="567"/>
        </w:tabs>
        <w:spacing w:line="360" w:lineRule="auto"/>
        <w:ind w:left="504" w:leftChars="220" w:hanging="42" w:hangingChars="20"/>
        <w:jc w:val="both"/>
        <w:rPr>
          <w:rFonts w:hAnsi="宋体" w:cs="宋体"/>
          <w:kern w:val="2"/>
          <w:szCs w:val="21"/>
          <w:highlight w:val="none"/>
          <w:lang w:val="zh-CN"/>
        </w:rPr>
      </w:pPr>
      <w:r>
        <w:rPr>
          <w:rFonts w:hint="eastAsia" w:hAnsi="宋体" w:cs="宋体"/>
          <w:kern w:val="2"/>
          <w:szCs w:val="21"/>
          <w:highlight w:val="none"/>
          <w:lang w:val="zh-CN"/>
        </w:rPr>
        <w:t>4.3.2为采购项目提供整体设计、规范编制或者项目管理、监理、检测等服务的供应商。</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4.4  本项目不允许联合体投标。</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5</w:t>
      </w:r>
      <w:r>
        <w:rPr>
          <w:rFonts w:hint="eastAsia" w:hAnsi="宋体" w:cs="宋体"/>
          <w:kern w:val="2"/>
          <w:szCs w:val="21"/>
          <w:highlight w:val="none"/>
          <w:lang w:val="zh-CN"/>
        </w:rPr>
        <w:tab/>
      </w:r>
      <w:r>
        <w:rPr>
          <w:rFonts w:hint="eastAsia" w:hAnsi="宋体" w:cs="宋体"/>
          <w:kern w:val="2"/>
          <w:szCs w:val="21"/>
          <w:highlight w:val="none"/>
          <w:lang w:val="zh-CN"/>
        </w:rPr>
        <w:t>纪律与保密事项</w:t>
      </w:r>
    </w:p>
    <w:p>
      <w:pPr>
        <w:autoSpaceDE/>
        <w:autoSpaceDN/>
        <w:adjustRightInd/>
        <w:spacing w:line="360" w:lineRule="auto"/>
        <w:ind w:left="525" w:hanging="525" w:hangingChars="250"/>
        <w:jc w:val="both"/>
        <w:rPr>
          <w:rFonts w:hAnsi="宋体" w:cs="宋体"/>
          <w:kern w:val="2"/>
          <w:szCs w:val="21"/>
          <w:highlight w:val="none"/>
          <w:lang w:val="zh-CN"/>
        </w:rPr>
      </w:pPr>
      <w:r>
        <w:rPr>
          <w:rFonts w:hint="eastAsia" w:hAnsi="宋体" w:cs="宋体"/>
          <w:kern w:val="2"/>
          <w:szCs w:val="21"/>
          <w:highlight w:val="none"/>
          <w:lang w:val="zh-CN"/>
        </w:rPr>
        <w:t>5.1  投标人不得相互串通投标报价，或以不正当的手段妨碍、排挤其他投标人，扰乱招标市场，破坏公平竞争原则，不得损害采购人或其他投标人的合法权益，投标人不得以向采购人、评标委员会成员行贿或者采取其他不正当手段谋取中标。</w:t>
      </w:r>
    </w:p>
    <w:p>
      <w:pPr>
        <w:autoSpaceDE/>
        <w:autoSpaceDN/>
        <w:adjustRightInd/>
        <w:spacing w:line="360" w:lineRule="auto"/>
        <w:ind w:left="525" w:hanging="525" w:hangingChars="250"/>
        <w:jc w:val="both"/>
        <w:rPr>
          <w:rFonts w:hAnsi="宋体" w:cs="宋体"/>
          <w:kern w:val="2"/>
          <w:szCs w:val="21"/>
          <w:highlight w:val="none"/>
          <w:lang w:val="zh-CN"/>
        </w:rPr>
      </w:pPr>
      <w:r>
        <w:rPr>
          <w:rFonts w:hint="eastAsia" w:hAnsi="宋体" w:cs="宋体"/>
          <w:kern w:val="2"/>
          <w:szCs w:val="21"/>
          <w:highlight w:val="none"/>
          <w:lang w:val="zh-CN"/>
        </w:rPr>
        <w:t>5.2  获得本招标文件者，应对文件进行保密，不得用作本次投标以外的任何用途。若有要求，开标后，投标人应归还招标文件中保密的文件和资料。</w:t>
      </w:r>
    </w:p>
    <w:p>
      <w:pPr>
        <w:tabs>
          <w:tab w:val="left" w:pos="720"/>
          <w:tab w:val="left" w:pos="3460"/>
        </w:tabs>
        <w:autoSpaceDE/>
        <w:autoSpaceDN/>
        <w:adjustRightInd/>
        <w:spacing w:line="360" w:lineRule="auto"/>
        <w:ind w:left="525" w:hanging="525" w:hangingChars="250"/>
        <w:jc w:val="both"/>
        <w:rPr>
          <w:rFonts w:hAnsi="宋体" w:cs="宋体"/>
          <w:kern w:val="2"/>
          <w:szCs w:val="21"/>
          <w:highlight w:val="none"/>
          <w:lang w:val="zh-CN"/>
        </w:rPr>
      </w:pPr>
      <w:r>
        <w:rPr>
          <w:rFonts w:hint="eastAsia" w:hAnsi="宋体" w:cs="宋体"/>
          <w:kern w:val="2"/>
          <w:szCs w:val="21"/>
          <w:highlight w:val="none"/>
          <w:lang w:val="zh-CN"/>
        </w:rPr>
        <w:t>5.3  由采购人向投标人提供的图纸、详细资料、样品、模型、模件和所有其他资料，被视为保密资料，仅被用于它所规定的用途。除非得到采购人的同意，不能向任何第三方透露。开标结束后，应采购人要求，投标人应归还所有从采购人处获得的保密资料。</w:t>
      </w:r>
    </w:p>
    <w:p>
      <w:pPr>
        <w:tabs>
          <w:tab w:val="left" w:pos="720"/>
          <w:tab w:val="left" w:pos="3460"/>
        </w:tabs>
        <w:autoSpaceDE/>
        <w:autoSpaceDN/>
        <w:adjustRightInd/>
        <w:spacing w:line="360" w:lineRule="auto"/>
        <w:ind w:left="525" w:hanging="525" w:hangingChars="250"/>
        <w:jc w:val="both"/>
        <w:rPr>
          <w:rFonts w:hAnsi="宋体" w:cs="宋体"/>
          <w:kern w:val="2"/>
          <w:szCs w:val="21"/>
          <w:highlight w:val="none"/>
          <w:lang w:val="zh-CN"/>
        </w:rPr>
      </w:pPr>
      <w:r>
        <w:rPr>
          <w:rFonts w:hint="eastAsia" w:hAnsi="宋体" w:cs="宋体"/>
          <w:kern w:val="2"/>
          <w:szCs w:val="21"/>
          <w:highlight w:val="none"/>
          <w:lang w:val="zh-CN"/>
        </w:rPr>
        <w:t>5.4  除投标人被要求对投标文件进行澄清外，在确定中标供应商之前，投标人不得与采购人就投标价格、投标方案等实质性内容进行谈判，也不得私下接触评标委员会成员。</w:t>
      </w:r>
    </w:p>
    <w:p>
      <w:pPr>
        <w:autoSpaceDE/>
        <w:autoSpaceDN/>
        <w:adjustRightInd/>
        <w:spacing w:line="360" w:lineRule="auto"/>
        <w:ind w:left="525" w:hanging="525" w:hangingChars="250"/>
        <w:jc w:val="both"/>
        <w:rPr>
          <w:rFonts w:hAnsi="宋体" w:cs="宋体"/>
          <w:kern w:val="2"/>
          <w:szCs w:val="21"/>
          <w:highlight w:val="none"/>
          <w:lang w:val="zh-CN"/>
        </w:rPr>
      </w:pPr>
      <w:r>
        <w:rPr>
          <w:rFonts w:hint="eastAsia" w:hAnsi="宋体" w:cs="宋体"/>
          <w:kern w:val="2"/>
          <w:szCs w:val="21"/>
          <w:highlight w:val="none"/>
          <w:lang w:val="zh-CN"/>
        </w:rPr>
        <w:t>5.5  从递交投标文件截止之日起至授予合同期间，在投标文件的审查、澄清、比较和评价阶段，投标人试图对评标委员会和采购代理机构施加任何影响或对采购人的比较及授予合同的决定产生影响，都可能导致其投标文件被拒绝。</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6    其它说明</w:t>
      </w:r>
    </w:p>
    <w:p>
      <w:pPr>
        <w:tabs>
          <w:tab w:val="left" w:pos="567"/>
        </w:tabs>
        <w:spacing w:line="360" w:lineRule="auto"/>
        <w:ind w:left="567" w:hanging="567" w:hangingChars="270"/>
        <w:jc w:val="both"/>
        <w:rPr>
          <w:rFonts w:hAnsi="宋体" w:cs="宋体"/>
          <w:kern w:val="2"/>
          <w:szCs w:val="21"/>
          <w:highlight w:val="none"/>
          <w:lang w:val="zh-CN"/>
        </w:rPr>
      </w:pPr>
      <w:r>
        <w:rPr>
          <w:rFonts w:hint="eastAsia" w:hAnsi="宋体" w:cs="宋体"/>
          <w:kern w:val="2"/>
          <w:szCs w:val="21"/>
          <w:highlight w:val="none"/>
          <w:lang w:val="zh-CN"/>
        </w:rPr>
        <w:t>6.1  投标费用：不论投标结果如何，投标人应承担自身因投标文件编制、递交及其他参加本招标活动所涉及的一切费用，采购人对上述费用不负任何责任。</w:t>
      </w:r>
    </w:p>
    <w:p>
      <w:pPr>
        <w:tabs>
          <w:tab w:val="left" w:pos="567"/>
          <w:tab w:val="left" w:pos="927"/>
        </w:tabs>
        <w:spacing w:line="360" w:lineRule="auto"/>
        <w:ind w:left="630" w:hanging="630" w:hangingChars="300"/>
        <w:jc w:val="both"/>
        <w:rPr>
          <w:rFonts w:hAnsi="宋体" w:cs="宋体"/>
          <w:kern w:val="2"/>
          <w:szCs w:val="21"/>
          <w:highlight w:val="none"/>
          <w:lang w:val="zh-CN"/>
        </w:rPr>
      </w:pPr>
      <w:r>
        <w:rPr>
          <w:rFonts w:hint="eastAsia" w:hAnsi="宋体" w:cs="宋体"/>
          <w:kern w:val="2"/>
          <w:szCs w:val="21"/>
          <w:highlight w:val="none"/>
          <w:lang w:val="zh-CN"/>
        </w:rPr>
        <w:t>6.2  踏勘现场</w:t>
      </w:r>
    </w:p>
    <w:p>
      <w:pPr>
        <w:spacing w:line="360" w:lineRule="auto"/>
        <w:ind w:left="462" w:leftChars="220" w:firstLine="315" w:firstLineChars="150"/>
        <w:rPr>
          <w:rFonts w:hAnsi="宋体" w:cs="宋体"/>
          <w:kern w:val="2"/>
          <w:szCs w:val="21"/>
          <w:highlight w:val="none"/>
          <w:lang w:val="zh-CN"/>
        </w:rPr>
      </w:pPr>
      <w:r>
        <w:rPr>
          <w:rFonts w:hint="eastAsia" w:hAnsi="宋体" w:cs="宋体"/>
          <w:kern w:val="2"/>
          <w:szCs w:val="21"/>
          <w:highlight w:val="none"/>
          <w:lang w:val="zh-CN"/>
        </w:rPr>
        <w:t>（1）投标人应按本《投标须知前附表》所述时间和要求对工程现场及周围环境进行踏勘，投标人应充分重视和仔细地进行这种考察，以便获取那些须投标人自己负责的有关编制投标文件和签署合同所涉及现场所有的资料。一旦中标，这种考察即被认为其结果已在中标文件中得到充分反映。考察现场的费用由投标人自己承担。</w:t>
      </w:r>
    </w:p>
    <w:p>
      <w:pPr>
        <w:tabs>
          <w:tab w:val="left" w:pos="105"/>
        </w:tabs>
        <w:spacing w:line="360" w:lineRule="auto"/>
        <w:ind w:left="462" w:leftChars="220" w:firstLine="315" w:firstLineChars="150"/>
        <w:rPr>
          <w:rFonts w:hAnsi="宋体" w:cs="宋体"/>
          <w:kern w:val="2"/>
          <w:szCs w:val="21"/>
          <w:highlight w:val="none"/>
          <w:lang w:val="zh-CN"/>
        </w:rPr>
      </w:pPr>
      <w:r>
        <w:rPr>
          <w:rFonts w:hint="eastAsia" w:hAnsi="宋体" w:cs="宋体"/>
          <w:kern w:val="2"/>
          <w:szCs w:val="21"/>
          <w:highlight w:val="none"/>
          <w:lang w:val="zh-CN"/>
        </w:rPr>
        <w:t>（2）采购人向投标人提供的有关现场的数据和资料，是采购人现有的能被投标人利用的资料，采购人对投标人做出的任何推论、理解和结论均不负责任。</w:t>
      </w:r>
    </w:p>
    <w:p>
      <w:pPr>
        <w:spacing w:line="360" w:lineRule="auto"/>
        <w:ind w:left="462" w:leftChars="220" w:firstLine="315" w:firstLineChars="150"/>
        <w:rPr>
          <w:rFonts w:hAnsi="宋体" w:cs="宋体"/>
          <w:kern w:val="2"/>
          <w:szCs w:val="21"/>
          <w:highlight w:val="none"/>
          <w:lang w:val="zh-CN"/>
        </w:rPr>
      </w:pPr>
      <w:r>
        <w:rPr>
          <w:rFonts w:hint="eastAsia" w:hAnsi="宋体" w:cs="宋体"/>
          <w:kern w:val="2"/>
          <w:szCs w:val="21"/>
          <w:highlight w:val="none"/>
          <w:lang w:val="zh-CN"/>
        </w:rPr>
        <w:t>（3）经采购人允许，投标人可为踏勘目的进入采购人的项目现场。在考察过程中，投标人及其代表必须承担那些进入现场后，由于他们的行为所造成的人身伤害（不管是否致命）、财产损失或损坏，以及其他任何原因造成的损失、损坏或费用，投标人不得因此使采购人承担有关的责任和蒙受损失。</w:t>
      </w:r>
    </w:p>
    <w:p>
      <w:pPr>
        <w:spacing w:line="360" w:lineRule="auto"/>
        <w:ind w:left="462" w:leftChars="220" w:firstLine="315" w:firstLineChars="150"/>
        <w:rPr>
          <w:rFonts w:hAnsi="宋体" w:cs="宋体"/>
          <w:kern w:val="2"/>
          <w:szCs w:val="21"/>
          <w:highlight w:val="none"/>
          <w:lang w:val="zh-CN"/>
        </w:rPr>
      </w:pPr>
    </w:p>
    <w:p>
      <w:pPr>
        <w:pStyle w:val="6"/>
        <w:spacing w:line="360" w:lineRule="auto"/>
        <w:rPr>
          <w:rFonts w:hAnsi="宋体" w:cs="宋体"/>
          <w:b w:val="0"/>
          <w:bCs/>
          <w:kern w:val="44"/>
          <w:szCs w:val="21"/>
          <w:highlight w:val="none"/>
          <w:lang w:val="zh-CN"/>
        </w:rPr>
      </w:pPr>
      <w:bookmarkStart w:id="1" w:name="_Toc413396490"/>
      <w:r>
        <w:rPr>
          <w:rFonts w:hint="eastAsia" w:hAnsi="宋体" w:cs="宋体"/>
          <w:b w:val="0"/>
          <w:bCs/>
          <w:kern w:val="44"/>
          <w:szCs w:val="21"/>
          <w:highlight w:val="none"/>
          <w:lang w:val="zh-CN"/>
        </w:rPr>
        <w:t>（二）</w:t>
      </w:r>
      <w:r>
        <w:rPr>
          <w:rFonts w:hint="eastAsia" w:hAnsi="宋体" w:cs="宋体"/>
          <w:b w:val="0"/>
          <w:bCs/>
          <w:kern w:val="44"/>
          <w:szCs w:val="21"/>
          <w:highlight w:val="none"/>
          <w:lang w:val="zh-CN"/>
        </w:rPr>
        <w:tab/>
      </w:r>
      <w:r>
        <w:rPr>
          <w:rFonts w:hint="eastAsia" w:hAnsi="宋体" w:cs="宋体"/>
          <w:b w:val="0"/>
          <w:bCs/>
          <w:kern w:val="44"/>
          <w:szCs w:val="21"/>
          <w:highlight w:val="none"/>
          <w:lang w:val="zh-CN"/>
        </w:rPr>
        <w:t>招标文件</w:t>
      </w:r>
      <w:bookmarkEnd w:id="1"/>
    </w:p>
    <w:p>
      <w:pPr>
        <w:tabs>
          <w:tab w:val="left" w:pos="567"/>
        </w:tabs>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7</w:t>
      </w:r>
      <w:r>
        <w:rPr>
          <w:rFonts w:hint="eastAsia" w:hAnsi="宋体" w:cs="宋体"/>
          <w:kern w:val="2"/>
          <w:szCs w:val="21"/>
          <w:highlight w:val="none"/>
          <w:lang w:val="zh-CN"/>
        </w:rPr>
        <w:tab/>
      </w:r>
      <w:r>
        <w:rPr>
          <w:rFonts w:hint="eastAsia" w:hAnsi="宋体" w:cs="宋体"/>
          <w:kern w:val="2"/>
          <w:szCs w:val="21"/>
          <w:highlight w:val="none"/>
          <w:lang w:val="zh-CN"/>
        </w:rPr>
        <w:t>招标文件的构成</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7.1</w:t>
      </w:r>
      <w:r>
        <w:rPr>
          <w:rFonts w:hint="eastAsia" w:hAnsi="宋体" w:cs="宋体"/>
          <w:kern w:val="2"/>
          <w:szCs w:val="21"/>
          <w:highlight w:val="none"/>
          <w:lang w:val="zh-CN"/>
        </w:rPr>
        <w:tab/>
      </w:r>
      <w:r>
        <w:rPr>
          <w:rFonts w:hint="eastAsia" w:hAnsi="宋体" w:cs="宋体"/>
          <w:kern w:val="2"/>
          <w:szCs w:val="21"/>
          <w:highlight w:val="none"/>
          <w:lang w:val="zh-CN"/>
        </w:rPr>
        <w:t>招标文件包括：</w:t>
      </w:r>
    </w:p>
    <w:p>
      <w:pPr>
        <w:tabs>
          <w:tab w:val="left" w:pos="1890"/>
        </w:tabs>
        <w:spacing w:line="360" w:lineRule="auto"/>
        <w:ind w:left="1890" w:hanging="1050"/>
        <w:jc w:val="both"/>
        <w:rPr>
          <w:rFonts w:hAnsi="宋体" w:cs="宋体"/>
          <w:kern w:val="2"/>
          <w:szCs w:val="21"/>
          <w:highlight w:val="none"/>
          <w:lang w:val="zh-CN"/>
        </w:rPr>
      </w:pPr>
      <w:r>
        <w:rPr>
          <w:rFonts w:hint="eastAsia" w:hAnsi="宋体" w:cs="宋体"/>
          <w:kern w:val="2"/>
          <w:szCs w:val="21"/>
          <w:highlight w:val="none"/>
          <w:lang w:val="zh-CN"/>
        </w:rPr>
        <w:t>第一篇</w:t>
      </w:r>
      <w:r>
        <w:rPr>
          <w:rFonts w:hint="eastAsia" w:hAnsi="宋体" w:cs="宋体"/>
          <w:kern w:val="2"/>
          <w:szCs w:val="21"/>
          <w:highlight w:val="none"/>
          <w:lang w:val="zh-CN"/>
        </w:rPr>
        <w:tab/>
      </w:r>
      <w:r>
        <w:rPr>
          <w:rFonts w:hint="eastAsia" w:hAnsi="宋体" w:cs="宋体"/>
          <w:kern w:val="2"/>
          <w:szCs w:val="21"/>
          <w:highlight w:val="none"/>
          <w:lang w:val="zh-CN"/>
        </w:rPr>
        <w:t>投标邀请书</w:t>
      </w:r>
    </w:p>
    <w:p>
      <w:pPr>
        <w:spacing w:line="360" w:lineRule="auto"/>
        <w:ind w:left="1890" w:hanging="1050"/>
        <w:jc w:val="both"/>
        <w:rPr>
          <w:rFonts w:hAnsi="宋体" w:cs="宋体"/>
          <w:kern w:val="2"/>
          <w:szCs w:val="21"/>
          <w:highlight w:val="none"/>
          <w:lang w:val="zh-CN"/>
        </w:rPr>
      </w:pPr>
      <w:r>
        <w:rPr>
          <w:rFonts w:hint="eastAsia" w:hAnsi="宋体" w:cs="宋体"/>
          <w:kern w:val="2"/>
          <w:szCs w:val="21"/>
          <w:highlight w:val="none"/>
          <w:lang w:val="zh-CN"/>
        </w:rPr>
        <w:t>第二篇</w:t>
      </w:r>
      <w:r>
        <w:rPr>
          <w:rFonts w:hint="eastAsia" w:hAnsi="宋体" w:cs="宋体"/>
          <w:kern w:val="2"/>
          <w:szCs w:val="21"/>
          <w:highlight w:val="none"/>
          <w:lang w:val="zh-CN"/>
        </w:rPr>
        <w:tab/>
      </w:r>
      <w:r>
        <w:rPr>
          <w:rFonts w:hint="eastAsia" w:hAnsi="宋体" w:cs="宋体"/>
          <w:kern w:val="2"/>
          <w:szCs w:val="21"/>
          <w:highlight w:val="none"/>
          <w:lang w:val="zh-CN"/>
        </w:rPr>
        <w:t>投标人须知</w:t>
      </w:r>
    </w:p>
    <w:p>
      <w:pPr>
        <w:spacing w:line="360" w:lineRule="auto"/>
        <w:ind w:left="1890" w:hanging="1050"/>
        <w:jc w:val="both"/>
        <w:rPr>
          <w:rFonts w:hAnsi="宋体" w:cs="宋体"/>
          <w:kern w:val="2"/>
          <w:szCs w:val="21"/>
          <w:highlight w:val="none"/>
          <w:lang w:val="zh-CN"/>
        </w:rPr>
      </w:pPr>
      <w:r>
        <w:rPr>
          <w:rFonts w:hint="eastAsia" w:hAnsi="宋体" w:cs="宋体"/>
          <w:kern w:val="2"/>
          <w:szCs w:val="21"/>
          <w:highlight w:val="none"/>
          <w:lang w:val="zh-CN"/>
        </w:rPr>
        <w:t>第三篇</w:t>
      </w:r>
      <w:r>
        <w:rPr>
          <w:rFonts w:hint="eastAsia" w:hAnsi="宋体" w:cs="宋体"/>
          <w:kern w:val="2"/>
          <w:szCs w:val="21"/>
          <w:highlight w:val="none"/>
          <w:lang w:val="zh-CN"/>
        </w:rPr>
        <w:tab/>
      </w:r>
      <w:r>
        <w:rPr>
          <w:rFonts w:hint="eastAsia" w:hAnsi="宋体" w:cs="宋体"/>
          <w:kern w:val="2"/>
          <w:szCs w:val="21"/>
          <w:highlight w:val="none"/>
          <w:lang w:val="zh-CN"/>
        </w:rPr>
        <w:t>合同条款格式</w:t>
      </w:r>
    </w:p>
    <w:p>
      <w:pPr>
        <w:spacing w:line="360" w:lineRule="auto"/>
        <w:ind w:left="1890" w:hanging="1050"/>
        <w:jc w:val="both"/>
        <w:rPr>
          <w:rFonts w:hAnsi="宋体" w:cs="宋体"/>
          <w:kern w:val="2"/>
          <w:szCs w:val="21"/>
          <w:highlight w:val="none"/>
          <w:lang w:val="zh-CN"/>
        </w:rPr>
      </w:pPr>
      <w:r>
        <w:rPr>
          <w:rFonts w:hint="eastAsia" w:hAnsi="宋体" w:cs="宋体"/>
          <w:kern w:val="2"/>
          <w:szCs w:val="21"/>
          <w:highlight w:val="none"/>
          <w:lang w:val="zh-CN"/>
        </w:rPr>
        <w:t>第四篇</w:t>
      </w:r>
      <w:r>
        <w:rPr>
          <w:rFonts w:hint="eastAsia" w:hAnsi="宋体" w:cs="宋体"/>
          <w:kern w:val="2"/>
          <w:szCs w:val="21"/>
          <w:highlight w:val="none"/>
          <w:lang w:val="zh-CN"/>
        </w:rPr>
        <w:tab/>
      </w:r>
      <w:r>
        <w:rPr>
          <w:rFonts w:hint="eastAsia" w:hAnsi="宋体" w:cs="宋体"/>
          <w:kern w:val="2"/>
          <w:szCs w:val="21"/>
          <w:highlight w:val="none"/>
          <w:lang w:val="zh-CN"/>
        </w:rPr>
        <w:t>用户需求书</w:t>
      </w:r>
    </w:p>
    <w:p>
      <w:pPr>
        <w:spacing w:line="360" w:lineRule="auto"/>
        <w:ind w:left="1890" w:hanging="1050"/>
        <w:jc w:val="both"/>
        <w:rPr>
          <w:rFonts w:hAnsi="宋体" w:cs="宋体"/>
          <w:kern w:val="2"/>
          <w:szCs w:val="21"/>
          <w:highlight w:val="none"/>
          <w:lang w:val="zh-CN"/>
        </w:rPr>
      </w:pPr>
      <w:r>
        <w:rPr>
          <w:rFonts w:hint="eastAsia" w:hAnsi="宋体" w:cs="宋体"/>
          <w:kern w:val="2"/>
          <w:szCs w:val="21"/>
          <w:highlight w:val="none"/>
          <w:lang w:val="zh-CN"/>
        </w:rPr>
        <w:t>第五篇</w:t>
      </w:r>
      <w:r>
        <w:rPr>
          <w:rFonts w:hint="eastAsia" w:hAnsi="宋体" w:cs="宋体"/>
          <w:kern w:val="2"/>
          <w:szCs w:val="21"/>
          <w:highlight w:val="none"/>
          <w:lang w:val="zh-CN"/>
        </w:rPr>
        <w:tab/>
      </w:r>
      <w:r>
        <w:rPr>
          <w:rFonts w:hint="eastAsia" w:hAnsi="宋体" w:cs="宋体"/>
          <w:kern w:val="2"/>
          <w:szCs w:val="21"/>
          <w:highlight w:val="none"/>
          <w:lang w:val="zh-CN"/>
        </w:rPr>
        <w:t>投标文件格式</w:t>
      </w:r>
    </w:p>
    <w:p>
      <w:pPr>
        <w:spacing w:line="360" w:lineRule="auto"/>
        <w:ind w:left="1890" w:hanging="1050"/>
        <w:jc w:val="both"/>
        <w:rPr>
          <w:rFonts w:hAnsi="宋体" w:cs="宋体"/>
          <w:kern w:val="2"/>
          <w:szCs w:val="21"/>
          <w:highlight w:val="none"/>
          <w:lang w:val="zh-CN"/>
        </w:rPr>
      </w:pPr>
      <w:r>
        <w:rPr>
          <w:rFonts w:hint="eastAsia" w:hAnsi="宋体" w:cs="宋体"/>
          <w:kern w:val="2"/>
          <w:szCs w:val="21"/>
          <w:highlight w:val="none"/>
          <w:lang w:val="zh-CN"/>
        </w:rPr>
        <w:t>附件一：  评标工作大纲</w:t>
      </w:r>
    </w:p>
    <w:p>
      <w:pPr>
        <w:spacing w:line="360" w:lineRule="auto"/>
        <w:ind w:left="1890" w:hanging="1050"/>
        <w:jc w:val="both"/>
        <w:rPr>
          <w:rFonts w:hAnsi="宋体" w:cs="宋体"/>
          <w:kern w:val="2"/>
          <w:szCs w:val="21"/>
          <w:highlight w:val="none"/>
          <w:lang w:val="zh-CN"/>
        </w:rPr>
      </w:pPr>
      <w:r>
        <w:rPr>
          <w:rFonts w:hint="eastAsia" w:hAnsi="宋体" w:cs="宋体"/>
          <w:kern w:val="2"/>
          <w:szCs w:val="21"/>
          <w:highlight w:val="none"/>
          <w:lang w:val="zh-CN"/>
        </w:rPr>
        <w:t>附件二：  中标服务费收费标准</w:t>
      </w:r>
    </w:p>
    <w:p>
      <w:pPr>
        <w:spacing w:line="360" w:lineRule="auto"/>
        <w:ind w:left="420" w:hanging="420" w:hangingChars="200"/>
        <w:jc w:val="both"/>
        <w:rPr>
          <w:rFonts w:hAnsi="宋体" w:cs="宋体"/>
          <w:kern w:val="2"/>
          <w:szCs w:val="21"/>
          <w:highlight w:val="none"/>
          <w:lang w:val="zh-CN"/>
        </w:rPr>
      </w:pPr>
      <w:r>
        <w:rPr>
          <w:rFonts w:hint="eastAsia" w:hAnsi="宋体" w:cs="宋体"/>
          <w:kern w:val="2"/>
          <w:szCs w:val="21"/>
          <w:highlight w:val="none"/>
          <w:lang w:val="zh-CN"/>
        </w:rPr>
        <w:t>7.2</w:t>
      </w:r>
      <w:r>
        <w:rPr>
          <w:rFonts w:hint="eastAsia" w:hAnsi="宋体" w:cs="宋体"/>
          <w:kern w:val="2"/>
          <w:szCs w:val="21"/>
          <w:highlight w:val="none"/>
          <w:lang w:val="zh-CN"/>
        </w:rPr>
        <w:tab/>
      </w:r>
      <w:r>
        <w:rPr>
          <w:rFonts w:hint="eastAsia" w:hAnsi="宋体" w:cs="宋体"/>
          <w:kern w:val="2"/>
          <w:szCs w:val="21"/>
          <w:highlight w:val="none"/>
          <w:lang w:val="zh-CN"/>
        </w:rPr>
        <w:t>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pPr>
        <w:spacing w:line="360" w:lineRule="auto"/>
        <w:jc w:val="both"/>
        <w:rPr>
          <w:rFonts w:hAnsi="宋体" w:cs="宋体"/>
          <w:kern w:val="2"/>
          <w:szCs w:val="21"/>
          <w:highlight w:val="none"/>
          <w:lang w:val="zh-CN"/>
        </w:rPr>
      </w:pPr>
      <w:r>
        <w:rPr>
          <w:rFonts w:hint="eastAsia" w:hAnsi="宋体" w:cs="宋体"/>
          <w:kern w:val="2"/>
          <w:szCs w:val="21"/>
          <w:highlight w:val="none"/>
          <w:lang w:val="zh-CN"/>
        </w:rPr>
        <w:t>7.3 本招标文件使用的词语有如下定义：</w:t>
      </w:r>
    </w:p>
    <w:p>
      <w:pPr>
        <w:numPr>
          <w:ilvl w:val="0"/>
          <w:numId w:val="7"/>
        </w:numPr>
        <w:tabs>
          <w:tab w:val="left" w:pos="993"/>
        </w:tabs>
        <w:spacing w:line="360" w:lineRule="auto"/>
        <w:ind w:left="1134" w:hanging="708"/>
        <w:jc w:val="both"/>
        <w:rPr>
          <w:rFonts w:hAnsi="宋体" w:cs="宋体"/>
          <w:kern w:val="2"/>
          <w:szCs w:val="21"/>
          <w:highlight w:val="none"/>
          <w:lang w:val="zh-CN"/>
        </w:rPr>
      </w:pPr>
      <w:r>
        <w:rPr>
          <w:rFonts w:hint="eastAsia" w:hAnsi="宋体" w:cs="宋体"/>
          <w:kern w:val="2"/>
          <w:szCs w:val="21"/>
          <w:highlight w:val="none"/>
          <w:lang w:val="zh-CN"/>
        </w:rPr>
        <w:t>“采购人”系指依法进行政府采购的国家机关、事业单位、团体组织等。</w:t>
      </w:r>
    </w:p>
    <w:p>
      <w:pPr>
        <w:numPr>
          <w:ilvl w:val="0"/>
          <w:numId w:val="7"/>
        </w:numPr>
        <w:tabs>
          <w:tab w:val="left" w:pos="993"/>
        </w:tabs>
        <w:spacing w:line="360" w:lineRule="auto"/>
        <w:ind w:left="1134" w:hanging="708"/>
        <w:jc w:val="both"/>
        <w:rPr>
          <w:rFonts w:hAnsi="宋体" w:cs="宋体"/>
          <w:kern w:val="2"/>
          <w:szCs w:val="21"/>
          <w:highlight w:val="none"/>
          <w:lang w:val="zh-CN"/>
        </w:rPr>
      </w:pPr>
      <w:r>
        <w:rPr>
          <w:rFonts w:hint="eastAsia" w:hAnsi="宋体" w:cs="宋体"/>
          <w:kern w:val="2"/>
          <w:szCs w:val="21"/>
          <w:highlight w:val="none"/>
          <w:lang w:val="zh-CN"/>
        </w:rPr>
        <w:t>“采购代理机构”系指广东远东招标代理有限公司。</w:t>
      </w:r>
    </w:p>
    <w:p>
      <w:pPr>
        <w:numPr>
          <w:ilvl w:val="0"/>
          <w:numId w:val="7"/>
        </w:numPr>
        <w:tabs>
          <w:tab w:val="left" w:pos="993"/>
        </w:tabs>
        <w:spacing w:line="360" w:lineRule="auto"/>
        <w:ind w:left="1134" w:hanging="708"/>
        <w:jc w:val="both"/>
        <w:rPr>
          <w:rFonts w:hAnsi="宋体" w:cs="宋体"/>
          <w:kern w:val="2"/>
          <w:szCs w:val="21"/>
          <w:highlight w:val="none"/>
          <w:lang w:val="zh-CN"/>
        </w:rPr>
      </w:pPr>
      <w:r>
        <w:rPr>
          <w:rFonts w:hint="eastAsia" w:hAnsi="宋体" w:cs="宋体"/>
          <w:kern w:val="2"/>
          <w:szCs w:val="21"/>
          <w:highlight w:val="none"/>
          <w:lang w:val="zh-CN"/>
        </w:rPr>
        <w:t>“投标人”系指响应招标、参加投标竞争的具有独立民事责任的法人、其他组织或者自然人，并取得合法工商执照或者其它法人（负责人）证书。</w:t>
      </w:r>
    </w:p>
    <w:p>
      <w:pPr>
        <w:numPr>
          <w:ilvl w:val="0"/>
          <w:numId w:val="7"/>
        </w:numPr>
        <w:tabs>
          <w:tab w:val="left" w:pos="993"/>
        </w:tabs>
        <w:spacing w:line="360" w:lineRule="auto"/>
        <w:ind w:left="1134" w:hanging="708"/>
        <w:jc w:val="both"/>
        <w:rPr>
          <w:rFonts w:hAnsi="宋体" w:cs="宋体"/>
          <w:kern w:val="2"/>
          <w:szCs w:val="21"/>
          <w:highlight w:val="none"/>
          <w:lang w:val="zh-CN"/>
        </w:rPr>
      </w:pPr>
      <w:r>
        <w:rPr>
          <w:rFonts w:hint="eastAsia" w:hAnsi="宋体" w:cs="宋体"/>
          <w:kern w:val="2"/>
          <w:szCs w:val="21"/>
          <w:highlight w:val="none"/>
          <w:lang w:val="zh-CN"/>
        </w:rPr>
        <w:t>“中标人”系指由评标委员会评审推荐，经法定程序确定获得本项目中标资格的投标人。</w:t>
      </w:r>
    </w:p>
    <w:p>
      <w:pPr>
        <w:numPr>
          <w:ilvl w:val="0"/>
          <w:numId w:val="7"/>
        </w:numPr>
        <w:tabs>
          <w:tab w:val="left" w:pos="993"/>
        </w:tabs>
        <w:spacing w:line="360" w:lineRule="auto"/>
        <w:ind w:left="1134" w:hanging="708"/>
        <w:jc w:val="both"/>
        <w:rPr>
          <w:rFonts w:hAnsi="宋体" w:cs="宋体"/>
          <w:kern w:val="2"/>
          <w:szCs w:val="21"/>
          <w:highlight w:val="none"/>
          <w:lang w:val="zh-CN"/>
        </w:rPr>
      </w:pPr>
      <w:r>
        <w:rPr>
          <w:rFonts w:hint="eastAsia" w:hAnsi="宋体" w:cs="宋体"/>
          <w:kern w:val="2"/>
          <w:szCs w:val="21"/>
          <w:highlight w:val="none"/>
          <w:lang w:val="zh-CN"/>
        </w:rPr>
        <w:t>“评标委员会” 系指依法组建，负责本次招标的评标工作机构。</w:t>
      </w:r>
    </w:p>
    <w:p>
      <w:pPr>
        <w:numPr>
          <w:ilvl w:val="0"/>
          <w:numId w:val="7"/>
        </w:numPr>
        <w:tabs>
          <w:tab w:val="left" w:pos="993"/>
        </w:tabs>
        <w:spacing w:line="360" w:lineRule="auto"/>
        <w:ind w:left="1134" w:hanging="708"/>
        <w:jc w:val="both"/>
        <w:rPr>
          <w:rFonts w:hAnsi="宋体" w:cs="宋体"/>
          <w:kern w:val="2"/>
          <w:szCs w:val="21"/>
          <w:highlight w:val="none"/>
          <w:lang w:val="zh-CN"/>
        </w:rPr>
      </w:pPr>
      <w:r>
        <w:rPr>
          <w:rFonts w:hint="eastAsia" w:hAnsi="宋体" w:cs="宋体"/>
          <w:kern w:val="2"/>
          <w:szCs w:val="21"/>
          <w:highlight w:val="none"/>
          <w:lang w:val="zh-CN"/>
        </w:rPr>
        <w:t>“甲方”系指在合同条款中指明的采购人。</w:t>
      </w:r>
    </w:p>
    <w:p>
      <w:pPr>
        <w:numPr>
          <w:ilvl w:val="0"/>
          <w:numId w:val="7"/>
        </w:numPr>
        <w:tabs>
          <w:tab w:val="left" w:pos="993"/>
        </w:tabs>
        <w:spacing w:line="360" w:lineRule="auto"/>
        <w:ind w:left="1134" w:hanging="708"/>
        <w:jc w:val="both"/>
        <w:rPr>
          <w:rFonts w:hAnsi="宋体" w:cs="宋体"/>
          <w:kern w:val="2"/>
          <w:szCs w:val="21"/>
          <w:highlight w:val="none"/>
          <w:lang w:val="zh-CN"/>
        </w:rPr>
      </w:pPr>
      <w:r>
        <w:rPr>
          <w:rFonts w:hint="eastAsia" w:hAnsi="宋体" w:cs="宋体"/>
          <w:kern w:val="2"/>
          <w:szCs w:val="21"/>
          <w:highlight w:val="none"/>
          <w:lang w:val="zh-CN"/>
        </w:rPr>
        <w:t>“乙方”系指在合同条款中指明的本合同项下提供货物和相关服务的公司或实体。</w:t>
      </w:r>
    </w:p>
    <w:p>
      <w:pPr>
        <w:numPr>
          <w:ilvl w:val="0"/>
          <w:numId w:val="7"/>
        </w:numPr>
        <w:tabs>
          <w:tab w:val="left" w:pos="993"/>
        </w:tabs>
        <w:spacing w:line="360" w:lineRule="auto"/>
        <w:ind w:left="1134" w:hanging="708"/>
        <w:jc w:val="both"/>
        <w:rPr>
          <w:rFonts w:hAnsi="宋体" w:cs="宋体"/>
          <w:kern w:val="2"/>
          <w:szCs w:val="21"/>
          <w:highlight w:val="none"/>
          <w:lang w:val="zh-CN"/>
        </w:rPr>
      </w:pPr>
      <w:r>
        <w:rPr>
          <w:rFonts w:hint="eastAsia" w:hAnsi="宋体" w:cs="宋体"/>
          <w:kern w:val="2"/>
          <w:szCs w:val="21"/>
          <w:highlight w:val="none"/>
          <w:lang w:val="zh-CN"/>
        </w:rPr>
        <w:t>“招标文件”系指由采购代理机构发出的本招标文件，包括全部章节和附件。</w:t>
      </w:r>
    </w:p>
    <w:p>
      <w:pPr>
        <w:numPr>
          <w:ilvl w:val="0"/>
          <w:numId w:val="7"/>
        </w:numPr>
        <w:tabs>
          <w:tab w:val="left" w:pos="993"/>
        </w:tabs>
        <w:spacing w:line="360" w:lineRule="auto"/>
        <w:ind w:left="1134" w:hanging="708"/>
        <w:jc w:val="both"/>
        <w:rPr>
          <w:rFonts w:hAnsi="宋体" w:cs="宋体"/>
          <w:kern w:val="2"/>
          <w:szCs w:val="21"/>
          <w:highlight w:val="none"/>
          <w:lang w:val="zh-CN"/>
        </w:rPr>
      </w:pPr>
      <w:r>
        <w:rPr>
          <w:rFonts w:hint="eastAsia" w:hAnsi="宋体" w:cs="宋体"/>
          <w:kern w:val="2"/>
          <w:szCs w:val="21"/>
          <w:highlight w:val="none"/>
          <w:lang w:val="zh-CN"/>
        </w:rPr>
        <w:t>“投标文件”系指投标人根据本招标文件向采购代理机构提交的全部文件。</w:t>
      </w:r>
    </w:p>
    <w:p>
      <w:pPr>
        <w:numPr>
          <w:ilvl w:val="0"/>
          <w:numId w:val="7"/>
        </w:numPr>
        <w:tabs>
          <w:tab w:val="left" w:pos="993"/>
        </w:tabs>
        <w:spacing w:line="360" w:lineRule="auto"/>
        <w:ind w:left="1134" w:hanging="708"/>
        <w:jc w:val="both"/>
        <w:rPr>
          <w:rFonts w:hAnsi="宋体" w:cs="宋体"/>
          <w:kern w:val="2"/>
          <w:szCs w:val="21"/>
          <w:highlight w:val="none"/>
          <w:lang w:val="zh-CN"/>
        </w:rPr>
      </w:pPr>
      <w:r>
        <w:rPr>
          <w:rFonts w:hint="eastAsia" w:hAnsi="宋体" w:cs="宋体"/>
          <w:kern w:val="2"/>
          <w:szCs w:val="21"/>
          <w:highlight w:val="none"/>
          <w:lang w:val="zh-CN"/>
        </w:rPr>
        <w:t>“书面函件”系统手写、打字或印刷的函件，包括电传、电报和传真。</w:t>
      </w:r>
    </w:p>
    <w:p>
      <w:pPr>
        <w:numPr>
          <w:ilvl w:val="0"/>
          <w:numId w:val="7"/>
        </w:numPr>
        <w:tabs>
          <w:tab w:val="left" w:pos="993"/>
        </w:tabs>
        <w:spacing w:line="360" w:lineRule="auto"/>
        <w:ind w:left="1134" w:hanging="708"/>
        <w:jc w:val="both"/>
        <w:rPr>
          <w:rFonts w:hAnsi="宋体" w:cs="宋体"/>
          <w:kern w:val="2"/>
          <w:szCs w:val="21"/>
          <w:highlight w:val="none"/>
          <w:lang w:val="zh-CN"/>
        </w:rPr>
      </w:pPr>
      <w:r>
        <w:rPr>
          <w:rFonts w:hint="eastAsia" w:hAnsi="宋体" w:cs="宋体"/>
          <w:kern w:val="2"/>
          <w:szCs w:val="21"/>
          <w:highlight w:val="none"/>
          <w:lang w:val="zh-CN"/>
        </w:rPr>
        <w:t>“合同”系统由本次采购所产生的合同或合约文件。</w:t>
      </w:r>
    </w:p>
    <w:p>
      <w:pPr>
        <w:numPr>
          <w:ilvl w:val="0"/>
          <w:numId w:val="7"/>
        </w:numPr>
        <w:tabs>
          <w:tab w:val="left" w:pos="993"/>
        </w:tabs>
        <w:spacing w:line="360" w:lineRule="auto"/>
        <w:ind w:left="1134" w:hanging="708"/>
        <w:jc w:val="both"/>
        <w:rPr>
          <w:rFonts w:hAnsi="宋体" w:cs="宋体"/>
          <w:kern w:val="2"/>
          <w:szCs w:val="21"/>
          <w:highlight w:val="none"/>
          <w:lang w:val="zh-CN"/>
        </w:rPr>
      </w:pPr>
      <w:r>
        <w:rPr>
          <w:rFonts w:hint="eastAsia" w:hAnsi="宋体" w:cs="宋体"/>
          <w:kern w:val="2"/>
          <w:szCs w:val="21"/>
          <w:highlight w:val="none"/>
          <w:lang w:val="zh-CN"/>
        </w:rPr>
        <w:t>“日期”系指公历日。</w:t>
      </w:r>
    </w:p>
    <w:p>
      <w:pPr>
        <w:numPr>
          <w:ilvl w:val="0"/>
          <w:numId w:val="7"/>
        </w:numPr>
        <w:tabs>
          <w:tab w:val="left" w:pos="993"/>
        </w:tabs>
        <w:spacing w:line="360" w:lineRule="auto"/>
        <w:ind w:left="1134" w:hanging="708"/>
        <w:jc w:val="both"/>
        <w:rPr>
          <w:rFonts w:hAnsi="宋体" w:cs="宋体"/>
          <w:kern w:val="2"/>
          <w:szCs w:val="21"/>
          <w:highlight w:val="none"/>
          <w:lang w:val="zh-CN"/>
        </w:rPr>
      </w:pPr>
      <w:r>
        <w:rPr>
          <w:rFonts w:hint="eastAsia" w:hAnsi="宋体" w:cs="宋体"/>
          <w:kern w:val="2"/>
          <w:szCs w:val="21"/>
          <w:highlight w:val="none"/>
          <w:lang w:val="zh-CN"/>
        </w:rPr>
        <w:t>“时间”系指北京时间。</w:t>
      </w:r>
    </w:p>
    <w:p>
      <w:pPr>
        <w:numPr>
          <w:ilvl w:val="0"/>
          <w:numId w:val="7"/>
        </w:numPr>
        <w:tabs>
          <w:tab w:val="left" w:pos="993"/>
        </w:tabs>
        <w:spacing w:line="360" w:lineRule="auto"/>
        <w:ind w:left="1134" w:hanging="708"/>
        <w:jc w:val="both"/>
        <w:rPr>
          <w:rFonts w:hAnsi="宋体" w:cs="宋体"/>
          <w:kern w:val="2"/>
          <w:szCs w:val="21"/>
          <w:highlight w:val="none"/>
          <w:lang w:val="zh-CN"/>
        </w:rPr>
      </w:pPr>
      <w:r>
        <w:rPr>
          <w:rFonts w:hint="eastAsia" w:hAnsi="宋体" w:cs="宋体"/>
          <w:kern w:val="2"/>
          <w:szCs w:val="21"/>
          <w:highlight w:val="none"/>
          <w:lang w:val="zh-CN"/>
        </w:rPr>
        <w:t>“货物”系指投标人须向采购人提供的符合招标文件要求的货物等，其来源地均应为中华人民共和国或与中华人民共和国有官方贸易关系的国家或地区。招标文件中没有提及招标货物来源地的，根据《政府采购法》的相关规定均应是本国货物，优先采购自主创新、节能、环保产品。投标的货物必须是合法生产的符合国家有关标准要求的全新原厂生产的产品，并满足政府采购招标文件规定的规格、参数、质量、价格、有效期、售后服务等要求。所有国内制造的货物必须具备出厂合格证和相关检测报告；所有进口货物必须均为合法正当渠道进口的且具备原产地证明、中国商检证明及合法进货渠道全套单证。在验收货物时，中标供应商必须提供上述全部相关资料及证明文件。</w:t>
      </w:r>
    </w:p>
    <w:p>
      <w:pPr>
        <w:numPr>
          <w:ilvl w:val="0"/>
          <w:numId w:val="7"/>
        </w:numPr>
        <w:tabs>
          <w:tab w:val="left" w:pos="993"/>
        </w:tabs>
        <w:spacing w:line="360" w:lineRule="auto"/>
        <w:ind w:left="1134" w:hanging="708"/>
        <w:jc w:val="both"/>
        <w:rPr>
          <w:rFonts w:hAnsi="宋体" w:cs="宋体"/>
          <w:kern w:val="2"/>
          <w:szCs w:val="21"/>
          <w:highlight w:val="none"/>
          <w:lang w:val="zh-CN"/>
        </w:rPr>
      </w:pPr>
      <w:r>
        <w:rPr>
          <w:rFonts w:hint="eastAsia" w:hAnsi="宋体" w:cs="宋体"/>
          <w:kern w:val="2"/>
          <w:szCs w:val="21"/>
          <w:highlight w:val="none"/>
          <w:lang w:val="zh-CN"/>
        </w:rPr>
        <w:t>“服务”系指与本项目有关的除货物和工程以外的其他政府采购对象，其中包括：投标人须承担的运输、安装、技术支持、培训以及招标文件规定的其它服务。</w:t>
      </w:r>
    </w:p>
    <w:p>
      <w:pPr>
        <w:numPr>
          <w:ilvl w:val="0"/>
          <w:numId w:val="7"/>
        </w:numPr>
        <w:tabs>
          <w:tab w:val="left" w:pos="993"/>
        </w:tabs>
        <w:spacing w:line="360" w:lineRule="auto"/>
        <w:ind w:left="1134" w:hanging="708"/>
        <w:jc w:val="both"/>
        <w:rPr>
          <w:rFonts w:hAnsi="宋体" w:cs="宋体"/>
          <w:kern w:val="2"/>
          <w:szCs w:val="21"/>
          <w:highlight w:val="none"/>
          <w:lang w:val="zh-CN"/>
        </w:rPr>
      </w:pPr>
      <w:r>
        <w:rPr>
          <w:rFonts w:hint="eastAsia" w:hAnsi="宋体" w:cs="宋体"/>
          <w:kern w:val="2"/>
          <w:szCs w:val="21"/>
          <w:highlight w:val="none"/>
          <w:lang w:val="zh-CN"/>
        </w:rPr>
        <w:t xml:space="preserve"> “实质性响应”系指符合招标文件的所有要求、条款、条件和规定，且没有不利于项目实施质量效果和服务保障的重大偏离或保留。</w:t>
      </w:r>
    </w:p>
    <w:p>
      <w:pPr>
        <w:numPr>
          <w:ilvl w:val="0"/>
          <w:numId w:val="7"/>
        </w:numPr>
        <w:tabs>
          <w:tab w:val="left" w:pos="993"/>
        </w:tabs>
        <w:spacing w:line="360" w:lineRule="auto"/>
        <w:ind w:left="1134" w:hanging="708"/>
        <w:jc w:val="both"/>
        <w:rPr>
          <w:rFonts w:hAnsi="宋体" w:cs="宋体"/>
          <w:kern w:val="2"/>
          <w:szCs w:val="21"/>
          <w:highlight w:val="none"/>
          <w:lang w:val="zh-CN"/>
        </w:rPr>
      </w:pPr>
      <w:r>
        <w:rPr>
          <w:rFonts w:hint="eastAsia" w:hAnsi="宋体" w:cs="宋体"/>
          <w:kern w:val="2"/>
          <w:szCs w:val="21"/>
          <w:highlight w:val="none"/>
          <w:lang w:val="zh-CN"/>
        </w:rPr>
        <w:t>“重大偏离或保留”系指影响到招标文件规定的范围、质量和性能或限制了采购人的权力和投标人义务的规定，而纠正这些偏离将影响到其它投标人的公平竞争地位。</w:t>
      </w:r>
    </w:p>
    <w:p>
      <w:pPr>
        <w:numPr>
          <w:ilvl w:val="0"/>
          <w:numId w:val="7"/>
        </w:numPr>
        <w:tabs>
          <w:tab w:val="left" w:pos="846"/>
        </w:tabs>
        <w:spacing w:line="360" w:lineRule="auto"/>
        <w:ind w:left="846" w:hanging="420"/>
        <w:rPr>
          <w:rFonts w:hAnsi="宋体" w:cs="宋体"/>
          <w:kern w:val="2"/>
          <w:szCs w:val="21"/>
          <w:highlight w:val="none"/>
          <w:lang w:val="zh-CN"/>
        </w:rPr>
      </w:pPr>
      <w:r>
        <w:rPr>
          <w:rFonts w:hint="eastAsia" w:hAnsi="宋体" w:cs="宋体"/>
          <w:kern w:val="2"/>
          <w:szCs w:val="21"/>
          <w:highlight w:val="none"/>
          <w:lang w:val="zh-CN"/>
        </w:rPr>
        <w:t>政府采购法第二十二条第一款第五项所称重大违法记录，是指供应商因违法经营受到刑事处罚或责令停产停业、吊销许可证或者执照、较大数额罚款等行政处罚。</w:t>
      </w:r>
    </w:p>
    <w:p>
      <w:pPr>
        <w:spacing w:line="360" w:lineRule="auto"/>
        <w:jc w:val="both"/>
        <w:rPr>
          <w:rFonts w:hAnsi="宋体" w:cs="宋体"/>
          <w:kern w:val="2"/>
          <w:szCs w:val="21"/>
          <w:highlight w:val="none"/>
          <w:lang w:val="zh-CN"/>
        </w:rPr>
      </w:pPr>
      <w:r>
        <w:rPr>
          <w:rFonts w:hint="eastAsia" w:hAnsi="宋体" w:cs="宋体"/>
          <w:kern w:val="2"/>
          <w:szCs w:val="21"/>
          <w:highlight w:val="none"/>
          <w:lang w:val="zh-CN"/>
        </w:rPr>
        <w:t>7.4 知识产权</w:t>
      </w:r>
    </w:p>
    <w:p>
      <w:pPr>
        <w:spacing w:line="360" w:lineRule="auto"/>
        <w:ind w:left="462" w:leftChars="220" w:firstLine="315" w:firstLineChars="150"/>
        <w:rPr>
          <w:rFonts w:hAnsi="宋体" w:cs="宋体"/>
          <w:szCs w:val="21"/>
          <w:highlight w:val="none"/>
          <w:lang w:val="en-GB"/>
        </w:rPr>
      </w:pPr>
      <w:r>
        <w:rPr>
          <w:rFonts w:hint="eastAsia" w:hAnsi="宋体" w:cs="宋体"/>
          <w:szCs w:val="21"/>
          <w:highlight w:val="none"/>
          <w:lang w:val="en-GB"/>
        </w:rPr>
        <w:t>投标人必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8</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招标文件的澄清</w:t>
      </w:r>
    </w:p>
    <w:p>
      <w:pPr>
        <w:tabs>
          <w:tab w:val="left" w:pos="567"/>
        </w:tabs>
        <w:spacing w:line="360" w:lineRule="auto"/>
        <w:ind w:left="567" w:hanging="567"/>
        <w:jc w:val="both"/>
        <w:rPr>
          <w:rFonts w:hAnsi="宋体" w:cs="宋体"/>
          <w:bCs/>
          <w:kern w:val="2"/>
          <w:szCs w:val="21"/>
          <w:highlight w:val="none"/>
          <w:lang w:val="zh-CN"/>
        </w:rPr>
      </w:pPr>
      <w:r>
        <w:rPr>
          <w:rFonts w:hint="eastAsia" w:hAnsi="宋体" w:cs="宋体"/>
          <w:kern w:val="2"/>
          <w:szCs w:val="21"/>
          <w:highlight w:val="none"/>
          <w:lang w:val="zh-CN"/>
        </w:rPr>
        <w:t>8.1</w:t>
      </w:r>
      <w:r>
        <w:rPr>
          <w:rFonts w:hint="eastAsia" w:hAnsi="宋体" w:cs="宋体"/>
          <w:kern w:val="2"/>
          <w:szCs w:val="21"/>
          <w:highlight w:val="none"/>
          <w:lang w:val="zh-CN"/>
        </w:rPr>
        <w:tab/>
      </w:r>
      <w:r>
        <w:rPr>
          <w:rFonts w:hint="eastAsia" w:hAnsi="宋体" w:cs="宋体"/>
          <w:bCs/>
          <w:kern w:val="2"/>
          <w:szCs w:val="21"/>
          <w:highlight w:val="none"/>
          <w:lang w:val="zh-CN"/>
        </w:rPr>
        <w:t>投标人对本招标文件如有技术和商务的疑问，请按投标邀请书中载明的邮政地址以书面形式（包括信函或传真等（应加盖公章），下同）向采购代理机构提出询问, 采购代理机构在三个工作日内对供应商提出的询问作出答复。</w:t>
      </w:r>
    </w:p>
    <w:p>
      <w:pPr>
        <w:tabs>
          <w:tab w:val="left" w:pos="567"/>
        </w:tabs>
        <w:spacing w:line="360" w:lineRule="auto"/>
        <w:ind w:left="567" w:hanging="567"/>
        <w:jc w:val="both"/>
        <w:rPr>
          <w:rFonts w:hAnsi="宋体" w:cs="宋体"/>
          <w:bCs/>
          <w:kern w:val="2"/>
          <w:szCs w:val="21"/>
          <w:highlight w:val="none"/>
          <w:lang w:val="zh-CN"/>
        </w:rPr>
      </w:pPr>
      <w:r>
        <w:rPr>
          <w:rFonts w:hint="eastAsia" w:hAnsi="宋体" w:cs="宋体"/>
          <w:bCs/>
          <w:kern w:val="2"/>
          <w:szCs w:val="21"/>
          <w:highlight w:val="none"/>
          <w:lang w:val="zh-CN"/>
        </w:rPr>
        <w:t>8.2</w:t>
      </w:r>
      <w:r>
        <w:rPr>
          <w:rFonts w:hint="eastAsia" w:hAnsi="宋体" w:cs="宋体"/>
          <w:bCs/>
          <w:kern w:val="2"/>
          <w:szCs w:val="21"/>
          <w:highlight w:val="none"/>
          <w:lang w:val="zh-CN"/>
        </w:rPr>
        <w:tab/>
      </w:r>
      <w:r>
        <w:rPr>
          <w:rFonts w:hint="eastAsia" w:hAnsi="宋体" w:cs="宋体"/>
          <w:bCs/>
          <w:kern w:val="2"/>
          <w:szCs w:val="21"/>
          <w:highlight w:val="none"/>
          <w:lang w:val="zh-CN"/>
        </w:rPr>
        <w:t>根据需要，采购代理机构和采购人可组织相关专家在《投标须知前附表》规定的时间和地点召开投标答疑会，解答投标人在此之前以书面或当场提出的对招标文件的澄清要求，随后以书面形式通知本招标文件的所有收受人。答疑或澄清文件作为招标文件的组成部分，如与招标文件的内容不一致的，以答疑或澄清文件的内容为准。</w:t>
      </w:r>
    </w:p>
    <w:p>
      <w:pPr>
        <w:tabs>
          <w:tab w:val="left" w:pos="567"/>
        </w:tabs>
        <w:spacing w:line="360" w:lineRule="auto"/>
        <w:ind w:left="567" w:hanging="567"/>
        <w:jc w:val="both"/>
        <w:rPr>
          <w:rFonts w:hAnsi="宋体" w:cs="宋体"/>
          <w:bCs/>
          <w:kern w:val="2"/>
          <w:szCs w:val="21"/>
          <w:highlight w:val="none"/>
          <w:lang w:val="zh-CN"/>
        </w:rPr>
      </w:pPr>
      <w:r>
        <w:rPr>
          <w:rFonts w:hint="eastAsia" w:hAnsi="宋体" w:cs="宋体"/>
          <w:bCs/>
          <w:kern w:val="2"/>
          <w:szCs w:val="21"/>
          <w:highlight w:val="none"/>
          <w:lang w:val="zh-CN"/>
        </w:rPr>
        <w:t>8.3  投标人在规定的时间内未对招标文件澄清或提出疑问的，采购代理机构和采购人将视其为无异议。对招标文件中描述有歧意或前后不一致的地方，评标委员会有权进行评判，但对同一条款的评判应适用于每个投标人。</w:t>
      </w:r>
    </w:p>
    <w:p>
      <w:pPr>
        <w:tabs>
          <w:tab w:val="left" w:pos="567"/>
        </w:tabs>
        <w:spacing w:line="360" w:lineRule="auto"/>
        <w:ind w:left="567" w:hanging="567"/>
        <w:jc w:val="both"/>
        <w:rPr>
          <w:rFonts w:hAnsi="宋体" w:cs="宋体"/>
          <w:bCs/>
          <w:kern w:val="2"/>
          <w:szCs w:val="21"/>
          <w:highlight w:val="none"/>
          <w:lang w:val="zh-CN"/>
        </w:rPr>
      </w:pPr>
      <w:r>
        <w:rPr>
          <w:rFonts w:hint="eastAsia" w:hAnsi="宋体" w:cs="宋体"/>
          <w:bCs/>
          <w:kern w:val="2"/>
          <w:szCs w:val="21"/>
          <w:highlight w:val="none"/>
          <w:lang w:val="zh-CN"/>
        </w:rPr>
        <w:t>8.4  招标过程中的一切修改文件或补充文件一旦确认后与招标文件具有同等法律效力，投标人有责任履行相应的义务。</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9</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招标文件的修改</w:t>
      </w:r>
    </w:p>
    <w:p>
      <w:pPr>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9.1</w:t>
      </w:r>
      <w:r>
        <w:rPr>
          <w:rFonts w:hint="eastAsia" w:hAnsi="宋体" w:cs="宋体"/>
          <w:kern w:val="2"/>
          <w:szCs w:val="21"/>
          <w:highlight w:val="none"/>
          <w:lang w:val="zh-CN"/>
        </w:rPr>
        <w:tab/>
      </w:r>
      <w:r>
        <w:rPr>
          <w:rFonts w:hint="eastAsia" w:hAnsi="宋体" w:cs="宋体"/>
          <w:kern w:val="2"/>
          <w:szCs w:val="21"/>
          <w:highlight w:val="none"/>
          <w:lang w:val="zh-CN"/>
        </w:rPr>
        <w:t>在递交投标文件截止日期前的任何时候，无论何故，采购代理机构可主动地或在答复投标人提出澄清的问题,同时经采购人同意后对招标文件进行澄清或修改，但不得改变采购标的和资格条件。澄清或者修改应当在原公告发布媒体上发布澄清公告。澄清或者修改的内容为招标文件、资格预审文件、投标邀请书的组成部分。采购代理机构在投标截止时间至少15日前，以书面的形式通知所有获取招标文件的潜在投标人；不足15日的，采购代理机构应当顺延提交投标文件的截止时间。</w:t>
      </w:r>
    </w:p>
    <w:p>
      <w:pPr>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9.2</w:t>
      </w:r>
      <w:r>
        <w:rPr>
          <w:rFonts w:hint="eastAsia" w:hAnsi="宋体" w:cs="宋体"/>
          <w:kern w:val="2"/>
          <w:szCs w:val="21"/>
          <w:highlight w:val="none"/>
          <w:lang w:val="zh-CN"/>
        </w:rPr>
        <w:tab/>
      </w:r>
      <w:r>
        <w:rPr>
          <w:rFonts w:hint="eastAsia" w:hAnsi="宋体" w:cs="宋体"/>
          <w:kern w:val="2"/>
          <w:szCs w:val="21"/>
          <w:highlight w:val="none"/>
          <w:lang w:val="zh-CN"/>
        </w:rPr>
        <w:t>招标文件的修改将以书面函件形式通知所有购买招标文件的投标人，并对其具有约束力。投标人在收到上述通知后</w:t>
      </w:r>
      <w:r>
        <w:rPr>
          <w:rFonts w:hint="eastAsia" w:hAnsi="宋体" w:cs="宋体"/>
          <w:bCs/>
          <w:kern w:val="2"/>
          <w:szCs w:val="21"/>
          <w:highlight w:val="none"/>
          <w:lang w:val="zh-CN"/>
        </w:rPr>
        <w:t>24小时内</w:t>
      </w:r>
      <w:r>
        <w:rPr>
          <w:rFonts w:hint="eastAsia" w:hAnsi="宋体" w:cs="宋体"/>
          <w:kern w:val="2"/>
          <w:szCs w:val="21"/>
          <w:highlight w:val="none"/>
          <w:lang w:val="zh-CN"/>
        </w:rPr>
        <w:t>应立即以书面</w:t>
      </w:r>
      <w:r>
        <w:rPr>
          <w:rFonts w:hint="eastAsia" w:hAnsi="宋体" w:cs="宋体"/>
          <w:bCs/>
          <w:kern w:val="2"/>
          <w:szCs w:val="21"/>
          <w:highlight w:val="none"/>
          <w:lang w:val="zh-CN"/>
        </w:rPr>
        <w:t>形式（应加盖公章）</w:t>
      </w:r>
      <w:r>
        <w:rPr>
          <w:rFonts w:hint="eastAsia" w:hAnsi="宋体" w:cs="宋体"/>
          <w:kern w:val="2"/>
          <w:szCs w:val="21"/>
          <w:highlight w:val="none"/>
          <w:lang w:val="zh-CN"/>
        </w:rPr>
        <w:t>向采购代理机构确认</w:t>
      </w:r>
      <w:r>
        <w:rPr>
          <w:rFonts w:hint="eastAsia" w:hAnsi="宋体" w:cs="宋体"/>
          <w:bCs/>
          <w:kern w:val="2"/>
          <w:szCs w:val="21"/>
          <w:highlight w:val="none"/>
          <w:lang w:val="zh-CN"/>
        </w:rPr>
        <w:t>，逾期不提交书面确认的，视为已确认。</w:t>
      </w:r>
    </w:p>
    <w:p>
      <w:pPr>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9.3</w:t>
      </w:r>
      <w:r>
        <w:rPr>
          <w:rFonts w:hint="eastAsia" w:hAnsi="宋体" w:cs="宋体"/>
          <w:kern w:val="2"/>
          <w:szCs w:val="21"/>
          <w:highlight w:val="none"/>
          <w:lang w:val="zh-CN"/>
        </w:rPr>
        <w:tab/>
      </w:r>
      <w:r>
        <w:rPr>
          <w:rFonts w:hint="eastAsia" w:hAnsi="宋体" w:cs="宋体"/>
          <w:kern w:val="2"/>
          <w:szCs w:val="21"/>
          <w:highlight w:val="none"/>
          <w:lang w:val="zh-CN"/>
        </w:rPr>
        <w:t>为使投标人在准备投标文件时有合理的时间考虑招标文件的修改，采购代理机构可酌情推迟本项目递交投标文件截止日期，但应发布公告并书面通知所有购买招标文件的潜在投标人。</w:t>
      </w:r>
    </w:p>
    <w:p>
      <w:pPr>
        <w:spacing w:line="360" w:lineRule="auto"/>
        <w:ind w:left="567" w:hanging="567"/>
        <w:jc w:val="both"/>
        <w:rPr>
          <w:rFonts w:hAnsi="宋体" w:cs="宋体"/>
          <w:kern w:val="2"/>
          <w:szCs w:val="21"/>
          <w:highlight w:val="none"/>
          <w:lang w:val="zh-CN"/>
        </w:rPr>
      </w:pPr>
    </w:p>
    <w:p>
      <w:pPr>
        <w:pStyle w:val="6"/>
        <w:spacing w:line="360" w:lineRule="auto"/>
        <w:rPr>
          <w:rFonts w:hAnsi="宋体" w:cs="宋体"/>
          <w:b w:val="0"/>
          <w:bCs/>
          <w:kern w:val="44"/>
          <w:szCs w:val="21"/>
          <w:highlight w:val="none"/>
          <w:lang w:val="zh-CN"/>
        </w:rPr>
      </w:pPr>
      <w:bookmarkStart w:id="2" w:name="_Toc413396491"/>
      <w:r>
        <w:rPr>
          <w:rFonts w:hint="eastAsia" w:hAnsi="宋体" w:cs="宋体"/>
          <w:b w:val="0"/>
          <w:bCs/>
          <w:kern w:val="44"/>
          <w:szCs w:val="21"/>
          <w:highlight w:val="none"/>
          <w:lang w:val="zh-CN"/>
        </w:rPr>
        <w:t>（三）</w:t>
      </w:r>
      <w:r>
        <w:rPr>
          <w:rFonts w:hint="eastAsia" w:hAnsi="宋体" w:cs="宋体"/>
          <w:b w:val="0"/>
          <w:bCs/>
          <w:kern w:val="44"/>
          <w:szCs w:val="21"/>
          <w:highlight w:val="none"/>
          <w:lang w:val="zh-CN"/>
        </w:rPr>
        <w:tab/>
      </w:r>
      <w:r>
        <w:rPr>
          <w:rFonts w:hint="eastAsia" w:hAnsi="宋体" w:cs="宋体"/>
          <w:b w:val="0"/>
          <w:bCs/>
          <w:kern w:val="44"/>
          <w:szCs w:val="21"/>
          <w:highlight w:val="none"/>
          <w:lang w:val="zh-CN"/>
        </w:rPr>
        <w:t>投标文件的编制</w:t>
      </w:r>
      <w:bookmarkEnd w:id="2"/>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10</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投标使用的文字及度量衡单位。</w:t>
      </w:r>
    </w:p>
    <w:p>
      <w:pPr>
        <w:spacing w:line="360" w:lineRule="auto"/>
        <w:ind w:left="525" w:hanging="525" w:hangingChars="250"/>
        <w:jc w:val="both"/>
        <w:rPr>
          <w:rFonts w:hAnsi="宋体" w:cs="宋体"/>
          <w:kern w:val="2"/>
          <w:szCs w:val="21"/>
          <w:highlight w:val="none"/>
          <w:lang w:val="zh-CN"/>
        </w:rPr>
      </w:pPr>
      <w:r>
        <w:rPr>
          <w:rFonts w:hint="eastAsia" w:hAnsi="宋体" w:cs="宋体"/>
          <w:kern w:val="2"/>
          <w:szCs w:val="21"/>
          <w:highlight w:val="none"/>
          <w:lang w:val="zh-CN"/>
        </w:rPr>
        <w:t>10.1  投标人应仔细阅读招标文件的所有内容，并按招标文件的规定及附件要求的内容和格式，提交完整的投标文件，并保证所提供全部资料的真实性，所有不完整的投标将被拒绝。</w:t>
      </w:r>
    </w:p>
    <w:p>
      <w:pPr>
        <w:spacing w:line="360" w:lineRule="auto"/>
        <w:jc w:val="both"/>
        <w:rPr>
          <w:rFonts w:hAnsi="宋体" w:cs="宋体"/>
          <w:kern w:val="2"/>
          <w:szCs w:val="21"/>
          <w:highlight w:val="none"/>
          <w:lang w:val="zh-CN"/>
        </w:rPr>
      </w:pPr>
      <w:r>
        <w:rPr>
          <w:rFonts w:hint="eastAsia" w:hAnsi="宋体" w:cs="宋体"/>
          <w:kern w:val="2"/>
          <w:szCs w:val="21"/>
          <w:highlight w:val="none"/>
          <w:lang w:val="zh-CN"/>
        </w:rPr>
        <w:t>10.2  投标文件使用的度量衡单位采用中华人民共和国法定计量单位。</w:t>
      </w:r>
    </w:p>
    <w:p>
      <w:pPr>
        <w:spacing w:line="360" w:lineRule="auto"/>
        <w:ind w:left="525" w:hanging="525" w:hangingChars="250"/>
        <w:jc w:val="both"/>
        <w:rPr>
          <w:rFonts w:hAnsi="宋体" w:cs="宋体"/>
          <w:kern w:val="2"/>
          <w:szCs w:val="21"/>
          <w:highlight w:val="none"/>
          <w:lang w:val="zh-CN"/>
        </w:rPr>
      </w:pPr>
      <w:r>
        <w:rPr>
          <w:rFonts w:hint="eastAsia" w:hAnsi="宋体" w:cs="宋体"/>
          <w:kern w:val="2"/>
          <w:szCs w:val="21"/>
          <w:highlight w:val="none"/>
          <w:lang w:val="zh-CN"/>
        </w:rPr>
        <w:t>10.3  投标人提交的投标文件以及投标人与采购代理机构就有关投标的所有来往函电均应使用中文。投标人提交的支持文件或印刷的资料可以用另一种语言，但相应内容应附有中文翻译本，对不同文字文本投标文件的解释发生异议的，以中文文本为准。对中文翻译有异议的，以权威机构的译本为准。</w:t>
      </w:r>
    </w:p>
    <w:p>
      <w:pPr>
        <w:tabs>
          <w:tab w:val="left" w:pos="720"/>
          <w:tab w:val="left" w:pos="3460"/>
        </w:tabs>
        <w:spacing w:line="360" w:lineRule="auto"/>
        <w:ind w:left="525" w:hanging="525" w:hangingChars="250"/>
        <w:jc w:val="both"/>
        <w:rPr>
          <w:rFonts w:hAnsi="宋体" w:cs="宋体"/>
          <w:kern w:val="2"/>
          <w:szCs w:val="21"/>
          <w:highlight w:val="none"/>
          <w:lang w:val="zh-CN"/>
        </w:rPr>
      </w:pPr>
      <w:r>
        <w:rPr>
          <w:rFonts w:hint="eastAsia" w:hAnsi="宋体" w:cs="宋体"/>
          <w:kern w:val="2"/>
          <w:szCs w:val="21"/>
          <w:highlight w:val="none"/>
          <w:lang w:val="zh-CN"/>
        </w:rPr>
        <w:t>10.4  招标文件中，如标有“★”的条款均为必须完全满足指标，投标人须进行实质性响应，投标人若有一项带“★”的条款未响应或不满足，将按无效投标处理。</w:t>
      </w:r>
    </w:p>
    <w:p>
      <w:pPr>
        <w:tabs>
          <w:tab w:val="left" w:pos="720"/>
          <w:tab w:val="left" w:pos="3460"/>
        </w:tabs>
        <w:spacing w:line="360" w:lineRule="auto"/>
        <w:ind w:left="525" w:hanging="525" w:hangingChars="250"/>
        <w:jc w:val="both"/>
        <w:rPr>
          <w:rFonts w:hAnsi="宋体" w:cs="宋体"/>
          <w:kern w:val="2"/>
          <w:szCs w:val="21"/>
          <w:highlight w:val="none"/>
          <w:lang w:val="zh-CN"/>
        </w:rPr>
      </w:pPr>
      <w:r>
        <w:rPr>
          <w:rFonts w:hint="eastAsia" w:hAnsi="宋体" w:cs="宋体"/>
          <w:kern w:val="2"/>
          <w:szCs w:val="21"/>
          <w:highlight w:val="none"/>
          <w:lang w:val="zh-CN"/>
        </w:rPr>
        <w:t>10.5  招标文件中，如标有“▲”的条款均为评审的重要评分指标，投标人若有部分“▲”条款未响应或不满足，将导致其响应性评审严重扣分。</w:t>
      </w:r>
    </w:p>
    <w:p>
      <w:pPr>
        <w:tabs>
          <w:tab w:val="left" w:pos="720"/>
          <w:tab w:val="left" w:pos="3460"/>
        </w:tabs>
        <w:spacing w:line="360" w:lineRule="auto"/>
        <w:ind w:left="525" w:hanging="525" w:hangingChars="250"/>
        <w:jc w:val="both"/>
        <w:rPr>
          <w:rFonts w:hAnsi="宋体" w:cs="宋体"/>
          <w:kern w:val="2"/>
          <w:szCs w:val="21"/>
          <w:highlight w:val="none"/>
          <w:lang w:val="zh-CN"/>
        </w:rPr>
      </w:pPr>
      <w:r>
        <w:rPr>
          <w:rFonts w:hint="eastAsia" w:hAnsi="宋体" w:cs="宋体"/>
          <w:kern w:val="2"/>
          <w:szCs w:val="21"/>
          <w:highlight w:val="none"/>
          <w:lang w:val="zh-CN"/>
        </w:rPr>
        <w:t>10.6  投标人应对投标内容提供完整的、详细的、清晰的技术说明，如投标人对指定的技术要求建议做任何改动，应在投标文件中清楚地注明；投标人对招标文件的对应要求应当给予唯一的实质性响应，否则将视为不响应。技术参数要求中标注有具体数值要求的，投标人必须在技术规格响应表中标注实际数值，不标注数值者视为不响应。投标人应在投标文件中提供投标产品彩页或相应技术参数的厂家使用说明书复印件作为技术证明文件，否则评标委员会有权视相应技术参数响应不符合招标要求。（如厂家的产品使用说明书为英文版，请同时提供中文版）</w:t>
      </w:r>
    </w:p>
    <w:p>
      <w:pPr>
        <w:tabs>
          <w:tab w:val="left" w:pos="720"/>
          <w:tab w:val="left" w:pos="3460"/>
        </w:tabs>
        <w:spacing w:line="360" w:lineRule="auto"/>
        <w:ind w:left="525" w:hanging="525" w:hangingChars="250"/>
        <w:jc w:val="both"/>
        <w:rPr>
          <w:rFonts w:hAnsi="宋体" w:cs="宋体"/>
          <w:kern w:val="2"/>
          <w:szCs w:val="21"/>
          <w:highlight w:val="none"/>
          <w:lang w:val="zh-CN"/>
        </w:rPr>
      </w:pPr>
      <w:r>
        <w:rPr>
          <w:rFonts w:hint="eastAsia" w:hAnsi="宋体" w:cs="宋体"/>
          <w:kern w:val="2"/>
          <w:szCs w:val="21"/>
          <w:highlight w:val="none"/>
          <w:lang w:val="zh-CN"/>
        </w:rPr>
        <w:t>10.7  投标人响应招标需求应具体、明确，含糊不清、不确切、直接复制招标文件中技术规格或参数要求的，或伪造、变造证明材料的，按照不完全响应或完全不响应处理。构成提供虚假材料的，移送监管部门查处。</w:t>
      </w:r>
    </w:p>
    <w:p>
      <w:pPr>
        <w:tabs>
          <w:tab w:val="left" w:pos="720"/>
          <w:tab w:val="left" w:pos="3460"/>
        </w:tabs>
        <w:spacing w:line="360" w:lineRule="auto"/>
        <w:ind w:left="525" w:hanging="525" w:hangingChars="250"/>
        <w:jc w:val="both"/>
        <w:rPr>
          <w:rFonts w:hAnsi="宋体" w:cs="宋体"/>
          <w:kern w:val="2"/>
          <w:szCs w:val="21"/>
          <w:highlight w:val="none"/>
          <w:lang w:val="zh-CN"/>
        </w:rPr>
      </w:pPr>
      <w:r>
        <w:rPr>
          <w:rFonts w:hint="eastAsia" w:hAnsi="宋体" w:cs="宋体"/>
          <w:kern w:val="2"/>
          <w:szCs w:val="21"/>
          <w:highlight w:val="none"/>
          <w:lang w:val="zh-CN"/>
        </w:rPr>
        <w:t>10.8  投标人对招标文件的商务合同不允许实质性偏离，否则将视为不响应。</w:t>
      </w:r>
    </w:p>
    <w:p>
      <w:pPr>
        <w:tabs>
          <w:tab w:val="left" w:pos="720"/>
          <w:tab w:val="left" w:pos="3460"/>
        </w:tabs>
        <w:spacing w:line="360" w:lineRule="auto"/>
        <w:ind w:left="525" w:hanging="525" w:hangingChars="250"/>
        <w:jc w:val="both"/>
        <w:rPr>
          <w:rFonts w:hAnsi="宋体" w:cs="宋体"/>
          <w:kern w:val="2"/>
          <w:szCs w:val="21"/>
          <w:highlight w:val="none"/>
          <w:lang w:val="zh-CN"/>
        </w:rPr>
      </w:pPr>
      <w:r>
        <w:rPr>
          <w:rFonts w:hint="eastAsia" w:hAnsi="宋体" w:cs="宋体"/>
          <w:kern w:val="2"/>
          <w:szCs w:val="21"/>
          <w:highlight w:val="none"/>
          <w:lang w:val="zh-CN"/>
        </w:rPr>
        <w:t>10.9  资格文件视为投标文件不可分割的一部份，投标人应提供相关证件、证明文件的复印件，否则，评标委员会有权不予采信。评审结果确定后，招标代理机构将按照采购人的要求通知评标委员会推荐的第一中标候选人在2个工作日内，按招标文件中所列需要核对原件的资料（标注“○”的文件），包括相关证件、证明文件、合同、中标通知书或验收报告等的原件送采购人核对与投标文件中的复印件是否一致。投标人的相关证件、证明文件、合同和其他文件的原件、复印件没有按招标文件规定提交或提交的原件与复印件不一致的，其投标无效。</w:t>
      </w:r>
    </w:p>
    <w:p>
      <w:pPr>
        <w:tabs>
          <w:tab w:val="left" w:pos="720"/>
          <w:tab w:val="left" w:pos="3460"/>
        </w:tabs>
        <w:spacing w:line="360" w:lineRule="auto"/>
        <w:ind w:left="525" w:hanging="525" w:hangingChars="250"/>
        <w:jc w:val="both"/>
        <w:rPr>
          <w:rFonts w:hAnsi="宋体" w:cs="宋体"/>
          <w:kern w:val="2"/>
          <w:szCs w:val="21"/>
          <w:highlight w:val="none"/>
          <w:lang w:val="zh-CN"/>
        </w:rPr>
      </w:pPr>
      <w:r>
        <w:rPr>
          <w:rFonts w:hint="eastAsia" w:hAnsi="宋体" w:cs="宋体"/>
          <w:kern w:val="2"/>
          <w:szCs w:val="21"/>
          <w:highlight w:val="none"/>
          <w:lang w:val="zh-CN"/>
        </w:rPr>
        <w:t>10.10  投标文件按规定加盖的投标人公章必须为企业投标人公章，且与投标人名称一致，不能以其它业务章或附属机构章代替。需签名之处必须由当事人</w:t>
      </w:r>
      <w:r>
        <w:rPr>
          <w:rFonts w:hint="eastAsia" w:hAnsi="宋体" w:cs="宋体"/>
          <w:szCs w:val="21"/>
          <w:highlight w:val="none"/>
        </w:rPr>
        <w:t>签字或盖章</w:t>
      </w:r>
      <w:r>
        <w:rPr>
          <w:rFonts w:hint="eastAsia" w:hAnsi="宋体" w:cs="宋体"/>
          <w:kern w:val="2"/>
          <w:szCs w:val="21"/>
          <w:highlight w:val="none"/>
          <w:lang w:val="zh-CN"/>
        </w:rPr>
        <w:t>。</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11</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投标文件的组成</w:t>
      </w:r>
    </w:p>
    <w:p>
      <w:pPr>
        <w:spacing w:line="360" w:lineRule="auto"/>
        <w:ind w:left="630" w:hanging="630" w:hangingChars="300"/>
        <w:jc w:val="both"/>
        <w:rPr>
          <w:rFonts w:hAnsi="宋体" w:cs="宋体"/>
          <w:kern w:val="2"/>
          <w:szCs w:val="21"/>
          <w:highlight w:val="none"/>
          <w:lang w:val="zh-CN"/>
        </w:rPr>
      </w:pPr>
      <w:r>
        <w:rPr>
          <w:rFonts w:hint="eastAsia" w:hAnsi="宋体" w:cs="宋体"/>
          <w:kern w:val="2"/>
          <w:szCs w:val="21"/>
          <w:highlight w:val="none"/>
          <w:lang w:val="zh-CN"/>
        </w:rPr>
        <w:t>11.1 投标文件由自查表、商务技术文件、经济文件组成，三部分合编成一本文件</w:t>
      </w:r>
      <w:r>
        <w:rPr>
          <w:rFonts w:hint="eastAsia" w:hAnsi="宋体" w:cs="宋体"/>
          <w:szCs w:val="21"/>
          <w:highlight w:val="none"/>
          <w:lang w:val="zh-CN"/>
        </w:rPr>
        <w:t>（格式见第五篇投标文件格式）</w:t>
      </w:r>
      <w:r>
        <w:rPr>
          <w:rFonts w:hint="eastAsia" w:hAnsi="宋体" w:cs="宋体"/>
          <w:kern w:val="2"/>
          <w:szCs w:val="21"/>
          <w:highlight w:val="none"/>
          <w:lang w:val="zh-CN"/>
        </w:rPr>
        <w:t>。</w:t>
      </w:r>
    </w:p>
    <w:p>
      <w:pPr>
        <w:spacing w:line="360" w:lineRule="auto"/>
        <w:ind w:firstLine="422"/>
        <w:rPr>
          <w:rFonts w:hAnsi="宋体" w:cs="宋体"/>
          <w:bCs/>
          <w:szCs w:val="21"/>
          <w:highlight w:val="none"/>
          <w:lang w:val="zh-CN"/>
        </w:rPr>
      </w:pPr>
      <w:r>
        <w:rPr>
          <w:rFonts w:hint="eastAsia" w:hAnsi="宋体" w:cs="宋体"/>
          <w:bCs/>
          <w:szCs w:val="21"/>
          <w:highlight w:val="none"/>
          <w:lang w:val="zh-CN"/>
        </w:rPr>
        <w:t>第一节、自查表</w:t>
      </w:r>
    </w:p>
    <w:p>
      <w:pPr>
        <w:spacing w:line="360" w:lineRule="auto"/>
        <w:ind w:firstLine="422"/>
        <w:rPr>
          <w:rFonts w:hAnsi="宋体" w:cs="宋体"/>
          <w:bCs/>
          <w:kern w:val="2"/>
          <w:szCs w:val="21"/>
          <w:highlight w:val="none"/>
          <w:lang w:val="zh-CN"/>
        </w:rPr>
      </w:pPr>
      <w:r>
        <w:rPr>
          <w:rFonts w:hint="eastAsia" w:hAnsi="宋体" w:cs="宋体"/>
          <w:bCs/>
          <w:szCs w:val="21"/>
          <w:highlight w:val="none"/>
          <w:lang w:val="zh-CN"/>
        </w:rPr>
        <w:t>第二节、</w:t>
      </w:r>
      <w:r>
        <w:rPr>
          <w:rFonts w:hint="eastAsia" w:hAnsi="宋体" w:cs="宋体"/>
          <w:bCs/>
          <w:kern w:val="2"/>
          <w:szCs w:val="21"/>
          <w:highlight w:val="none"/>
          <w:lang w:val="zh-CN"/>
        </w:rPr>
        <w:t>商务技术文件</w:t>
      </w:r>
    </w:p>
    <w:p>
      <w:pPr>
        <w:spacing w:line="360" w:lineRule="auto"/>
        <w:ind w:firstLine="422"/>
        <w:rPr>
          <w:rFonts w:hAnsi="宋体" w:cs="宋体"/>
          <w:bCs/>
          <w:szCs w:val="21"/>
          <w:highlight w:val="none"/>
        </w:rPr>
      </w:pPr>
      <w:r>
        <w:rPr>
          <w:rFonts w:hint="eastAsia" w:hAnsi="宋体" w:cs="宋体"/>
          <w:bCs/>
          <w:szCs w:val="21"/>
          <w:highlight w:val="none"/>
          <w:lang w:val="zh-CN"/>
        </w:rPr>
        <w:t>第三节、经济文件</w:t>
      </w:r>
    </w:p>
    <w:p>
      <w:pPr>
        <w:spacing w:line="360" w:lineRule="auto"/>
        <w:jc w:val="both"/>
        <w:rPr>
          <w:rFonts w:hAnsi="宋体" w:cs="宋体"/>
          <w:bCs/>
          <w:szCs w:val="21"/>
          <w:highlight w:val="none"/>
          <w:lang w:val="zh-CN"/>
        </w:rPr>
      </w:pPr>
      <w:r>
        <w:rPr>
          <w:rFonts w:hint="eastAsia" w:hAnsi="宋体" w:cs="宋体"/>
          <w:szCs w:val="21"/>
          <w:highlight w:val="none"/>
        </w:rPr>
        <w:t>11</w:t>
      </w:r>
      <w:r>
        <w:rPr>
          <w:rFonts w:hint="eastAsia" w:hAnsi="宋体" w:cs="宋体"/>
          <w:bCs/>
          <w:kern w:val="2"/>
          <w:szCs w:val="21"/>
          <w:highlight w:val="none"/>
          <w:lang w:val="zh-CN"/>
        </w:rPr>
        <w:t>.2 唱标信封</w:t>
      </w:r>
    </w:p>
    <w:p>
      <w:pPr>
        <w:spacing w:line="360" w:lineRule="auto"/>
        <w:ind w:firstLine="210" w:firstLineChars="100"/>
        <w:jc w:val="both"/>
        <w:rPr>
          <w:rFonts w:hAnsi="宋体" w:cs="宋体"/>
          <w:bCs/>
          <w:kern w:val="2"/>
          <w:szCs w:val="21"/>
          <w:highlight w:val="none"/>
          <w:lang w:val="zh-CN"/>
        </w:rPr>
      </w:pPr>
      <w:r>
        <w:rPr>
          <w:rFonts w:hint="eastAsia" w:hAnsi="宋体" w:cs="宋体"/>
          <w:bCs/>
          <w:kern w:val="2"/>
          <w:szCs w:val="21"/>
          <w:highlight w:val="none"/>
          <w:lang w:val="zh-CN"/>
        </w:rPr>
        <w:t>1)  投标函（从投标文件正本中复印，加盖投标人公章）；</w:t>
      </w:r>
    </w:p>
    <w:p>
      <w:pPr>
        <w:spacing w:line="360" w:lineRule="auto"/>
        <w:ind w:firstLine="210" w:firstLineChars="100"/>
        <w:jc w:val="both"/>
        <w:rPr>
          <w:rFonts w:hAnsi="宋体" w:cs="宋体"/>
          <w:bCs/>
          <w:kern w:val="2"/>
          <w:szCs w:val="21"/>
          <w:highlight w:val="none"/>
          <w:lang w:val="zh-CN"/>
        </w:rPr>
      </w:pPr>
      <w:r>
        <w:rPr>
          <w:rFonts w:hint="eastAsia" w:hAnsi="宋体" w:cs="宋体"/>
          <w:bCs/>
          <w:kern w:val="2"/>
          <w:szCs w:val="21"/>
          <w:highlight w:val="none"/>
          <w:lang w:val="zh-CN"/>
        </w:rPr>
        <w:t>2)  投标报价总表（从投标文件正本中复印，该表内容如与正本不一致的，以正本内容为准，加盖投标人公章）；</w:t>
      </w:r>
    </w:p>
    <w:p>
      <w:pPr>
        <w:spacing w:line="360" w:lineRule="auto"/>
        <w:ind w:firstLine="210" w:firstLineChars="100"/>
        <w:jc w:val="both"/>
        <w:rPr>
          <w:rFonts w:hAnsi="宋体" w:cs="宋体"/>
          <w:bCs/>
          <w:kern w:val="2"/>
          <w:szCs w:val="21"/>
          <w:highlight w:val="none"/>
          <w:lang w:val="zh-CN"/>
        </w:rPr>
      </w:pPr>
      <w:r>
        <w:rPr>
          <w:rFonts w:hint="eastAsia" w:hAnsi="宋体" w:cs="宋体"/>
          <w:bCs/>
          <w:kern w:val="2"/>
          <w:szCs w:val="21"/>
          <w:highlight w:val="none"/>
          <w:lang w:val="zh-CN"/>
        </w:rPr>
        <w:t>3） 法定代表人\负责人证明书及法人授权证明书（原件）；</w:t>
      </w:r>
    </w:p>
    <w:p>
      <w:pPr>
        <w:spacing w:line="360" w:lineRule="auto"/>
        <w:ind w:firstLine="210" w:firstLineChars="100"/>
        <w:jc w:val="both"/>
        <w:rPr>
          <w:rFonts w:hAnsi="宋体" w:cs="宋体"/>
          <w:bCs/>
          <w:kern w:val="2"/>
          <w:szCs w:val="21"/>
          <w:highlight w:val="none"/>
          <w:lang w:val="zh-CN"/>
        </w:rPr>
      </w:pPr>
      <w:r>
        <w:rPr>
          <w:rFonts w:hint="eastAsia" w:hAnsi="宋体" w:cs="宋体"/>
          <w:bCs/>
          <w:kern w:val="2"/>
          <w:szCs w:val="21"/>
          <w:highlight w:val="none"/>
          <w:lang w:val="zh-CN"/>
        </w:rPr>
        <w:t>4） 电子文件（含投标文件经济文件、商务技术文件, 电子投标文件采用U盘装载，其中经济部分需用MS office的excel格式提供。）</w:t>
      </w:r>
    </w:p>
    <w:p>
      <w:pPr>
        <w:spacing w:line="360" w:lineRule="auto"/>
        <w:rPr>
          <w:rFonts w:hAnsi="宋体" w:cs="宋体"/>
          <w:szCs w:val="21"/>
          <w:highlight w:val="none"/>
        </w:rPr>
      </w:pPr>
      <w:r>
        <w:rPr>
          <w:rFonts w:hint="eastAsia" w:hAnsi="宋体" w:cs="宋体"/>
          <w:szCs w:val="21"/>
          <w:highlight w:val="none"/>
          <w:lang w:val="zh-CN"/>
        </w:rPr>
        <w:t>11.3 投标人编制投标文件必须包括但不限于上述内容。</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12</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投标报价</w:t>
      </w:r>
    </w:p>
    <w:p>
      <w:pPr>
        <w:autoSpaceDE/>
        <w:autoSpaceDN/>
        <w:adjustRightInd/>
        <w:spacing w:line="360" w:lineRule="auto"/>
        <w:ind w:left="630" w:hanging="630" w:hangingChars="300"/>
        <w:rPr>
          <w:rFonts w:hAnsi="宋体" w:cs="宋体"/>
          <w:kern w:val="2"/>
          <w:szCs w:val="21"/>
          <w:highlight w:val="none"/>
          <w:lang w:val="zh-CN"/>
        </w:rPr>
      </w:pPr>
      <w:r>
        <w:rPr>
          <w:rFonts w:hint="eastAsia" w:hAnsi="宋体" w:cs="宋体"/>
          <w:kern w:val="2"/>
          <w:szCs w:val="21"/>
          <w:highlight w:val="none"/>
          <w:lang w:val="zh-CN"/>
        </w:rPr>
        <w:t>12.1</w:t>
      </w:r>
      <w:r>
        <w:rPr>
          <w:rFonts w:hint="eastAsia" w:hAnsi="宋体" w:cs="宋体"/>
          <w:kern w:val="2"/>
          <w:szCs w:val="21"/>
          <w:highlight w:val="none"/>
          <w:lang w:val="zh-CN"/>
        </w:rPr>
        <w:tab/>
      </w:r>
      <w:r>
        <w:rPr>
          <w:rFonts w:hint="eastAsia" w:hAnsi="宋体" w:cs="宋体"/>
          <w:szCs w:val="21"/>
          <w:highlight w:val="none"/>
        </w:rPr>
        <w:t>本次招标必须对该项目的全部内容进行报价，少报漏报将导致其无效。</w:t>
      </w:r>
    </w:p>
    <w:p>
      <w:pPr>
        <w:tabs>
          <w:tab w:val="left" w:pos="720"/>
          <w:tab w:val="left" w:pos="3460"/>
        </w:tabs>
        <w:spacing w:line="360" w:lineRule="auto"/>
        <w:ind w:left="525" w:hanging="525" w:hangingChars="250"/>
        <w:jc w:val="both"/>
        <w:rPr>
          <w:rFonts w:hAnsi="宋体" w:cs="宋体"/>
          <w:kern w:val="2"/>
          <w:szCs w:val="21"/>
          <w:highlight w:val="none"/>
          <w:lang w:val="zh-CN"/>
        </w:rPr>
      </w:pPr>
      <w:r>
        <w:rPr>
          <w:rFonts w:hint="eastAsia" w:hAnsi="宋体" w:cs="宋体"/>
          <w:kern w:val="2"/>
          <w:szCs w:val="21"/>
          <w:highlight w:val="none"/>
          <w:lang w:val="zh-CN"/>
        </w:rPr>
        <w:t>12.2  投标人投标总价是以投标人可独立完成本项目，并在通过准确核算后，可满足预期实施效果、验收标准和符合自身合法利益的前提下所作出的综合性合理最终含税报价，对在投标文件和合同书中未有明确列述、投标方案设计遗漏失误、市场剧变、汇率、利率因素和不可预见的费用等均视为已完全考虑到并包括在投标总价之内。投标人应自行增加项目正常、合法、安全运行及使用所必需但招标文件没有列明或包含的内容及费用，并在投标文件中加以详细说明，如果投标人在中标并签署合同后，在提供招标范围内的服务工作中出现的任何遗漏，均由中标人免费提供，采购人将不再支付任何费用。对超出常规、具有特别意义或会引起竞争非议的报价须作出特别说明。</w:t>
      </w:r>
    </w:p>
    <w:p>
      <w:pPr>
        <w:tabs>
          <w:tab w:val="left" w:pos="567"/>
        </w:tabs>
        <w:spacing w:line="360" w:lineRule="auto"/>
        <w:ind w:left="567" w:hanging="567"/>
        <w:jc w:val="both"/>
        <w:rPr>
          <w:rFonts w:hAnsi="宋体" w:cs="宋体"/>
          <w:szCs w:val="21"/>
          <w:highlight w:val="none"/>
        </w:rPr>
      </w:pPr>
      <w:r>
        <w:rPr>
          <w:rFonts w:hint="eastAsia" w:hAnsi="宋体" w:cs="宋体"/>
          <w:kern w:val="2"/>
          <w:szCs w:val="21"/>
          <w:highlight w:val="none"/>
          <w:lang w:val="zh-CN"/>
        </w:rPr>
        <w:t>12.3</w:t>
      </w:r>
      <w:r>
        <w:rPr>
          <w:rFonts w:hint="eastAsia" w:hAnsi="宋体" w:cs="宋体"/>
          <w:kern w:val="2"/>
          <w:szCs w:val="21"/>
          <w:highlight w:val="none"/>
          <w:lang w:val="zh-CN"/>
        </w:rPr>
        <w:tab/>
      </w:r>
      <w:r>
        <w:rPr>
          <w:rFonts w:hint="eastAsia" w:hAnsi="宋体" w:cs="宋体"/>
          <w:szCs w:val="21"/>
          <w:highlight w:val="none"/>
        </w:rPr>
        <w:t>投标报价不是唯一的或不是固定不变的投标文件将被作为非响应性投标而予以拒绝。投标人所报的投标价在合同执行期间是固定不变的，投标人不得以任何理由予以变更。</w:t>
      </w:r>
    </w:p>
    <w:p>
      <w:pPr>
        <w:autoSpaceDE/>
        <w:autoSpaceDN/>
        <w:adjustRightInd/>
        <w:spacing w:line="360" w:lineRule="auto"/>
        <w:ind w:left="630" w:hanging="630" w:hangingChars="300"/>
        <w:rPr>
          <w:rFonts w:hAnsi="宋体" w:cs="宋体"/>
          <w:szCs w:val="21"/>
          <w:highlight w:val="none"/>
        </w:rPr>
      </w:pPr>
      <w:r>
        <w:rPr>
          <w:rFonts w:hint="eastAsia" w:hAnsi="宋体" w:cs="宋体"/>
          <w:kern w:val="2"/>
          <w:szCs w:val="21"/>
          <w:highlight w:val="none"/>
          <w:lang w:val="zh-CN"/>
        </w:rPr>
        <w:t>12.4</w:t>
      </w:r>
      <w:r>
        <w:rPr>
          <w:rFonts w:hint="eastAsia" w:hAnsi="宋体" w:cs="宋体"/>
          <w:kern w:val="2"/>
          <w:szCs w:val="21"/>
          <w:highlight w:val="none"/>
          <w:lang w:val="zh-CN"/>
        </w:rPr>
        <w:tab/>
      </w:r>
      <w:r>
        <w:rPr>
          <w:rFonts w:hint="eastAsia" w:hAnsi="宋体" w:cs="宋体"/>
          <w:szCs w:val="21"/>
          <w:highlight w:val="none"/>
        </w:rPr>
        <w:t>合同项下，买方需要的服务和附带备品、配件所需的费用，如果投标人是另外单独报价的，评分时计入投标报价总价。确定中标人后，在合同规定的承包范围内中标人不得以任何理由追加设备费用、辅材费用或其他费用。</w:t>
      </w:r>
    </w:p>
    <w:p>
      <w:pPr>
        <w:spacing w:line="360" w:lineRule="auto"/>
        <w:ind w:left="567" w:hanging="567"/>
        <w:jc w:val="both"/>
        <w:rPr>
          <w:rFonts w:hAnsi="宋体" w:cs="宋体"/>
          <w:bCs/>
          <w:szCs w:val="21"/>
          <w:highlight w:val="none"/>
        </w:rPr>
      </w:pPr>
      <w:r>
        <w:rPr>
          <w:rFonts w:hint="eastAsia" w:hAnsi="宋体" w:cs="宋体"/>
          <w:kern w:val="2"/>
          <w:szCs w:val="21"/>
          <w:highlight w:val="none"/>
          <w:lang w:val="zh-CN"/>
        </w:rPr>
        <w:t>12.5</w:t>
      </w:r>
      <w:r>
        <w:rPr>
          <w:rFonts w:hint="eastAsia" w:hAnsi="宋体" w:cs="宋体"/>
          <w:kern w:val="2"/>
          <w:szCs w:val="21"/>
          <w:highlight w:val="none"/>
          <w:lang w:val="zh-CN"/>
        </w:rPr>
        <w:tab/>
      </w:r>
      <w:r>
        <w:rPr>
          <w:rFonts w:hint="eastAsia" w:hAnsi="宋体" w:cs="宋体"/>
          <w:bCs/>
          <w:szCs w:val="21"/>
          <w:highlight w:val="none"/>
        </w:rPr>
        <w:t>本次招标实行“最高限价”制度。投标人的投标报价高于最高限价的，该投标人的投标文件将被视为非响应性报价予以废标。</w:t>
      </w:r>
    </w:p>
    <w:p>
      <w:pPr>
        <w:tabs>
          <w:tab w:val="left" w:pos="720"/>
          <w:tab w:val="left" w:pos="3460"/>
        </w:tabs>
        <w:spacing w:line="360" w:lineRule="auto"/>
        <w:ind w:left="525" w:hanging="525" w:hangingChars="250"/>
        <w:jc w:val="both"/>
        <w:rPr>
          <w:rFonts w:hAnsi="宋体" w:cs="宋体"/>
          <w:kern w:val="2"/>
          <w:szCs w:val="21"/>
          <w:highlight w:val="none"/>
          <w:lang w:val="zh-CN"/>
        </w:rPr>
      </w:pPr>
      <w:r>
        <w:rPr>
          <w:rFonts w:hint="eastAsia" w:hAnsi="宋体" w:cs="宋体"/>
          <w:kern w:val="2"/>
          <w:szCs w:val="21"/>
          <w:highlight w:val="none"/>
          <w:lang w:val="zh-CN"/>
        </w:rPr>
        <w:t>12.6  投标人必须以人民币报价，以其它货币标价的投标将予以拒绝。投标文件的大写金额和小写金额不一致的，以大写金额为准；总价金额与按单价汇总金额不一致的，以单价金额计算结果为准；单价金额小数点有明显错位的，应以总价为准，并修改单价。</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13</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证明投标人的合格性的证明文件</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13.1</w:t>
      </w:r>
      <w:r>
        <w:rPr>
          <w:rFonts w:hint="eastAsia" w:hAnsi="宋体" w:cs="宋体"/>
          <w:kern w:val="2"/>
          <w:szCs w:val="21"/>
          <w:highlight w:val="none"/>
          <w:lang w:val="zh-CN"/>
        </w:rPr>
        <w:tab/>
      </w:r>
      <w:r>
        <w:rPr>
          <w:rFonts w:hint="eastAsia" w:hAnsi="宋体" w:cs="宋体"/>
          <w:kern w:val="2"/>
          <w:szCs w:val="21"/>
          <w:highlight w:val="none"/>
          <w:lang w:val="zh-CN"/>
        </w:rPr>
        <w:t>根据</w:t>
      </w:r>
      <w:r>
        <w:rPr>
          <w:highlight w:val="none"/>
        </w:rPr>
        <w:fldChar w:fldCharType="begin"/>
      </w:r>
      <w:r>
        <w:rPr>
          <w:highlight w:val="none"/>
        </w:rPr>
        <w:instrText xml:space="preserve"> HYPERLINK "l%20" </w:instrText>
      </w:r>
      <w:r>
        <w:rPr>
          <w:highlight w:val="none"/>
        </w:rPr>
        <w:fldChar w:fldCharType="separate"/>
      </w:r>
      <w:r>
        <w:rPr>
          <w:rFonts w:hint="eastAsia" w:hAnsi="宋体" w:cs="宋体"/>
          <w:kern w:val="2"/>
          <w:szCs w:val="21"/>
          <w:highlight w:val="none"/>
          <w:lang w:val="zh-CN"/>
        </w:rPr>
        <w:t>第13.2款</w:t>
      </w:r>
      <w:r>
        <w:rPr>
          <w:rFonts w:hint="eastAsia" w:hAnsi="宋体" w:cs="宋体"/>
          <w:kern w:val="2"/>
          <w:szCs w:val="21"/>
          <w:highlight w:val="none"/>
          <w:lang w:val="zh-CN"/>
        </w:rPr>
        <w:fldChar w:fldCharType="end"/>
      </w:r>
      <w:r>
        <w:rPr>
          <w:rFonts w:hint="eastAsia" w:hAnsi="宋体" w:cs="宋体"/>
          <w:kern w:val="2"/>
          <w:szCs w:val="21"/>
          <w:highlight w:val="none"/>
          <w:lang w:val="zh-CN"/>
        </w:rPr>
        <w:t>规定，投标人须提交证明其有资格进行投标和有能力履行合同的文件，作为投标文件的一部分。</w:t>
      </w:r>
    </w:p>
    <w:p>
      <w:pPr>
        <w:spacing w:line="360" w:lineRule="auto"/>
        <w:ind w:left="567" w:hanging="567"/>
        <w:jc w:val="both"/>
        <w:rPr>
          <w:rFonts w:hAnsi="宋体" w:cs="宋体"/>
          <w:kern w:val="2"/>
          <w:szCs w:val="21"/>
          <w:highlight w:val="none"/>
          <w:vertAlign w:val="superscript"/>
          <w:lang w:val="zh-CN"/>
        </w:rPr>
      </w:pPr>
      <w:r>
        <w:rPr>
          <w:rFonts w:hint="eastAsia" w:hAnsi="宋体" w:cs="宋体"/>
          <w:kern w:val="2"/>
          <w:szCs w:val="21"/>
          <w:highlight w:val="none"/>
          <w:lang w:val="zh-CN"/>
        </w:rPr>
        <w:t>13.2</w:t>
      </w:r>
      <w:r>
        <w:rPr>
          <w:rFonts w:hint="eastAsia" w:hAnsi="宋体" w:cs="宋体"/>
          <w:kern w:val="2"/>
          <w:szCs w:val="21"/>
          <w:highlight w:val="none"/>
          <w:lang w:val="zh-CN"/>
        </w:rPr>
        <w:tab/>
      </w:r>
      <w:r>
        <w:rPr>
          <w:rFonts w:hint="eastAsia" w:hAnsi="宋体" w:cs="宋体"/>
          <w:kern w:val="2"/>
          <w:szCs w:val="21"/>
          <w:highlight w:val="none"/>
          <w:lang w:val="zh-CN"/>
        </w:rPr>
        <w:t>投标人提供的履行合同的资格证明文件</w:t>
      </w:r>
      <w:r>
        <w:rPr>
          <w:rFonts w:hint="eastAsia" w:hAnsi="宋体" w:cs="宋体"/>
          <w:szCs w:val="21"/>
          <w:highlight w:val="none"/>
        </w:rPr>
        <w:t>：详</w:t>
      </w:r>
      <w:r>
        <w:rPr>
          <w:rFonts w:hint="eastAsia" w:hAnsi="宋体" w:cs="宋体"/>
          <w:kern w:val="2"/>
          <w:szCs w:val="21"/>
          <w:highlight w:val="none"/>
          <w:lang w:val="zh-CN"/>
        </w:rPr>
        <w:t>见</w:t>
      </w:r>
      <w:r>
        <w:rPr>
          <w:rFonts w:hint="eastAsia" w:hAnsi="宋体" w:cs="宋体"/>
          <w:szCs w:val="21"/>
          <w:highlight w:val="none"/>
        </w:rPr>
        <w:t>《投标须知前附表》。</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14</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证明货物和服务的合格性并符合招标文件规定的声明文件</w:t>
      </w:r>
    </w:p>
    <w:p>
      <w:pPr>
        <w:tabs>
          <w:tab w:val="left" w:pos="675"/>
        </w:tabs>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15.1</w:t>
      </w:r>
      <w:r>
        <w:rPr>
          <w:rFonts w:hint="eastAsia" w:hAnsi="宋体" w:cs="宋体"/>
          <w:kern w:val="2"/>
          <w:szCs w:val="21"/>
          <w:highlight w:val="none"/>
          <w:lang w:val="zh-CN"/>
        </w:rPr>
        <w:tab/>
      </w:r>
      <w:r>
        <w:rPr>
          <w:rFonts w:hint="eastAsia" w:hAnsi="宋体" w:cs="宋体"/>
          <w:kern w:val="2"/>
          <w:szCs w:val="21"/>
          <w:highlight w:val="none"/>
          <w:lang w:val="zh-CN"/>
        </w:rPr>
        <w:t>投标人须提交证明其所提供的服务和货物的合格性并符合招标文件规定的声明文件，作为投标文件的一部分。</w:t>
      </w:r>
    </w:p>
    <w:p>
      <w:pPr>
        <w:spacing w:line="360" w:lineRule="auto"/>
        <w:jc w:val="both"/>
        <w:rPr>
          <w:rFonts w:hAnsi="宋体" w:cs="宋体"/>
          <w:kern w:val="2"/>
          <w:szCs w:val="21"/>
          <w:highlight w:val="none"/>
          <w:lang w:val="zh-CN"/>
        </w:rPr>
      </w:pPr>
      <w:r>
        <w:rPr>
          <w:rFonts w:hint="eastAsia" w:hAnsi="宋体" w:cs="宋体"/>
          <w:kern w:val="2"/>
          <w:szCs w:val="21"/>
          <w:highlight w:val="none"/>
          <w:lang w:val="zh-CN"/>
        </w:rPr>
        <w:t>15.2  证明货物和服务与招标文件的要求相一致的文件可以是文字资料、图纸和数据资料。</w:t>
      </w:r>
    </w:p>
    <w:p>
      <w:pPr>
        <w:spacing w:line="360" w:lineRule="auto"/>
        <w:ind w:left="630" w:hanging="630" w:hangingChars="300"/>
        <w:jc w:val="both"/>
        <w:rPr>
          <w:rFonts w:hAnsi="宋体" w:cs="宋体"/>
          <w:kern w:val="2"/>
          <w:szCs w:val="21"/>
          <w:highlight w:val="none"/>
          <w:lang w:val="zh-CN"/>
        </w:rPr>
      </w:pPr>
      <w:r>
        <w:rPr>
          <w:rFonts w:hint="eastAsia" w:hAnsi="宋体" w:cs="宋体"/>
          <w:kern w:val="2"/>
          <w:szCs w:val="21"/>
          <w:highlight w:val="none"/>
          <w:lang w:val="zh-CN"/>
        </w:rPr>
        <w:t>15.3  为说明第15.1款的规定，投标人应注意本招标文件在《用户需求书》中</w:t>
      </w:r>
      <w:r>
        <w:rPr>
          <w:rFonts w:hint="eastAsia" w:hAnsi="宋体" w:cs="宋体"/>
          <w:szCs w:val="21"/>
          <w:highlight w:val="none"/>
        </w:rPr>
        <w:t>对服务、技术要求所描述的特征或说明</w:t>
      </w:r>
      <w:r>
        <w:rPr>
          <w:rFonts w:hint="eastAsia" w:hAnsi="宋体" w:cs="宋体"/>
          <w:kern w:val="2"/>
          <w:szCs w:val="21"/>
          <w:highlight w:val="none"/>
          <w:lang w:val="zh-CN"/>
        </w:rPr>
        <w:t xml:space="preserve">等仅系说明并非进行限制，投标人按行业技术和以往的服务经验，投标人可提出替代方案，但该替代方案应相当于或优胜于《用户需求书》中的规定，合格优质的完成招标内容和包含的全部实际工序及服务，以使采购人满意。 </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15</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投标保证金：无需缴纳</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16</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投标有效期</w:t>
      </w:r>
    </w:p>
    <w:p>
      <w:pPr>
        <w:tabs>
          <w:tab w:val="left" w:pos="567"/>
        </w:tabs>
        <w:spacing w:line="360" w:lineRule="auto"/>
        <w:ind w:left="567" w:hanging="567"/>
        <w:jc w:val="both"/>
        <w:rPr>
          <w:rFonts w:hAnsi="宋体" w:cs="宋体"/>
          <w:b/>
          <w:bCs/>
          <w:kern w:val="2"/>
          <w:szCs w:val="21"/>
          <w:highlight w:val="none"/>
          <w:lang w:val="zh-CN"/>
        </w:rPr>
      </w:pPr>
      <w:r>
        <w:rPr>
          <w:rFonts w:hint="eastAsia" w:hAnsi="宋体" w:cs="宋体"/>
          <w:kern w:val="2"/>
          <w:szCs w:val="21"/>
          <w:highlight w:val="none"/>
          <w:lang w:val="zh-CN"/>
        </w:rPr>
        <w:t>16.1</w:t>
      </w:r>
      <w:r>
        <w:rPr>
          <w:rFonts w:hint="eastAsia" w:hAnsi="宋体" w:cs="宋体"/>
          <w:kern w:val="2"/>
          <w:szCs w:val="21"/>
          <w:highlight w:val="none"/>
          <w:lang w:val="zh-CN"/>
        </w:rPr>
        <w:tab/>
      </w:r>
      <w:r>
        <w:rPr>
          <w:rFonts w:hint="eastAsia" w:hAnsi="宋体" w:cs="宋体"/>
          <w:b/>
          <w:kern w:val="2"/>
          <w:szCs w:val="21"/>
          <w:highlight w:val="none"/>
          <w:lang w:val="zh-CN"/>
        </w:rPr>
        <w:t>投标文件应在</w:t>
      </w:r>
      <w:r>
        <w:rPr>
          <w:rFonts w:hint="eastAsia" w:hAnsi="宋体" w:cs="宋体"/>
          <w:b/>
          <w:szCs w:val="21"/>
          <w:highlight w:val="none"/>
        </w:rPr>
        <w:t>《投标须知前附表》</w:t>
      </w:r>
      <w:r>
        <w:rPr>
          <w:rFonts w:hint="eastAsia" w:hAnsi="宋体" w:cs="宋体"/>
          <w:b/>
          <w:kern w:val="2"/>
          <w:szCs w:val="21"/>
          <w:highlight w:val="none"/>
          <w:lang w:val="zh-CN"/>
        </w:rPr>
        <w:t>规定的时间内保持有效。投标有效期比规定时间短的将被视为非响应性投标而予以拒绝。</w:t>
      </w:r>
    </w:p>
    <w:p>
      <w:pPr>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16.2</w:t>
      </w:r>
      <w:r>
        <w:rPr>
          <w:rFonts w:hint="eastAsia" w:hAnsi="宋体" w:cs="宋体"/>
          <w:kern w:val="2"/>
          <w:szCs w:val="21"/>
          <w:highlight w:val="none"/>
          <w:lang w:val="zh-CN"/>
        </w:rPr>
        <w:tab/>
      </w:r>
      <w:r>
        <w:rPr>
          <w:rFonts w:hint="eastAsia" w:hAnsi="宋体" w:cs="宋体"/>
          <w:kern w:val="2"/>
          <w:szCs w:val="21"/>
          <w:highlight w:val="none"/>
          <w:lang w:val="zh-CN"/>
        </w:rPr>
        <w:t>中标人的投标文件作为合同附件，合同失效时同时失效。</w:t>
      </w:r>
    </w:p>
    <w:p>
      <w:pPr>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16.3</w:t>
      </w:r>
      <w:r>
        <w:rPr>
          <w:rFonts w:hint="eastAsia" w:hAnsi="宋体" w:cs="宋体"/>
          <w:kern w:val="2"/>
          <w:szCs w:val="21"/>
          <w:highlight w:val="none"/>
          <w:lang w:val="zh-CN"/>
        </w:rPr>
        <w:tab/>
      </w:r>
      <w:r>
        <w:rPr>
          <w:rFonts w:hint="eastAsia" w:hAnsi="宋体" w:cs="宋体"/>
          <w:kern w:val="2"/>
          <w:szCs w:val="21"/>
          <w:highlight w:val="none"/>
          <w:lang w:val="zh-CN"/>
        </w:rPr>
        <w:t>在特殊情况下，采购代理机构可于投标有效期满之前要求投标人同意延长有效期。要求与答复均应为书面形式往来。投标人可以拒绝上述要求。对于同意该要求的投标人，既不要求也不允许其修改投标文件。</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17</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投标文件的式样和签署</w:t>
      </w:r>
    </w:p>
    <w:p>
      <w:pPr>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17.1</w:t>
      </w:r>
      <w:r>
        <w:rPr>
          <w:rFonts w:hint="eastAsia" w:hAnsi="宋体" w:cs="宋体"/>
          <w:kern w:val="2"/>
          <w:szCs w:val="21"/>
          <w:highlight w:val="none"/>
          <w:lang w:val="zh-CN"/>
        </w:rPr>
        <w:tab/>
      </w:r>
      <w:r>
        <w:rPr>
          <w:rFonts w:hint="eastAsia" w:hAnsi="宋体" w:cs="宋体"/>
          <w:kern w:val="2"/>
          <w:szCs w:val="21"/>
          <w:highlight w:val="none"/>
          <w:lang w:val="zh-CN"/>
        </w:rPr>
        <w:t>投标人应准备投标文件一份正本和</w:t>
      </w:r>
      <w:r>
        <w:rPr>
          <w:rFonts w:hint="eastAsia" w:hAnsi="宋体" w:cs="宋体"/>
          <w:szCs w:val="21"/>
          <w:highlight w:val="none"/>
        </w:rPr>
        <w:t>《投标须知前附表》</w:t>
      </w:r>
      <w:r>
        <w:rPr>
          <w:rFonts w:hint="eastAsia" w:hAnsi="宋体" w:cs="宋体"/>
          <w:kern w:val="2"/>
          <w:szCs w:val="21"/>
          <w:highlight w:val="none"/>
          <w:lang w:val="zh-CN"/>
        </w:rPr>
        <w:t>规定的副本份数，</w:t>
      </w:r>
      <w:r>
        <w:rPr>
          <w:rFonts w:hint="eastAsia" w:hAnsi="宋体" w:cs="宋体"/>
          <w:szCs w:val="21"/>
          <w:highlight w:val="none"/>
        </w:rPr>
        <w:t>每一份投标文件均需编上页次，装订成册（不允许使用活页夹），并要明确注明 “正本”或“副本”字样，一旦正本和副本发现差异，以正本为准。</w:t>
      </w:r>
      <w:r>
        <w:rPr>
          <w:rFonts w:hint="eastAsia" w:hAnsi="宋体" w:cs="宋体"/>
          <w:kern w:val="2"/>
          <w:szCs w:val="21"/>
          <w:highlight w:val="none"/>
          <w:lang w:val="zh-CN"/>
        </w:rPr>
        <w:t>所有投标文件必须封入密封完好的信封或包装，封口加盖投标人公章。</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17.2</w:t>
      </w:r>
      <w:r>
        <w:rPr>
          <w:rFonts w:hint="eastAsia" w:hAnsi="宋体" w:cs="宋体"/>
          <w:kern w:val="2"/>
          <w:szCs w:val="21"/>
          <w:highlight w:val="none"/>
          <w:lang w:val="zh-CN"/>
        </w:rPr>
        <w:tab/>
      </w:r>
      <w:r>
        <w:rPr>
          <w:rFonts w:hint="eastAsia" w:hAnsi="宋体" w:cs="宋体"/>
          <w:bCs/>
          <w:kern w:val="2"/>
          <w:szCs w:val="21"/>
          <w:highlight w:val="none"/>
          <w:lang w:val="zh-CN"/>
        </w:rPr>
        <w:t>投标文件正本和副本须打印或用不褪色墨水书写，由投标人法定代表人\负责人或其授权代表签字，后者须将“法人授权委托证明书”以书面形式附在投标文件中。</w:t>
      </w:r>
      <w:r>
        <w:rPr>
          <w:rFonts w:hint="eastAsia" w:hAnsi="宋体" w:cs="宋体"/>
          <w:kern w:val="2"/>
          <w:szCs w:val="21"/>
          <w:highlight w:val="none"/>
          <w:lang w:val="zh-CN"/>
        </w:rPr>
        <w:t>副本文件可由正本文件复印而成。</w:t>
      </w:r>
    </w:p>
    <w:p>
      <w:pPr>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17.3</w:t>
      </w:r>
      <w:r>
        <w:rPr>
          <w:rFonts w:hint="eastAsia" w:hAnsi="宋体" w:cs="宋体"/>
          <w:kern w:val="2"/>
          <w:szCs w:val="21"/>
          <w:highlight w:val="none"/>
          <w:lang w:val="zh-CN"/>
        </w:rPr>
        <w:tab/>
      </w:r>
      <w:r>
        <w:rPr>
          <w:rFonts w:hint="eastAsia" w:hAnsi="宋体" w:cs="宋体"/>
          <w:kern w:val="2"/>
          <w:szCs w:val="21"/>
          <w:highlight w:val="none"/>
          <w:lang w:val="zh-CN"/>
        </w:rPr>
        <w:t>投标文件须由投标人的合法授权代表正式签署，投标人除可对投标文件的错处作必要修改外，投标文件中不许有加行、涂抹或改写。</w:t>
      </w:r>
      <w:r>
        <w:rPr>
          <w:rFonts w:hint="eastAsia" w:hAnsi="宋体" w:cs="宋体"/>
          <w:b/>
          <w:kern w:val="2"/>
          <w:szCs w:val="21"/>
          <w:highlight w:val="none"/>
          <w:lang w:val="zh-CN"/>
        </w:rPr>
        <w:t>任何涂改或修正（如有）须由原签署人签字确认</w:t>
      </w:r>
      <w:r>
        <w:rPr>
          <w:rFonts w:hint="eastAsia" w:hAnsi="宋体" w:cs="宋体"/>
          <w:b/>
          <w:bCs/>
          <w:kern w:val="2"/>
          <w:szCs w:val="21"/>
          <w:highlight w:val="none"/>
          <w:lang w:val="zh-CN"/>
        </w:rPr>
        <w:t>，并加盖投标人公章。</w:t>
      </w:r>
    </w:p>
    <w:p>
      <w:pPr>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17.4</w:t>
      </w:r>
      <w:r>
        <w:rPr>
          <w:rFonts w:hint="eastAsia" w:hAnsi="宋体" w:cs="宋体"/>
          <w:kern w:val="2"/>
          <w:szCs w:val="21"/>
          <w:highlight w:val="none"/>
          <w:lang w:val="zh-CN"/>
        </w:rPr>
        <w:tab/>
      </w:r>
      <w:r>
        <w:rPr>
          <w:rFonts w:hint="eastAsia" w:hAnsi="宋体" w:cs="宋体"/>
          <w:kern w:val="2"/>
          <w:szCs w:val="21"/>
          <w:highlight w:val="none"/>
          <w:lang w:val="zh-CN"/>
        </w:rPr>
        <w:t>投标文件的[正本]及所有[副本]的</w:t>
      </w:r>
      <w:r>
        <w:rPr>
          <w:rFonts w:hint="eastAsia" w:hAnsi="宋体" w:cs="宋体"/>
          <w:b/>
          <w:kern w:val="2"/>
          <w:szCs w:val="21"/>
          <w:highlight w:val="none"/>
          <w:lang w:val="zh-CN"/>
        </w:rPr>
        <w:t>封面及骑缝</w:t>
      </w:r>
      <w:r>
        <w:rPr>
          <w:rFonts w:hint="eastAsia" w:hAnsi="宋体" w:cs="宋体"/>
          <w:kern w:val="2"/>
          <w:szCs w:val="21"/>
          <w:highlight w:val="none"/>
          <w:lang w:val="zh-CN"/>
        </w:rPr>
        <w:t>均须由投标人加盖投标人公章。</w:t>
      </w:r>
    </w:p>
    <w:p>
      <w:pPr>
        <w:spacing w:line="360" w:lineRule="auto"/>
        <w:ind w:left="567" w:hanging="567"/>
        <w:jc w:val="both"/>
        <w:rPr>
          <w:rFonts w:hAnsi="宋体" w:cs="宋体"/>
          <w:b/>
          <w:bCs/>
          <w:kern w:val="2"/>
          <w:szCs w:val="21"/>
          <w:highlight w:val="none"/>
          <w:u w:val="single"/>
          <w:lang w:val="zh-CN"/>
        </w:rPr>
      </w:pPr>
      <w:r>
        <w:rPr>
          <w:rFonts w:hint="eastAsia" w:hAnsi="宋体" w:cs="宋体"/>
          <w:kern w:val="2"/>
          <w:szCs w:val="21"/>
          <w:highlight w:val="none"/>
          <w:lang w:val="zh-CN"/>
        </w:rPr>
        <w:t>17.5</w:t>
      </w:r>
      <w:r>
        <w:rPr>
          <w:rFonts w:hint="eastAsia" w:hAnsi="宋体" w:cs="宋体"/>
          <w:kern w:val="2"/>
          <w:szCs w:val="21"/>
          <w:highlight w:val="none"/>
          <w:lang w:val="zh-CN"/>
        </w:rPr>
        <w:tab/>
      </w:r>
      <w:r>
        <w:rPr>
          <w:rFonts w:hint="eastAsia" w:hAnsi="宋体" w:cs="宋体"/>
          <w:kern w:val="2"/>
          <w:szCs w:val="21"/>
          <w:highlight w:val="none"/>
          <w:lang w:val="zh-CN"/>
        </w:rPr>
        <w:t>投标文件的封面应注明“采购项目名称、采购编号、投标人名称、投标日期等”。</w:t>
      </w:r>
    </w:p>
    <w:p>
      <w:pPr>
        <w:spacing w:line="360" w:lineRule="auto"/>
        <w:ind w:left="567" w:hanging="567"/>
        <w:jc w:val="both"/>
        <w:rPr>
          <w:rFonts w:hAnsi="宋体" w:cs="宋体"/>
          <w:b/>
          <w:bCs/>
          <w:kern w:val="2"/>
          <w:szCs w:val="21"/>
          <w:highlight w:val="none"/>
          <w:lang w:val="zh-CN"/>
        </w:rPr>
      </w:pPr>
      <w:r>
        <w:rPr>
          <w:rFonts w:hint="eastAsia" w:hAnsi="宋体" w:cs="宋体"/>
          <w:kern w:val="2"/>
          <w:szCs w:val="21"/>
          <w:highlight w:val="none"/>
          <w:lang w:val="zh-CN"/>
        </w:rPr>
        <w:t>17.6</w:t>
      </w:r>
      <w:r>
        <w:rPr>
          <w:rFonts w:hint="eastAsia" w:hAnsi="宋体" w:cs="宋体"/>
          <w:kern w:val="2"/>
          <w:szCs w:val="21"/>
          <w:highlight w:val="none"/>
          <w:lang w:val="zh-CN"/>
        </w:rPr>
        <w:tab/>
      </w:r>
      <w:r>
        <w:rPr>
          <w:rFonts w:hint="eastAsia" w:hAnsi="宋体" w:cs="宋体"/>
          <w:kern w:val="2"/>
          <w:szCs w:val="21"/>
          <w:highlight w:val="none"/>
          <w:lang w:val="zh-CN"/>
        </w:rPr>
        <w:t>电子文件用U盘储存，并密封于“唱标信封”内。</w:t>
      </w:r>
    </w:p>
    <w:p>
      <w:pPr>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17.7</w:t>
      </w:r>
      <w:r>
        <w:rPr>
          <w:rFonts w:hint="eastAsia" w:hAnsi="宋体" w:cs="宋体"/>
          <w:kern w:val="2"/>
          <w:szCs w:val="21"/>
          <w:highlight w:val="none"/>
          <w:lang w:val="zh-CN"/>
        </w:rPr>
        <w:tab/>
      </w:r>
      <w:r>
        <w:rPr>
          <w:rFonts w:hint="eastAsia" w:hAnsi="宋体" w:cs="宋体"/>
          <w:kern w:val="2"/>
          <w:szCs w:val="21"/>
          <w:highlight w:val="none"/>
          <w:lang w:val="zh-CN"/>
        </w:rPr>
        <w:t>电报、电传、传真的投标概不接受。</w:t>
      </w:r>
    </w:p>
    <w:p>
      <w:pPr>
        <w:spacing w:line="360" w:lineRule="auto"/>
        <w:ind w:left="567" w:hanging="567"/>
        <w:jc w:val="both"/>
        <w:rPr>
          <w:rFonts w:hAnsi="宋体" w:cs="宋体"/>
          <w:kern w:val="2"/>
          <w:szCs w:val="21"/>
          <w:highlight w:val="none"/>
          <w:u w:val="single"/>
          <w:lang w:val="zh-CN"/>
        </w:rPr>
      </w:pPr>
    </w:p>
    <w:p>
      <w:pPr>
        <w:pStyle w:val="6"/>
        <w:spacing w:line="360" w:lineRule="auto"/>
        <w:rPr>
          <w:rFonts w:hAnsi="宋体" w:cs="宋体"/>
          <w:b w:val="0"/>
          <w:bCs/>
          <w:kern w:val="44"/>
          <w:szCs w:val="21"/>
          <w:highlight w:val="none"/>
          <w:lang w:val="zh-CN"/>
        </w:rPr>
      </w:pPr>
      <w:bookmarkStart w:id="3" w:name="_Toc413396492"/>
      <w:r>
        <w:rPr>
          <w:rFonts w:hint="eastAsia" w:hAnsi="宋体" w:cs="宋体"/>
          <w:b w:val="0"/>
          <w:bCs/>
          <w:kern w:val="44"/>
          <w:szCs w:val="21"/>
          <w:highlight w:val="none"/>
          <w:lang w:val="zh-CN"/>
        </w:rPr>
        <w:t>（四）</w:t>
      </w:r>
      <w:r>
        <w:rPr>
          <w:rFonts w:hint="eastAsia" w:hAnsi="宋体" w:cs="宋体"/>
          <w:b w:val="0"/>
          <w:bCs/>
          <w:kern w:val="44"/>
          <w:szCs w:val="21"/>
          <w:highlight w:val="none"/>
          <w:lang w:val="zh-CN"/>
        </w:rPr>
        <w:tab/>
      </w:r>
      <w:r>
        <w:rPr>
          <w:rFonts w:hint="eastAsia" w:hAnsi="宋体" w:cs="宋体"/>
          <w:b w:val="0"/>
          <w:bCs/>
          <w:kern w:val="44"/>
          <w:szCs w:val="21"/>
          <w:highlight w:val="none"/>
          <w:lang w:val="zh-CN"/>
        </w:rPr>
        <w:t>投标文件的递交</w:t>
      </w:r>
      <w:bookmarkEnd w:id="3"/>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18</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投标文件的密封和标记：</w:t>
      </w:r>
    </w:p>
    <w:p>
      <w:pPr>
        <w:tabs>
          <w:tab w:val="left" w:pos="567"/>
        </w:tabs>
        <w:spacing w:line="360" w:lineRule="auto"/>
        <w:ind w:left="567" w:right="18" w:hanging="567"/>
        <w:jc w:val="both"/>
        <w:rPr>
          <w:rFonts w:hAnsi="宋体" w:cs="宋体"/>
          <w:kern w:val="2"/>
          <w:szCs w:val="21"/>
          <w:highlight w:val="none"/>
          <w:lang w:val="zh-CN"/>
        </w:rPr>
      </w:pPr>
      <w:r>
        <w:rPr>
          <w:rFonts w:hint="eastAsia" w:hAnsi="宋体" w:cs="宋体"/>
          <w:kern w:val="2"/>
          <w:szCs w:val="21"/>
          <w:highlight w:val="none"/>
          <w:lang w:val="zh-CN"/>
        </w:rPr>
        <w:t>18.1</w:t>
      </w:r>
      <w:r>
        <w:rPr>
          <w:rFonts w:hint="eastAsia" w:hAnsi="宋体" w:cs="宋体"/>
          <w:kern w:val="2"/>
          <w:szCs w:val="21"/>
          <w:highlight w:val="none"/>
          <w:lang w:val="zh-CN"/>
        </w:rPr>
        <w:tab/>
      </w:r>
      <w:r>
        <w:rPr>
          <w:rFonts w:hint="eastAsia" w:hAnsi="宋体" w:cs="宋体"/>
          <w:kern w:val="2"/>
          <w:szCs w:val="21"/>
          <w:highlight w:val="none"/>
          <w:lang w:val="zh-CN"/>
        </w:rPr>
        <w:t>投标人应将投标文件（不含唱标信封）一起密封在一个不透明的外层封装中。</w:t>
      </w:r>
    </w:p>
    <w:p>
      <w:pPr>
        <w:tabs>
          <w:tab w:val="left" w:pos="567"/>
        </w:tabs>
        <w:spacing w:line="360" w:lineRule="auto"/>
        <w:ind w:left="567" w:right="18" w:hanging="567"/>
        <w:jc w:val="both"/>
        <w:rPr>
          <w:rFonts w:hAnsi="宋体" w:cs="宋体"/>
          <w:kern w:val="2"/>
          <w:szCs w:val="21"/>
          <w:highlight w:val="none"/>
          <w:lang w:val="zh-CN"/>
        </w:rPr>
      </w:pPr>
      <w:r>
        <w:rPr>
          <w:rFonts w:hint="eastAsia" w:hAnsi="宋体" w:cs="宋体"/>
          <w:kern w:val="2"/>
          <w:szCs w:val="21"/>
          <w:highlight w:val="none"/>
          <w:lang w:val="zh-CN"/>
        </w:rPr>
        <w:t>18.2</w:t>
      </w:r>
      <w:r>
        <w:rPr>
          <w:rFonts w:hint="eastAsia" w:hAnsi="宋体" w:cs="宋体"/>
          <w:kern w:val="2"/>
          <w:szCs w:val="21"/>
          <w:highlight w:val="none"/>
          <w:lang w:val="zh-CN"/>
        </w:rPr>
        <w:tab/>
      </w:r>
      <w:r>
        <w:rPr>
          <w:rFonts w:hint="eastAsia" w:hAnsi="宋体" w:cs="宋体"/>
          <w:b/>
          <w:bCs/>
          <w:kern w:val="2"/>
          <w:szCs w:val="21"/>
          <w:highlight w:val="none"/>
          <w:lang w:val="zh-CN"/>
        </w:rPr>
        <w:t>唱标信封应单独密封并加盖投标人公章，与投标文件一同提交。</w:t>
      </w:r>
    </w:p>
    <w:p>
      <w:pPr>
        <w:spacing w:line="360" w:lineRule="auto"/>
        <w:ind w:left="567" w:right="18" w:hanging="567"/>
        <w:jc w:val="both"/>
        <w:rPr>
          <w:rFonts w:hAnsi="宋体" w:cs="宋体"/>
          <w:kern w:val="2"/>
          <w:szCs w:val="21"/>
          <w:highlight w:val="none"/>
          <w:lang w:val="zh-CN"/>
        </w:rPr>
      </w:pPr>
      <w:r>
        <w:rPr>
          <w:rFonts w:hint="eastAsia" w:hAnsi="宋体" w:cs="宋体"/>
          <w:kern w:val="2"/>
          <w:szCs w:val="21"/>
          <w:highlight w:val="none"/>
          <w:lang w:val="zh-CN"/>
        </w:rPr>
        <w:t>18.3</w:t>
      </w:r>
      <w:r>
        <w:rPr>
          <w:rFonts w:hint="eastAsia" w:hAnsi="宋体" w:cs="宋体"/>
          <w:kern w:val="2"/>
          <w:szCs w:val="21"/>
          <w:highlight w:val="none"/>
          <w:lang w:val="zh-CN"/>
        </w:rPr>
        <w:tab/>
      </w:r>
      <w:r>
        <w:rPr>
          <w:rFonts w:hint="eastAsia" w:hAnsi="宋体" w:cs="宋体"/>
          <w:kern w:val="2"/>
          <w:szCs w:val="21"/>
          <w:highlight w:val="none"/>
          <w:lang w:val="zh-CN"/>
        </w:rPr>
        <w:t>投标文件密封封装标记：外层密封封装表面应正确标明投标人名称、地址、项目名称、包号（如有）、投标文件名称、并注明投标文件递交截止时间之前不得开封（在封口位置的封条上标注注明），封口位置须加盖投标人公章；</w:t>
      </w:r>
    </w:p>
    <w:p>
      <w:pPr>
        <w:tabs>
          <w:tab w:val="left" w:pos="567"/>
        </w:tabs>
        <w:spacing w:line="360" w:lineRule="auto"/>
        <w:ind w:left="567" w:right="18" w:hanging="567"/>
        <w:jc w:val="both"/>
        <w:rPr>
          <w:rFonts w:hAnsi="宋体" w:cs="宋体"/>
          <w:kern w:val="2"/>
          <w:szCs w:val="21"/>
          <w:highlight w:val="none"/>
          <w:lang w:val="zh-CN"/>
        </w:rPr>
      </w:pPr>
      <w:r>
        <w:rPr>
          <w:rFonts w:hint="eastAsia" w:hAnsi="宋体" w:cs="宋体"/>
          <w:kern w:val="2"/>
          <w:szCs w:val="21"/>
          <w:highlight w:val="none"/>
          <w:lang w:val="zh-CN"/>
        </w:rPr>
        <w:t>18.4</w:t>
      </w:r>
      <w:r>
        <w:rPr>
          <w:rFonts w:hint="eastAsia" w:hAnsi="宋体" w:cs="宋体"/>
          <w:kern w:val="2"/>
          <w:szCs w:val="21"/>
          <w:highlight w:val="none"/>
          <w:lang w:val="zh-CN"/>
        </w:rPr>
        <w:tab/>
      </w:r>
      <w:r>
        <w:rPr>
          <w:rFonts w:hint="eastAsia" w:hAnsi="宋体" w:cs="宋体"/>
          <w:kern w:val="2"/>
          <w:szCs w:val="21"/>
          <w:highlight w:val="none"/>
          <w:lang w:val="zh-CN"/>
        </w:rPr>
        <w:t>如果因密封封装未按本款规定密封和标记，导致采购代理机构对投标文件误投、提前拆封或错放的，由投标承担责任。对由此造成提前开封的投标文件，采购代理机构予以拒绝，并退回投标人。</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19</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bCs/>
          <w:szCs w:val="21"/>
          <w:highlight w:val="none"/>
        </w:rPr>
        <w:t>投标文件的递交、接收和密封</w:t>
      </w:r>
    </w:p>
    <w:p>
      <w:pPr>
        <w:tabs>
          <w:tab w:val="left" w:pos="0"/>
        </w:tabs>
        <w:spacing w:line="360" w:lineRule="auto"/>
        <w:jc w:val="both"/>
        <w:rPr>
          <w:rFonts w:hAnsi="宋体" w:cs="宋体"/>
          <w:kern w:val="2"/>
          <w:szCs w:val="21"/>
          <w:highlight w:val="none"/>
          <w:lang w:val="zh-CN"/>
        </w:rPr>
      </w:pPr>
      <w:r>
        <w:rPr>
          <w:rFonts w:hint="eastAsia" w:hAnsi="宋体" w:cs="宋体"/>
          <w:kern w:val="2"/>
          <w:szCs w:val="21"/>
          <w:highlight w:val="none"/>
          <w:lang w:val="zh-CN"/>
        </w:rPr>
        <w:t>19.1 投标人代表应按《投标须知前附表》所规定的时间和地点向代理机构递交投标文件。</w:t>
      </w:r>
    </w:p>
    <w:p>
      <w:pPr>
        <w:tabs>
          <w:tab w:val="left" w:pos="567"/>
        </w:tabs>
        <w:spacing w:line="360" w:lineRule="auto"/>
        <w:ind w:left="569" w:hanging="569" w:hangingChars="270"/>
        <w:jc w:val="both"/>
        <w:rPr>
          <w:rFonts w:hAnsi="宋体" w:cs="宋体"/>
          <w:b/>
          <w:kern w:val="2"/>
          <w:szCs w:val="21"/>
          <w:highlight w:val="none"/>
          <w:lang w:val="zh-CN"/>
        </w:rPr>
      </w:pPr>
      <w:r>
        <w:rPr>
          <w:rFonts w:hint="eastAsia" w:hAnsi="宋体" w:cs="宋体"/>
          <w:b/>
          <w:kern w:val="2"/>
          <w:szCs w:val="21"/>
          <w:highlight w:val="none"/>
          <w:lang w:val="zh-CN"/>
        </w:rPr>
        <w:t>19.2 投标人应凭</w:t>
      </w:r>
      <w:r>
        <w:rPr>
          <w:rFonts w:hint="eastAsia" w:hAnsi="宋体" w:cs="宋体"/>
          <w:b/>
          <w:szCs w:val="21"/>
          <w:highlight w:val="none"/>
          <w:lang w:val="zh-CN"/>
        </w:rPr>
        <w:t>以下资料递交投标文件：法定代表人\负责人证明书原件、法定代表人\负责人授权委托书原件（非法投标人应凭定代表人参加时提供）、投标人授权代表本人身份证原件；</w:t>
      </w:r>
    </w:p>
    <w:p>
      <w:pPr>
        <w:tabs>
          <w:tab w:val="left" w:pos="0"/>
        </w:tabs>
        <w:spacing w:line="360" w:lineRule="auto"/>
        <w:jc w:val="both"/>
        <w:rPr>
          <w:rFonts w:hAnsi="宋体" w:cs="宋体"/>
          <w:kern w:val="2"/>
          <w:szCs w:val="21"/>
          <w:highlight w:val="none"/>
          <w:lang w:val="zh-CN"/>
        </w:rPr>
      </w:pPr>
      <w:r>
        <w:rPr>
          <w:rFonts w:hint="eastAsia" w:hAnsi="宋体" w:cs="宋体"/>
          <w:kern w:val="2"/>
          <w:szCs w:val="21"/>
          <w:highlight w:val="none"/>
          <w:lang w:val="zh-CN"/>
        </w:rPr>
        <w:t>19.3 若出现以下情况，采购人将拒绝接收投标文件：</w:t>
      </w:r>
    </w:p>
    <w:p>
      <w:pPr>
        <w:tabs>
          <w:tab w:val="left" w:pos="0"/>
        </w:tabs>
        <w:spacing w:line="360" w:lineRule="auto"/>
        <w:ind w:firstLine="525" w:firstLineChars="250"/>
        <w:jc w:val="both"/>
        <w:rPr>
          <w:rFonts w:hAnsi="宋体" w:cs="宋体"/>
          <w:kern w:val="2"/>
          <w:szCs w:val="21"/>
          <w:highlight w:val="none"/>
          <w:lang w:val="zh-CN"/>
        </w:rPr>
      </w:pPr>
      <w:r>
        <w:rPr>
          <w:rFonts w:hint="eastAsia" w:hAnsi="宋体" w:cs="宋体"/>
          <w:kern w:val="2"/>
          <w:szCs w:val="21"/>
          <w:highlight w:val="none"/>
          <w:lang w:val="zh-CN"/>
        </w:rPr>
        <w:t>19.3.1 在投标截止时间后逾期或未在指定地点递交投标文件的；</w:t>
      </w:r>
    </w:p>
    <w:p>
      <w:pPr>
        <w:tabs>
          <w:tab w:val="left" w:pos="0"/>
        </w:tabs>
        <w:spacing w:line="360" w:lineRule="auto"/>
        <w:ind w:firstLine="525" w:firstLineChars="250"/>
        <w:jc w:val="both"/>
        <w:rPr>
          <w:rFonts w:hAnsi="宋体" w:cs="宋体"/>
          <w:kern w:val="2"/>
          <w:szCs w:val="21"/>
          <w:highlight w:val="none"/>
          <w:lang w:val="zh-CN"/>
        </w:rPr>
      </w:pPr>
      <w:r>
        <w:rPr>
          <w:rFonts w:hint="eastAsia" w:hAnsi="宋体" w:cs="宋体"/>
          <w:kern w:val="2"/>
          <w:szCs w:val="21"/>
          <w:highlight w:val="none"/>
          <w:lang w:val="zh-CN"/>
        </w:rPr>
        <w:t>19.3.2 投标文件未密封的；</w:t>
      </w:r>
    </w:p>
    <w:p>
      <w:pPr>
        <w:tabs>
          <w:tab w:val="left" w:pos="0"/>
        </w:tabs>
        <w:spacing w:line="360" w:lineRule="auto"/>
        <w:ind w:left="1200" w:leftChars="220" w:hanging="738" w:hangingChars="350"/>
        <w:jc w:val="both"/>
        <w:rPr>
          <w:rFonts w:hAnsi="宋体" w:cs="宋体"/>
          <w:b/>
          <w:kern w:val="2"/>
          <w:szCs w:val="21"/>
          <w:highlight w:val="none"/>
          <w:lang w:val="zh-CN"/>
        </w:rPr>
      </w:pPr>
      <w:r>
        <w:rPr>
          <w:rFonts w:hint="eastAsia" w:hAnsi="宋体" w:cs="宋体"/>
          <w:b/>
          <w:kern w:val="2"/>
          <w:szCs w:val="21"/>
          <w:highlight w:val="none"/>
          <w:lang w:val="zh-CN"/>
        </w:rPr>
        <w:t>19.3.3 在投标截止时，投标人授权代表未凭法定代表人\负责人证明书原件、法定代表人\负责人授权委托书原件（非法定代表人\负责人参加时提供）、本人身份证原件递交投标文件的。</w:t>
      </w:r>
    </w:p>
    <w:p>
      <w:pPr>
        <w:tabs>
          <w:tab w:val="left" w:pos="0"/>
        </w:tabs>
        <w:spacing w:line="360" w:lineRule="auto"/>
        <w:ind w:left="420" w:hanging="420" w:hangingChars="200"/>
        <w:jc w:val="both"/>
        <w:rPr>
          <w:rFonts w:hAnsi="宋体" w:cs="宋体"/>
          <w:kern w:val="2"/>
          <w:szCs w:val="21"/>
          <w:highlight w:val="none"/>
          <w:lang w:val="zh-CN"/>
        </w:rPr>
      </w:pPr>
      <w:r>
        <w:rPr>
          <w:rFonts w:hint="eastAsia" w:hAnsi="宋体" w:cs="宋体"/>
          <w:kern w:val="2"/>
          <w:szCs w:val="21"/>
          <w:highlight w:val="none"/>
          <w:lang w:val="zh-CN"/>
        </w:rPr>
        <w:t>19.4 如投标文件不能在接收标书当天开启时，须按机密件集中封存在指定的地点，并由投标人全体见证密封，开标前再从封标室解封、取出。</w:t>
      </w:r>
    </w:p>
    <w:p>
      <w:pPr>
        <w:tabs>
          <w:tab w:val="left" w:pos="0"/>
        </w:tabs>
        <w:spacing w:line="360" w:lineRule="auto"/>
        <w:ind w:left="420" w:hanging="420" w:hangingChars="200"/>
        <w:jc w:val="both"/>
        <w:rPr>
          <w:rFonts w:hAnsi="宋体" w:cs="宋体"/>
          <w:kern w:val="2"/>
          <w:szCs w:val="21"/>
          <w:highlight w:val="none"/>
          <w:lang w:val="zh-CN"/>
        </w:rPr>
      </w:pPr>
      <w:r>
        <w:rPr>
          <w:rFonts w:hint="eastAsia" w:hAnsi="宋体" w:cs="宋体"/>
          <w:kern w:val="2"/>
          <w:szCs w:val="21"/>
          <w:highlight w:val="none"/>
          <w:lang w:val="zh-CN"/>
        </w:rPr>
        <w:t>19.5 全体投标人应见证封标及标书的解封、取出过程,如投标人不参加见证封标及标书的解封、取出过程，视同认可投标文件的封存的解封、取出过程与结果。</w:t>
      </w:r>
    </w:p>
    <w:p>
      <w:pPr>
        <w:tabs>
          <w:tab w:val="left" w:pos="0"/>
        </w:tabs>
        <w:spacing w:line="360" w:lineRule="auto"/>
        <w:ind w:left="525" w:hanging="525" w:hangingChars="250"/>
        <w:jc w:val="both"/>
        <w:rPr>
          <w:rFonts w:hAnsi="宋体" w:cs="宋体"/>
          <w:kern w:val="2"/>
          <w:szCs w:val="21"/>
          <w:highlight w:val="none"/>
          <w:lang w:val="zh-CN"/>
        </w:rPr>
      </w:pPr>
      <w:r>
        <w:rPr>
          <w:rFonts w:hint="eastAsia" w:hAnsi="宋体" w:cs="宋体"/>
          <w:kern w:val="2"/>
          <w:szCs w:val="21"/>
          <w:highlight w:val="none"/>
          <w:lang w:val="zh-CN"/>
        </w:rPr>
        <w:t>19.6 采购人可按照第7款的规定修改招标文件并酌情延长递交投标文件的截止时间，因此，业已规定的采购代理机构和投标人的一切权利和义务将按延期后的递交投标文件截止时间履行。</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20</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迟交的投标文件</w:t>
      </w:r>
    </w:p>
    <w:p>
      <w:pPr>
        <w:spacing w:line="360" w:lineRule="auto"/>
        <w:ind w:firstLine="567"/>
        <w:jc w:val="both"/>
        <w:rPr>
          <w:rFonts w:hAnsi="宋体" w:cs="宋体"/>
          <w:kern w:val="2"/>
          <w:szCs w:val="21"/>
          <w:highlight w:val="none"/>
          <w:lang w:val="zh-CN"/>
        </w:rPr>
      </w:pPr>
      <w:r>
        <w:rPr>
          <w:rFonts w:hint="eastAsia" w:hAnsi="宋体" w:cs="宋体"/>
          <w:kern w:val="2"/>
          <w:szCs w:val="21"/>
          <w:highlight w:val="none"/>
          <w:lang w:val="zh-CN"/>
        </w:rPr>
        <w:t>根据第19款规定，采购代理机构将拒绝任何晚于递交投标文件截止时间交到的投标文件。</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21</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投标文件的修改和撤回</w:t>
      </w:r>
    </w:p>
    <w:p>
      <w:pPr>
        <w:tabs>
          <w:tab w:val="left" w:pos="567"/>
        </w:tabs>
        <w:spacing w:line="360" w:lineRule="auto"/>
        <w:ind w:left="567" w:right="18" w:hanging="567"/>
        <w:jc w:val="both"/>
        <w:rPr>
          <w:rFonts w:hAnsi="宋体" w:cs="宋体"/>
          <w:kern w:val="2"/>
          <w:szCs w:val="21"/>
          <w:highlight w:val="none"/>
          <w:lang w:val="zh-CN"/>
        </w:rPr>
      </w:pPr>
      <w:r>
        <w:rPr>
          <w:rFonts w:hint="eastAsia" w:hAnsi="宋体" w:cs="宋体"/>
          <w:kern w:val="2"/>
          <w:szCs w:val="21"/>
          <w:highlight w:val="none"/>
          <w:lang w:val="zh-CN"/>
        </w:rPr>
        <w:t>21.1</w:t>
      </w:r>
      <w:r>
        <w:rPr>
          <w:rFonts w:hint="eastAsia" w:hAnsi="宋体" w:cs="宋体"/>
          <w:kern w:val="2"/>
          <w:szCs w:val="21"/>
          <w:highlight w:val="none"/>
          <w:lang w:val="zh-CN"/>
        </w:rPr>
        <w:tab/>
      </w:r>
      <w:r>
        <w:rPr>
          <w:rFonts w:hint="eastAsia" w:hAnsi="宋体" w:cs="宋体"/>
          <w:kern w:val="2"/>
          <w:szCs w:val="21"/>
          <w:highlight w:val="none"/>
          <w:lang w:val="zh-CN"/>
        </w:rPr>
        <w:t>投标人可在递交投标文件截止时间前对其递交的投标文件进行修改或撤回，但须在递交投标文件截止时间前向采购代理机构提出修改或撤回的书面通知。</w:t>
      </w:r>
    </w:p>
    <w:p>
      <w:pPr>
        <w:spacing w:line="360" w:lineRule="auto"/>
        <w:ind w:left="567" w:right="18" w:hanging="567"/>
        <w:jc w:val="both"/>
        <w:rPr>
          <w:rFonts w:hAnsi="宋体" w:cs="宋体"/>
          <w:kern w:val="2"/>
          <w:szCs w:val="21"/>
          <w:highlight w:val="none"/>
          <w:lang w:val="zh-CN"/>
        </w:rPr>
      </w:pPr>
      <w:r>
        <w:rPr>
          <w:rFonts w:hint="eastAsia" w:hAnsi="宋体" w:cs="宋体"/>
          <w:kern w:val="2"/>
          <w:szCs w:val="21"/>
          <w:highlight w:val="none"/>
          <w:lang w:val="zh-CN"/>
        </w:rPr>
        <w:t>21.2</w:t>
      </w:r>
      <w:r>
        <w:rPr>
          <w:rFonts w:hint="eastAsia" w:hAnsi="宋体" w:cs="宋体"/>
          <w:kern w:val="2"/>
          <w:szCs w:val="21"/>
          <w:highlight w:val="none"/>
          <w:lang w:val="zh-CN"/>
        </w:rPr>
        <w:tab/>
      </w:r>
      <w:r>
        <w:rPr>
          <w:rFonts w:hint="eastAsia" w:hAnsi="宋体" w:cs="宋体"/>
          <w:kern w:val="2"/>
          <w:szCs w:val="21"/>
          <w:highlight w:val="none"/>
          <w:lang w:val="zh-CN"/>
        </w:rPr>
        <w:t>投标人对投标文件的修改或撤回的通知应按第17款和第18款规定进行准备、密封、标注和递送。</w:t>
      </w:r>
    </w:p>
    <w:p>
      <w:pPr>
        <w:spacing w:line="360" w:lineRule="auto"/>
        <w:ind w:left="567" w:right="18" w:hanging="567"/>
        <w:jc w:val="both"/>
        <w:rPr>
          <w:rFonts w:hAnsi="宋体" w:cs="宋体"/>
          <w:kern w:val="2"/>
          <w:szCs w:val="21"/>
          <w:highlight w:val="none"/>
          <w:lang w:val="zh-CN"/>
        </w:rPr>
      </w:pPr>
      <w:r>
        <w:rPr>
          <w:rFonts w:hint="eastAsia" w:hAnsi="宋体" w:cs="宋体"/>
          <w:kern w:val="2"/>
          <w:szCs w:val="21"/>
          <w:highlight w:val="none"/>
          <w:lang w:val="zh-CN"/>
        </w:rPr>
        <w:t>21.3</w:t>
      </w:r>
      <w:r>
        <w:rPr>
          <w:rFonts w:hint="eastAsia" w:hAnsi="宋体" w:cs="宋体"/>
          <w:kern w:val="2"/>
          <w:szCs w:val="21"/>
          <w:highlight w:val="none"/>
          <w:lang w:val="zh-CN"/>
        </w:rPr>
        <w:tab/>
      </w:r>
      <w:r>
        <w:rPr>
          <w:rFonts w:hint="eastAsia" w:hAnsi="宋体" w:cs="宋体"/>
          <w:kern w:val="2"/>
          <w:szCs w:val="21"/>
          <w:highlight w:val="none"/>
          <w:lang w:val="zh-CN"/>
        </w:rPr>
        <w:t>递交投标文件截止时间后，投标人不得修改投标文件。</w:t>
      </w:r>
    </w:p>
    <w:p>
      <w:pPr>
        <w:spacing w:line="360" w:lineRule="auto"/>
        <w:ind w:left="567" w:right="18" w:hanging="567"/>
        <w:jc w:val="both"/>
        <w:rPr>
          <w:rFonts w:hAnsi="宋体" w:cs="宋体"/>
          <w:kern w:val="2"/>
          <w:szCs w:val="21"/>
          <w:highlight w:val="none"/>
          <w:lang w:val="zh-CN"/>
        </w:rPr>
      </w:pPr>
      <w:r>
        <w:rPr>
          <w:rFonts w:hint="eastAsia" w:hAnsi="宋体" w:cs="宋体"/>
          <w:kern w:val="2"/>
          <w:szCs w:val="21"/>
          <w:highlight w:val="none"/>
          <w:lang w:val="zh-CN"/>
        </w:rPr>
        <w:t>21.4</w:t>
      </w:r>
      <w:r>
        <w:rPr>
          <w:rFonts w:hint="eastAsia" w:hAnsi="宋体" w:cs="宋体"/>
          <w:kern w:val="2"/>
          <w:szCs w:val="21"/>
          <w:highlight w:val="none"/>
          <w:lang w:val="zh-CN"/>
        </w:rPr>
        <w:tab/>
      </w:r>
      <w:r>
        <w:rPr>
          <w:rFonts w:hint="eastAsia" w:hAnsi="宋体" w:cs="宋体"/>
          <w:kern w:val="2"/>
          <w:szCs w:val="21"/>
          <w:highlight w:val="none"/>
          <w:lang w:val="zh-CN"/>
        </w:rPr>
        <w:t>投标人不得在递交投标文件截止时间起至第16款规定的投标有效期期满前撤回其投标文件。</w:t>
      </w:r>
    </w:p>
    <w:p>
      <w:pPr>
        <w:spacing w:line="360" w:lineRule="auto"/>
        <w:ind w:left="567" w:right="18" w:hanging="567"/>
        <w:jc w:val="both"/>
        <w:rPr>
          <w:rFonts w:hAnsi="宋体" w:cs="宋体"/>
          <w:kern w:val="2"/>
          <w:szCs w:val="21"/>
          <w:highlight w:val="none"/>
          <w:lang w:val="zh-CN"/>
        </w:rPr>
      </w:pPr>
      <w:r>
        <w:rPr>
          <w:rFonts w:hint="eastAsia" w:hAnsi="宋体" w:cs="宋体"/>
          <w:kern w:val="2"/>
          <w:szCs w:val="21"/>
          <w:highlight w:val="none"/>
          <w:lang w:val="zh-CN"/>
        </w:rPr>
        <w:t>21.5  采购代理机构收到投标文件后，应当如实记载投标文件的送达时间和密封情况，签收保存，并向投标人出具签收回执。任何单位和个人不得在开标前开启投标文件。</w:t>
      </w:r>
    </w:p>
    <w:p>
      <w:pPr>
        <w:pStyle w:val="6"/>
        <w:spacing w:line="360" w:lineRule="auto"/>
        <w:rPr>
          <w:rFonts w:hAnsi="宋体" w:cs="宋体"/>
          <w:b w:val="0"/>
          <w:bCs/>
          <w:kern w:val="44"/>
          <w:szCs w:val="21"/>
          <w:highlight w:val="none"/>
          <w:lang w:val="zh-CN"/>
        </w:rPr>
      </w:pPr>
      <w:bookmarkStart w:id="4" w:name="_Toc413396493"/>
      <w:r>
        <w:rPr>
          <w:rFonts w:hint="eastAsia" w:hAnsi="宋体" w:cs="宋体"/>
          <w:b w:val="0"/>
          <w:bCs/>
          <w:kern w:val="44"/>
          <w:szCs w:val="21"/>
          <w:highlight w:val="none"/>
          <w:lang w:val="zh-CN"/>
        </w:rPr>
        <w:t>（五）</w:t>
      </w:r>
      <w:r>
        <w:rPr>
          <w:rFonts w:hint="eastAsia" w:hAnsi="宋体" w:cs="宋体"/>
          <w:b w:val="0"/>
          <w:bCs/>
          <w:kern w:val="44"/>
          <w:szCs w:val="21"/>
          <w:highlight w:val="none"/>
          <w:lang w:val="zh-CN"/>
        </w:rPr>
        <w:tab/>
      </w:r>
      <w:r>
        <w:rPr>
          <w:rFonts w:hint="eastAsia" w:hAnsi="宋体" w:cs="宋体"/>
          <w:b w:val="0"/>
          <w:bCs/>
          <w:kern w:val="44"/>
          <w:szCs w:val="21"/>
          <w:highlight w:val="none"/>
          <w:lang w:val="zh-CN"/>
        </w:rPr>
        <w:t>开标、评标与定标</w:t>
      </w:r>
      <w:bookmarkEnd w:id="4"/>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22</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开标</w:t>
      </w:r>
    </w:p>
    <w:p>
      <w:pPr>
        <w:tabs>
          <w:tab w:val="left" w:pos="567"/>
        </w:tabs>
        <w:spacing w:line="360" w:lineRule="auto"/>
        <w:ind w:left="567" w:right="18" w:hanging="567"/>
        <w:jc w:val="both"/>
        <w:rPr>
          <w:rFonts w:hAnsi="宋体" w:cs="宋体"/>
          <w:kern w:val="2"/>
          <w:szCs w:val="21"/>
          <w:highlight w:val="none"/>
          <w:lang w:val="zh-CN"/>
        </w:rPr>
      </w:pPr>
      <w:r>
        <w:rPr>
          <w:rFonts w:hint="eastAsia" w:hAnsi="宋体" w:cs="宋体"/>
          <w:kern w:val="2"/>
          <w:szCs w:val="21"/>
          <w:highlight w:val="none"/>
          <w:lang w:val="zh-CN"/>
        </w:rPr>
        <w:t>22.1</w:t>
      </w:r>
      <w:r>
        <w:rPr>
          <w:rFonts w:hint="eastAsia" w:hAnsi="宋体" w:cs="宋体"/>
          <w:kern w:val="2"/>
          <w:szCs w:val="21"/>
          <w:highlight w:val="none"/>
          <w:lang w:val="zh-CN"/>
        </w:rPr>
        <w:tab/>
      </w:r>
      <w:r>
        <w:rPr>
          <w:rFonts w:hint="eastAsia" w:hAnsi="宋体" w:cs="宋体"/>
          <w:kern w:val="2"/>
          <w:szCs w:val="21"/>
          <w:highlight w:val="none"/>
          <w:lang w:val="zh-CN"/>
        </w:rPr>
        <w:t>采购代理机构在投标人代表自愿出席的情况下，在</w:t>
      </w:r>
      <w:r>
        <w:rPr>
          <w:rFonts w:hint="eastAsia" w:hAnsi="宋体" w:cs="宋体"/>
          <w:szCs w:val="21"/>
          <w:highlight w:val="none"/>
        </w:rPr>
        <w:t>《投标须知前附表》</w:t>
      </w:r>
      <w:r>
        <w:rPr>
          <w:rFonts w:hint="eastAsia" w:hAnsi="宋体" w:cs="宋体"/>
          <w:kern w:val="2"/>
          <w:szCs w:val="21"/>
          <w:highlight w:val="none"/>
          <w:lang w:val="zh-CN"/>
        </w:rPr>
        <w:t>规定的地点和时间开标, 出席代表需登记以示出席。如投标人代表（法定代表人\负责人或其授权代表）不到开标现场，视同认可开标结果。</w:t>
      </w:r>
    </w:p>
    <w:p>
      <w:pPr>
        <w:spacing w:line="360" w:lineRule="auto"/>
        <w:ind w:left="567" w:right="18" w:hanging="567"/>
        <w:jc w:val="both"/>
        <w:rPr>
          <w:rFonts w:hAnsi="宋体" w:cs="宋体"/>
          <w:kern w:val="2"/>
          <w:szCs w:val="21"/>
          <w:highlight w:val="none"/>
          <w:lang w:val="zh-CN"/>
        </w:rPr>
      </w:pPr>
      <w:r>
        <w:rPr>
          <w:rFonts w:hint="eastAsia" w:hAnsi="宋体" w:cs="宋体"/>
          <w:kern w:val="2"/>
          <w:szCs w:val="21"/>
          <w:highlight w:val="none"/>
          <w:lang w:val="zh-CN"/>
        </w:rPr>
        <w:t>22.2</w:t>
      </w:r>
      <w:r>
        <w:rPr>
          <w:rFonts w:hint="eastAsia" w:hAnsi="宋体" w:cs="宋体"/>
          <w:kern w:val="2"/>
          <w:szCs w:val="21"/>
          <w:highlight w:val="none"/>
          <w:lang w:val="zh-CN"/>
        </w:rPr>
        <w:tab/>
      </w:r>
      <w:r>
        <w:rPr>
          <w:rFonts w:hint="eastAsia" w:hAnsi="宋体" w:cs="宋体"/>
          <w:kern w:val="2"/>
          <w:szCs w:val="21"/>
          <w:highlight w:val="none"/>
          <w:lang w:val="zh-CN"/>
        </w:rPr>
        <w:t>按照第21款规定，提交了可接受的“撤回”通知的投标文件将不予开封。</w:t>
      </w:r>
    </w:p>
    <w:p>
      <w:pPr>
        <w:spacing w:line="360" w:lineRule="auto"/>
        <w:ind w:left="567" w:right="18" w:hanging="567"/>
        <w:jc w:val="both"/>
        <w:rPr>
          <w:rFonts w:hAnsi="宋体" w:cs="宋体"/>
          <w:kern w:val="2"/>
          <w:szCs w:val="21"/>
          <w:highlight w:val="none"/>
          <w:lang w:val="zh-CN"/>
        </w:rPr>
      </w:pPr>
      <w:r>
        <w:rPr>
          <w:rFonts w:hint="eastAsia" w:hAnsi="宋体" w:cs="宋体"/>
          <w:kern w:val="2"/>
          <w:szCs w:val="21"/>
          <w:highlight w:val="none"/>
          <w:lang w:val="zh-CN"/>
        </w:rPr>
        <w:t>22.3  递交投标文件截止时间后，</w:t>
      </w:r>
      <w:r>
        <w:rPr>
          <w:rFonts w:hint="eastAsia" w:hAnsi="宋体" w:cs="宋体"/>
          <w:szCs w:val="21"/>
          <w:highlight w:val="none"/>
          <w:lang w:val="zh-CN"/>
        </w:rPr>
        <w:t>监督人员和投标人代表将对所有的投标文件的密封性进行检查。</w:t>
      </w:r>
      <w:r>
        <w:rPr>
          <w:rFonts w:hint="eastAsia" w:hAnsi="宋体" w:cs="宋体"/>
          <w:kern w:val="2"/>
          <w:szCs w:val="21"/>
          <w:highlight w:val="none"/>
          <w:lang w:val="zh-CN"/>
        </w:rPr>
        <w:t>采购代理机构将当众宣读投标人名称、投标报价、折扣声明，以及招标文件规定要宣布的其他内容。若采购代理机构宣读的结果与投标文件不符时，投标人有权在开标现场提出异议，经有关监督人员或公证人员当场核查确认之后，可重新宣读其投标文件。若投标人现场未提出异议，则视为投标人确认宣读的结果。</w:t>
      </w:r>
    </w:p>
    <w:p>
      <w:pPr>
        <w:spacing w:line="360" w:lineRule="auto"/>
        <w:ind w:left="567" w:right="18" w:hanging="567"/>
        <w:jc w:val="both"/>
        <w:rPr>
          <w:rFonts w:hAnsi="宋体" w:cs="宋体"/>
          <w:kern w:val="2"/>
          <w:szCs w:val="21"/>
          <w:highlight w:val="none"/>
          <w:lang w:val="zh-CN"/>
        </w:rPr>
      </w:pPr>
      <w:r>
        <w:rPr>
          <w:rFonts w:hint="eastAsia" w:hAnsi="宋体" w:cs="宋体"/>
          <w:kern w:val="2"/>
          <w:szCs w:val="21"/>
          <w:highlight w:val="none"/>
          <w:lang w:val="zh-CN"/>
        </w:rPr>
        <w:t>22.4</w:t>
      </w:r>
      <w:r>
        <w:rPr>
          <w:rFonts w:hint="eastAsia" w:hAnsi="宋体" w:cs="宋体"/>
          <w:kern w:val="2"/>
          <w:szCs w:val="21"/>
          <w:highlight w:val="none"/>
          <w:lang w:val="zh-CN"/>
        </w:rPr>
        <w:tab/>
      </w:r>
      <w:r>
        <w:rPr>
          <w:rFonts w:hint="eastAsia" w:hAnsi="宋体" w:cs="宋体"/>
          <w:kern w:val="2"/>
          <w:szCs w:val="21"/>
          <w:highlight w:val="none"/>
          <w:lang w:val="zh-CN"/>
        </w:rPr>
        <w:t>投标文件的投标报价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auto"/>
        <w:ind w:left="567" w:right="18" w:hanging="567"/>
        <w:jc w:val="both"/>
        <w:rPr>
          <w:rFonts w:hAnsi="宋体" w:cs="宋体"/>
          <w:kern w:val="2"/>
          <w:szCs w:val="21"/>
          <w:highlight w:val="none"/>
          <w:lang w:val="zh-CN"/>
        </w:rPr>
      </w:pPr>
      <w:r>
        <w:rPr>
          <w:rFonts w:hint="eastAsia" w:hAnsi="宋体" w:cs="宋体"/>
          <w:kern w:val="2"/>
          <w:szCs w:val="21"/>
          <w:highlight w:val="none"/>
          <w:lang w:val="zh-CN"/>
        </w:rPr>
        <w:t xml:space="preserve">22.5 </w:t>
      </w:r>
      <w:r>
        <w:rPr>
          <w:rFonts w:hint="eastAsia" w:hAnsi="宋体" w:cs="宋体"/>
          <w:kern w:val="2"/>
          <w:szCs w:val="21"/>
          <w:highlight w:val="none"/>
          <w:lang w:val="zh-CN"/>
        </w:rPr>
        <w:tab/>
      </w:r>
      <w:r>
        <w:rPr>
          <w:rFonts w:hint="eastAsia" w:hAnsi="宋体" w:cs="宋体"/>
          <w:kern w:val="2"/>
          <w:szCs w:val="21"/>
          <w:highlight w:val="none"/>
          <w:lang w:val="zh-CN"/>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60" w:lineRule="auto"/>
        <w:ind w:left="567" w:right="18" w:hanging="567"/>
        <w:jc w:val="both"/>
        <w:rPr>
          <w:rFonts w:hAnsi="宋体" w:cs="宋体"/>
          <w:kern w:val="2"/>
          <w:szCs w:val="21"/>
          <w:highlight w:val="none"/>
          <w:lang w:val="zh-CN"/>
        </w:rPr>
      </w:pPr>
      <w:r>
        <w:rPr>
          <w:rFonts w:hint="eastAsia" w:hAnsi="宋体" w:cs="宋体"/>
          <w:kern w:val="2"/>
          <w:szCs w:val="21"/>
          <w:highlight w:val="none"/>
          <w:lang w:val="zh-CN"/>
        </w:rPr>
        <w:t>22.6  开标过程由采购代理机构负责记录，由参加开标的各投标人代表和相关工作人员签字确认后随采购文件一并存档。</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23</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szCs w:val="21"/>
          <w:highlight w:val="none"/>
        </w:rPr>
        <w:t>评标过程的保密性</w:t>
      </w:r>
    </w:p>
    <w:p>
      <w:pPr>
        <w:tabs>
          <w:tab w:val="left" w:pos="567"/>
        </w:tabs>
        <w:spacing w:line="360" w:lineRule="auto"/>
        <w:ind w:left="567" w:right="18" w:hanging="567"/>
        <w:jc w:val="both"/>
        <w:rPr>
          <w:rFonts w:hAnsi="宋体" w:cs="宋体"/>
          <w:kern w:val="2"/>
          <w:szCs w:val="21"/>
          <w:highlight w:val="none"/>
          <w:lang w:val="zh-CN"/>
        </w:rPr>
      </w:pPr>
      <w:r>
        <w:rPr>
          <w:rFonts w:hint="eastAsia" w:hAnsi="宋体" w:cs="宋体"/>
          <w:kern w:val="2"/>
          <w:szCs w:val="21"/>
          <w:highlight w:val="none"/>
          <w:lang w:val="zh-CN"/>
        </w:rPr>
        <w:t>23.1</w:t>
      </w:r>
      <w:r>
        <w:rPr>
          <w:rFonts w:hint="eastAsia" w:hAnsi="宋体" w:cs="宋体"/>
          <w:kern w:val="2"/>
          <w:szCs w:val="21"/>
          <w:highlight w:val="none"/>
          <w:lang w:val="zh-CN"/>
        </w:rPr>
        <w:tab/>
      </w:r>
      <w:r>
        <w:rPr>
          <w:rFonts w:hint="eastAsia" w:hAnsi="宋体" w:cs="宋体"/>
          <w:kern w:val="2"/>
          <w:szCs w:val="21"/>
          <w:highlight w:val="none"/>
          <w:lang w:val="zh-CN"/>
        </w:rPr>
        <w:t>递交投标文件后，直至向中标人授予合同时止，凡与审查、澄清、评估和比较投标报价的有关资料以及</w:t>
      </w:r>
      <w:r>
        <w:rPr>
          <w:rFonts w:hint="eastAsia" w:hAnsi="宋体" w:cs="宋体"/>
          <w:szCs w:val="21"/>
          <w:highlight w:val="none"/>
        </w:rPr>
        <w:t>授标</w:t>
      </w:r>
      <w:r>
        <w:rPr>
          <w:rFonts w:hint="eastAsia" w:hAnsi="宋体" w:cs="宋体"/>
          <w:kern w:val="2"/>
          <w:szCs w:val="21"/>
          <w:highlight w:val="none"/>
          <w:lang w:val="zh-CN"/>
        </w:rPr>
        <w:t>意见等，</w:t>
      </w:r>
      <w:r>
        <w:rPr>
          <w:rFonts w:hint="eastAsia" w:hAnsi="宋体" w:cs="宋体"/>
          <w:szCs w:val="21"/>
          <w:highlight w:val="none"/>
        </w:rPr>
        <w:t>参与评标工作的有关人员</w:t>
      </w:r>
      <w:r>
        <w:rPr>
          <w:rFonts w:hint="eastAsia" w:hAnsi="宋体" w:cs="宋体"/>
          <w:kern w:val="2"/>
          <w:szCs w:val="21"/>
          <w:highlight w:val="none"/>
          <w:lang w:val="zh-CN"/>
        </w:rPr>
        <w:t>均不得向投标人及与评审无关的其他人透露，否则追究有关当事人的法律责任。</w:t>
      </w:r>
    </w:p>
    <w:p>
      <w:pPr>
        <w:tabs>
          <w:tab w:val="left" w:pos="567"/>
        </w:tabs>
        <w:spacing w:line="360" w:lineRule="auto"/>
        <w:ind w:left="567" w:right="18" w:hanging="567"/>
        <w:jc w:val="both"/>
        <w:rPr>
          <w:rFonts w:hAnsi="宋体" w:cs="宋体"/>
          <w:kern w:val="2"/>
          <w:szCs w:val="21"/>
          <w:highlight w:val="none"/>
          <w:lang w:val="zh-CN"/>
        </w:rPr>
      </w:pPr>
      <w:r>
        <w:rPr>
          <w:rFonts w:hint="eastAsia" w:hAnsi="宋体" w:cs="宋体"/>
          <w:kern w:val="2"/>
          <w:szCs w:val="21"/>
          <w:highlight w:val="none"/>
          <w:lang w:val="zh-CN"/>
        </w:rPr>
        <w:t>23.2</w:t>
      </w:r>
      <w:r>
        <w:rPr>
          <w:rFonts w:hint="eastAsia" w:hAnsi="宋体" w:cs="宋体"/>
          <w:kern w:val="2"/>
          <w:szCs w:val="21"/>
          <w:highlight w:val="none"/>
          <w:lang w:val="zh-CN"/>
        </w:rPr>
        <w:tab/>
      </w:r>
      <w:r>
        <w:rPr>
          <w:rFonts w:hint="eastAsia" w:hAnsi="宋体" w:cs="宋体"/>
          <w:kern w:val="2"/>
          <w:szCs w:val="21"/>
          <w:highlight w:val="none"/>
          <w:lang w:val="zh-CN"/>
        </w:rPr>
        <w:t>在评标过程中，如果投标人试图在投标文件审查、澄清、比较及授予合同方面向采购代理机构和采购人施加任何影响，其投标文件将被拒绝。</w:t>
      </w:r>
    </w:p>
    <w:p>
      <w:pPr>
        <w:autoSpaceDE/>
        <w:autoSpaceDN/>
        <w:adjustRightInd/>
        <w:spacing w:line="360" w:lineRule="auto"/>
        <w:ind w:left="525" w:hanging="525" w:hangingChars="250"/>
        <w:jc w:val="both"/>
        <w:rPr>
          <w:rFonts w:hAnsi="宋体" w:cs="宋体"/>
          <w:szCs w:val="21"/>
          <w:highlight w:val="none"/>
        </w:rPr>
      </w:pPr>
      <w:r>
        <w:rPr>
          <w:rFonts w:hint="eastAsia" w:hAnsi="宋体" w:cs="宋体"/>
          <w:szCs w:val="21"/>
          <w:highlight w:val="none"/>
          <w:lang w:val="zh-CN"/>
        </w:rPr>
        <w:t xml:space="preserve">23.3  </w:t>
      </w:r>
      <w:r>
        <w:rPr>
          <w:rFonts w:hint="eastAsia" w:hAnsi="宋体" w:cs="宋体"/>
          <w:szCs w:val="21"/>
          <w:highlight w:val="none"/>
        </w:rPr>
        <w:t>凡参与评标工作的有关人员均应自觉接受相关政府采购主管部门的监督，不得向他人透露已获得招标文件的潜在投标人的名称、数量以及可能影响公平竞争的有关投标报价的其他情况。</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24</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评标委员会</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24.1</w:t>
      </w:r>
      <w:r>
        <w:rPr>
          <w:rFonts w:hint="eastAsia" w:hAnsi="宋体" w:cs="宋体"/>
          <w:kern w:val="2"/>
          <w:szCs w:val="21"/>
          <w:highlight w:val="none"/>
          <w:lang w:val="zh-CN"/>
        </w:rPr>
        <w:tab/>
      </w:r>
      <w:r>
        <w:rPr>
          <w:rFonts w:hint="eastAsia" w:hAnsi="宋体" w:cs="宋体"/>
          <w:kern w:val="2"/>
          <w:szCs w:val="21"/>
          <w:highlight w:val="none"/>
          <w:lang w:val="zh-CN"/>
        </w:rPr>
        <w:t>采购代理机构依法组建评标委员会。评标委员会成员由采购人的代表和技术、经济等方面的专家组成，成员为</w:t>
      </w:r>
      <w:r>
        <w:rPr>
          <w:rFonts w:hint="eastAsia" w:hAnsi="宋体" w:cs="宋体"/>
          <w:kern w:val="2"/>
          <w:szCs w:val="21"/>
          <w:highlight w:val="none"/>
          <w:u w:val="single"/>
        </w:rPr>
        <w:t xml:space="preserve">7 </w:t>
      </w:r>
      <w:r>
        <w:rPr>
          <w:rFonts w:hint="eastAsia" w:hAnsi="宋体" w:cs="宋体"/>
          <w:kern w:val="2"/>
          <w:szCs w:val="21"/>
          <w:highlight w:val="none"/>
          <w:lang w:val="zh-CN"/>
        </w:rPr>
        <w:t>名或以上单数，其中，技术、经济等方面的专家在开标前两个工作日内由</w:t>
      </w:r>
      <w:r>
        <w:rPr>
          <w:rFonts w:hint="eastAsia" w:hAnsi="宋体" w:cs="宋体"/>
          <w:kern w:val="2"/>
          <w:szCs w:val="21"/>
          <w:highlight w:val="none"/>
        </w:rPr>
        <w:t>财政部</w:t>
      </w:r>
      <w:r>
        <w:rPr>
          <w:rFonts w:hint="eastAsia" w:hAnsi="宋体" w:cs="宋体"/>
          <w:kern w:val="2"/>
          <w:szCs w:val="21"/>
          <w:highlight w:val="none"/>
          <w:lang w:val="zh-CN"/>
        </w:rPr>
        <w:t>专家库中随机抽取产生。评标委员会的成员在评标过程中必须严格遵守相关招标投标规定。</w:t>
      </w:r>
    </w:p>
    <w:p>
      <w:pPr>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24.2</w:t>
      </w:r>
      <w:r>
        <w:rPr>
          <w:rFonts w:hint="eastAsia" w:hAnsi="宋体" w:cs="宋体"/>
          <w:kern w:val="2"/>
          <w:szCs w:val="21"/>
          <w:highlight w:val="none"/>
          <w:lang w:val="zh-CN"/>
        </w:rPr>
        <w:tab/>
      </w:r>
      <w:r>
        <w:rPr>
          <w:rFonts w:hint="eastAsia" w:hAnsi="宋体" w:cs="宋体"/>
          <w:kern w:val="2"/>
          <w:szCs w:val="21"/>
          <w:highlight w:val="none"/>
          <w:lang w:val="zh-CN"/>
        </w:rPr>
        <w:t>评标委员会将只对确定为实质上响应招标文件要求的投标，即通过初审的投标进行评价和比较，响应的依据是招标文件本身的内容，而不寻求其它证据。实质上响应的投标应该是与招标文件要求的全部主要条款、条件和规格相符，没有重大偏离的投标。</w:t>
      </w:r>
    </w:p>
    <w:p>
      <w:pPr>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24.3</w:t>
      </w:r>
      <w:r>
        <w:rPr>
          <w:rFonts w:hint="eastAsia" w:hAnsi="宋体" w:cs="宋体"/>
          <w:kern w:val="2"/>
          <w:szCs w:val="21"/>
          <w:highlight w:val="none"/>
          <w:lang w:val="zh-CN"/>
        </w:rPr>
        <w:tab/>
      </w:r>
      <w:r>
        <w:rPr>
          <w:rFonts w:hint="eastAsia" w:hAnsi="宋体" w:cs="宋体"/>
          <w:kern w:val="2"/>
          <w:szCs w:val="21"/>
          <w:highlight w:val="none"/>
          <w:lang w:val="zh-CN"/>
        </w:rPr>
        <w:t>评标委员会依法根据招标文件的规定，进行投标文件的评审、得出评审结果，评标委员会递交评标报告并依法向采购人推荐中标候选人。</w:t>
      </w:r>
    </w:p>
    <w:p>
      <w:pPr>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24.4 所有参加评标人员必须遵守国家、地方政府制定的有关招标投标的法则、规定，遵守有关招标投标招标投标的保密制度；如有违反者，给予行政处分；情节严重，构成犯罪的，由司法机关依法追究其刑事责任。</w:t>
      </w:r>
    </w:p>
    <w:p>
      <w:pPr>
        <w:spacing w:line="360" w:lineRule="auto"/>
        <w:ind w:left="567" w:hanging="567"/>
        <w:jc w:val="both"/>
        <w:rPr>
          <w:rFonts w:hAnsi="宋体" w:cs="宋体"/>
          <w:kern w:val="2"/>
          <w:szCs w:val="21"/>
          <w:highlight w:val="none"/>
          <w:lang w:val="zh-CN"/>
        </w:rPr>
      </w:pPr>
      <w:r>
        <w:rPr>
          <w:rFonts w:hint="eastAsia" w:hAnsi="宋体" w:cs="宋体"/>
          <w:kern w:val="2"/>
          <w:szCs w:val="21"/>
          <w:highlight w:val="none"/>
          <w:lang w:val="zh-CN"/>
        </w:rPr>
        <w:t>24.5 全体参与评标人员：</w:t>
      </w:r>
    </w:p>
    <w:p>
      <w:pPr>
        <w:spacing w:line="360" w:lineRule="auto"/>
        <w:ind w:left="504" w:leftChars="220" w:hanging="42" w:hangingChars="20"/>
        <w:jc w:val="both"/>
        <w:rPr>
          <w:rFonts w:hAnsi="宋体" w:cs="宋体"/>
          <w:kern w:val="2"/>
          <w:szCs w:val="21"/>
          <w:highlight w:val="none"/>
          <w:lang w:val="zh-CN"/>
        </w:rPr>
      </w:pPr>
      <w:r>
        <w:rPr>
          <w:rFonts w:hint="eastAsia" w:hAnsi="宋体" w:cs="宋体"/>
          <w:kern w:val="2"/>
          <w:szCs w:val="21"/>
          <w:highlight w:val="none"/>
          <w:lang w:val="zh-CN"/>
        </w:rPr>
        <w:t>24.5.1 必须遵守评标纪律、不得泄密；</w:t>
      </w:r>
    </w:p>
    <w:p>
      <w:pPr>
        <w:spacing w:line="360" w:lineRule="auto"/>
        <w:ind w:left="504" w:leftChars="220" w:hanging="42" w:hangingChars="20"/>
        <w:jc w:val="both"/>
        <w:rPr>
          <w:rFonts w:hAnsi="宋体" w:cs="宋体"/>
          <w:kern w:val="2"/>
          <w:szCs w:val="21"/>
          <w:highlight w:val="none"/>
          <w:lang w:val="zh-CN"/>
        </w:rPr>
      </w:pPr>
      <w:r>
        <w:rPr>
          <w:rFonts w:hint="eastAsia" w:hAnsi="宋体" w:cs="宋体"/>
          <w:kern w:val="2"/>
          <w:szCs w:val="21"/>
          <w:highlight w:val="none"/>
          <w:lang w:val="zh-CN"/>
        </w:rPr>
        <w:t>24.5.2 必须公正、不得循私；</w:t>
      </w:r>
    </w:p>
    <w:p>
      <w:pPr>
        <w:spacing w:line="360" w:lineRule="auto"/>
        <w:ind w:left="504" w:leftChars="220" w:hanging="42" w:hangingChars="20"/>
        <w:jc w:val="both"/>
        <w:rPr>
          <w:rFonts w:hAnsi="宋体" w:cs="宋体"/>
          <w:kern w:val="2"/>
          <w:szCs w:val="21"/>
          <w:highlight w:val="none"/>
          <w:lang w:val="zh-CN"/>
        </w:rPr>
      </w:pPr>
      <w:r>
        <w:rPr>
          <w:rFonts w:hint="eastAsia" w:hAnsi="宋体" w:cs="宋体"/>
          <w:kern w:val="2"/>
          <w:szCs w:val="21"/>
          <w:highlight w:val="none"/>
          <w:lang w:val="zh-CN"/>
        </w:rPr>
        <w:t>24.5.3 必须科学、不得草率；</w:t>
      </w:r>
    </w:p>
    <w:p>
      <w:pPr>
        <w:spacing w:line="360" w:lineRule="auto"/>
        <w:ind w:left="504" w:leftChars="220" w:hanging="42" w:hangingChars="20"/>
        <w:jc w:val="both"/>
        <w:rPr>
          <w:rFonts w:hAnsi="宋体" w:cs="宋体"/>
          <w:kern w:val="2"/>
          <w:szCs w:val="21"/>
          <w:highlight w:val="none"/>
          <w:lang w:val="zh-CN"/>
        </w:rPr>
      </w:pPr>
      <w:r>
        <w:rPr>
          <w:rFonts w:hint="eastAsia" w:hAnsi="宋体" w:cs="宋体"/>
          <w:kern w:val="2"/>
          <w:szCs w:val="21"/>
          <w:highlight w:val="none"/>
          <w:lang w:val="zh-CN"/>
        </w:rPr>
        <w:t>24.5.4 必须客观、不得带有成见；</w:t>
      </w:r>
    </w:p>
    <w:p>
      <w:pPr>
        <w:spacing w:line="360" w:lineRule="auto"/>
        <w:ind w:left="504" w:leftChars="220" w:hanging="42" w:hangingChars="20"/>
        <w:jc w:val="both"/>
        <w:rPr>
          <w:rFonts w:hAnsi="宋体" w:cs="宋体"/>
          <w:kern w:val="2"/>
          <w:szCs w:val="21"/>
          <w:highlight w:val="none"/>
          <w:lang w:val="zh-CN"/>
        </w:rPr>
      </w:pPr>
      <w:r>
        <w:rPr>
          <w:rFonts w:hint="eastAsia" w:hAnsi="宋体" w:cs="宋体"/>
          <w:kern w:val="2"/>
          <w:szCs w:val="21"/>
          <w:highlight w:val="none"/>
          <w:lang w:val="zh-CN"/>
        </w:rPr>
        <w:t>24.5.5 必须平等、不得强加于人；</w:t>
      </w:r>
    </w:p>
    <w:p>
      <w:pPr>
        <w:spacing w:line="360" w:lineRule="auto"/>
        <w:ind w:left="504" w:leftChars="220" w:hanging="42" w:hangingChars="20"/>
        <w:jc w:val="both"/>
        <w:rPr>
          <w:rFonts w:hAnsi="宋体" w:cs="宋体"/>
          <w:kern w:val="2"/>
          <w:szCs w:val="21"/>
          <w:highlight w:val="none"/>
          <w:lang w:val="zh-CN"/>
        </w:rPr>
      </w:pPr>
      <w:r>
        <w:rPr>
          <w:rFonts w:hint="eastAsia" w:hAnsi="宋体" w:cs="宋体"/>
          <w:kern w:val="2"/>
          <w:szCs w:val="21"/>
          <w:highlight w:val="none"/>
          <w:lang w:val="zh-CN"/>
        </w:rPr>
        <w:t>24.5.6 必须严谨、不得随意马虎。</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25</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投标文件的初审</w:t>
      </w:r>
    </w:p>
    <w:p>
      <w:pPr>
        <w:spacing w:line="360" w:lineRule="auto"/>
        <w:ind w:left="540" w:hanging="540"/>
        <w:jc w:val="both"/>
        <w:rPr>
          <w:rFonts w:hAnsi="宋体" w:cs="宋体"/>
          <w:kern w:val="2"/>
          <w:szCs w:val="21"/>
          <w:highlight w:val="none"/>
        </w:rPr>
      </w:pPr>
      <w:r>
        <w:rPr>
          <w:rFonts w:hint="eastAsia" w:hAnsi="宋体" w:cs="宋体"/>
          <w:kern w:val="2"/>
          <w:szCs w:val="21"/>
          <w:highlight w:val="none"/>
          <w:lang w:val="zh-CN"/>
        </w:rPr>
        <w:t>25.1 资格性检查：依据法律法规和招标文件的规定，由采购人或采购代理机构负责对投标文件中的资格证明等进行审查，以确定投标人是否具备投标资格。</w:t>
      </w:r>
      <w:r>
        <w:rPr>
          <w:rFonts w:hint="eastAsia" w:hAnsi="宋体" w:cs="宋体"/>
          <w:szCs w:val="21"/>
          <w:highlight w:val="none"/>
        </w:rPr>
        <w:t>详见评标工作大纲。</w:t>
      </w:r>
    </w:p>
    <w:p>
      <w:pPr>
        <w:spacing w:line="360" w:lineRule="auto"/>
        <w:ind w:left="540" w:hanging="540"/>
        <w:jc w:val="both"/>
        <w:rPr>
          <w:rFonts w:hAnsi="宋体" w:cs="宋体"/>
          <w:szCs w:val="21"/>
          <w:highlight w:val="none"/>
        </w:rPr>
      </w:pPr>
      <w:r>
        <w:rPr>
          <w:rFonts w:hint="eastAsia" w:hAnsi="宋体" w:cs="宋体"/>
          <w:kern w:val="2"/>
          <w:szCs w:val="21"/>
          <w:highlight w:val="none"/>
          <w:lang w:val="zh-CN"/>
        </w:rPr>
        <w:t>25.2 符合性检查：依据招标文件的规定，评审专家负责从投标文件的有效性、完整性和对招标文件的响应程度进行审查，以确定是否对招标文件的实质性要求作出响应。（具体内容</w:t>
      </w:r>
      <w:r>
        <w:rPr>
          <w:rFonts w:hint="eastAsia" w:hAnsi="宋体" w:cs="宋体"/>
          <w:szCs w:val="21"/>
          <w:highlight w:val="none"/>
        </w:rPr>
        <w:t>详见评标工作大纲）</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26</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投标文件的澄清</w:t>
      </w:r>
    </w:p>
    <w:p>
      <w:pPr>
        <w:tabs>
          <w:tab w:val="left" w:pos="540"/>
        </w:tabs>
        <w:spacing w:line="360" w:lineRule="auto"/>
        <w:ind w:left="540" w:right="18" w:hanging="540"/>
        <w:jc w:val="both"/>
        <w:rPr>
          <w:rFonts w:hAnsi="宋体" w:cs="宋体"/>
          <w:kern w:val="2"/>
          <w:szCs w:val="21"/>
          <w:highlight w:val="none"/>
          <w:lang w:val="zh-CN"/>
        </w:rPr>
      </w:pPr>
      <w:r>
        <w:rPr>
          <w:rFonts w:hint="eastAsia" w:hAnsi="宋体" w:cs="宋体"/>
          <w:kern w:val="2"/>
          <w:szCs w:val="21"/>
          <w:highlight w:val="none"/>
          <w:lang w:val="zh-CN"/>
        </w:rPr>
        <w:t>26.1 为有助于投标文件的审查、评价和比较，评标期间，经评标委员会以书面形式提出动议，评标委员会书面发出澄清通知，要求投标人对投标文件含义不明确、同类问题表述不一致或者有明显文字和计算错误的内容作出澄清。</w:t>
      </w:r>
    </w:p>
    <w:p>
      <w:pPr>
        <w:tabs>
          <w:tab w:val="left" w:pos="540"/>
        </w:tabs>
        <w:spacing w:line="360" w:lineRule="auto"/>
        <w:ind w:left="540" w:right="18" w:hanging="540"/>
        <w:jc w:val="both"/>
        <w:rPr>
          <w:rFonts w:hAnsi="宋体" w:cs="宋体"/>
          <w:kern w:val="2"/>
          <w:szCs w:val="21"/>
          <w:highlight w:val="none"/>
          <w:lang w:val="zh-CN"/>
        </w:rPr>
      </w:pPr>
      <w:r>
        <w:rPr>
          <w:rFonts w:hint="eastAsia" w:hAnsi="宋体" w:cs="宋体"/>
          <w:kern w:val="2"/>
          <w:szCs w:val="21"/>
          <w:highlight w:val="none"/>
          <w:lang w:val="zh-CN"/>
        </w:rPr>
        <w:t>26.2 投标人应以书面形式进行澄清、说明或补正，澄清、说明或补正的内容属于投标文件的组成部分，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除上述规定的情形之外，评标委员会在评审过程中，不得接收来自评审现场以外的任何形式的文件资料。除评标委员会主动要求澄清、说明或者纠正外，评标定标期间，任何投标人均不得就与其投标相关的任何问题与评标委员会联系。</w:t>
      </w:r>
    </w:p>
    <w:p>
      <w:pPr>
        <w:tabs>
          <w:tab w:val="left" w:pos="540"/>
        </w:tabs>
        <w:spacing w:line="360" w:lineRule="auto"/>
        <w:ind w:left="540" w:right="18" w:hanging="540"/>
        <w:jc w:val="both"/>
        <w:rPr>
          <w:rFonts w:hAnsi="宋体" w:cs="宋体"/>
          <w:kern w:val="2"/>
          <w:szCs w:val="21"/>
          <w:highlight w:val="none"/>
          <w:lang w:val="zh-CN"/>
        </w:rPr>
      </w:pPr>
      <w:r>
        <w:rPr>
          <w:rFonts w:hint="eastAsia" w:hAnsi="宋体" w:cs="宋体"/>
          <w:kern w:val="2"/>
          <w:szCs w:val="21"/>
          <w:highlight w:val="none"/>
          <w:lang w:val="zh-CN"/>
        </w:rPr>
        <w:t>26.3 评标委员会成员均应当阅读投标人的澄清，但应独立参考澄清对投标文件进行评审。整个澄清的过程不得存在排斥潜在投标人的现象。</w:t>
      </w:r>
    </w:p>
    <w:p>
      <w:pPr>
        <w:tabs>
          <w:tab w:val="left" w:pos="540"/>
        </w:tabs>
        <w:spacing w:line="360" w:lineRule="auto"/>
        <w:ind w:left="540" w:right="18" w:hanging="540"/>
        <w:jc w:val="both"/>
        <w:rPr>
          <w:rFonts w:hAnsi="宋体" w:cs="宋体"/>
          <w:kern w:val="2"/>
          <w:szCs w:val="21"/>
          <w:highlight w:val="none"/>
          <w:lang w:val="zh-CN"/>
        </w:rPr>
      </w:pPr>
      <w:r>
        <w:rPr>
          <w:rFonts w:hint="eastAsia" w:hAnsi="宋体" w:cs="宋体"/>
          <w:kern w:val="2"/>
          <w:szCs w:val="21"/>
          <w:highlight w:val="none"/>
          <w:lang w:val="zh-CN"/>
        </w:rPr>
        <w:t>26.4 如果投标文件实质上不响应招标文件的各项要求，评标委员会将按照符合性审查标准予以拒绝，不接受投标人通过修改或撤销其不符合要求的差异或保留，使之成为具有响应性的投标。</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27</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对投标文件的比较和评价</w:t>
      </w:r>
    </w:p>
    <w:p>
      <w:pPr>
        <w:tabs>
          <w:tab w:val="left" w:pos="540"/>
        </w:tabs>
        <w:spacing w:line="360" w:lineRule="auto"/>
        <w:ind w:left="540" w:right="18" w:hanging="540"/>
        <w:jc w:val="both"/>
        <w:rPr>
          <w:rFonts w:hAnsi="宋体" w:cs="宋体"/>
          <w:kern w:val="2"/>
          <w:szCs w:val="21"/>
          <w:highlight w:val="none"/>
          <w:lang w:val="zh-CN"/>
        </w:rPr>
      </w:pPr>
      <w:r>
        <w:rPr>
          <w:rFonts w:hint="eastAsia" w:hAnsi="宋体" w:cs="宋体"/>
          <w:kern w:val="2"/>
          <w:szCs w:val="21"/>
          <w:highlight w:val="none"/>
          <w:lang w:val="zh-CN"/>
        </w:rPr>
        <w:t>27.1</w:t>
      </w:r>
      <w:r>
        <w:rPr>
          <w:rFonts w:hint="eastAsia" w:hAnsi="宋体" w:cs="宋体"/>
          <w:kern w:val="2"/>
          <w:szCs w:val="21"/>
          <w:highlight w:val="none"/>
          <w:lang w:val="zh-CN"/>
        </w:rPr>
        <w:tab/>
      </w:r>
      <w:r>
        <w:rPr>
          <w:rFonts w:hint="eastAsia" w:hAnsi="宋体" w:cs="宋体"/>
          <w:kern w:val="2"/>
          <w:szCs w:val="21"/>
          <w:highlight w:val="none"/>
          <w:lang w:val="zh-CN"/>
        </w:rPr>
        <w:t>评标委员会将对资格性检查和符合性检查合格的投标文件进行比较和评价，包括技术、商务的详细评审。（</w:t>
      </w:r>
      <w:r>
        <w:rPr>
          <w:rFonts w:hint="eastAsia" w:hAnsi="宋体" w:cs="宋体"/>
          <w:szCs w:val="21"/>
          <w:highlight w:val="none"/>
        </w:rPr>
        <w:t>详见评标工作大纲）</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28</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评标原则及方法</w:t>
      </w:r>
    </w:p>
    <w:p>
      <w:pPr>
        <w:tabs>
          <w:tab w:val="left" w:pos="360"/>
        </w:tabs>
        <w:spacing w:line="360" w:lineRule="auto"/>
        <w:ind w:left="540" w:right="51" w:hanging="540"/>
        <w:jc w:val="both"/>
        <w:rPr>
          <w:rFonts w:hAnsi="宋体" w:cs="宋体"/>
          <w:szCs w:val="21"/>
          <w:highlight w:val="none"/>
        </w:rPr>
      </w:pPr>
      <w:r>
        <w:rPr>
          <w:rFonts w:hint="eastAsia" w:hAnsi="宋体" w:cs="宋体"/>
          <w:kern w:val="2"/>
          <w:szCs w:val="21"/>
          <w:highlight w:val="none"/>
          <w:lang w:val="zh-CN"/>
        </w:rPr>
        <w:t>28.1</w:t>
      </w:r>
      <w:r>
        <w:rPr>
          <w:rFonts w:hint="eastAsia" w:hAnsi="宋体" w:cs="宋体"/>
          <w:kern w:val="2"/>
          <w:szCs w:val="21"/>
          <w:highlight w:val="none"/>
          <w:lang w:val="zh-CN"/>
        </w:rPr>
        <w:tab/>
      </w:r>
      <w:r>
        <w:rPr>
          <w:rFonts w:hint="eastAsia" w:hAnsi="宋体" w:cs="宋体"/>
          <w:szCs w:val="21"/>
          <w:highlight w:val="none"/>
        </w:rPr>
        <w:t>坚持“公开、公平、公正、科学、择优”的评标原则，严格评审。</w:t>
      </w:r>
    </w:p>
    <w:p>
      <w:pPr>
        <w:tabs>
          <w:tab w:val="left" w:pos="360"/>
        </w:tabs>
        <w:spacing w:line="360" w:lineRule="auto"/>
        <w:ind w:left="540" w:right="51" w:hanging="540"/>
        <w:jc w:val="both"/>
        <w:rPr>
          <w:rFonts w:hAnsi="宋体" w:cs="宋体"/>
          <w:kern w:val="2"/>
          <w:szCs w:val="21"/>
          <w:highlight w:val="none"/>
          <w:lang w:val="zh-CN"/>
        </w:rPr>
      </w:pPr>
      <w:r>
        <w:rPr>
          <w:rFonts w:hint="eastAsia" w:hAnsi="宋体" w:cs="宋体"/>
          <w:kern w:val="2"/>
          <w:szCs w:val="21"/>
          <w:highlight w:val="none"/>
          <w:lang w:val="zh-CN"/>
        </w:rPr>
        <w:t>28.2 确定中标人的评标准则是：能够最大限度满足招标文件中规定的各项综合评价标准。评标委员会没有义务必须接受最低报价的投标。</w:t>
      </w:r>
    </w:p>
    <w:p>
      <w:pPr>
        <w:tabs>
          <w:tab w:val="left" w:pos="360"/>
        </w:tabs>
        <w:spacing w:line="360" w:lineRule="auto"/>
        <w:ind w:left="540" w:right="51" w:hanging="540"/>
        <w:jc w:val="both"/>
        <w:rPr>
          <w:rFonts w:hAnsi="宋体" w:cs="宋体"/>
          <w:kern w:val="2"/>
          <w:szCs w:val="21"/>
          <w:highlight w:val="none"/>
          <w:lang w:val="zh-CN"/>
        </w:rPr>
      </w:pPr>
      <w:r>
        <w:rPr>
          <w:rFonts w:hint="eastAsia" w:hAnsi="宋体" w:cs="宋体"/>
          <w:kern w:val="2"/>
          <w:szCs w:val="21"/>
          <w:highlight w:val="none"/>
          <w:lang w:val="zh-CN"/>
        </w:rPr>
        <w:t>28.3 具体评标方法</w:t>
      </w:r>
      <w:r>
        <w:rPr>
          <w:rFonts w:hint="eastAsia" w:hAnsi="宋体" w:cs="宋体"/>
          <w:szCs w:val="21"/>
          <w:highlight w:val="none"/>
        </w:rPr>
        <w:t>详见评标工作大纲。</w:t>
      </w:r>
    </w:p>
    <w:p>
      <w:pPr>
        <w:tabs>
          <w:tab w:val="left" w:pos="567"/>
          <w:tab w:val="left" w:pos="720"/>
          <w:tab w:val="left" w:pos="3460"/>
        </w:tabs>
        <w:spacing w:line="360" w:lineRule="auto"/>
        <w:ind w:left="567" w:hanging="567"/>
        <w:jc w:val="both"/>
        <w:rPr>
          <w:rFonts w:hAnsi="宋体" w:cs="宋体"/>
          <w:szCs w:val="21"/>
          <w:highlight w:val="none"/>
        </w:rPr>
      </w:pPr>
      <w:r>
        <w:rPr>
          <w:rFonts w:hint="eastAsia" w:hAnsi="宋体" w:cs="宋体"/>
          <w:szCs w:val="21"/>
          <w:highlight w:val="none"/>
        </w:rPr>
        <w:t>29  定标</w:t>
      </w:r>
    </w:p>
    <w:p>
      <w:pPr>
        <w:tabs>
          <w:tab w:val="left" w:pos="540"/>
          <w:tab w:val="left" w:pos="720"/>
          <w:tab w:val="left" w:pos="3460"/>
        </w:tabs>
        <w:spacing w:line="360" w:lineRule="auto"/>
        <w:ind w:left="540" w:right="18" w:hanging="540"/>
        <w:jc w:val="both"/>
        <w:rPr>
          <w:rFonts w:hAnsi="宋体" w:cs="宋体"/>
          <w:kern w:val="2"/>
          <w:szCs w:val="21"/>
          <w:highlight w:val="none"/>
          <w:lang w:val="zh-CN"/>
        </w:rPr>
      </w:pPr>
      <w:r>
        <w:rPr>
          <w:rFonts w:hint="eastAsia" w:hAnsi="宋体" w:cs="宋体"/>
          <w:kern w:val="2"/>
          <w:szCs w:val="21"/>
          <w:highlight w:val="none"/>
          <w:lang w:val="zh-CN"/>
        </w:rPr>
        <w:t>29.1 采购人确认评标委员会推荐的评标结果后，由采购人对中标候选供应商的资格和履约能力进行再次审查，凡发现中标候选供应商有下列情形之一的，将移交政府采购监督管理部门依法处理：</w:t>
      </w:r>
    </w:p>
    <w:p>
      <w:pPr>
        <w:numPr>
          <w:ilvl w:val="0"/>
          <w:numId w:val="8"/>
        </w:numPr>
        <w:tabs>
          <w:tab w:val="left" w:pos="540"/>
          <w:tab w:val="left" w:pos="1134"/>
          <w:tab w:val="clear" w:pos="960"/>
        </w:tabs>
        <w:spacing w:line="360" w:lineRule="auto"/>
        <w:ind w:left="1134" w:right="15" w:rightChars="7" w:hanging="594"/>
        <w:jc w:val="both"/>
        <w:rPr>
          <w:rFonts w:hAnsi="宋体" w:cs="宋体"/>
          <w:kern w:val="2"/>
          <w:szCs w:val="21"/>
          <w:highlight w:val="none"/>
          <w:lang w:val="zh-CN"/>
        </w:rPr>
      </w:pPr>
      <w:r>
        <w:rPr>
          <w:rFonts w:hint="eastAsia" w:hAnsi="宋体" w:cs="宋体"/>
          <w:kern w:val="2"/>
          <w:szCs w:val="21"/>
          <w:highlight w:val="none"/>
          <w:lang w:val="zh-CN"/>
        </w:rPr>
        <w:t>提供虚假材料谋取中标的；</w:t>
      </w:r>
    </w:p>
    <w:p>
      <w:pPr>
        <w:numPr>
          <w:ilvl w:val="0"/>
          <w:numId w:val="8"/>
        </w:numPr>
        <w:tabs>
          <w:tab w:val="left" w:pos="540"/>
          <w:tab w:val="left" w:pos="1134"/>
          <w:tab w:val="clear" w:pos="960"/>
        </w:tabs>
        <w:spacing w:line="360" w:lineRule="auto"/>
        <w:ind w:left="1134" w:right="15" w:rightChars="7" w:hanging="594"/>
        <w:jc w:val="both"/>
        <w:rPr>
          <w:rFonts w:hAnsi="宋体" w:cs="宋体"/>
          <w:kern w:val="2"/>
          <w:szCs w:val="21"/>
          <w:highlight w:val="none"/>
          <w:lang w:val="zh-CN"/>
        </w:rPr>
      </w:pPr>
      <w:r>
        <w:rPr>
          <w:rFonts w:hint="eastAsia" w:hAnsi="宋体" w:cs="宋体"/>
          <w:kern w:val="2"/>
          <w:szCs w:val="21"/>
          <w:highlight w:val="none"/>
          <w:lang w:val="zh-CN"/>
        </w:rPr>
        <w:t>采取不正当手段诋毁、排挤其他投标人的；</w:t>
      </w:r>
    </w:p>
    <w:p>
      <w:pPr>
        <w:numPr>
          <w:ilvl w:val="0"/>
          <w:numId w:val="8"/>
        </w:numPr>
        <w:tabs>
          <w:tab w:val="left" w:pos="540"/>
          <w:tab w:val="left" w:pos="1134"/>
          <w:tab w:val="clear" w:pos="960"/>
        </w:tabs>
        <w:spacing w:line="360" w:lineRule="auto"/>
        <w:ind w:left="1134" w:right="15" w:rightChars="7" w:hanging="594"/>
        <w:jc w:val="both"/>
        <w:rPr>
          <w:rFonts w:hAnsi="宋体" w:cs="宋体"/>
          <w:kern w:val="2"/>
          <w:szCs w:val="21"/>
          <w:highlight w:val="none"/>
          <w:lang w:val="zh-CN"/>
        </w:rPr>
      </w:pPr>
      <w:r>
        <w:rPr>
          <w:rFonts w:hint="eastAsia" w:hAnsi="宋体" w:cs="宋体"/>
          <w:kern w:val="2"/>
          <w:szCs w:val="21"/>
          <w:highlight w:val="none"/>
          <w:lang w:val="zh-CN"/>
        </w:rPr>
        <w:t>与招标采购单位、其他投标人恶意串通的；</w:t>
      </w:r>
    </w:p>
    <w:p>
      <w:pPr>
        <w:tabs>
          <w:tab w:val="left" w:pos="540"/>
          <w:tab w:val="left" w:pos="1134"/>
        </w:tabs>
        <w:spacing w:line="360" w:lineRule="auto"/>
        <w:ind w:left="1134" w:right="15" w:rightChars="7"/>
        <w:jc w:val="both"/>
        <w:rPr>
          <w:rFonts w:hAnsi="宋体" w:cs="宋体"/>
          <w:kern w:val="2"/>
          <w:szCs w:val="21"/>
          <w:highlight w:val="none"/>
          <w:lang w:val="zh-CN"/>
        </w:rPr>
      </w:pPr>
      <w:r>
        <w:rPr>
          <w:rFonts w:hint="eastAsia" w:hAnsi="宋体" w:cs="宋体"/>
          <w:kern w:val="2"/>
          <w:szCs w:val="21"/>
          <w:highlight w:val="none"/>
          <w:lang w:val="zh-CN"/>
        </w:rPr>
        <w:t>3.1）不同投标人的投标文件由同一单位或者个人编制；</w:t>
      </w:r>
    </w:p>
    <w:p>
      <w:pPr>
        <w:tabs>
          <w:tab w:val="left" w:pos="540"/>
          <w:tab w:val="left" w:pos="1134"/>
        </w:tabs>
        <w:spacing w:line="360" w:lineRule="auto"/>
        <w:ind w:left="1134" w:right="15" w:rightChars="7"/>
        <w:jc w:val="both"/>
        <w:rPr>
          <w:rFonts w:hAnsi="宋体" w:cs="宋体"/>
          <w:kern w:val="2"/>
          <w:szCs w:val="21"/>
          <w:highlight w:val="none"/>
          <w:lang w:val="zh-CN"/>
        </w:rPr>
      </w:pPr>
      <w:r>
        <w:rPr>
          <w:rFonts w:hint="eastAsia" w:hAnsi="宋体" w:cs="宋体"/>
          <w:kern w:val="2"/>
          <w:szCs w:val="21"/>
          <w:highlight w:val="none"/>
          <w:lang w:val="zh-CN"/>
        </w:rPr>
        <w:t>3.2）不同投标人委托同一单位或者个人办理投标事宜；</w:t>
      </w:r>
    </w:p>
    <w:p>
      <w:pPr>
        <w:tabs>
          <w:tab w:val="left" w:pos="540"/>
          <w:tab w:val="left" w:pos="1134"/>
        </w:tabs>
        <w:spacing w:line="360" w:lineRule="auto"/>
        <w:ind w:left="1134" w:right="15" w:rightChars="7"/>
        <w:jc w:val="both"/>
        <w:rPr>
          <w:rFonts w:hAnsi="宋体" w:cs="宋体"/>
          <w:kern w:val="2"/>
          <w:szCs w:val="21"/>
          <w:highlight w:val="none"/>
          <w:lang w:val="zh-CN"/>
        </w:rPr>
      </w:pPr>
      <w:r>
        <w:rPr>
          <w:rFonts w:hint="eastAsia" w:hAnsi="宋体" w:cs="宋体"/>
          <w:kern w:val="2"/>
          <w:szCs w:val="21"/>
          <w:highlight w:val="none"/>
          <w:lang w:val="zh-CN"/>
        </w:rPr>
        <w:t>3.3）不同投标人的投标文件载明的项目管理成员或者联系人员为同一人；</w:t>
      </w:r>
    </w:p>
    <w:p>
      <w:pPr>
        <w:tabs>
          <w:tab w:val="left" w:pos="540"/>
          <w:tab w:val="left" w:pos="1134"/>
        </w:tabs>
        <w:spacing w:line="360" w:lineRule="auto"/>
        <w:ind w:left="1134" w:right="15" w:rightChars="7"/>
        <w:jc w:val="both"/>
        <w:rPr>
          <w:rFonts w:hAnsi="宋体" w:cs="宋体"/>
          <w:kern w:val="2"/>
          <w:szCs w:val="21"/>
          <w:highlight w:val="none"/>
          <w:lang w:val="zh-CN"/>
        </w:rPr>
      </w:pPr>
      <w:r>
        <w:rPr>
          <w:rFonts w:hint="eastAsia" w:hAnsi="宋体" w:cs="宋体"/>
          <w:kern w:val="2"/>
          <w:szCs w:val="21"/>
          <w:highlight w:val="none"/>
          <w:lang w:val="zh-CN"/>
        </w:rPr>
        <w:t>3.4）不同投标人的投标文件异常一致或者投标报价呈规律性差异；</w:t>
      </w:r>
    </w:p>
    <w:p>
      <w:pPr>
        <w:tabs>
          <w:tab w:val="left" w:pos="540"/>
          <w:tab w:val="left" w:pos="1134"/>
        </w:tabs>
        <w:spacing w:line="360" w:lineRule="auto"/>
        <w:ind w:left="1134" w:right="15" w:rightChars="7"/>
        <w:jc w:val="both"/>
        <w:rPr>
          <w:rFonts w:hAnsi="宋体" w:cs="宋体"/>
          <w:kern w:val="2"/>
          <w:szCs w:val="21"/>
          <w:highlight w:val="none"/>
          <w:lang w:val="zh-CN"/>
        </w:rPr>
      </w:pPr>
      <w:r>
        <w:rPr>
          <w:rFonts w:hint="eastAsia" w:hAnsi="宋体" w:cs="宋体"/>
          <w:kern w:val="2"/>
          <w:szCs w:val="21"/>
          <w:highlight w:val="none"/>
          <w:lang w:val="zh-CN"/>
        </w:rPr>
        <w:t>3.5）不同投标人的投标文件相互混装；</w:t>
      </w:r>
    </w:p>
    <w:p>
      <w:pPr>
        <w:numPr>
          <w:ilvl w:val="0"/>
          <w:numId w:val="8"/>
        </w:numPr>
        <w:tabs>
          <w:tab w:val="left" w:pos="540"/>
          <w:tab w:val="left" w:pos="1134"/>
          <w:tab w:val="clear" w:pos="960"/>
        </w:tabs>
        <w:spacing w:line="360" w:lineRule="auto"/>
        <w:ind w:left="1134" w:right="15" w:rightChars="7" w:hanging="594"/>
        <w:jc w:val="both"/>
        <w:rPr>
          <w:rFonts w:hAnsi="宋体" w:cs="宋体"/>
          <w:kern w:val="2"/>
          <w:szCs w:val="21"/>
          <w:highlight w:val="none"/>
          <w:lang w:val="zh-CN"/>
        </w:rPr>
      </w:pPr>
      <w:r>
        <w:rPr>
          <w:rFonts w:hint="eastAsia" w:hAnsi="宋体" w:cs="宋体"/>
          <w:kern w:val="2"/>
          <w:szCs w:val="21"/>
          <w:highlight w:val="none"/>
          <w:lang w:val="zh-CN"/>
        </w:rPr>
        <w:t>向招标采购单位行贿或者提供其他不正当利益的；</w:t>
      </w:r>
    </w:p>
    <w:p>
      <w:pPr>
        <w:numPr>
          <w:ilvl w:val="0"/>
          <w:numId w:val="8"/>
        </w:numPr>
        <w:tabs>
          <w:tab w:val="left" w:pos="540"/>
          <w:tab w:val="left" w:pos="1134"/>
          <w:tab w:val="clear" w:pos="960"/>
        </w:tabs>
        <w:spacing w:line="360" w:lineRule="auto"/>
        <w:ind w:left="1134" w:right="15" w:rightChars="7" w:hanging="594"/>
        <w:jc w:val="both"/>
        <w:rPr>
          <w:rFonts w:hAnsi="宋体" w:cs="宋体"/>
          <w:kern w:val="2"/>
          <w:szCs w:val="21"/>
          <w:highlight w:val="none"/>
          <w:lang w:val="zh-CN"/>
        </w:rPr>
      </w:pPr>
      <w:r>
        <w:rPr>
          <w:rFonts w:hint="eastAsia" w:hAnsi="宋体" w:cs="宋体"/>
          <w:kern w:val="2"/>
          <w:szCs w:val="21"/>
          <w:highlight w:val="none"/>
          <w:lang w:val="zh-CN"/>
        </w:rPr>
        <w:t>在招标过程中与招标采购单位进行协商谈判、不按照招标文件和中标供应商的投标文件订立合同，或者与采购单位另行订立背离合同实质性内容的协议的；</w:t>
      </w:r>
    </w:p>
    <w:p>
      <w:pPr>
        <w:numPr>
          <w:ilvl w:val="0"/>
          <w:numId w:val="8"/>
        </w:numPr>
        <w:tabs>
          <w:tab w:val="left" w:pos="540"/>
          <w:tab w:val="left" w:pos="1134"/>
          <w:tab w:val="clear" w:pos="960"/>
        </w:tabs>
        <w:spacing w:line="360" w:lineRule="auto"/>
        <w:ind w:left="1134" w:right="15" w:rightChars="7" w:hanging="594"/>
        <w:jc w:val="both"/>
        <w:rPr>
          <w:rFonts w:hAnsi="宋体" w:cs="宋体"/>
          <w:kern w:val="2"/>
          <w:szCs w:val="21"/>
          <w:highlight w:val="none"/>
          <w:lang w:val="zh-CN"/>
        </w:rPr>
      </w:pPr>
      <w:r>
        <w:rPr>
          <w:rFonts w:hint="eastAsia" w:hAnsi="宋体" w:cs="宋体"/>
          <w:kern w:val="2"/>
          <w:szCs w:val="21"/>
          <w:highlight w:val="none"/>
          <w:lang w:val="zh-CN"/>
        </w:rPr>
        <w:t>拒绝有关部门监督检查或者提供虚假情况的。</w:t>
      </w:r>
    </w:p>
    <w:p>
      <w:pPr>
        <w:tabs>
          <w:tab w:val="left" w:pos="540"/>
          <w:tab w:val="left" w:pos="720"/>
          <w:tab w:val="left" w:pos="3460"/>
        </w:tabs>
        <w:spacing w:line="360" w:lineRule="auto"/>
        <w:ind w:left="540" w:right="18" w:hanging="540"/>
        <w:jc w:val="both"/>
        <w:rPr>
          <w:rFonts w:hAnsi="宋体" w:cs="宋体"/>
          <w:kern w:val="2"/>
          <w:szCs w:val="21"/>
          <w:highlight w:val="none"/>
          <w:lang w:val="zh-CN"/>
        </w:rPr>
      </w:pPr>
      <w:r>
        <w:rPr>
          <w:rFonts w:hint="eastAsia" w:hAnsi="宋体" w:cs="宋体"/>
          <w:kern w:val="2"/>
          <w:szCs w:val="21"/>
          <w:highlight w:val="none"/>
          <w:lang w:val="zh-CN"/>
        </w:rPr>
        <w:t>29.2 投标人有前款（1）至（6）项情形之一的，中标无效。</w:t>
      </w:r>
    </w:p>
    <w:p>
      <w:pPr>
        <w:tabs>
          <w:tab w:val="left" w:pos="540"/>
          <w:tab w:val="left" w:pos="720"/>
          <w:tab w:val="left" w:pos="3460"/>
        </w:tabs>
        <w:spacing w:line="360" w:lineRule="auto"/>
        <w:ind w:left="540" w:right="18" w:hanging="540"/>
        <w:jc w:val="both"/>
        <w:rPr>
          <w:rFonts w:hAnsi="宋体" w:cs="宋体"/>
          <w:kern w:val="2"/>
          <w:szCs w:val="21"/>
          <w:highlight w:val="none"/>
          <w:lang w:val="zh-CN"/>
        </w:rPr>
      </w:pPr>
      <w:r>
        <w:rPr>
          <w:rFonts w:hint="eastAsia" w:hAnsi="宋体" w:cs="宋体"/>
          <w:kern w:val="2"/>
          <w:szCs w:val="21"/>
          <w:highlight w:val="none"/>
          <w:lang w:val="zh-CN"/>
        </w:rPr>
        <w:t>29.3 采购代理机构在评标结束后将评标推荐意见及招标结果确认书送采购人。采购人依法确定中标供应商。采购代理机构将中标结果在中国政府采购网（http://www.ccgp.gov.cn）、</w:t>
      </w:r>
      <w:r>
        <w:rPr>
          <w:rFonts w:hint="eastAsia" w:cs="宋体"/>
          <w:szCs w:val="21"/>
          <w:highlight w:val="none"/>
        </w:rPr>
        <w:t>广东远东招标代理有限公司网（http://www.gdydzb.com）</w:t>
      </w:r>
      <w:r>
        <w:rPr>
          <w:rFonts w:hint="eastAsia" w:hAnsi="宋体" w:cs="宋体"/>
          <w:kern w:val="2"/>
          <w:szCs w:val="21"/>
          <w:highlight w:val="none"/>
          <w:lang w:val="zh-CN"/>
        </w:rPr>
        <w:t>发布。</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30</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资格后审</w:t>
      </w:r>
    </w:p>
    <w:p>
      <w:pPr>
        <w:spacing w:line="360" w:lineRule="auto"/>
        <w:ind w:left="567" w:hanging="567" w:hangingChars="270"/>
        <w:rPr>
          <w:rFonts w:hAnsi="宋体" w:cs="宋体"/>
          <w:szCs w:val="21"/>
          <w:highlight w:val="none"/>
        </w:rPr>
      </w:pPr>
      <w:r>
        <w:rPr>
          <w:rFonts w:hint="eastAsia" w:hAnsi="宋体" w:cs="宋体"/>
          <w:kern w:val="2"/>
          <w:szCs w:val="21"/>
          <w:highlight w:val="none"/>
          <w:lang w:val="zh-CN"/>
        </w:rPr>
        <w:t>30.1</w:t>
      </w:r>
      <w:r>
        <w:rPr>
          <w:rFonts w:hint="eastAsia" w:hAnsi="宋体" w:cs="宋体"/>
          <w:kern w:val="2"/>
          <w:szCs w:val="21"/>
          <w:highlight w:val="none"/>
          <w:lang w:val="zh-CN"/>
        </w:rPr>
        <w:tab/>
      </w:r>
      <w:r>
        <w:rPr>
          <w:rFonts w:hint="eastAsia" w:hAnsi="宋体" w:cs="宋体"/>
          <w:szCs w:val="21"/>
          <w:highlight w:val="none"/>
        </w:rPr>
        <w:t>采购代理机构可应采购人的要求，组织资格后审，对所选择的提交了响应性的综合评分最高的投标人是否有资格能圆满地履行合同作出资格后审确认。</w:t>
      </w:r>
    </w:p>
    <w:p>
      <w:pPr>
        <w:spacing w:line="360" w:lineRule="auto"/>
        <w:ind w:left="540" w:right="18" w:hanging="540"/>
        <w:jc w:val="both"/>
        <w:rPr>
          <w:rFonts w:hAnsi="宋体" w:cs="宋体"/>
          <w:kern w:val="2"/>
          <w:szCs w:val="21"/>
          <w:highlight w:val="none"/>
          <w:lang w:val="zh-CN"/>
        </w:rPr>
      </w:pPr>
      <w:r>
        <w:rPr>
          <w:rFonts w:hint="eastAsia" w:hAnsi="宋体" w:cs="宋体"/>
          <w:kern w:val="2"/>
          <w:szCs w:val="21"/>
          <w:highlight w:val="none"/>
          <w:lang w:val="zh-CN"/>
        </w:rPr>
        <w:t>30.2</w:t>
      </w:r>
      <w:r>
        <w:rPr>
          <w:rFonts w:hint="eastAsia" w:hAnsi="宋体" w:cs="宋体"/>
          <w:kern w:val="2"/>
          <w:szCs w:val="21"/>
          <w:highlight w:val="none"/>
          <w:lang w:val="zh-CN"/>
        </w:rPr>
        <w:tab/>
      </w:r>
      <w:r>
        <w:rPr>
          <w:rFonts w:hint="eastAsia" w:hAnsi="宋体" w:cs="宋体"/>
          <w:kern w:val="2"/>
          <w:szCs w:val="21"/>
          <w:highlight w:val="none"/>
          <w:lang w:val="zh-CN"/>
        </w:rPr>
        <w:t>审查将根据投标人提交的投标文件和资格后审认为其他必要的、合适的资料，包括有关验收报告、业绩合同的真实性，对投标人的财务等进行审查。如发现投标人存在弄虚作假行为，将追究其责任。</w:t>
      </w:r>
    </w:p>
    <w:p>
      <w:pPr>
        <w:spacing w:line="360" w:lineRule="auto"/>
        <w:ind w:left="540" w:right="18" w:hanging="540"/>
        <w:jc w:val="both"/>
        <w:rPr>
          <w:rFonts w:hAnsi="宋体" w:cs="宋体"/>
          <w:kern w:val="2"/>
          <w:szCs w:val="21"/>
          <w:highlight w:val="none"/>
          <w:lang w:val="zh-CN"/>
        </w:rPr>
      </w:pPr>
      <w:r>
        <w:rPr>
          <w:rFonts w:hint="eastAsia" w:hAnsi="宋体" w:cs="宋体"/>
          <w:szCs w:val="21"/>
          <w:highlight w:val="none"/>
        </w:rPr>
        <w:t>30.3</w:t>
      </w:r>
      <w:r>
        <w:rPr>
          <w:rFonts w:hint="eastAsia" w:hAnsi="宋体" w:cs="宋体"/>
          <w:szCs w:val="21"/>
          <w:highlight w:val="none"/>
        </w:rPr>
        <w:tab/>
      </w:r>
      <w:r>
        <w:rPr>
          <w:rFonts w:hint="eastAsia" w:hAnsi="宋体" w:cs="宋体"/>
          <w:kern w:val="2"/>
          <w:szCs w:val="21"/>
          <w:highlight w:val="none"/>
          <w:lang w:val="zh-CN"/>
        </w:rPr>
        <w:t>如果审查通过，则将合同授予该投标人；如果审查没有通过，则其投标文件被拒绝。在此情况下，将对下一个综合评分最高的投标人的能力做类似的审查</w:t>
      </w:r>
      <w:r>
        <w:rPr>
          <w:rFonts w:hint="eastAsia" w:hAnsi="宋体" w:cs="宋体"/>
          <w:szCs w:val="21"/>
          <w:highlight w:val="none"/>
        </w:rPr>
        <w:t>或重新招标。</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31</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评标委员会和采购人接受或拒绝任何投标或所有投标的权利</w:t>
      </w:r>
    </w:p>
    <w:p>
      <w:pPr>
        <w:spacing w:line="360" w:lineRule="auto"/>
        <w:ind w:left="540" w:right="18" w:hanging="540"/>
        <w:jc w:val="both"/>
        <w:rPr>
          <w:rFonts w:hAnsi="宋体" w:cs="宋体"/>
          <w:kern w:val="2"/>
          <w:szCs w:val="21"/>
          <w:highlight w:val="none"/>
          <w:lang w:val="zh-CN"/>
        </w:rPr>
      </w:pPr>
      <w:r>
        <w:rPr>
          <w:rFonts w:hint="eastAsia" w:hAnsi="宋体" w:cs="宋体"/>
          <w:szCs w:val="21"/>
          <w:highlight w:val="none"/>
        </w:rPr>
        <w:t>31.1</w:t>
      </w:r>
      <w:r>
        <w:rPr>
          <w:rFonts w:hint="eastAsia" w:hAnsi="宋体" w:cs="宋体"/>
          <w:szCs w:val="21"/>
          <w:highlight w:val="none"/>
        </w:rPr>
        <w:tab/>
      </w:r>
      <w:r>
        <w:rPr>
          <w:rFonts w:hint="eastAsia" w:hAnsi="宋体" w:cs="宋体"/>
          <w:kern w:val="2"/>
          <w:szCs w:val="21"/>
          <w:highlight w:val="none"/>
          <w:lang w:val="zh-CN"/>
        </w:rPr>
        <w:t>在授予合同前的任何时候，</w:t>
      </w:r>
      <w:r>
        <w:rPr>
          <w:rFonts w:hint="eastAsia" w:hAnsi="宋体" w:cs="宋体"/>
          <w:szCs w:val="21"/>
          <w:highlight w:val="none"/>
        </w:rPr>
        <w:t>评标委员会和采购人仍保留接受或拒绝任何投标</w:t>
      </w:r>
      <w:r>
        <w:rPr>
          <w:rFonts w:hint="eastAsia" w:hAnsi="宋体" w:cs="宋体"/>
          <w:kern w:val="2"/>
          <w:szCs w:val="21"/>
          <w:highlight w:val="none"/>
          <w:lang w:val="zh-CN"/>
        </w:rPr>
        <w:t>，宣布招标程序无效或拒绝所有投标的权利，无需向受影响的投标人承担任何责任。</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32</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中标通知</w:t>
      </w:r>
    </w:p>
    <w:p>
      <w:pPr>
        <w:tabs>
          <w:tab w:val="left" w:pos="540"/>
        </w:tabs>
        <w:spacing w:line="360" w:lineRule="auto"/>
        <w:ind w:left="540" w:right="18" w:hanging="540"/>
        <w:jc w:val="both"/>
        <w:rPr>
          <w:rFonts w:hAnsi="宋体" w:cs="宋体"/>
          <w:kern w:val="2"/>
          <w:szCs w:val="21"/>
          <w:highlight w:val="none"/>
          <w:lang w:val="zh-CN"/>
        </w:rPr>
      </w:pPr>
      <w:r>
        <w:rPr>
          <w:rFonts w:hint="eastAsia" w:hAnsi="宋体" w:cs="宋体"/>
          <w:kern w:val="2"/>
          <w:szCs w:val="21"/>
          <w:highlight w:val="none"/>
          <w:lang w:val="zh-CN"/>
        </w:rPr>
        <w:t>32.1</w:t>
      </w:r>
      <w:r>
        <w:rPr>
          <w:rFonts w:hint="eastAsia" w:hAnsi="宋体" w:cs="宋体"/>
          <w:kern w:val="2"/>
          <w:szCs w:val="21"/>
          <w:highlight w:val="none"/>
          <w:lang w:val="zh-CN"/>
        </w:rPr>
        <w:tab/>
      </w:r>
      <w:r>
        <w:rPr>
          <w:rFonts w:hint="eastAsia" w:hAnsi="宋体" w:cs="宋体"/>
          <w:kern w:val="2"/>
          <w:szCs w:val="21"/>
          <w:highlight w:val="none"/>
          <w:lang w:val="zh-CN"/>
        </w:rPr>
        <w:t>投标文件有效期期满前，采购代理机构将以书面形式通知中标人其投标文件被接受。</w:t>
      </w:r>
    </w:p>
    <w:p>
      <w:pPr>
        <w:spacing w:line="360" w:lineRule="auto"/>
        <w:ind w:left="540" w:right="18" w:hanging="540"/>
        <w:jc w:val="both"/>
        <w:rPr>
          <w:rFonts w:hAnsi="宋体" w:cs="宋体"/>
          <w:kern w:val="2"/>
          <w:szCs w:val="21"/>
          <w:highlight w:val="none"/>
          <w:lang w:val="zh-CN"/>
        </w:rPr>
      </w:pPr>
      <w:r>
        <w:rPr>
          <w:rFonts w:hint="eastAsia" w:hAnsi="宋体" w:cs="宋体"/>
          <w:kern w:val="2"/>
          <w:szCs w:val="21"/>
          <w:highlight w:val="none"/>
          <w:lang w:val="zh-CN"/>
        </w:rPr>
        <w:t>32.2</w:t>
      </w:r>
      <w:r>
        <w:rPr>
          <w:rFonts w:hint="eastAsia" w:hAnsi="宋体" w:cs="宋体"/>
          <w:kern w:val="2"/>
          <w:szCs w:val="21"/>
          <w:highlight w:val="none"/>
          <w:lang w:val="zh-CN"/>
        </w:rPr>
        <w:tab/>
      </w:r>
      <w:r>
        <w:rPr>
          <w:rFonts w:hint="eastAsia" w:hAnsi="宋体" w:cs="宋体"/>
          <w:kern w:val="2"/>
          <w:szCs w:val="21"/>
          <w:highlight w:val="none"/>
          <w:lang w:val="zh-CN"/>
        </w:rPr>
        <w:t>采购代理机构向中标人发出书面通知的同时，采购代理机构通知落选的投标人其投标文件未被接受而不提原因。</w:t>
      </w:r>
    </w:p>
    <w:p>
      <w:pPr>
        <w:tabs>
          <w:tab w:val="left" w:pos="540"/>
        </w:tabs>
        <w:spacing w:line="360" w:lineRule="auto"/>
        <w:ind w:left="540" w:right="18" w:hanging="540"/>
        <w:jc w:val="both"/>
        <w:rPr>
          <w:rFonts w:hAnsi="宋体" w:cs="宋体"/>
          <w:kern w:val="2"/>
          <w:szCs w:val="21"/>
          <w:highlight w:val="none"/>
          <w:u w:val="single"/>
          <w:lang w:val="zh-CN"/>
        </w:rPr>
      </w:pPr>
      <w:r>
        <w:rPr>
          <w:rFonts w:hint="eastAsia" w:hAnsi="宋体" w:cs="宋体"/>
          <w:kern w:val="2"/>
          <w:szCs w:val="21"/>
          <w:highlight w:val="none"/>
          <w:lang w:val="zh-CN"/>
        </w:rPr>
        <w:t>32.3 中标通知书是合同的一个组成部分。</w:t>
      </w:r>
    </w:p>
    <w:p>
      <w:pPr>
        <w:tabs>
          <w:tab w:val="left" w:pos="540"/>
        </w:tabs>
        <w:spacing w:line="360" w:lineRule="auto"/>
        <w:ind w:left="540" w:right="18" w:hanging="540"/>
        <w:jc w:val="both"/>
        <w:rPr>
          <w:rFonts w:hAnsi="宋体" w:cs="宋体"/>
          <w:szCs w:val="21"/>
          <w:highlight w:val="none"/>
        </w:rPr>
      </w:pPr>
      <w:r>
        <w:rPr>
          <w:rFonts w:hint="eastAsia" w:hAnsi="宋体" w:cs="宋体"/>
          <w:kern w:val="2"/>
          <w:szCs w:val="21"/>
          <w:highlight w:val="none"/>
          <w:lang w:val="zh-CN"/>
        </w:rPr>
        <w:t xml:space="preserve">32.4 </w:t>
      </w:r>
      <w:r>
        <w:rPr>
          <w:rFonts w:hint="eastAsia" w:hAnsi="宋体" w:cs="宋体"/>
          <w:bCs/>
          <w:szCs w:val="21"/>
          <w:highlight w:val="none"/>
        </w:rPr>
        <w:t>中标人如在收到招标结果通知后15日内不按规定领取中标通知书，则视为自动放弃中标资格，并按招标投标相关法律法规追究其相关责任。</w:t>
      </w:r>
    </w:p>
    <w:p>
      <w:pPr>
        <w:tabs>
          <w:tab w:val="left" w:pos="567"/>
          <w:tab w:val="left" w:pos="720"/>
          <w:tab w:val="left" w:pos="3460"/>
        </w:tabs>
        <w:spacing w:line="360" w:lineRule="auto"/>
        <w:ind w:left="567" w:hanging="567"/>
        <w:jc w:val="both"/>
        <w:rPr>
          <w:rFonts w:hAnsi="宋体" w:cs="宋体"/>
          <w:szCs w:val="21"/>
          <w:highlight w:val="none"/>
        </w:rPr>
      </w:pPr>
      <w:r>
        <w:rPr>
          <w:rFonts w:hint="eastAsia" w:hAnsi="宋体" w:cs="宋体"/>
          <w:szCs w:val="21"/>
          <w:highlight w:val="none"/>
        </w:rPr>
        <w:t>33  废标的认定</w:t>
      </w:r>
    </w:p>
    <w:p>
      <w:pPr>
        <w:tabs>
          <w:tab w:val="left" w:pos="540"/>
        </w:tabs>
        <w:spacing w:line="360" w:lineRule="auto"/>
        <w:ind w:left="540" w:right="18" w:hanging="540"/>
        <w:jc w:val="both"/>
        <w:rPr>
          <w:rFonts w:hAnsi="宋体" w:cs="宋体"/>
          <w:kern w:val="2"/>
          <w:szCs w:val="21"/>
          <w:highlight w:val="none"/>
          <w:lang w:val="zh-CN"/>
        </w:rPr>
      </w:pPr>
      <w:r>
        <w:rPr>
          <w:rFonts w:hint="eastAsia" w:hAnsi="宋体" w:cs="宋体"/>
          <w:kern w:val="2"/>
          <w:szCs w:val="21"/>
          <w:highlight w:val="none"/>
          <w:lang w:val="zh-CN"/>
        </w:rPr>
        <w:t>33.1 符合专业条件的供应商或者对招标文件作实质响应的供应商不足三家的；</w:t>
      </w:r>
    </w:p>
    <w:p>
      <w:pPr>
        <w:tabs>
          <w:tab w:val="left" w:pos="540"/>
        </w:tabs>
        <w:spacing w:line="360" w:lineRule="auto"/>
        <w:ind w:left="540" w:right="18" w:hanging="540"/>
        <w:jc w:val="both"/>
        <w:rPr>
          <w:rFonts w:hAnsi="宋体" w:cs="宋体"/>
          <w:kern w:val="2"/>
          <w:szCs w:val="21"/>
          <w:highlight w:val="none"/>
          <w:lang w:val="zh-CN"/>
        </w:rPr>
      </w:pPr>
      <w:r>
        <w:rPr>
          <w:rFonts w:hint="eastAsia" w:hAnsi="宋体" w:cs="宋体"/>
          <w:kern w:val="2"/>
          <w:szCs w:val="21"/>
          <w:highlight w:val="none"/>
          <w:lang w:val="zh-CN"/>
        </w:rPr>
        <w:t>33.2 出现影响采购公正的违法、违规行为的；</w:t>
      </w:r>
    </w:p>
    <w:p>
      <w:pPr>
        <w:tabs>
          <w:tab w:val="left" w:pos="540"/>
        </w:tabs>
        <w:spacing w:line="360" w:lineRule="auto"/>
        <w:ind w:left="540" w:right="18" w:hanging="540"/>
        <w:jc w:val="both"/>
        <w:rPr>
          <w:rFonts w:hAnsi="宋体" w:cs="宋体"/>
          <w:kern w:val="2"/>
          <w:szCs w:val="21"/>
          <w:highlight w:val="none"/>
          <w:lang w:val="zh-CN"/>
        </w:rPr>
      </w:pPr>
      <w:r>
        <w:rPr>
          <w:rFonts w:hint="eastAsia" w:hAnsi="宋体" w:cs="宋体"/>
          <w:kern w:val="2"/>
          <w:szCs w:val="21"/>
          <w:highlight w:val="none"/>
          <w:lang w:val="zh-CN"/>
        </w:rPr>
        <w:t>33.3 投标人的报价均超过了最高限额，采购人不能支付的；</w:t>
      </w:r>
    </w:p>
    <w:p>
      <w:pPr>
        <w:tabs>
          <w:tab w:val="left" w:pos="540"/>
        </w:tabs>
        <w:spacing w:line="360" w:lineRule="auto"/>
        <w:ind w:left="540" w:right="18" w:hanging="540"/>
        <w:jc w:val="both"/>
        <w:rPr>
          <w:rFonts w:hAnsi="宋体" w:cs="宋体"/>
          <w:kern w:val="2"/>
          <w:szCs w:val="21"/>
          <w:highlight w:val="none"/>
          <w:lang w:val="zh-CN"/>
        </w:rPr>
      </w:pPr>
      <w:r>
        <w:rPr>
          <w:rFonts w:hint="eastAsia" w:hAnsi="宋体" w:cs="宋体"/>
          <w:kern w:val="2"/>
          <w:szCs w:val="21"/>
          <w:highlight w:val="none"/>
          <w:lang w:val="zh-CN"/>
        </w:rPr>
        <w:t>33.4 因重大变故，采购任务取消的。</w:t>
      </w:r>
    </w:p>
    <w:p>
      <w:pPr>
        <w:tabs>
          <w:tab w:val="left" w:pos="540"/>
          <w:tab w:val="left" w:pos="720"/>
          <w:tab w:val="left" w:pos="3460"/>
        </w:tabs>
        <w:spacing w:line="360" w:lineRule="auto"/>
        <w:ind w:left="540" w:right="18" w:hanging="540"/>
        <w:jc w:val="both"/>
        <w:rPr>
          <w:rFonts w:hAnsi="宋体" w:cs="宋体"/>
          <w:kern w:val="2"/>
          <w:szCs w:val="21"/>
          <w:highlight w:val="none"/>
        </w:rPr>
      </w:pPr>
    </w:p>
    <w:p>
      <w:pPr>
        <w:pStyle w:val="6"/>
        <w:spacing w:line="360" w:lineRule="auto"/>
        <w:rPr>
          <w:rFonts w:hAnsi="宋体" w:cs="宋体"/>
          <w:b w:val="0"/>
          <w:bCs/>
          <w:kern w:val="44"/>
          <w:szCs w:val="21"/>
          <w:highlight w:val="none"/>
          <w:lang w:val="zh-CN"/>
        </w:rPr>
      </w:pPr>
      <w:bookmarkStart w:id="5" w:name="_Toc413396494"/>
      <w:r>
        <w:rPr>
          <w:rFonts w:hint="eastAsia" w:hAnsi="宋体" w:cs="宋体"/>
          <w:b w:val="0"/>
          <w:bCs/>
          <w:kern w:val="44"/>
          <w:szCs w:val="21"/>
          <w:highlight w:val="none"/>
          <w:lang w:val="zh-CN"/>
        </w:rPr>
        <w:t>（六）</w:t>
      </w:r>
      <w:r>
        <w:rPr>
          <w:rFonts w:hint="eastAsia" w:hAnsi="宋体" w:cs="宋体"/>
          <w:b w:val="0"/>
          <w:bCs/>
          <w:kern w:val="44"/>
          <w:szCs w:val="21"/>
          <w:highlight w:val="none"/>
          <w:lang w:val="zh-CN"/>
        </w:rPr>
        <w:tab/>
      </w:r>
      <w:r>
        <w:rPr>
          <w:rFonts w:hint="eastAsia" w:hAnsi="宋体" w:cs="宋体"/>
          <w:b w:val="0"/>
          <w:bCs/>
          <w:kern w:val="44"/>
          <w:szCs w:val="21"/>
          <w:highlight w:val="none"/>
          <w:lang w:val="zh-CN"/>
        </w:rPr>
        <w:t>授予合同</w:t>
      </w:r>
      <w:bookmarkEnd w:id="5"/>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34</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授予合同的准则</w:t>
      </w:r>
    </w:p>
    <w:p>
      <w:pPr>
        <w:tabs>
          <w:tab w:val="left" w:pos="540"/>
        </w:tabs>
        <w:spacing w:line="360" w:lineRule="auto"/>
        <w:ind w:left="540" w:right="51" w:hanging="540"/>
        <w:jc w:val="both"/>
        <w:rPr>
          <w:rFonts w:hAnsi="宋体" w:cs="宋体"/>
          <w:kern w:val="2"/>
          <w:szCs w:val="21"/>
          <w:highlight w:val="none"/>
          <w:lang w:val="zh-CN"/>
        </w:rPr>
      </w:pPr>
      <w:r>
        <w:rPr>
          <w:rFonts w:hint="eastAsia" w:hAnsi="宋体" w:cs="宋体"/>
          <w:kern w:val="2"/>
          <w:szCs w:val="21"/>
          <w:highlight w:val="none"/>
          <w:lang w:val="zh-CN"/>
        </w:rPr>
        <w:t>34.1 除</w:t>
      </w:r>
      <w:r>
        <w:rPr>
          <w:highlight w:val="none"/>
        </w:rPr>
        <w:fldChar w:fldCharType="begin"/>
      </w:r>
      <w:r>
        <w:rPr>
          <w:highlight w:val="none"/>
        </w:rPr>
        <w:instrText xml:space="preserve"> HYPERLINK "l%20" </w:instrText>
      </w:r>
      <w:r>
        <w:rPr>
          <w:highlight w:val="none"/>
        </w:rPr>
        <w:fldChar w:fldCharType="separate"/>
      </w:r>
      <w:r>
        <w:rPr>
          <w:rFonts w:hint="eastAsia" w:hAnsi="宋体" w:cs="宋体"/>
          <w:kern w:val="2"/>
          <w:szCs w:val="21"/>
          <w:highlight w:val="none"/>
          <w:lang w:val="zh-CN"/>
        </w:rPr>
        <w:t>第30款</w:t>
      </w:r>
      <w:r>
        <w:rPr>
          <w:rFonts w:hint="eastAsia" w:hAnsi="宋体" w:cs="宋体"/>
          <w:kern w:val="2"/>
          <w:szCs w:val="21"/>
          <w:highlight w:val="none"/>
          <w:lang w:val="zh-CN"/>
        </w:rPr>
        <w:fldChar w:fldCharType="end"/>
      </w:r>
      <w:r>
        <w:rPr>
          <w:rFonts w:hint="eastAsia" w:hAnsi="宋体" w:cs="宋体"/>
          <w:kern w:val="2"/>
          <w:szCs w:val="21"/>
          <w:highlight w:val="none"/>
          <w:lang w:val="zh-CN"/>
        </w:rPr>
        <w:t>规定外，采购人将合同授予其投标文件符合招标文件要求，并且能承诺履行合同，对采购人最为有利的投标人。</w:t>
      </w:r>
    </w:p>
    <w:p>
      <w:pPr>
        <w:tabs>
          <w:tab w:val="left" w:pos="540"/>
        </w:tabs>
        <w:spacing w:line="360" w:lineRule="auto"/>
        <w:ind w:left="540" w:right="51" w:hanging="540"/>
        <w:jc w:val="both"/>
        <w:rPr>
          <w:rFonts w:hAnsi="宋体" w:cs="宋体"/>
          <w:kern w:val="2"/>
          <w:szCs w:val="21"/>
          <w:highlight w:val="none"/>
          <w:lang w:val="zh-CN"/>
        </w:rPr>
      </w:pPr>
      <w:r>
        <w:rPr>
          <w:rFonts w:hint="eastAsia" w:hAnsi="宋体" w:cs="宋体"/>
          <w:kern w:val="2"/>
          <w:szCs w:val="21"/>
          <w:highlight w:val="none"/>
          <w:lang w:val="zh-CN"/>
        </w:rPr>
        <w:t>34.2 采购人依法</w:t>
      </w:r>
      <w:r>
        <w:rPr>
          <w:rFonts w:hint="eastAsia" w:hAnsi="宋体" w:cs="宋体"/>
          <w:szCs w:val="21"/>
          <w:highlight w:val="none"/>
        </w:rPr>
        <w:t>按照评标报告中推荐的中标候选人顺序</w:t>
      </w:r>
      <w:r>
        <w:rPr>
          <w:rFonts w:hint="eastAsia" w:hAnsi="宋体" w:cs="宋体"/>
          <w:kern w:val="2"/>
          <w:szCs w:val="21"/>
          <w:highlight w:val="none"/>
          <w:lang w:val="zh-CN"/>
        </w:rPr>
        <w:t>确定中标人。</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35</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合同的订立和履行</w:t>
      </w:r>
    </w:p>
    <w:p>
      <w:pPr>
        <w:tabs>
          <w:tab w:val="left" w:pos="540"/>
        </w:tabs>
        <w:spacing w:line="360" w:lineRule="auto"/>
        <w:ind w:left="540" w:right="18" w:hanging="540"/>
        <w:jc w:val="both"/>
        <w:rPr>
          <w:rFonts w:hAnsi="宋体" w:cs="宋体"/>
          <w:kern w:val="2"/>
          <w:szCs w:val="21"/>
          <w:highlight w:val="none"/>
          <w:lang w:val="zh-CN"/>
        </w:rPr>
      </w:pPr>
      <w:r>
        <w:rPr>
          <w:rFonts w:hint="eastAsia" w:hAnsi="宋体" w:cs="宋体"/>
          <w:kern w:val="2"/>
          <w:szCs w:val="21"/>
          <w:highlight w:val="none"/>
          <w:lang w:val="zh-CN"/>
        </w:rPr>
        <w:t>35.1 采购代理机构通知中标人中标时，将提供招标文件中的合同格式（包括双方之间的有关协议）给中标人。</w:t>
      </w:r>
    </w:p>
    <w:p>
      <w:pPr>
        <w:tabs>
          <w:tab w:val="left" w:pos="540"/>
        </w:tabs>
        <w:spacing w:line="360" w:lineRule="auto"/>
        <w:ind w:left="567" w:hanging="567" w:hangingChars="270"/>
        <w:jc w:val="both"/>
        <w:rPr>
          <w:rFonts w:hAnsi="宋体" w:cs="宋体"/>
          <w:kern w:val="2"/>
          <w:szCs w:val="21"/>
          <w:highlight w:val="none"/>
          <w:lang w:val="zh-CN"/>
        </w:rPr>
      </w:pPr>
      <w:r>
        <w:rPr>
          <w:rFonts w:hint="eastAsia" w:hAnsi="宋体" w:cs="宋体"/>
          <w:kern w:val="2"/>
          <w:szCs w:val="21"/>
          <w:highlight w:val="none"/>
          <w:lang w:val="zh-CN"/>
        </w:rPr>
        <w:t>35.2中标人在自中标通知书发出之日起20日内，应派授权代表前往《投标须知前附表》注明的地点与采购人按招标文件要求和中标人投标文件承诺签订政府采购合同，合同签订内容不得超出招标文件和中标人投标文件的范围、也不得再行订立背离合同实质性内容的其他协议。</w:t>
      </w:r>
    </w:p>
    <w:p>
      <w:pPr>
        <w:tabs>
          <w:tab w:val="left" w:pos="540"/>
        </w:tabs>
        <w:spacing w:line="360" w:lineRule="auto"/>
        <w:ind w:left="540" w:right="18" w:hanging="540"/>
        <w:jc w:val="both"/>
        <w:rPr>
          <w:rFonts w:hAnsi="宋体" w:cs="宋体"/>
          <w:kern w:val="2"/>
          <w:szCs w:val="21"/>
          <w:highlight w:val="none"/>
          <w:lang w:val="zh-CN"/>
        </w:rPr>
      </w:pPr>
      <w:r>
        <w:rPr>
          <w:rFonts w:hint="eastAsia" w:hAnsi="宋体" w:cs="宋体"/>
          <w:kern w:val="2"/>
          <w:szCs w:val="21"/>
          <w:highlight w:val="none"/>
          <w:lang w:val="zh-CN"/>
        </w:rPr>
        <w:t>35.3签订政府采购合同后2个工作日内，采购人应按规定将政府采购合同送财政部门备案。</w:t>
      </w:r>
    </w:p>
    <w:p>
      <w:pPr>
        <w:tabs>
          <w:tab w:val="left" w:pos="540"/>
        </w:tabs>
        <w:spacing w:line="360" w:lineRule="auto"/>
        <w:ind w:left="540" w:right="18" w:hanging="540"/>
        <w:jc w:val="both"/>
        <w:rPr>
          <w:rFonts w:hAnsi="宋体" w:cs="宋体"/>
          <w:kern w:val="2"/>
          <w:szCs w:val="21"/>
          <w:highlight w:val="none"/>
          <w:lang w:val="zh-CN"/>
        </w:rPr>
      </w:pPr>
      <w:r>
        <w:rPr>
          <w:rFonts w:hint="eastAsia" w:hAnsi="宋体" w:cs="宋体"/>
          <w:kern w:val="2"/>
          <w:szCs w:val="21"/>
          <w:highlight w:val="none"/>
          <w:lang w:val="zh-CN"/>
        </w:rPr>
        <w:t>35.4 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tabs>
          <w:tab w:val="left" w:pos="540"/>
        </w:tabs>
        <w:spacing w:line="360" w:lineRule="auto"/>
        <w:ind w:left="540" w:right="18" w:hanging="540"/>
        <w:jc w:val="both"/>
        <w:rPr>
          <w:rFonts w:hAnsi="宋体" w:cs="宋体"/>
          <w:kern w:val="2"/>
          <w:szCs w:val="21"/>
          <w:highlight w:val="none"/>
          <w:lang w:val="zh-CN"/>
        </w:rPr>
      </w:pPr>
      <w:r>
        <w:rPr>
          <w:rFonts w:hint="eastAsia" w:hAnsi="宋体" w:cs="宋体"/>
          <w:kern w:val="2"/>
          <w:szCs w:val="21"/>
          <w:highlight w:val="none"/>
          <w:lang w:val="zh-CN"/>
        </w:rPr>
        <w:t>35.5 政府采购合同履行中，采购人需追加与合同标的相同的货物、工程或者服务的，在不改变合同其他条款的前提下，可以与供应商签订补充合同，但所补充合同的采购金额不得超过原采购金额的百分之十。签订补充合同的必须按照35.3条的规定备案。</w:t>
      </w:r>
    </w:p>
    <w:p>
      <w:pPr>
        <w:tabs>
          <w:tab w:val="left" w:pos="567"/>
        </w:tabs>
        <w:spacing w:line="360" w:lineRule="auto"/>
        <w:ind w:left="567" w:hanging="567"/>
        <w:jc w:val="both"/>
        <w:rPr>
          <w:rFonts w:hAnsi="宋体" w:cs="宋体"/>
          <w:kern w:val="2"/>
          <w:szCs w:val="21"/>
          <w:highlight w:val="none"/>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36</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lang w:val="zh-CN"/>
        </w:rPr>
        <w:t>履约</w:t>
      </w:r>
      <w:r>
        <w:rPr>
          <w:rFonts w:hint="eastAsia" w:hAnsi="宋体" w:cs="宋体"/>
          <w:bCs/>
          <w:szCs w:val="21"/>
          <w:highlight w:val="none"/>
        </w:rPr>
        <w:t>保证金：本项目不适用</w:t>
      </w:r>
    </w:p>
    <w:p>
      <w:pPr>
        <w:tabs>
          <w:tab w:val="left" w:pos="567"/>
        </w:tabs>
        <w:spacing w:line="360" w:lineRule="auto"/>
        <w:ind w:left="567" w:hanging="567"/>
        <w:jc w:val="both"/>
        <w:rPr>
          <w:rFonts w:hAnsi="宋体" w:cs="宋体"/>
          <w:kern w:val="2"/>
          <w:szCs w:val="21"/>
          <w:highlight w:val="none"/>
          <w:lang w:val="zh-CN"/>
        </w:rPr>
      </w:pP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37</w:t>
      </w:r>
      <w:r>
        <w:rPr>
          <w:rFonts w:hint="eastAsia" w:hAnsi="宋体" w:cs="宋体"/>
          <w:outline/>
          <w:kern w:val="2"/>
          <w:szCs w:val="21"/>
          <w:highlight w:val="none"/>
          <w:lang w:val="zh-CN"/>
          <w14:textOutline w14:w="9525" w14:cap="flat" w14:cmpd="sng" w14:algn="ctr">
            <w14:solidFill>
              <w14:srgbClr w14:val="000000"/>
            </w14:solidFill>
            <w14:prstDash w14:val="solid"/>
            <w14:round/>
          </w14:textOutline>
          <w14:textFill>
            <w14:noFill/>
          </w14:textFill>
        </w:rPr>
        <w:tab/>
      </w:r>
      <w:r>
        <w:rPr>
          <w:rFonts w:hint="eastAsia" w:hAnsi="宋体" w:cs="宋体"/>
          <w:kern w:val="2"/>
          <w:szCs w:val="21"/>
          <w:highlight w:val="none"/>
        </w:rPr>
        <w:t>招标代理</w:t>
      </w:r>
      <w:r>
        <w:rPr>
          <w:rFonts w:hint="eastAsia" w:hAnsi="宋体" w:cs="宋体"/>
          <w:kern w:val="2"/>
          <w:szCs w:val="21"/>
          <w:highlight w:val="none"/>
          <w:lang w:val="zh-CN"/>
        </w:rPr>
        <w:t>服务费</w:t>
      </w:r>
    </w:p>
    <w:p>
      <w:pPr>
        <w:spacing w:line="360" w:lineRule="auto"/>
        <w:rPr>
          <w:rFonts w:hAnsi="宋体" w:cs="宋体"/>
          <w:kern w:val="2"/>
          <w:szCs w:val="21"/>
          <w:highlight w:val="none"/>
          <w:lang w:val="zh-CN"/>
        </w:rPr>
      </w:pPr>
      <w:r>
        <w:rPr>
          <w:rFonts w:hint="eastAsia" w:hAnsi="宋体" w:cs="宋体"/>
          <w:kern w:val="2"/>
          <w:szCs w:val="21"/>
          <w:highlight w:val="none"/>
          <w:lang w:val="zh-CN"/>
        </w:rPr>
        <w:t>37.1</w:t>
      </w:r>
      <w:r>
        <w:rPr>
          <w:rFonts w:hint="eastAsia" w:hAnsi="宋体"/>
          <w:szCs w:val="21"/>
          <w:highlight w:val="none"/>
        </w:rPr>
        <w:t>中标人向采购代理机构支付招标代理服务费：中标人在收取《中标通知书》时应向采购代理机构交纳中标服务费，中标服务费的收费标准参照国家计委颁布的</w:t>
      </w:r>
      <w:r>
        <w:rPr>
          <w:rFonts w:ascii="宋体" w:hAnsi="宋体"/>
          <w:color w:val="000000"/>
          <w:szCs w:val="21"/>
          <w:highlight w:val="none"/>
          <w:u w:val="single"/>
        </w:rPr>
        <w:t>«</w:t>
      </w:r>
      <w:r>
        <w:rPr>
          <w:rFonts w:hint="eastAsia" w:ascii="宋体" w:hAnsi="宋体"/>
          <w:color w:val="000000"/>
          <w:szCs w:val="21"/>
          <w:highlight w:val="none"/>
          <w:u w:val="single"/>
        </w:rPr>
        <w:t>招标代理服务收费管理暂行办法</w:t>
      </w:r>
      <w:r>
        <w:rPr>
          <w:rFonts w:ascii="宋体" w:hAnsi="宋体"/>
          <w:color w:val="000000"/>
          <w:szCs w:val="21"/>
          <w:highlight w:val="none"/>
          <w:u w:val="single"/>
        </w:rPr>
        <w:t>»</w:t>
      </w:r>
      <w:r>
        <w:rPr>
          <w:rFonts w:hint="eastAsia" w:hAnsi="宋体"/>
          <w:szCs w:val="21"/>
          <w:highlight w:val="none"/>
        </w:rPr>
        <w:t>（计价格[2002]1980号）的</w:t>
      </w:r>
      <w:r>
        <w:rPr>
          <w:rFonts w:hint="eastAsia" w:hAnsi="宋体"/>
          <w:szCs w:val="21"/>
          <w:highlight w:val="none"/>
          <w:lang w:val="en-US" w:eastAsia="zh-CN"/>
        </w:rPr>
        <w:t>标准</w:t>
      </w:r>
      <w:r>
        <w:rPr>
          <w:rFonts w:hint="eastAsia" w:hAnsi="宋体"/>
          <w:szCs w:val="21"/>
          <w:highlight w:val="none"/>
        </w:rPr>
        <w:t>（服务类）</w:t>
      </w:r>
      <w:r>
        <w:rPr>
          <w:rFonts w:hint="eastAsia" w:hAnsi="宋体"/>
          <w:szCs w:val="21"/>
          <w:highlight w:val="none"/>
          <w:lang w:val="en-US" w:eastAsia="zh-CN"/>
        </w:rPr>
        <w:t>下浮20%</w:t>
      </w:r>
      <w:r>
        <w:rPr>
          <w:rFonts w:hint="eastAsia" w:hAnsi="宋体"/>
          <w:szCs w:val="21"/>
          <w:highlight w:val="none"/>
        </w:rPr>
        <w:t>执行。</w:t>
      </w:r>
    </w:p>
    <w:p>
      <w:pPr>
        <w:spacing w:line="360" w:lineRule="auto"/>
        <w:ind w:left="539" w:right="17" w:hanging="539"/>
        <w:jc w:val="both"/>
        <w:rPr>
          <w:rFonts w:hAnsi="宋体" w:cs="宋体"/>
          <w:kern w:val="2"/>
          <w:szCs w:val="21"/>
          <w:highlight w:val="none"/>
          <w:lang w:val="zh-CN"/>
        </w:rPr>
      </w:pPr>
      <w:r>
        <w:rPr>
          <w:rFonts w:hint="eastAsia" w:hAnsi="宋体" w:cs="宋体"/>
          <w:kern w:val="2"/>
          <w:szCs w:val="21"/>
          <w:highlight w:val="none"/>
          <w:lang w:val="zh-CN"/>
        </w:rPr>
        <w:t>38.采购人在授予合同时变更采购货物和服务数量的权利</w:t>
      </w:r>
    </w:p>
    <w:p>
      <w:pPr>
        <w:spacing w:line="360" w:lineRule="auto"/>
        <w:ind w:left="539" w:right="17" w:hanging="539"/>
        <w:jc w:val="both"/>
        <w:rPr>
          <w:rFonts w:hAnsi="宋体" w:cs="宋体"/>
          <w:kern w:val="2"/>
          <w:szCs w:val="21"/>
          <w:highlight w:val="none"/>
          <w:lang w:val="zh-CN"/>
        </w:rPr>
      </w:pPr>
      <w:bookmarkStart w:id="6" w:name="_Hlk35578185"/>
      <w:bookmarkStart w:id="7" w:name="_Hlk35578186"/>
      <w:bookmarkStart w:id="8" w:name="_Hlk35578184"/>
      <w:r>
        <w:rPr>
          <w:rFonts w:hint="eastAsia" w:hAnsi="宋体" w:cs="宋体"/>
          <w:kern w:val="2"/>
          <w:szCs w:val="21"/>
          <w:highlight w:val="none"/>
          <w:lang w:val="zh-CN"/>
        </w:rPr>
        <w:t>38.1</w:t>
      </w:r>
      <w:bookmarkEnd w:id="6"/>
      <w:bookmarkEnd w:id="7"/>
      <w:bookmarkEnd w:id="8"/>
      <w:r>
        <w:rPr>
          <w:rFonts w:hint="eastAsia" w:hAnsi="宋体" w:cs="宋体"/>
          <w:kern w:val="2"/>
          <w:szCs w:val="21"/>
          <w:highlight w:val="none"/>
          <w:lang w:val="zh-CN"/>
        </w:rPr>
        <w:t xml:space="preserve"> 政府采购合同履行中，采购人需追加与合同标的相同的货物、工程或者服务的，在不改变合同其他条款的前提下，可以与供应商签订补充合同，但所补充合同的采购金额不得超过</w:t>
      </w:r>
      <w:r>
        <w:rPr>
          <w:rFonts w:hint="eastAsia" w:hAnsi="宋体" w:cs="宋体"/>
          <w:bCs/>
          <w:szCs w:val="21"/>
          <w:highlight w:val="none"/>
        </w:rPr>
        <w:t>相关法律法规</w:t>
      </w:r>
      <w:r>
        <w:rPr>
          <w:rFonts w:hint="eastAsia" w:hAnsi="宋体" w:cs="宋体"/>
          <w:kern w:val="2"/>
          <w:szCs w:val="21"/>
          <w:highlight w:val="none"/>
          <w:lang w:val="zh-CN"/>
        </w:rPr>
        <w:t>规定的幅度，以中标人投标报价的单价进行计算。签订补充合同的必须按照35.3条的规定备案。</w:t>
      </w:r>
    </w:p>
    <w:p>
      <w:pPr>
        <w:spacing w:line="360" w:lineRule="auto"/>
        <w:ind w:left="539" w:right="17" w:hanging="539"/>
        <w:jc w:val="both"/>
        <w:rPr>
          <w:rFonts w:hAnsi="宋体" w:cs="宋体"/>
          <w:kern w:val="2"/>
          <w:szCs w:val="21"/>
          <w:highlight w:val="none"/>
          <w:lang w:val="zh-CN"/>
        </w:rPr>
      </w:pPr>
      <w:r>
        <w:rPr>
          <w:rFonts w:hint="eastAsia" w:hAnsi="宋体" w:cs="宋体"/>
          <w:kern w:val="2"/>
          <w:szCs w:val="21"/>
          <w:highlight w:val="none"/>
          <w:lang w:val="zh-CN"/>
        </w:rPr>
        <w:t>39.  发票</w:t>
      </w:r>
    </w:p>
    <w:p>
      <w:pPr>
        <w:spacing w:line="360" w:lineRule="auto"/>
        <w:ind w:left="539" w:right="17" w:hanging="539"/>
        <w:jc w:val="both"/>
        <w:rPr>
          <w:rFonts w:hAnsi="宋体" w:cs="宋体"/>
          <w:kern w:val="2"/>
          <w:szCs w:val="21"/>
          <w:highlight w:val="none"/>
          <w:lang w:val="zh-CN"/>
        </w:rPr>
      </w:pPr>
      <w:r>
        <w:rPr>
          <w:rFonts w:hint="eastAsia" w:hAnsi="宋体" w:cs="宋体"/>
          <w:kern w:val="2"/>
          <w:szCs w:val="21"/>
          <w:highlight w:val="none"/>
          <w:lang w:val="zh-CN"/>
        </w:rPr>
        <w:t>39.1 该项目获得中标的中标人在执行合同过程中，向采购人出具的发票必须是由中标人开具，不得以其他单位或个人名义出具。</w:t>
      </w:r>
    </w:p>
    <w:p>
      <w:pPr>
        <w:spacing w:line="360" w:lineRule="auto"/>
        <w:rPr>
          <w:rFonts w:hAnsi="宋体" w:cs="宋体"/>
          <w:kern w:val="2"/>
          <w:szCs w:val="21"/>
          <w:highlight w:val="none"/>
          <w:lang w:val="zh-CN"/>
        </w:rPr>
      </w:pPr>
    </w:p>
    <w:p>
      <w:pPr>
        <w:pStyle w:val="6"/>
        <w:spacing w:line="360" w:lineRule="auto"/>
        <w:rPr>
          <w:rFonts w:hAnsi="宋体" w:cs="宋体"/>
          <w:b w:val="0"/>
          <w:bCs/>
          <w:kern w:val="44"/>
          <w:szCs w:val="21"/>
          <w:highlight w:val="none"/>
          <w:lang w:val="zh-CN"/>
        </w:rPr>
      </w:pPr>
      <w:bookmarkStart w:id="9" w:name="_Toc413396495"/>
      <w:r>
        <w:rPr>
          <w:rFonts w:hint="eastAsia" w:hAnsi="宋体" w:cs="宋体"/>
          <w:b w:val="0"/>
          <w:bCs/>
          <w:kern w:val="44"/>
          <w:szCs w:val="21"/>
          <w:highlight w:val="none"/>
          <w:lang w:val="zh-CN"/>
        </w:rPr>
        <w:t>（七）质疑与回复</w:t>
      </w:r>
      <w:bookmarkEnd w:id="9"/>
    </w:p>
    <w:p>
      <w:pPr>
        <w:spacing w:line="360" w:lineRule="auto"/>
        <w:rPr>
          <w:rFonts w:hAnsi="宋体" w:cs="宋体"/>
          <w:szCs w:val="21"/>
          <w:highlight w:val="none"/>
        </w:rPr>
      </w:pPr>
      <w:r>
        <w:rPr>
          <w:rFonts w:hint="eastAsia" w:hAnsi="宋体" w:cs="宋体"/>
          <w:szCs w:val="21"/>
          <w:highlight w:val="none"/>
        </w:rPr>
        <w:t>40   质疑与回复</w:t>
      </w:r>
    </w:p>
    <w:p>
      <w:pPr>
        <w:spacing w:line="360" w:lineRule="auto"/>
        <w:ind w:left="539" w:right="17" w:hanging="539"/>
        <w:jc w:val="both"/>
        <w:rPr>
          <w:rFonts w:hAnsi="宋体" w:cs="宋体"/>
          <w:kern w:val="2"/>
          <w:szCs w:val="21"/>
          <w:highlight w:val="none"/>
          <w:lang w:val="zh-CN"/>
        </w:rPr>
      </w:pPr>
      <w:r>
        <w:rPr>
          <w:rFonts w:hint="eastAsia" w:hAnsi="宋体" w:cs="宋体"/>
          <w:kern w:val="2"/>
          <w:szCs w:val="21"/>
          <w:highlight w:val="none"/>
          <w:lang w:val="zh-CN"/>
        </w:rPr>
        <w:t>40.1 如果投标人对此次采购活动有疑问，可依法向采购代理机构提出质疑。采购人或者采购代理机构应当在收到投标人书面有效质疑的七个工作日内对供应商依法提出的询问作出答复。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left="539" w:right="17" w:hanging="539"/>
        <w:jc w:val="both"/>
        <w:rPr>
          <w:rFonts w:hAnsi="宋体" w:cs="宋体"/>
          <w:kern w:val="2"/>
          <w:szCs w:val="21"/>
          <w:highlight w:val="none"/>
          <w:lang w:val="zh-CN"/>
        </w:rPr>
      </w:pPr>
      <w:r>
        <w:rPr>
          <w:rFonts w:hint="eastAsia" w:hAnsi="宋体" w:cs="宋体"/>
          <w:kern w:val="2"/>
          <w:szCs w:val="21"/>
          <w:highlight w:val="none"/>
          <w:lang w:val="zh-CN"/>
        </w:rPr>
        <w:t>40.2 政府采购法第五十二条规定的供应商应知其权益受到损害之日，是指：</w:t>
      </w:r>
    </w:p>
    <w:p>
      <w:pPr>
        <w:spacing w:line="360" w:lineRule="auto"/>
        <w:ind w:left="539" w:right="17" w:hanging="539"/>
        <w:jc w:val="both"/>
        <w:rPr>
          <w:rFonts w:hAnsi="宋体" w:cs="宋体"/>
          <w:kern w:val="2"/>
          <w:szCs w:val="21"/>
          <w:highlight w:val="none"/>
          <w:lang w:val="zh-CN"/>
        </w:rPr>
      </w:pPr>
      <w:r>
        <w:rPr>
          <w:rFonts w:hint="eastAsia" w:hAnsi="宋体" w:cs="宋体"/>
          <w:kern w:val="2"/>
          <w:szCs w:val="21"/>
          <w:highlight w:val="none"/>
          <w:lang w:val="zh-CN"/>
        </w:rPr>
        <w:t>　40.2.1 对可以质疑的采购文件提出质疑的，为采购文件公示期限届满之日起七个工作日内；</w:t>
      </w:r>
    </w:p>
    <w:p>
      <w:pPr>
        <w:spacing w:line="360" w:lineRule="auto"/>
        <w:ind w:left="539" w:right="17" w:hanging="539"/>
        <w:jc w:val="both"/>
        <w:rPr>
          <w:rFonts w:hAnsi="宋体" w:cs="宋体"/>
          <w:kern w:val="2"/>
          <w:szCs w:val="21"/>
          <w:highlight w:val="none"/>
          <w:lang w:val="zh-CN"/>
        </w:rPr>
      </w:pPr>
      <w:r>
        <w:rPr>
          <w:rFonts w:hint="eastAsia" w:hAnsi="宋体" w:cs="宋体"/>
          <w:kern w:val="2"/>
          <w:szCs w:val="21"/>
          <w:highlight w:val="none"/>
          <w:lang w:val="zh-CN"/>
        </w:rPr>
        <w:t>　40.2.2 对采购过程提出质疑的，为各采购程序环节结束之日；</w:t>
      </w:r>
    </w:p>
    <w:p>
      <w:pPr>
        <w:spacing w:line="360" w:lineRule="auto"/>
        <w:ind w:left="539" w:right="17" w:hanging="539"/>
        <w:jc w:val="both"/>
        <w:rPr>
          <w:rFonts w:hAnsi="宋体" w:cs="宋体"/>
          <w:kern w:val="2"/>
          <w:szCs w:val="21"/>
          <w:highlight w:val="none"/>
          <w:lang w:val="zh-CN"/>
        </w:rPr>
      </w:pPr>
      <w:r>
        <w:rPr>
          <w:rFonts w:hint="eastAsia" w:hAnsi="宋体" w:cs="宋体"/>
          <w:kern w:val="2"/>
          <w:szCs w:val="21"/>
          <w:highlight w:val="none"/>
          <w:lang w:val="zh-CN"/>
        </w:rPr>
        <w:t>　40.2.3 对中标或者成交结果提出质疑的，为中标或者成交结果公告期限届满之日。</w:t>
      </w:r>
    </w:p>
    <w:p>
      <w:pPr>
        <w:pStyle w:val="76"/>
        <w:ind w:firstLine="210" w:firstLineChars="100"/>
        <w:rPr>
          <w:rFonts w:ascii="宋体" w:hAnsi="宋体" w:cs="宋体"/>
          <w:highlight w:val="none"/>
          <w:lang w:val="zh-CN"/>
        </w:rPr>
      </w:pPr>
      <w:r>
        <w:rPr>
          <w:rFonts w:hint="eastAsia" w:ascii="宋体" w:hAnsi="宋体" w:cs="宋体"/>
          <w:bCs w:val="0"/>
          <w:spacing w:val="0"/>
          <w:kern w:val="2"/>
          <w:szCs w:val="21"/>
          <w:highlight w:val="none"/>
          <w:lang w:val="zh-CN"/>
        </w:rPr>
        <w:t>40.2.4 供应商在法定质疑期内只能一次性提出针对同一采购程序环节的质疑</w:t>
      </w:r>
      <w:r>
        <w:rPr>
          <w:rFonts w:hint="eastAsia" w:ascii="宋体" w:hAnsi="宋体" w:cs="宋体"/>
          <w:highlight w:val="none"/>
          <w:lang w:val="zh-CN"/>
        </w:rPr>
        <w:t>。</w:t>
      </w:r>
    </w:p>
    <w:p>
      <w:pPr>
        <w:spacing w:line="360" w:lineRule="auto"/>
        <w:ind w:left="539" w:right="17" w:hanging="539"/>
        <w:jc w:val="both"/>
        <w:rPr>
          <w:rFonts w:hAnsi="宋体" w:cs="宋体"/>
          <w:kern w:val="2"/>
          <w:szCs w:val="21"/>
          <w:highlight w:val="none"/>
          <w:lang w:val="zh-CN"/>
        </w:rPr>
      </w:pPr>
      <w:r>
        <w:rPr>
          <w:rFonts w:hint="eastAsia" w:hAnsi="宋体" w:cs="宋体"/>
          <w:kern w:val="2"/>
          <w:szCs w:val="21"/>
          <w:highlight w:val="none"/>
          <w:lang w:val="zh-CN"/>
        </w:rPr>
        <w:t>40.3 询问或者质疑事项可能影响中标、成交结果的，采购人应当暂停签订合同，已经签订合同的，应当中止履行合同。</w:t>
      </w:r>
    </w:p>
    <w:p>
      <w:pPr>
        <w:spacing w:line="360" w:lineRule="auto"/>
        <w:ind w:left="539" w:right="17" w:hanging="539"/>
        <w:jc w:val="both"/>
        <w:rPr>
          <w:rFonts w:hAnsi="宋体" w:cs="宋体"/>
          <w:kern w:val="2"/>
          <w:szCs w:val="21"/>
          <w:highlight w:val="none"/>
          <w:lang w:val="zh-CN"/>
        </w:rPr>
      </w:pPr>
      <w:r>
        <w:rPr>
          <w:rFonts w:hint="eastAsia" w:hAnsi="宋体" w:cs="宋体"/>
          <w:kern w:val="2"/>
          <w:szCs w:val="21"/>
          <w:highlight w:val="none"/>
          <w:lang w:val="zh-CN"/>
        </w:rPr>
        <w:t>40.4 投标人有质疑时，应当以书面形式（加盖投标人公章）在质疑有效期限内向采购代理机构交质疑书原件，逾期质疑无效。投标人以电话、传真或电邮形式提交的质疑属于无效质疑。质疑内容不得含有虚假、恶意成分。依据“谁主张谁举证”的原则，质疑者提供的质疑书应当包括下列主要内容：具体的质疑事项、事实依据及相关确凿的证明材料和注明事实的确切来源、投标人名称、联系人与联系电话、质疑时间，质疑书应当署名并由法定代表人\负责人签字盖章并加盖公章。采购代理机构受理书面质疑书原件之日起，在规定的期限内做出答复。对于捏造事实、滥用维权扰乱采购秩序的恶意质疑者或举证不全查无实据被驳回次数在一年内达三次以上，将纳入不良行为记录名单并承担相应的法律责任。供应商投诉的事项不得超出已质疑事项的范围。</w:t>
      </w:r>
    </w:p>
    <w:p>
      <w:pPr>
        <w:spacing w:line="360" w:lineRule="auto"/>
        <w:ind w:left="539" w:right="17" w:hanging="539"/>
        <w:jc w:val="both"/>
        <w:rPr>
          <w:rFonts w:hAnsi="宋体" w:cs="宋体"/>
          <w:kern w:val="2"/>
          <w:szCs w:val="21"/>
          <w:highlight w:val="none"/>
          <w:lang w:val="zh-CN"/>
        </w:rPr>
      </w:pPr>
      <w:r>
        <w:rPr>
          <w:rFonts w:hint="eastAsia" w:hAnsi="宋体" w:cs="宋体"/>
          <w:kern w:val="2"/>
          <w:szCs w:val="21"/>
          <w:highlight w:val="none"/>
          <w:lang w:val="zh-CN"/>
        </w:rPr>
        <w:t>40.5　财政部门处理投诉事项采用书面审查的方式，必要时可以进行调查取证或者组织质证。</w:t>
      </w:r>
    </w:p>
    <w:p>
      <w:pPr>
        <w:spacing w:line="360" w:lineRule="auto"/>
        <w:ind w:left="539" w:right="17" w:hanging="539"/>
        <w:jc w:val="both"/>
        <w:rPr>
          <w:rFonts w:hAnsi="宋体" w:cs="宋体"/>
          <w:kern w:val="2"/>
          <w:szCs w:val="21"/>
          <w:highlight w:val="none"/>
          <w:lang w:val="zh-CN"/>
        </w:rPr>
      </w:pPr>
      <w:r>
        <w:rPr>
          <w:rFonts w:hint="eastAsia" w:hAnsi="宋体" w:cs="宋体"/>
          <w:kern w:val="2"/>
          <w:szCs w:val="21"/>
          <w:highlight w:val="none"/>
          <w:lang w:val="zh-CN"/>
        </w:rPr>
        <w:t>　　对财政部门依法进行的调查取证，投诉人和与投诉事项有关的当事人应当如实反映情况，并提供相关材料。</w:t>
      </w:r>
    </w:p>
    <w:p>
      <w:pPr>
        <w:spacing w:line="360" w:lineRule="auto"/>
        <w:ind w:left="539" w:right="17" w:hanging="539"/>
        <w:jc w:val="both"/>
        <w:rPr>
          <w:rFonts w:hAnsi="宋体" w:cs="宋体"/>
          <w:kern w:val="2"/>
          <w:szCs w:val="21"/>
          <w:highlight w:val="none"/>
          <w:lang w:val="zh-CN"/>
        </w:rPr>
      </w:pPr>
      <w:r>
        <w:rPr>
          <w:rFonts w:hint="eastAsia" w:hAnsi="宋体" w:cs="宋体"/>
          <w:kern w:val="2"/>
          <w:szCs w:val="21"/>
          <w:highlight w:val="none"/>
          <w:lang w:val="zh-CN"/>
        </w:rPr>
        <w:t>40.6 投诉人捏造事实、提供虚假材料或者以非法手段取得证明材料进行投诉的，财政部门应当予以驳回。</w:t>
      </w:r>
    </w:p>
    <w:p>
      <w:pPr>
        <w:spacing w:line="360" w:lineRule="auto"/>
        <w:ind w:left="539" w:right="17" w:hanging="539"/>
        <w:jc w:val="both"/>
        <w:rPr>
          <w:rFonts w:hAnsi="宋体" w:cs="宋体"/>
          <w:kern w:val="2"/>
          <w:szCs w:val="21"/>
          <w:highlight w:val="none"/>
          <w:lang w:val="zh-CN"/>
        </w:rPr>
      </w:pPr>
      <w:r>
        <w:rPr>
          <w:rFonts w:hint="eastAsia" w:hAnsi="宋体" w:cs="宋体"/>
          <w:kern w:val="2"/>
          <w:szCs w:val="21"/>
          <w:highlight w:val="none"/>
          <w:lang w:val="zh-CN"/>
        </w:rPr>
        <w:t>　　财政部门受理投诉后，投诉人书面申请撤回投诉的，财政部门应当终止投诉处理程序。</w:t>
      </w:r>
    </w:p>
    <w:p>
      <w:pPr>
        <w:spacing w:line="360" w:lineRule="auto"/>
        <w:ind w:left="539" w:right="17" w:hanging="539"/>
        <w:jc w:val="both"/>
        <w:rPr>
          <w:rFonts w:hAnsi="宋体" w:cs="宋体"/>
          <w:kern w:val="2"/>
          <w:szCs w:val="21"/>
          <w:highlight w:val="none"/>
          <w:lang w:val="zh-CN"/>
        </w:rPr>
      </w:pPr>
      <w:r>
        <w:rPr>
          <w:rFonts w:hint="eastAsia" w:hAnsi="宋体" w:cs="宋体"/>
          <w:kern w:val="2"/>
          <w:szCs w:val="21"/>
          <w:highlight w:val="none"/>
          <w:lang w:val="zh-CN"/>
        </w:rPr>
        <w:t>40.7 财政部门处理投诉事项，需要检验、检测、鉴定、专家评审以及需要投诉人补正材料的，所需时间不计算在投诉处理期限内。</w:t>
      </w:r>
    </w:p>
    <w:p>
      <w:pPr>
        <w:spacing w:line="360" w:lineRule="auto"/>
        <w:ind w:left="539" w:right="17" w:hanging="539"/>
        <w:jc w:val="both"/>
        <w:rPr>
          <w:rFonts w:hAnsi="宋体" w:cs="宋体"/>
          <w:kern w:val="2"/>
          <w:szCs w:val="21"/>
          <w:highlight w:val="none"/>
          <w:lang w:val="zh-CN"/>
        </w:rPr>
      </w:pPr>
      <w:r>
        <w:rPr>
          <w:rFonts w:hint="eastAsia" w:hAnsi="宋体" w:cs="宋体"/>
          <w:kern w:val="2"/>
          <w:szCs w:val="21"/>
          <w:highlight w:val="none"/>
          <w:lang w:val="zh-CN"/>
        </w:rPr>
        <w:t>　　财政部门对投诉事项作出的处理决定，应当在省级以上人民政府财政部门指定的媒体上公告。</w:t>
      </w:r>
    </w:p>
    <w:p>
      <w:pPr>
        <w:pStyle w:val="6"/>
        <w:spacing w:line="360" w:lineRule="auto"/>
        <w:rPr>
          <w:rFonts w:hAnsi="宋体" w:cs="宋体"/>
          <w:b w:val="0"/>
          <w:bCs/>
          <w:kern w:val="44"/>
          <w:szCs w:val="21"/>
          <w:highlight w:val="none"/>
          <w:lang w:val="zh-CN"/>
        </w:rPr>
      </w:pPr>
      <w:r>
        <w:rPr>
          <w:rFonts w:hint="eastAsia" w:hAnsi="宋体" w:cs="宋体"/>
          <w:b w:val="0"/>
          <w:bCs/>
          <w:kern w:val="44"/>
          <w:szCs w:val="21"/>
          <w:highlight w:val="none"/>
          <w:lang w:val="zh-CN"/>
        </w:rPr>
        <w:t>（八）本项目适用的扶持性政策</w:t>
      </w:r>
    </w:p>
    <w:p>
      <w:pPr>
        <w:spacing w:line="360" w:lineRule="auto"/>
        <w:ind w:left="539" w:right="17" w:hanging="539"/>
        <w:jc w:val="both"/>
        <w:rPr>
          <w:rFonts w:hAnsi="宋体" w:cs="宋体"/>
          <w:kern w:val="2"/>
          <w:szCs w:val="21"/>
          <w:highlight w:val="none"/>
          <w:lang w:val="zh-CN"/>
        </w:rPr>
      </w:pPr>
      <w:r>
        <w:rPr>
          <w:rFonts w:hint="eastAsia" w:hAnsi="宋体" w:cs="宋体"/>
          <w:kern w:val="2"/>
          <w:szCs w:val="21"/>
          <w:highlight w:val="none"/>
          <w:lang w:val="zh-CN"/>
        </w:rPr>
        <w:t>41.《政府采购促进中小企业发展管理办法》(财库(2020)46号)</w:t>
      </w:r>
    </w:p>
    <w:p>
      <w:pPr>
        <w:spacing w:line="360" w:lineRule="auto"/>
        <w:ind w:left="539" w:right="17" w:hanging="539"/>
        <w:jc w:val="both"/>
        <w:rPr>
          <w:rFonts w:hAnsi="宋体" w:cs="宋体"/>
          <w:kern w:val="2"/>
          <w:szCs w:val="21"/>
          <w:highlight w:val="none"/>
          <w:lang w:val="zh-CN"/>
        </w:rPr>
      </w:pPr>
      <w:r>
        <w:rPr>
          <w:rFonts w:hint="eastAsia" w:hAnsi="宋体" w:cs="宋体"/>
          <w:kern w:val="2"/>
          <w:szCs w:val="21"/>
          <w:highlight w:val="none"/>
          <w:lang w:val="zh-CN"/>
        </w:rPr>
        <w:t>42.《关于政府采购支持监狱企业发展有关问题的通知》(财库〔2014〕68号)</w:t>
      </w:r>
    </w:p>
    <w:p>
      <w:pPr>
        <w:spacing w:line="360" w:lineRule="auto"/>
        <w:ind w:left="539" w:right="17" w:hanging="539"/>
        <w:jc w:val="both"/>
        <w:rPr>
          <w:rFonts w:hAnsi="宋体" w:cs="宋体"/>
          <w:kern w:val="2"/>
          <w:szCs w:val="21"/>
          <w:highlight w:val="none"/>
          <w:lang w:val="zh-CN"/>
        </w:rPr>
      </w:pPr>
      <w:r>
        <w:rPr>
          <w:rFonts w:hint="eastAsia" w:hAnsi="宋体" w:cs="宋体"/>
          <w:kern w:val="2"/>
          <w:szCs w:val="21"/>
          <w:highlight w:val="none"/>
          <w:lang w:val="zh-CN"/>
        </w:rPr>
        <w:t>43.《关于促进残疾人就业政府采购政策的通知》（财库〔2017〕141号)</w:t>
      </w:r>
    </w:p>
    <w:p>
      <w:pPr>
        <w:spacing w:line="360" w:lineRule="auto"/>
        <w:ind w:left="539" w:right="17" w:hanging="539"/>
        <w:jc w:val="both"/>
        <w:rPr>
          <w:rFonts w:hAnsi="宋体" w:cs="宋体"/>
          <w:kern w:val="2"/>
          <w:szCs w:val="21"/>
          <w:highlight w:val="none"/>
          <w:lang w:val="zh-CN"/>
        </w:rPr>
      </w:pPr>
      <w:r>
        <w:rPr>
          <w:rFonts w:hint="eastAsia" w:hAnsi="宋体" w:cs="宋体"/>
          <w:kern w:val="2"/>
          <w:szCs w:val="21"/>
          <w:highlight w:val="none"/>
          <w:lang w:val="zh-CN"/>
        </w:rPr>
        <w:t>44.《关于环境标志产品政府采购实施的意见》（财库〔2006〕90号</w:t>
      </w:r>
    </w:p>
    <w:p>
      <w:pPr>
        <w:spacing w:line="360" w:lineRule="auto"/>
        <w:ind w:left="539" w:right="17" w:hanging="539"/>
        <w:jc w:val="both"/>
        <w:rPr>
          <w:rFonts w:hAnsi="宋体" w:cs="宋体"/>
          <w:kern w:val="2"/>
          <w:szCs w:val="21"/>
          <w:highlight w:val="none"/>
          <w:lang w:val="zh-CN"/>
        </w:rPr>
      </w:pPr>
      <w:r>
        <w:rPr>
          <w:rFonts w:hint="eastAsia" w:hAnsi="宋体" w:cs="宋体"/>
          <w:kern w:val="2"/>
          <w:szCs w:val="21"/>
          <w:highlight w:val="none"/>
          <w:lang w:val="zh-CN"/>
        </w:rPr>
        <w:t>45.《节能产品政府采购实施意见》的通知（财库〔2004〕185号）</w:t>
      </w:r>
    </w:p>
    <w:p>
      <w:pPr>
        <w:spacing w:line="360" w:lineRule="auto"/>
        <w:ind w:left="539" w:right="17" w:hanging="539"/>
        <w:jc w:val="both"/>
        <w:rPr>
          <w:rFonts w:hAnsi="宋体" w:cs="宋体"/>
          <w:kern w:val="2"/>
          <w:szCs w:val="21"/>
          <w:highlight w:val="none"/>
          <w:lang w:val="zh-CN"/>
        </w:rPr>
      </w:pPr>
      <w:r>
        <w:rPr>
          <w:rFonts w:hint="eastAsia" w:hAnsi="宋体" w:cs="宋体"/>
          <w:kern w:val="2"/>
          <w:szCs w:val="21"/>
          <w:highlight w:val="none"/>
          <w:lang w:val="zh-CN"/>
        </w:rPr>
        <w:t>46.《转发财政部 发展改革委 生态环境部 市场监管总局关于调整优化节能产品 环境标志产品政府采购执行机制的通知》（粤財采[2019] 1号）</w:t>
      </w:r>
    </w:p>
    <w:p>
      <w:pPr>
        <w:pStyle w:val="6"/>
        <w:spacing w:line="360" w:lineRule="auto"/>
        <w:rPr>
          <w:rFonts w:hAnsi="宋体" w:cs="宋体"/>
          <w:b w:val="0"/>
          <w:bCs/>
          <w:kern w:val="44"/>
          <w:szCs w:val="21"/>
          <w:highlight w:val="none"/>
          <w:lang w:val="zh-CN"/>
        </w:rPr>
      </w:pPr>
      <w:r>
        <w:rPr>
          <w:rFonts w:hint="eastAsia" w:hAnsi="宋体" w:cs="宋体"/>
          <w:b w:val="0"/>
          <w:bCs/>
          <w:kern w:val="44"/>
          <w:szCs w:val="21"/>
          <w:highlight w:val="none"/>
          <w:lang w:val="zh-CN"/>
        </w:rPr>
        <w:t>（九）实施政府采购信用担保：适用。</w:t>
      </w:r>
    </w:p>
    <w:p>
      <w:pPr>
        <w:pStyle w:val="76"/>
        <w:rPr>
          <w:rFonts w:ascii="宋体" w:hAnsi="宋体" w:cs="宋体"/>
          <w:highlight w:val="none"/>
          <w:lang w:val="zh-CN"/>
        </w:rPr>
      </w:pPr>
    </w:p>
    <w:p>
      <w:pPr>
        <w:pStyle w:val="4"/>
        <w:keepNext/>
        <w:keepLines/>
        <w:pageBreakBefore/>
        <w:tabs>
          <w:tab w:val="left" w:pos="1080"/>
        </w:tabs>
        <w:spacing w:line="360" w:lineRule="auto"/>
        <w:ind w:left="567" w:hanging="567"/>
        <w:jc w:val="center"/>
        <w:rPr>
          <w:rFonts w:hAnsi="宋体" w:cs="宋体"/>
          <w:kern w:val="44"/>
          <w:highlight w:val="none"/>
          <w:lang w:val="zh-CN"/>
        </w:rPr>
      </w:pPr>
      <w:r>
        <w:rPr>
          <w:rFonts w:hint="eastAsia" w:hAnsi="宋体" w:cs="宋体"/>
          <w:b/>
          <w:bCs/>
          <w:kern w:val="44"/>
          <w:sz w:val="32"/>
          <w:szCs w:val="32"/>
          <w:highlight w:val="none"/>
          <w:lang w:val="zh-CN"/>
        </w:rPr>
        <w:t>第三篇</w:t>
      </w:r>
      <w:r>
        <w:rPr>
          <w:rFonts w:hint="eastAsia" w:hAnsi="宋体" w:cs="宋体"/>
          <w:b/>
          <w:bCs/>
          <w:kern w:val="44"/>
          <w:sz w:val="32"/>
          <w:szCs w:val="32"/>
          <w:highlight w:val="none"/>
          <w:lang w:val="zh-CN"/>
        </w:rPr>
        <w:tab/>
      </w:r>
      <w:r>
        <w:rPr>
          <w:rFonts w:hint="eastAsia" w:hAnsi="宋体" w:cs="宋体"/>
          <w:b/>
          <w:bCs/>
          <w:kern w:val="44"/>
          <w:sz w:val="32"/>
          <w:szCs w:val="32"/>
          <w:highlight w:val="none"/>
          <w:lang w:val="zh-CN"/>
        </w:rPr>
        <w:t>合同条款格式</w:t>
      </w:r>
    </w:p>
    <w:p>
      <w:pPr>
        <w:jc w:val="center"/>
        <w:rPr>
          <w:rFonts w:hAnsi="宋体" w:cs="宋体"/>
          <w:highlight w:val="none"/>
        </w:rPr>
      </w:pPr>
      <w:r>
        <w:rPr>
          <w:rFonts w:hint="eastAsia" w:hAnsi="宋体" w:cs="宋体"/>
          <w:bCs/>
          <w:kern w:val="44"/>
          <w:highlight w:val="none"/>
          <w:lang w:val="zh-CN"/>
        </w:rPr>
        <w:t>（仅供参考，最终以甲、乙双方签订的合同为准）</w:t>
      </w:r>
    </w:p>
    <w:p>
      <w:pPr>
        <w:rPr>
          <w:rFonts w:hAnsi="宋体" w:cs="宋体"/>
          <w:szCs w:val="21"/>
          <w:highlight w:val="none"/>
        </w:rPr>
      </w:pPr>
    </w:p>
    <w:p>
      <w:pPr>
        <w:rPr>
          <w:rFonts w:hAnsi="宋体" w:cs="宋体"/>
          <w:szCs w:val="21"/>
          <w:highlight w:val="none"/>
        </w:rPr>
      </w:pPr>
    </w:p>
    <w:p>
      <w:pPr>
        <w:rPr>
          <w:rFonts w:hAnsi="宋体" w:cs="宋体"/>
          <w:szCs w:val="21"/>
          <w:highlight w:val="none"/>
        </w:rPr>
      </w:pPr>
    </w:p>
    <w:p>
      <w:pPr>
        <w:rPr>
          <w:rFonts w:hAnsi="宋体" w:cs="宋体"/>
          <w:szCs w:val="21"/>
          <w:highlight w:val="none"/>
        </w:rPr>
      </w:pPr>
    </w:p>
    <w:p>
      <w:pPr>
        <w:ind w:right="-26"/>
        <w:jc w:val="center"/>
        <w:rPr>
          <w:rFonts w:hAnsi="宋体" w:cs="宋体"/>
          <w:b/>
          <w:sz w:val="44"/>
          <w:szCs w:val="36"/>
          <w:highlight w:val="none"/>
        </w:rPr>
      </w:pPr>
      <w:r>
        <w:rPr>
          <w:rFonts w:hint="eastAsia" w:hAnsi="宋体" w:cs="宋体"/>
          <w:b/>
          <w:sz w:val="44"/>
          <w:szCs w:val="36"/>
          <w:highlight w:val="none"/>
        </w:rPr>
        <w:t>国家海洋局南海标准计量中心2023年船员</w:t>
      </w:r>
    </w:p>
    <w:p>
      <w:pPr>
        <w:ind w:right="-26"/>
        <w:jc w:val="center"/>
        <w:rPr>
          <w:rFonts w:hAnsi="宋体" w:cs="宋体"/>
          <w:b/>
          <w:sz w:val="44"/>
          <w:szCs w:val="36"/>
          <w:highlight w:val="none"/>
        </w:rPr>
      </w:pPr>
      <w:r>
        <w:rPr>
          <w:rFonts w:hint="eastAsia" w:hAnsi="宋体" w:cs="宋体"/>
          <w:b/>
          <w:sz w:val="44"/>
          <w:szCs w:val="36"/>
          <w:highlight w:val="none"/>
        </w:rPr>
        <w:t>服务采购项目</w:t>
      </w:r>
    </w:p>
    <w:p>
      <w:pPr>
        <w:ind w:right="-26"/>
        <w:jc w:val="center"/>
        <w:rPr>
          <w:rFonts w:hAnsi="宋体" w:cs="宋体"/>
          <w:b/>
          <w:sz w:val="44"/>
          <w:szCs w:val="36"/>
          <w:highlight w:val="none"/>
        </w:rPr>
      </w:pPr>
      <w:r>
        <w:rPr>
          <w:rFonts w:hint="eastAsia" w:hAnsi="宋体" w:cs="宋体"/>
          <w:b/>
          <w:sz w:val="44"/>
          <w:szCs w:val="36"/>
          <w:highlight w:val="none"/>
        </w:rPr>
        <w:t>合同</w:t>
      </w:r>
    </w:p>
    <w:p>
      <w:pPr>
        <w:ind w:right="-26"/>
        <w:jc w:val="center"/>
        <w:rPr>
          <w:rFonts w:hAnsi="宋体" w:cs="宋体"/>
          <w:b/>
          <w:sz w:val="44"/>
          <w:szCs w:val="36"/>
          <w:highlight w:val="none"/>
        </w:rPr>
      </w:pPr>
    </w:p>
    <w:p>
      <w:pPr>
        <w:ind w:right="-26"/>
        <w:jc w:val="center"/>
        <w:rPr>
          <w:rFonts w:hAnsi="宋体" w:cs="宋体"/>
          <w:b/>
          <w:sz w:val="36"/>
          <w:szCs w:val="36"/>
          <w:highlight w:val="none"/>
        </w:rPr>
      </w:pPr>
      <w:r>
        <w:rPr>
          <w:rFonts w:hint="eastAsia" w:hAnsi="宋体" w:cs="宋体"/>
          <w:b/>
          <w:sz w:val="36"/>
          <w:szCs w:val="36"/>
          <w:highlight w:val="none"/>
        </w:rPr>
        <w:t>（合同编号：）</w:t>
      </w:r>
    </w:p>
    <w:p>
      <w:pPr>
        <w:spacing w:line="700" w:lineRule="exact"/>
        <w:jc w:val="center"/>
        <w:rPr>
          <w:rFonts w:hAnsi="宋体" w:cs="宋体"/>
          <w:b/>
          <w:sz w:val="44"/>
          <w:highlight w:val="none"/>
        </w:rPr>
      </w:pPr>
    </w:p>
    <w:p>
      <w:pPr>
        <w:spacing w:line="700" w:lineRule="exact"/>
        <w:jc w:val="center"/>
        <w:rPr>
          <w:rFonts w:hAnsi="宋体" w:cs="宋体"/>
          <w:b/>
          <w:sz w:val="44"/>
          <w:highlight w:val="none"/>
        </w:rPr>
      </w:pPr>
    </w:p>
    <w:p>
      <w:pPr>
        <w:jc w:val="center"/>
        <w:rPr>
          <w:rFonts w:hAnsi="宋体" w:cs="宋体"/>
          <w:highlight w:val="none"/>
        </w:rPr>
      </w:pPr>
    </w:p>
    <w:p>
      <w:pPr>
        <w:jc w:val="center"/>
        <w:rPr>
          <w:rFonts w:hAnsi="宋体" w:cs="宋体"/>
          <w:highlight w:val="none"/>
        </w:rPr>
      </w:pPr>
    </w:p>
    <w:p>
      <w:pPr>
        <w:jc w:val="center"/>
        <w:rPr>
          <w:rFonts w:hAnsi="宋体" w:cs="宋体"/>
          <w:highlight w:val="none"/>
        </w:rPr>
      </w:pPr>
    </w:p>
    <w:p>
      <w:pPr>
        <w:jc w:val="center"/>
        <w:rPr>
          <w:rFonts w:hAnsi="宋体" w:cs="宋体"/>
          <w:sz w:val="32"/>
          <w:highlight w:val="none"/>
        </w:rPr>
      </w:pPr>
    </w:p>
    <w:p>
      <w:pPr>
        <w:jc w:val="center"/>
        <w:rPr>
          <w:rFonts w:hAnsi="宋体" w:cs="宋体"/>
          <w:sz w:val="32"/>
          <w:highlight w:val="none"/>
        </w:rPr>
      </w:pPr>
    </w:p>
    <w:p>
      <w:pPr>
        <w:jc w:val="center"/>
        <w:rPr>
          <w:rFonts w:hAnsi="宋体" w:cs="宋体"/>
          <w:sz w:val="32"/>
          <w:highlight w:val="none"/>
        </w:rPr>
      </w:pPr>
    </w:p>
    <w:p>
      <w:pPr>
        <w:jc w:val="center"/>
        <w:rPr>
          <w:rFonts w:hAnsi="宋体" w:cs="宋体"/>
          <w:sz w:val="32"/>
          <w:highlight w:val="none"/>
        </w:rPr>
      </w:pPr>
    </w:p>
    <w:p>
      <w:pPr>
        <w:jc w:val="center"/>
        <w:rPr>
          <w:rFonts w:hAnsi="宋体" w:cs="宋体"/>
          <w:sz w:val="32"/>
          <w:highlight w:val="none"/>
        </w:rPr>
      </w:pPr>
    </w:p>
    <w:p>
      <w:pPr>
        <w:jc w:val="center"/>
        <w:rPr>
          <w:rFonts w:hAnsi="宋体" w:cs="宋体"/>
          <w:sz w:val="32"/>
          <w:highlight w:val="none"/>
        </w:rPr>
      </w:pPr>
    </w:p>
    <w:p>
      <w:pPr>
        <w:jc w:val="center"/>
        <w:rPr>
          <w:rFonts w:hAnsi="宋体" w:cs="宋体"/>
          <w:sz w:val="28"/>
          <w:szCs w:val="28"/>
          <w:highlight w:val="none"/>
        </w:rPr>
      </w:pPr>
      <w:r>
        <w:rPr>
          <w:rFonts w:hint="eastAsia" w:hAnsi="宋体" w:cs="宋体"/>
          <w:sz w:val="28"/>
          <w:szCs w:val="28"/>
          <w:highlight w:val="none"/>
        </w:rPr>
        <w:t>甲方：国家海洋局南海标准计量中心</w:t>
      </w:r>
    </w:p>
    <w:p>
      <w:pPr>
        <w:ind w:firstLine="2800" w:firstLineChars="1000"/>
        <w:jc w:val="both"/>
        <w:rPr>
          <w:rFonts w:hAnsi="宋体" w:cs="宋体"/>
          <w:sz w:val="28"/>
          <w:szCs w:val="28"/>
          <w:highlight w:val="none"/>
        </w:rPr>
      </w:pPr>
      <w:r>
        <w:rPr>
          <w:rFonts w:hint="eastAsia" w:hAnsi="宋体" w:cs="宋体"/>
          <w:sz w:val="28"/>
          <w:szCs w:val="28"/>
          <w:highlight w:val="none"/>
        </w:rPr>
        <w:t>乙方：</w:t>
      </w:r>
    </w:p>
    <w:p>
      <w:pPr>
        <w:spacing w:line="360" w:lineRule="auto"/>
        <w:rPr>
          <w:rFonts w:hAnsi="宋体"/>
          <w:szCs w:val="21"/>
          <w:highlight w:val="none"/>
        </w:rPr>
      </w:pPr>
      <w:r>
        <w:rPr>
          <w:rFonts w:hint="eastAsia" w:hAnsi="宋体" w:cs="宋体"/>
          <w:sz w:val="44"/>
          <w:highlight w:val="none"/>
        </w:rPr>
        <w:br w:type="page"/>
      </w:r>
      <w:r>
        <w:rPr>
          <w:rFonts w:hint="eastAsia" w:hAnsi="宋体"/>
          <w:szCs w:val="21"/>
          <w:highlight w:val="none"/>
        </w:rPr>
        <w:t>甲     方：</w:t>
      </w:r>
      <w:r>
        <w:rPr>
          <w:rFonts w:hint="eastAsia" w:hAnsi="宋体"/>
          <w:szCs w:val="21"/>
          <w:highlight w:val="none"/>
          <w:u w:val="single"/>
        </w:rPr>
        <w:t>国家海洋局南海标准计量中心</w:t>
      </w:r>
    </w:p>
    <w:p>
      <w:pPr>
        <w:spacing w:line="360" w:lineRule="auto"/>
        <w:rPr>
          <w:rFonts w:hAnsi="宋体"/>
          <w:b/>
          <w:szCs w:val="21"/>
          <w:highlight w:val="none"/>
        </w:rPr>
      </w:pPr>
      <w:r>
        <w:rPr>
          <w:rFonts w:hint="eastAsia" w:hAnsi="宋体"/>
          <w:szCs w:val="21"/>
          <w:highlight w:val="none"/>
        </w:rPr>
        <w:t>乙     方：</w:t>
      </w:r>
    </w:p>
    <w:p>
      <w:pPr>
        <w:spacing w:line="360" w:lineRule="auto"/>
        <w:rPr>
          <w:rFonts w:hAnsi="宋体"/>
          <w:b/>
          <w:szCs w:val="21"/>
          <w:highlight w:val="none"/>
        </w:rPr>
      </w:pPr>
      <w:r>
        <w:rPr>
          <w:rFonts w:hAnsi="宋体"/>
          <w:b/>
          <w:szCs w:val="21"/>
          <w:highlight w:val="none"/>
        </w:rPr>
        <w:t>合同订立的目的</w:t>
      </w:r>
    </w:p>
    <w:p>
      <w:pPr>
        <w:spacing w:line="360" w:lineRule="auto"/>
        <w:rPr>
          <w:rFonts w:hAnsi="宋体" w:cs="新宋体"/>
          <w:szCs w:val="21"/>
          <w:highlight w:val="none"/>
        </w:rPr>
      </w:pPr>
      <w:r>
        <w:rPr>
          <w:rFonts w:hAnsi="宋体" w:cs="新宋体"/>
          <w:szCs w:val="21"/>
          <w:highlight w:val="none"/>
        </w:rPr>
        <w:t>甲乙双方在公平自愿的基础上，根据</w:t>
      </w:r>
      <w:r>
        <w:rPr>
          <w:rFonts w:hint="eastAsia" w:hAnsi="宋体"/>
          <w:szCs w:val="21"/>
          <w:highlight w:val="none"/>
        </w:rPr>
        <w:t>《中华人民共和国民法典》和</w:t>
      </w:r>
      <w:r>
        <w:rPr>
          <w:rFonts w:hAnsi="宋体" w:cs="新宋体"/>
          <w:szCs w:val="21"/>
          <w:highlight w:val="none"/>
        </w:rPr>
        <w:t>“国家海洋局南海标准计量中心</w:t>
      </w:r>
      <w:r>
        <w:rPr>
          <w:rFonts w:hint="eastAsia" w:hAnsi="宋体" w:cs="新宋体"/>
          <w:szCs w:val="21"/>
          <w:highlight w:val="none"/>
        </w:rPr>
        <w:t>2023年</w:t>
      </w:r>
      <w:r>
        <w:rPr>
          <w:rFonts w:hAnsi="宋体" w:cs="新宋体"/>
          <w:szCs w:val="21"/>
          <w:highlight w:val="none"/>
        </w:rPr>
        <w:t>船员服务采购项目（项目编号： ）”招标项目内容，经过平等友好协商，</w:t>
      </w:r>
      <w:r>
        <w:rPr>
          <w:rFonts w:hint="eastAsia" w:hAnsi="宋体" w:cs="新宋体"/>
          <w:szCs w:val="21"/>
          <w:highlight w:val="none"/>
        </w:rPr>
        <w:t>双方签订本项目合同</w:t>
      </w:r>
      <w:r>
        <w:rPr>
          <w:rFonts w:hAnsi="宋体" w:cs="新宋体"/>
          <w:szCs w:val="21"/>
          <w:highlight w:val="none"/>
        </w:rPr>
        <w:t>：甲方聘用乙方</w:t>
      </w:r>
      <w:r>
        <w:rPr>
          <w:rFonts w:hint="eastAsia" w:hAnsi="宋体" w:cs="新宋体"/>
          <w:szCs w:val="21"/>
          <w:highlight w:val="none"/>
        </w:rPr>
        <w:t>对甲方船舶进行管理、操作，</w:t>
      </w:r>
      <w:r>
        <w:rPr>
          <w:rFonts w:hint="eastAsia" w:hAnsi="宋体" w:cs="宋体"/>
          <w:szCs w:val="21"/>
          <w:highlight w:val="none"/>
        </w:rPr>
        <w:t>甲方船舶主要从事科考工作，船员除履行船员岗位职责外，还须协助船舶实验室、船载调查支撑设备的维护管理和操控工作等。</w:t>
      </w:r>
      <w:r>
        <w:rPr>
          <w:rFonts w:hint="eastAsia" w:hAnsi="宋体" w:cs="新宋体"/>
          <w:szCs w:val="21"/>
          <w:highlight w:val="none"/>
        </w:rPr>
        <w:t>具体表现为乙方为甲方船舶配备船员，安排</w:t>
      </w:r>
      <w:r>
        <w:rPr>
          <w:rFonts w:hAnsi="宋体" w:cs="新宋体"/>
          <w:szCs w:val="21"/>
          <w:highlight w:val="none"/>
        </w:rPr>
        <w:t>船员</w:t>
      </w:r>
      <w:r>
        <w:rPr>
          <w:rFonts w:hint="eastAsia" w:hAnsi="宋体" w:cs="新宋体"/>
          <w:szCs w:val="21"/>
          <w:highlight w:val="none"/>
        </w:rPr>
        <w:t>对甲方船舶进行日常管理和操作。</w:t>
      </w:r>
      <w:r>
        <w:rPr>
          <w:rFonts w:hAnsi="宋体" w:cs="新宋体"/>
          <w:szCs w:val="21"/>
          <w:highlight w:val="none"/>
        </w:rPr>
        <w:t>甲方向乙方支付报酬，乙方</w:t>
      </w:r>
      <w:r>
        <w:rPr>
          <w:rFonts w:hint="eastAsia" w:hAnsi="宋体" w:cs="新宋体"/>
          <w:szCs w:val="21"/>
          <w:highlight w:val="none"/>
        </w:rPr>
        <w:t>船员应妥善管理甲方船舶，对甲方负责，并保障船舶始终处于适航状态、符合</w:t>
      </w:r>
      <w:r>
        <w:rPr>
          <w:rFonts w:hAnsi="宋体" w:cs="新宋体"/>
          <w:szCs w:val="21"/>
          <w:highlight w:val="none"/>
        </w:rPr>
        <w:t>甲方正常作业的需要。</w:t>
      </w:r>
    </w:p>
    <w:p>
      <w:pPr>
        <w:spacing w:line="360" w:lineRule="auto"/>
        <w:rPr>
          <w:rFonts w:hAnsi="宋体" w:cs="新宋体"/>
          <w:b/>
          <w:szCs w:val="21"/>
          <w:highlight w:val="none"/>
        </w:rPr>
      </w:pPr>
      <w:r>
        <w:rPr>
          <w:rFonts w:hAnsi="宋体" w:cs="新宋体"/>
          <w:b/>
          <w:szCs w:val="21"/>
          <w:highlight w:val="none"/>
        </w:rPr>
        <w:t>第一条</w:t>
      </w:r>
      <w:r>
        <w:rPr>
          <w:rFonts w:hint="eastAsia" w:hAnsi="宋体" w:cs="新宋体"/>
          <w:b/>
          <w:szCs w:val="21"/>
          <w:highlight w:val="none"/>
        </w:rPr>
        <w:t xml:space="preserve"> 乙方的主要义务</w:t>
      </w:r>
    </w:p>
    <w:p>
      <w:pPr>
        <w:spacing w:line="360" w:lineRule="auto"/>
        <w:ind w:firstLine="422" w:firstLineChars="200"/>
        <w:rPr>
          <w:rFonts w:hAnsi="宋体" w:cs="新宋体"/>
          <w:b/>
          <w:szCs w:val="21"/>
          <w:highlight w:val="none"/>
        </w:rPr>
      </w:pPr>
      <w:r>
        <w:rPr>
          <w:rFonts w:hint="eastAsia" w:hAnsi="宋体" w:cs="新宋体"/>
          <w:b/>
          <w:szCs w:val="21"/>
          <w:highlight w:val="none"/>
        </w:rPr>
        <w:t>乙方完成甲方船员服务采购项目的主要内容（义务）为：为甲方船舶配备所需人数的适格</w:t>
      </w:r>
      <w:r>
        <w:rPr>
          <w:rFonts w:hAnsi="宋体" w:cs="新宋体"/>
          <w:b/>
          <w:szCs w:val="21"/>
          <w:highlight w:val="none"/>
        </w:rPr>
        <w:t>船员</w:t>
      </w:r>
      <w:r>
        <w:rPr>
          <w:rFonts w:hint="eastAsia" w:hAnsi="宋体" w:cs="新宋体"/>
          <w:b/>
          <w:szCs w:val="21"/>
          <w:highlight w:val="none"/>
        </w:rPr>
        <w:t>，对乙方船员的具体要求如下：</w:t>
      </w:r>
    </w:p>
    <w:p>
      <w:pPr>
        <w:spacing w:line="360" w:lineRule="auto"/>
        <w:ind w:firstLine="424" w:firstLineChars="202"/>
        <w:rPr>
          <w:rFonts w:hAnsi="宋体" w:cs="新宋体"/>
          <w:szCs w:val="21"/>
          <w:highlight w:val="none"/>
        </w:rPr>
      </w:pPr>
      <w:r>
        <w:rPr>
          <w:rFonts w:hAnsi="宋体" w:cs="新宋体"/>
          <w:szCs w:val="21"/>
          <w:highlight w:val="none"/>
        </w:rPr>
        <w:drawing>
          <wp:anchor distT="0" distB="0" distL="114300" distR="114300" simplePos="0" relativeHeight="251666432" behindDoc="0" locked="0" layoutInCell="1" allowOverlap="1">
            <wp:simplePos x="0" y="0"/>
            <wp:positionH relativeFrom="page">
              <wp:posOffset>6997700</wp:posOffset>
            </wp:positionH>
            <wp:positionV relativeFrom="paragraph">
              <wp:posOffset>80645</wp:posOffset>
            </wp:positionV>
            <wp:extent cx="8890" cy="6985"/>
            <wp:effectExtent l="0" t="0" r="3810" b="5715"/>
            <wp:wrapNone/>
            <wp:docPr id="16" name="图片 7"/>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rrowheads="1"/>
                    </pic:cNvPicPr>
                  </pic:nvPicPr>
                  <pic:blipFill>
                    <a:blip r:embed="rId12"/>
                    <a:srcRect/>
                    <a:stretch>
                      <a:fillRect/>
                    </a:stretch>
                  </pic:blipFill>
                  <pic:spPr>
                    <a:xfrm>
                      <a:off x="0" y="0"/>
                      <a:ext cx="8890" cy="6985"/>
                    </a:xfrm>
                    <a:prstGeom prst="rect">
                      <a:avLst/>
                    </a:prstGeom>
                    <a:noFill/>
                    <a:ln w="9525">
                      <a:noFill/>
                      <a:miter lim="800000"/>
                      <a:headEnd/>
                      <a:tailEnd/>
                    </a:ln>
                  </pic:spPr>
                </pic:pic>
              </a:graphicData>
            </a:graphic>
          </wp:anchor>
        </w:drawing>
      </w:r>
      <w:r>
        <w:rPr>
          <w:rFonts w:hAnsi="宋体" w:cs="新宋体"/>
          <w:szCs w:val="21"/>
          <w:highlight w:val="none"/>
        </w:rPr>
        <w:drawing>
          <wp:anchor distT="0" distB="0" distL="114300" distR="114300" simplePos="0" relativeHeight="251659264" behindDoc="1" locked="0" layoutInCell="1" allowOverlap="1">
            <wp:simplePos x="0" y="0"/>
            <wp:positionH relativeFrom="page">
              <wp:posOffset>3753485</wp:posOffset>
            </wp:positionH>
            <wp:positionV relativeFrom="paragraph">
              <wp:posOffset>340995</wp:posOffset>
            </wp:positionV>
            <wp:extent cx="6985" cy="8890"/>
            <wp:effectExtent l="635" t="0" r="1905" b="635"/>
            <wp:wrapNone/>
            <wp:docPr id="17" name="图片 8"/>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rrowheads="1"/>
                    </pic:cNvPicPr>
                  </pic:nvPicPr>
                  <pic:blipFill>
                    <a:blip r:embed="rId13"/>
                    <a:srcRect/>
                    <a:stretch>
                      <a:fillRect/>
                    </a:stretch>
                  </pic:blipFill>
                  <pic:spPr>
                    <a:xfrm>
                      <a:off x="0" y="0"/>
                      <a:ext cx="6985" cy="8890"/>
                    </a:xfrm>
                    <a:prstGeom prst="rect">
                      <a:avLst/>
                    </a:prstGeom>
                    <a:noFill/>
                    <a:ln w="9525">
                      <a:noFill/>
                      <a:miter lim="800000"/>
                      <a:headEnd/>
                      <a:tailEnd/>
                    </a:ln>
                  </pic:spPr>
                </pic:pic>
              </a:graphicData>
            </a:graphic>
          </wp:anchor>
        </w:drawing>
      </w:r>
      <w:r>
        <w:rPr>
          <w:rFonts w:hAnsi="宋体" w:cs="新宋体"/>
          <w:szCs w:val="21"/>
          <w:highlight w:val="none"/>
        </w:rPr>
        <w:t>l、任职资格：乙方负责根据甲方的需求为船舶配备符合“STCW 95”要求的合格、适任的船员，保证所派船员在上船前和在船服务期间内，持有船上相应工作所需的各种有效证件（所有驾驶员应当持有有效的GMDSS操作员证书</w:t>
      </w:r>
      <w:r>
        <w:rPr>
          <w:rFonts w:hint="eastAsia" w:hAnsi="宋体" w:cs="新宋体"/>
          <w:szCs w:val="21"/>
          <w:highlight w:val="none"/>
        </w:rPr>
        <w:t>）</w:t>
      </w:r>
      <w:r>
        <w:rPr>
          <w:rFonts w:hAnsi="宋体" w:cs="新宋体"/>
          <w:szCs w:val="21"/>
          <w:highlight w:val="none"/>
        </w:rPr>
        <w:t>，并确保船员的配备标准、职务、资格和证书符合我国相关法律、法规规定的培训等要求。</w:t>
      </w:r>
    </w:p>
    <w:p>
      <w:pPr>
        <w:spacing w:line="360" w:lineRule="auto"/>
        <w:ind w:firstLine="424" w:firstLineChars="202"/>
        <w:rPr>
          <w:rFonts w:ascii="仿宋" w:hAnsi="仿宋" w:eastAsia="仿宋" w:cs="仿宋"/>
          <w:sz w:val="24"/>
          <w:highlight w:val="none"/>
        </w:rPr>
      </w:pPr>
      <w:r>
        <w:rPr>
          <w:rFonts w:hAnsi="宋体" w:cs="新宋体"/>
          <w:szCs w:val="21"/>
          <w:highlight w:val="none"/>
        </w:rPr>
        <w:t>2、健康要求：</w:t>
      </w:r>
      <w:r>
        <w:rPr>
          <w:rFonts w:hint="eastAsia" w:hAnsi="宋体" w:cs="新宋体"/>
          <w:szCs w:val="21"/>
          <w:highlight w:val="none"/>
        </w:rPr>
        <w:t>乙方</w:t>
      </w:r>
      <w:r>
        <w:rPr>
          <w:rFonts w:hint="eastAsia" w:hAnsi="宋体" w:cs="新宋体"/>
          <w:bCs/>
          <w:szCs w:val="21"/>
          <w:highlight w:val="none"/>
        </w:rPr>
        <w:t>应当确保所有船员上船前已通过有资质的检查机构证明其适合所从事的工作的健康检查（包括但不限于：精神正常、无传染病、无残疾，双眼视力、辨色力正常。身体健康，具有正常履行船员岗位职责的身体条件，能够适应海上工作环境，在六级风力的海况下不会晕船等等），持有按照我国政府相应要求签发的有效健康证书或体检表。</w:t>
      </w:r>
    </w:p>
    <w:p>
      <w:pPr>
        <w:spacing w:line="360" w:lineRule="auto"/>
        <w:ind w:firstLine="424" w:firstLineChars="202"/>
        <w:rPr>
          <w:rFonts w:hAnsi="宋体" w:cs="新宋体"/>
          <w:szCs w:val="21"/>
          <w:highlight w:val="none"/>
        </w:rPr>
      </w:pPr>
      <w:r>
        <w:rPr>
          <w:rFonts w:hint="eastAsia" w:hAnsi="宋体" w:cs="新宋体"/>
          <w:szCs w:val="21"/>
          <w:highlight w:val="none"/>
        </w:rPr>
        <w:drawing>
          <wp:anchor distT="0" distB="0" distL="114300" distR="114300" simplePos="0" relativeHeight="251668480" behindDoc="1" locked="0" layoutInCell="1" allowOverlap="1">
            <wp:simplePos x="0" y="0"/>
            <wp:positionH relativeFrom="page">
              <wp:posOffset>3740150</wp:posOffset>
            </wp:positionH>
            <wp:positionV relativeFrom="paragraph">
              <wp:posOffset>5715</wp:posOffset>
            </wp:positionV>
            <wp:extent cx="8890" cy="8890"/>
            <wp:effectExtent l="0" t="3810" r="3810" b="0"/>
            <wp:wrapNone/>
            <wp:docPr id="23" name="图片 9"/>
            <wp:cNvGraphicFramePr/>
            <a:graphic xmlns:a="http://schemas.openxmlformats.org/drawingml/2006/main">
              <a:graphicData uri="http://schemas.openxmlformats.org/drawingml/2006/picture">
                <pic:pic xmlns:pic="http://schemas.openxmlformats.org/drawingml/2006/picture">
                  <pic:nvPicPr>
                    <pic:cNvPr id="23" name="图片 9"/>
                    <pic:cNvPicPr>
                      <a:picLocks noChangeArrowheads="1"/>
                    </pic:cNvPicPr>
                  </pic:nvPicPr>
                  <pic:blipFill>
                    <a:blip r:embed="rId14"/>
                    <a:srcRect/>
                    <a:stretch>
                      <a:fillRect/>
                    </a:stretch>
                  </pic:blipFill>
                  <pic:spPr>
                    <a:xfrm>
                      <a:off x="0" y="0"/>
                      <a:ext cx="8890" cy="8890"/>
                    </a:xfrm>
                    <a:prstGeom prst="rect">
                      <a:avLst/>
                    </a:prstGeom>
                    <a:noFill/>
                    <a:ln w="9525">
                      <a:noFill/>
                      <a:miter lim="800000"/>
                      <a:headEnd/>
                      <a:tailEnd/>
                    </a:ln>
                  </pic:spPr>
                </pic:pic>
              </a:graphicData>
            </a:graphic>
          </wp:anchor>
        </w:drawing>
      </w:r>
      <w:r>
        <w:rPr>
          <w:rFonts w:hint="eastAsia" w:hAnsi="宋体" w:cs="新宋体"/>
          <w:szCs w:val="21"/>
          <w:highlight w:val="none"/>
        </w:rPr>
        <w:t>3、无犯罪记录：乙方应当确保所有船员都无刑事犯罪记录，并将相关证明交甲方备案。</w:t>
      </w:r>
    </w:p>
    <w:p>
      <w:pPr>
        <w:spacing w:line="360" w:lineRule="auto"/>
        <w:ind w:firstLine="424" w:firstLineChars="202"/>
        <w:rPr>
          <w:rFonts w:hAnsi="宋体" w:cs="新宋体"/>
          <w:szCs w:val="21"/>
          <w:highlight w:val="none"/>
        </w:rPr>
      </w:pPr>
      <w:r>
        <w:rPr>
          <w:rFonts w:hint="eastAsia" w:hAnsi="宋体" w:cs="新宋体"/>
          <w:szCs w:val="21"/>
          <w:highlight w:val="none"/>
        </w:rPr>
        <w:t>4、乙方保证合法用工：乙方必须与其雇佣船员签订相关劳动合同，依照国家法律规定和劳动合同约定，</w:t>
      </w:r>
      <w:r>
        <w:rPr>
          <w:rFonts w:hAnsi="宋体" w:cs="新宋体"/>
          <w:szCs w:val="21"/>
          <w:highlight w:val="none"/>
        </w:rPr>
        <w:t>如期足额发放派遣</w:t>
      </w:r>
      <w:r>
        <w:rPr>
          <w:rFonts w:hint="eastAsia" w:hAnsi="宋体" w:cs="新宋体"/>
          <w:szCs w:val="21"/>
          <w:highlight w:val="none"/>
        </w:rPr>
        <w:t>人员</w:t>
      </w:r>
      <w:r>
        <w:rPr>
          <w:rFonts w:hAnsi="宋体" w:cs="新宋体"/>
          <w:szCs w:val="21"/>
          <w:highlight w:val="none"/>
        </w:rPr>
        <w:t>工资</w:t>
      </w:r>
      <w:r>
        <w:rPr>
          <w:rFonts w:hint="eastAsia" w:hAnsi="宋体" w:cs="新宋体"/>
          <w:szCs w:val="21"/>
          <w:highlight w:val="none"/>
        </w:rPr>
        <w:t>，为派遣人员代扣代缴五险一金及个人所得税。甲方有权审查乙方与员工合同签订及参保情况。</w:t>
      </w:r>
    </w:p>
    <w:p>
      <w:pPr>
        <w:spacing w:line="360" w:lineRule="auto"/>
        <w:ind w:firstLine="424" w:firstLineChars="202"/>
        <w:rPr>
          <w:rFonts w:hAnsi="宋体" w:cs="新宋体"/>
          <w:szCs w:val="21"/>
          <w:highlight w:val="none"/>
        </w:rPr>
      </w:pPr>
      <w:r>
        <w:rPr>
          <w:rFonts w:hint="eastAsia" w:hAnsi="宋体" w:cs="新宋体"/>
          <w:szCs w:val="21"/>
          <w:highlight w:val="none"/>
        </w:rPr>
        <w:t>5、乙方服务内容要求：乙方须及时掌握国家和省有关劳动标准、劳动条件、工资福利、社会保险等方面的最新政策动态并及时书面知会甲方，积极配合甲方对新政策规定的组织实施。</w:t>
      </w:r>
    </w:p>
    <w:p>
      <w:pPr>
        <w:spacing w:line="360" w:lineRule="auto"/>
        <w:ind w:firstLine="424" w:firstLineChars="202"/>
        <w:rPr>
          <w:rFonts w:hAnsi="宋体" w:cs="新宋体"/>
          <w:szCs w:val="21"/>
          <w:highlight w:val="none"/>
        </w:rPr>
      </w:pPr>
      <w:r>
        <w:rPr>
          <w:rFonts w:hint="eastAsia" w:hAnsi="宋体" w:cs="新宋体"/>
          <w:szCs w:val="21"/>
          <w:highlight w:val="none"/>
        </w:rPr>
        <w:t>6、相关协议：乙方须保证其工作人员及其雇佣船员遵守国家保密法律法规和甲方的相关规定，对甲方的保密信息负有保密责任。</w:t>
      </w:r>
    </w:p>
    <w:p>
      <w:pPr>
        <w:spacing w:line="360" w:lineRule="auto"/>
        <w:rPr>
          <w:rFonts w:hAnsi="宋体" w:cs="Arial Unicode MS"/>
          <w:b/>
          <w:szCs w:val="21"/>
          <w:highlight w:val="none"/>
        </w:rPr>
      </w:pPr>
      <w:r>
        <w:rPr>
          <w:rFonts w:hAnsi="宋体" w:cs="Arial Unicode MS"/>
          <w:b/>
          <w:szCs w:val="21"/>
          <w:highlight w:val="none"/>
        </w:rPr>
        <w:t>第二条合同期限</w:t>
      </w:r>
    </w:p>
    <w:p>
      <w:pPr>
        <w:spacing w:line="360" w:lineRule="auto"/>
        <w:ind w:firstLine="424" w:firstLineChars="202"/>
        <w:rPr>
          <w:rFonts w:hint="eastAsia" w:hAnsi="宋体" w:cs="新宋体"/>
          <w:szCs w:val="21"/>
          <w:highlight w:val="none"/>
        </w:rPr>
      </w:pPr>
      <w:r>
        <w:rPr>
          <w:rFonts w:hint="eastAsia" w:hAnsi="宋体" w:cs="新宋体"/>
          <w:szCs w:val="21"/>
          <w:highlight w:val="none"/>
        </w:rPr>
        <w:t>合同期限自签订之日起</w:t>
      </w:r>
      <w:r>
        <w:rPr>
          <w:rFonts w:hint="eastAsia" w:hAnsi="宋体" w:cs="宋体"/>
          <w:szCs w:val="21"/>
          <w:highlight w:val="none"/>
          <w:lang w:val="zh-CN"/>
        </w:rPr>
        <w:t>至202</w:t>
      </w:r>
      <w:r>
        <w:rPr>
          <w:rFonts w:hint="eastAsia" w:hAnsi="宋体" w:cs="宋体"/>
          <w:szCs w:val="21"/>
          <w:highlight w:val="none"/>
        </w:rPr>
        <w:t>3</w:t>
      </w:r>
      <w:r>
        <w:rPr>
          <w:rFonts w:hint="eastAsia" w:hAnsi="宋体" w:cs="宋体"/>
          <w:szCs w:val="21"/>
          <w:highlight w:val="none"/>
          <w:lang w:val="zh-CN"/>
        </w:rPr>
        <w:t>年</w:t>
      </w:r>
      <w:r>
        <w:rPr>
          <w:rFonts w:hint="eastAsia" w:hAnsi="宋体" w:cs="宋体"/>
          <w:szCs w:val="21"/>
          <w:highlight w:val="none"/>
        </w:rPr>
        <w:t>12</w:t>
      </w:r>
      <w:r>
        <w:rPr>
          <w:rFonts w:hint="eastAsia" w:hAnsi="宋体" w:cs="宋体"/>
          <w:szCs w:val="21"/>
          <w:highlight w:val="none"/>
          <w:lang w:val="zh-CN"/>
        </w:rPr>
        <w:t>月</w:t>
      </w:r>
      <w:r>
        <w:rPr>
          <w:rFonts w:hint="eastAsia" w:hAnsi="宋体" w:cs="宋体"/>
          <w:szCs w:val="21"/>
          <w:highlight w:val="none"/>
        </w:rPr>
        <w:t>31</w:t>
      </w:r>
      <w:r>
        <w:rPr>
          <w:rFonts w:hint="eastAsia" w:hAnsi="宋体" w:cs="宋体"/>
          <w:szCs w:val="21"/>
          <w:highlight w:val="none"/>
          <w:lang w:val="zh-CN"/>
        </w:rPr>
        <w:t>日</w:t>
      </w:r>
      <w:r>
        <w:rPr>
          <w:rFonts w:hint="eastAsia" w:hAnsi="宋体" w:cs="新宋体"/>
          <w:szCs w:val="21"/>
          <w:highlight w:val="none"/>
        </w:rPr>
        <w:t>止。</w:t>
      </w:r>
    </w:p>
    <w:p>
      <w:pPr>
        <w:spacing w:line="360" w:lineRule="auto"/>
        <w:ind w:firstLine="424" w:firstLineChars="202"/>
        <w:rPr>
          <w:rFonts w:hint="eastAsia" w:hAnsi="宋体" w:eastAsia="宋体" w:cs="新宋体"/>
          <w:szCs w:val="21"/>
          <w:highlight w:val="none"/>
          <w:lang w:eastAsia="zh-CN"/>
        </w:rPr>
      </w:pPr>
      <w:r>
        <w:rPr>
          <w:rFonts w:hint="eastAsia" w:hAnsi="宋体" w:cs="新宋体"/>
          <w:szCs w:val="21"/>
          <w:highlight w:val="none"/>
          <w:lang w:eastAsia="zh-CN"/>
        </w:rPr>
        <w:t>（</w:t>
      </w:r>
      <w:r>
        <w:rPr>
          <w:rFonts w:hint="eastAsia" w:hAnsi="宋体" w:cs="新宋体"/>
          <w:szCs w:val="21"/>
          <w:highlight w:val="none"/>
          <w:lang w:val="en-US" w:eastAsia="zh-CN"/>
        </w:rPr>
        <w:t>注：</w:t>
      </w:r>
      <w:r>
        <w:rPr>
          <w:rFonts w:hint="eastAsia" w:hAnsi="宋体" w:cs="新宋体"/>
          <w:szCs w:val="21"/>
          <w:highlight w:val="none"/>
          <w:lang w:eastAsia="zh-CN"/>
        </w:rPr>
        <w:t>本项目执行金额达到</w:t>
      </w:r>
      <w:r>
        <w:rPr>
          <w:rFonts w:hint="eastAsia" w:hAnsi="宋体" w:cs="新宋体"/>
          <w:szCs w:val="21"/>
          <w:highlight w:val="none"/>
          <w:lang w:val="en-US" w:eastAsia="zh-CN"/>
        </w:rPr>
        <w:t>1623.97万元</w:t>
      </w:r>
      <w:r>
        <w:rPr>
          <w:rFonts w:hint="eastAsia" w:hAnsi="宋体" w:cs="新宋体"/>
          <w:szCs w:val="21"/>
          <w:highlight w:val="none"/>
          <w:lang w:eastAsia="zh-CN"/>
        </w:rPr>
        <w:t>时，合同自动终止；或本项目执行时间到2023年12月31日时，无论执行金额是否达到</w:t>
      </w:r>
      <w:r>
        <w:rPr>
          <w:rFonts w:hint="eastAsia" w:hAnsi="宋体" w:cs="新宋体"/>
          <w:szCs w:val="21"/>
          <w:highlight w:val="none"/>
          <w:lang w:val="en-US" w:eastAsia="zh-CN"/>
        </w:rPr>
        <w:t>1623.97万元</w:t>
      </w:r>
      <w:r>
        <w:rPr>
          <w:rFonts w:hint="eastAsia" w:hAnsi="宋体" w:cs="新宋体"/>
          <w:szCs w:val="21"/>
          <w:highlight w:val="none"/>
          <w:lang w:eastAsia="zh-CN"/>
        </w:rPr>
        <w:t>，合同均自动终止。）</w:t>
      </w:r>
    </w:p>
    <w:p>
      <w:pPr>
        <w:spacing w:line="360" w:lineRule="auto"/>
        <w:rPr>
          <w:rFonts w:hAnsi="宋体" w:cs="Arial Unicode MS"/>
          <w:b/>
          <w:szCs w:val="21"/>
          <w:highlight w:val="none"/>
        </w:rPr>
      </w:pPr>
      <w:r>
        <w:rPr>
          <w:rFonts w:hint="eastAsia" w:hAnsi="宋体" w:cs="Arial Unicode MS"/>
          <w:b/>
          <w:szCs w:val="21"/>
          <w:highlight w:val="none"/>
        </w:rPr>
        <w:t>第三条 乙方配备船员的相关规定</w:t>
      </w:r>
    </w:p>
    <w:p>
      <w:pPr>
        <w:spacing w:line="360" w:lineRule="auto"/>
        <w:ind w:firstLine="424" w:firstLineChars="202"/>
        <w:rPr>
          <w:rFonts w:hAnsi="宋体" w:cs="新宋体"/>
          <w:szCs w:val="21"/>
          <w:highlight w:val="none"/>
        </w:rPr>
      </w:pPr>
      <w:r>
        <w:rPr>
          <w:rFonts w:hint="eastAsia" w:hAnsi="宋体" w:cs="新宋体"/>
          <w:szCs w:val="21"/>
          <w:highlight w:val="none"/>
        </w:rPr>
        <w:t>1、船员配备：船员按甲方船舶运行管理的实际需求配备，以甲方实际派员需求为准。乙方根据甲方的船员配备要求，经与甲方确认，按需及时配备船员。</w:t>
      </w:r>
    </w:p>
    <w:p>
      <w:pPr>
        <w:spacing w:line="360" w:lineRule="auto"/>
        <w:ind w:firstLine="424" w:firstLineChars="202"/>
        <w:rPr>
          <w:rFonts w:hAnsi="宋体" w:cs="新宋体"/>
          <w:szCs w:val="21"/>
          <w:highlight w:val="none"/>
        </w:rPr>
      </w:pPr>
      <w:r>
        <w:rPr>
          <w:rFonts w:hAnsi="宋体" w:cs="新宋体"/>
          <w:szCs w:val="21"/>
          <w:highlight w:val="none"/>
        </w:rPr>
        <w:t>2</w:t>
      </w:r>
      <w:r>
        <w:rPr>
          <w:rFonts w:hint="eastAsia" w:hAnsi="宋体" w:cs="新宋体"/>
          <w:szCs w:val="21"/>
          <w:highlight w:val="none"/>
        </w:rPr>
        <w:t>、派出前管理：船员派出前的管理教育工作由乙方负责，乙方应加强对船员派出前的教育及派出后的跟踪管理。同时，乙方应定期派员上船了解情况，及时处理船员管理中出现的问题，并做好船员的思想工作，保持船员队伍稳定和工作积极性。</w:t>
      </w:r>
    </w:p>
    <w:p>
      <w:pPr>
        <w:spacing w:line="360" w:lineRule="auto"/>
        <w:ind w:firstLine="424" w:firstLineChars="202"/>
        <w:rPr>
          <w:rFonts w:hint="eastAsia" w:hAnsi="宋体" w:cs="新宋体"/>
          <w:szCs w:val="21"/>
          <w:highlight w:val="none"/>
        </w:rPr>
      </w:pPr>
      <w:r>
        <w:rPr>
          <w:rFonts w:hAnsi="宋体" w:cs="新宋体"/>
          <w:szCs w:val="21"/>
          <w:highlight w:val="none"/>
        </w:rPr>
        <w:t>3</w:t>
      </w:r>
      <w:r>
        <w:rPr>
          <w:rFonts w:hint="eastAsia" w:hAnsi="宋体" w:cs="新宋体"/>
          <w:szCs w:val="21"/>
          <w:highlight w:val="none"/>
        </w:rPr>
        <w:t>、响应时间及善后：</w:t>
      </w:r>
      <w:r>
        <w:rPr>
          <w:rFonts w:hint="eastAsia" w:hAnsi="宋体" w:cs="新宋体"/>
          <w:szCs w:val="21"/>
          <w:highlight w:val="none"/>
          <w:lang w:val="en-US" w:eastAsia="zh-CN"/>
        </w:rPr>
        <w:t>乙方</w:t>
      </w:r>
      <w:r>
        <w:rPr>
          <w:rFonts w:hint="eastAsia" w:hAnsi="宋体" w:cs="新宋体"/>
          <w:szCs w:val="21"/>
          <w:highlight w:val="none"/>
        </w:rPr>
        <w:t>根据甲方</w:t>
      </w:r>
      <w:r>
        <w:rPr>
          <w:rFonts w:hint="eastAsia" w:hAnsi="宋体" w:cs="新宋体"/>
          <w:szCs w:val="21"/>
          <w:highlight w:val="none"/>
          <w:lang w:val="en-US" w:eastAsia="zh-CN"/>
        </w:rPr>
        <w:t>书面配员需求</w:t>
      </w:r>
      <w:r>
        <w:rPr>
          <w:rFonts w:hint="eastAsia" w:hAnsi="宋体" w:cs="新宋体"/>
          <w:szCs w:val="21"/>
          <w:highlight w:val="none"/>
        </w:rPr>
        <w:t>一般</w:t>
      </w:r>
      <w:r>
        <w:rPr>
          <w:rFonts w:hint="eastAsia" w:hAnsi="宋体" w:cs="新宋体"/>
          <w:szCs w:val="21"/>
          <w:highlight w:val="none"/>
          <w:lang w:val="en-US" w:eastAsia="zh-CN"/>
        </w:rPr>
        <w:t>在三天内</w:t>
      </w:r>
      <w:r>
        <w:rPr>
          <w:rFonts w:hint="eastAsia" w:hAnsi="宋体" w:cs="新宋体"/>
          <w:szCs w:val="21"/>
          <w:highlight w:val="none"/>
        </w:rPr>
        <w:t>响应</w:t>
      </w:r>
      <w:r>
        <w:rPr>
          <w:rFonts w:hint="eastAsia" w:hAnsi="宋体" w:cs="新宋体"/>
          <w:szCs w:val="21"/>
          <w:highlight w:val="none"/>
          <w:lang w:val="en-US" w:eastAsia="zh-CN"/>
        </w:rPr>
        <w:t>，并将面试合格的拟派船员相关资料提供甲方</w:t>
      </w:r>
      <w:r>
        <w:rPr>
          <w:rFonts w:hint="eastAsia" w:hAnsi="宋体" w:cs="新宋体"/>
          <w:szCs w:val="21"/>
          <w:highlight w:val="none"/>
        </w:rPr>
        <w:t>（72小时，在必要或紧急情况下，乙方应在一天内完成适格船员的配备任务</w:t>
      </w:r>
      <w:r>
        <w:rPr>
          <w:rFonts w:hint="eastAsia" w:hAnsi="宋体" w:cs="新宋体"/>
          <w:szCs w:val="21"/>
          <w:highlight w:val="none"/>
          <w:lang w:eastAsia="zh-CN"/>
        </w:rPr>
        <w:t>；</w:t>
      </w:r>
      <w:r>
        <w:rPr>
          <w:rFonts w:hint="eastAsia" w:hAnsi="宋体" w:cs="新宋体"/>
          <w:szCs w:val="21"/>
          <w:highlight w:val="none"/>
        </w:rPr>
        <w:t>乙方有义务将其为管理、操作甲方船舶而配备船员的名单及详细资料</w:t>
      </w:r>
      <w:r>
        <w:rPr>
          <w:rFonts w:hint="eastAsia" w:hAnsi="宋体" w:cs="新宋体"/>
          <w:szCs w:val="21"/>
          <w:highlight w:val="none"/>
          <w:lang w:val="en-US" w:eastAsia="zh-CN"/>
        </w:rPr>
        <w:t>提供</w:t>
      </w:r>
      <w:r>
        <w:rPr>
          <w:rFonts w:hint="eastAsia" w:hAnsi="宋体" w:cs="新宋体"/>
          <w:szCs w:val="21"/>
          <w:highlight w:val="none"/>
        </w:rPr>
        <w:t>甲方</w:t>
      </w:r>
      <w:r>
        <w:rPr>
          <w:rFonts w:hint="eastAsia" w:hAnsi="宋体" w:cs="新宋体"/>
          <w:szCs w:val="21"/>
          <w:highlight w:val="none"/>
          <w:lang w:val="en-US" w:eastAsia="zh-CN"/>
        </w:rPr>
        <w:t>备案</w:t>
      </w:r>
      <w:r>
        <w:rPr>
          <w:rFonts w:hint="eastAsia" w:hAnsi="宋体" w:cs="新宋体"/>
          <w:szCs w:val="21"/>
          <w:highlight w:val="none"/>
        </w:rPr>
        <w:t>）</w:t>
      </w:r>
      <w:r>
        <w:rPr>
          <w:rFonts w:hint="eastAsia" w:hAnsi="宋体" w:cs="新宋体"/>
          <w:szCs w:val="21"/>
          <w:highlight w:val="none"/>
          <w:lang w:eastAsia="zh-CN"/>
        </w:rPr>
        <w:t>，</w:t>
      </w:r>
      <w:r>
        <w:rPr>
          <w:rFonts w:hint="eastAsia" w:hAnsi="宋体" w:cs="新宋体"/>
          <w:szCs w:val="21"/>
          <w:highlight w:val="none"/>
          <w:lang w:val="en-US" w:eastAsia="zh-CN"/>
        </w:rPr>
        <w:t>甲方对拟派船员情况确认后，书面回复乙方，乙方收到甲方回复后二天内派</w:t>
      </w:r>
      <w:r>
        <w:rPr>
          <w:rFonts w:hint="eastAsia" w:hAnsi="宋体" w:cs="新宋体"/>
          <w:szCs w:val="21"/>
          <w:highlight w:val="none"/>
        </w:rPr>
        <w:t>员</w:t>
      </w:r>
      <w:r>
        <w:rPr>
          <w:rFonts w:hint="eastAsia" w:hAnsi="宋体" w:cs="新宋体"/>
          <w:szCs w:val="21"/>
          <w:highlight w:val="none"/>
          <w:lang w:val="en-US" w:eastAsia="zh-CN"/>
        </w:rPr>
        <w:t>到岗</w:t>
      </w:r>
      <w:r>
        <w:rPr>
          <w:rFonts w:hint="eastAsia" w:hAnsi="宋体" w:cs="新宋体"/>
          <w:szCs w:val="21"/>
          <w:highlight w:val="none"/>
        </w:rPr>
        <w:t>。如有船员离岗，乙方应及时补充</w:t>
      </w:r>
      <w:r>
        <w:rPr>
          <w:rFonts w:hint="eastAsia" w:hAnsi="宋体" w:cs="新宋体"/>
          <w:szCs w:val="21"/>
          <w:highlight w:val="none"/>
          <w:lang w:eastAsia="zh-CN"/>
        </w:rPr>
        <w:t>船员到岗</w:t>
      </w:r>
      <w:r>
        <w:rPr>
          <w:rFonts w:hint="eastAsia" w:hAnsi="宋体" w:cs="新宋体"/>
          <w:szCs w:val="21"/>
          <w:highlight w:val="none"/>
        </w:rPr>
        <w:t>，由此而产生的额外费用（如有），由乙方自行负责。甲方落实上级机构改革要求，适当安排在编船员上岗，乙方应当按甲方的要求在合同规定的响应时间内完成船员的更换，并组织做好被更换船员的善后工作。船员涉及劳动（劳务）纠纷的，由乙方负责处理并依法依规承担相应费用，相关责任和费用与甲方无关。</w:t>
      </w:r>
    </w:p>
    <w:p>
      <w:pPr>
        <w:spacing w:line="360" w:lineRule="auto"/>
        <w:ind w:firstLine="424" w:firstLineChars="202"/>
        <w:rPr>
          <w:rFonts w:hAnsi="宋体" w:cs="新宋体"/>
          <w:szCs w:val="21"/>
          <w:highlight w:val="none"/>
        </w:rPr>
      </w:pPr>
      <w:bookmarkStart w:id="10" w:name="OLE_LINK194"/>
      <w:bookmarkStart w:id="11" w:name="OLE_LINK195"/>
      <w:bookmarkStart w:id="12" w:name="OLE_LINK193"/>
      <w:r>
        <w:rPr>
          <w:rFonts w:hAnsi="宋体" w:cs="新宋体"/>
          <w:szCs w:val="21"/>
          <w:highlight w:val="none"/>
        </w:rPr>
        <w:t>4</w:t>
      </w:r>
      <w:r>
        <w:rPr>
          <w:rFonts w:hint="eastAsia" w:hAnsi="宋体" w:cs="新宋体"/>
          <w:szCs w:val="21"/>
          <w:highlight w:val="none"/>
        </w:rPr>
        <w:t>、</w:t>
      </w:r>
      <w:bookmarkEnd w:id="10"/>
      <w:bookmarkEnd w:id="11"/>
      <w:bookmarkEnd w:id="12"/>
      <w:r>
        <w:rPr>
          <w:rFonts w:hint="eastAsia" w:hAnsi="宋体" w:cs="新宋体"/>
          <w:bCs/>
          <w:szCs w:val="21"/>
          <w:highlight w:val="none"/>
        </w:rPr>
        <w:t>乙方船员须遵守甲方规定，保护甲方船舶和甲方利益，如甲方发现乙方船员有不适宜在岗的情况并向乙方提出时，乙方应及时且无条件为甲方更换合格的船员。</w:t>
      </w:r>
    </w:p>
    <w:p>
      <w:pPr>
        <w:spacing w:line="360" w:lineRule="auto"/>
        <w:ind w:firstLine="424" w:firstLineChars="202"/>
        <w:rPr>
          <w:rFonts w:hAnsi="宋体" w:cs="新宋体"/>
          <w:szCs w:val="21"/>
          <w:highlight w:val="none"/>
        </w:rPr>
      </w:pPr>
      <w:r>
        <w:rPr>
          <w:rFonts w:hAnsi="宋体" w:cs="新宋体"/>
          <w:szCs w:val="21"/>
          <w:highlight w:val="none"/>
        </w:rPr>
        <w:t>5</w:t>
      </w:r>
      <w:r>
        <w:rPr>
          <w:rFonts w:hint="eastAsia" w:hAnsi="宋体" w:cs="新宋体"/>
          <w:szCs w:val="21"/>
          <w:highlight w:val="none"/>
        </w:rPr>
        <w:t>、船员考评：</w:t>
      </w:r>
      <w:r>
        <w:rPr>
          <w:rFonts w:hAnsi="宋体" w:cs="新宋体"/>
          <w:szCs w:val="21"/>
          <w:highlight w:val="none"/>
        </w:rPr>
        <w:t>甲方有权对</w:t>
      </w:r>
      <w:r>
        <w:rPr>
          <w:rFonts w:hint="eastAsia" w:hAnsi="宋体" w:cs="新宋体"/>
          <w:szCs w:val="21"/>
          <w:highlight w:val="none"/>
        </w:rPr>
        <w:t>乙方</w:t>
      </w:r>
      <w:r>
        <w:rPr>
          <w:rFonts w:hAnsi="宋体" w:cs="新宋体"/>
          <w:szCs w:val="21"/>
          <w:highlight w:val="none"/>
        </w:rPr>
        <w:t>船员进行不定期考评，</w:t>
      </w:r>
      <w:r>
        <w:rPr>
          <w:rFonts w:hint="eastAsia" w:hAnsi="宋体" w:cs="新宋体"/>
          <w:szCs w:val="21"/>
          <w:highlight w:val="none"/>
        </w:rPr>
        <w:t>甲方的考评结果乙方应予认可，船员考评结果为不合格时，甲方有权要求乙方予以更换，乙方应及时且无条件提供合格的接替船员，经甲方审核并通过后，及时</w:t>
      </w:r>
      <w:r>
        <w:rPr>
          <w:rFonts w:hAnsi="宋体" w:cs="新宋体"/>
          <w:szCs w:val="21"/>
          <w:highlight w:val="none"/>
        </w:rPr>
        <w:t>予以更换</w:t>
      </w:r>
      <w:r>
        <w:rPr>
          <w:rFonts w:hint="eastAsia" w:hAnsi="宋体" w:cs="新宋体"/>
          <w:szCs w:val="21"/>
          <w:highlight w:val="none"/>
        </w:rPr>
        <w:t>。</w:t>
      </w:r>
    </w:p>
    <w:p>
      <w:pPr>
        <w:spacing w:line="360" w:lineRule="auto"/>
        <w:ind w:firstLine="424" w:firstLineChars="202"/>
        <w:rPr>
          <w:rFonts w:hAnsi="宋体" w:cs="新宋体"/>
          <w:szCs w:val="21"/>
          <w:highlight w:val="none"/>
        </w:rPr>
      </w:pPr>
      <w:r>
        <w:rPr>
          <w:rFonts w:hAnsi="宋体" w:cs="新宋体"/>
          <w:szCs w:val="21"/>
          <w:highlight w:val="none"/>
        </w:rPr>
        <w:t>6</w:t>
      </w:r>
      <w:r>
        <w:rPr>
          <w:rFonts w:hint="eastAsia" w:hAnsi="宋体" w:cs="新宋体"/>
          <w:szCs w:val="21"/>
          <w:highlight w:val="none"/>
        </w:rPr>
        <w:t>、船员培训：乙方的管理级船员应接受甲方岗前培训。乙方应按甲方要求安排船员进行上船前培训。乙方须针对甲方的规章制度，对船员进行培训。</w:t>
      </w:r>
    </w:p>
    <w:p>
      <w:pPr>
        <w:spacing w:line="360" w:lineRule="auto"/>
        <w:ind w:firstLine="424" w:firstLineChars="202"/>
        <w:rPr>
          <w:rFonts w:hAnsi="宋体" w:cs="新宋体"/>
          <w:szCs w:val="21"/>
          <w:highlight w:val="none"/>
        </w:rPr>
      </w:pPr>
      <w:r>
        <w:rPr>
          <w:rFonts w:hAnsi="宋体" w:cs="新宋体"/>
          <w:szCs w:val="21"/>
          <w:highlight w:val="none"/>
        </w:rPr>
        <w:t>7</w:t>
      </w:r>
      <w:r>
        <w:rPr>
          <w:rFonts w:hint="eastAsia" w:hAnsi="宋体" w:cs="新宋体"/>
          <w:szCs w:val="21"/>
          <w:highlight w:val="none"/>
        </w:rPr>
        <w:t>、响应时效：</w:t>
      </w:r>
      <w:r>
        <w:rPr>
          <w:rFonts w:hAnsi="宋体" w:cs="新宋体"/>
          <w:szCs w:val="21"/>
          <w:highlight w:val="none"/>
        </w:rPr>
        <w:t>乙方</w:t>
      </w:r>
      <w:r>
        <w:rPr>
          <w:rFonts w:hint="eastAsia" w:hAnsi="宋体" w:cs="新宋体"/>
          <w:szCs w:val="21"/>
          <w:highlight w:val="none"/>
        </w:rPr>
        <w:t>接到甲方的一般响应需求通知</w:t>
      </w:r>
      <w:r>
        <w:rPr>
          <w:rFonts w:hAnsi="宋体" w:cs="新宋体"/>
          <w:szCs w:val="21"/>
          <w:highlight w:val="none"/>
        </w:rPr>
        <w:t>(含船员更换）时，</w:t>
      </w:r>
      <w:r>
        <w:rPr>
          <w:rFonts w:hint="eastAsia" w:hAnsi="宋体" w:cs="新宋体"/>
          <w:szCs w:val="21"/>
          <w:highlight w:val="none"/>
          <w:lang w:val="en-US" w:eastAsia="zh-CN"/>
        </w:rPr>
        <w:t>按本合同第三条第3款执行</w:t>
      </w:r>
      <w:r>
        <w:rPr>
          <w:rFonts w:hint="eastAsia" w:hAnsi="宋体" w:cs="新宋体"/>
          <w:szCs w:val="21"/>
          <w:highlight w:val="none"/>
        </w:rPr>
        <w:t>。</w:t>
      </w:r>
    </w:p>
    <w:p>
      <w:pPr>
        <w:spacing w:line="360" w:lineRule="auto"/>
        <w:rPr>
          <w:rFonts w:hAnsi="宋体" w:cs="Arial Unicode MS"/>
          <w:b/>
          <w:szCs w:val="21"/>
          <w:highlight w:val="none"/>
        </w:rPr>
      </w:pPr>
      <w:r>
        <w:rPr>
          <w:rFonts w:hAnsi="宋体" w:cs="Arial Unicode MS"/>
          <w:b/>
          <w:szCs w:val="21"/>
          <w:highlight w:val="none"/>
        </w:rPr>
        <w:t>第四条</w:t>
      </w:r>
      <w:r>
        <w:rPr>
          <w:rFonts w:hint="eastAsia" w:hAnsi="宋体" w:cs="Arial Unicode MS"/>
          <w:b/>
          <w:szCs w:val="21"/>
          <w:highlight w:val="none"/>
        </w:rPr>
        <w:t>乙方船员工作时间及休假</w:t>
      </w:r>
    </w:p>
    <w:p>
      <w:pPr>
        <w:spacing w:line="360" w:lineRule="auto"/>
        <w:ind w:firstLine="420" w:firstLineChars="200"/>
        <w:rPr>
          <w:rFonts w:hAnsi="宋体" w:cs="新宋体"/>
          <w:szCs w:val="21"/>
          <w:highlight w:val="none"/>
        </w:rPr>
      </w:pPr>
      <w:r>
        <w:rPr>
          <w:rFonts w:hint="eastAsia" w:hAnsi="宋体" w:cs="新宋体"/>
          <w:szCs w:val="21"/>
          <w:highlight w:val="none"/>
        </w:rPr>
        <w:t>1、船员工作时间：以甲方用工时间为准，甲方有权根据船舶操作需要适当缩短或延长。</w:t>
      </w:r>
    </w:p>
    <w:p>
      <w:pPr>
        <w:spacing w:line="360" w:lineRule="auto"/>
        <w:ind w:firstLine="420" w:firstLineChars="200"/>
        <w:rPr>
          <w:highlight w:val="none"/>
        </w:rPr>
      </w:pPr>
      <w:r>
        <w:rPr>
          <w:rFonts w:hint="eastAsia" w:hAnsi="宋体" w:cs="新宋体"/>
          <w:szCs w:val="21"/>
          <w:highlight w:val="none"/>
        </w:rPr>
        <w:t>2、船员休假：船员在船舶上每工作2个月可享有5日的休假，应当按经甲方确认的休假流程办理审批手续。船舶执行任务期间，不允许休假。船员在休假期间，应遵守法律法规、疫情防控要求和船舶管理相关制度。</w:t>
      </w:r>
    </w:p>
    <w:p>
      <w:pPr>
        <w:spacing w:line="360" w:lineRule="auto"/>
        <w:rPr>
          <w:rFonts w:hAnsi="宋体" w:cs="Arial Unicode MS"/>
          <w:b/>
          <w:szCs w:val="21"/>
          <w:highlight w:val="none"/>
        </w:rPr>
      </w:pPr>
      <w:r>
        <w:rPr>
          <w:rFonts w:hAnsi="宋体" w:cs="Arial Unicode MS"/>
          <w:b/>
          <w:szCs w:val="21"/>
          <w:highlight w:val="none"/>
        </w:rPr>
        <w:t>第五条 船员待遇、医疗与劳保</w:t>
      </w:r>
      <w:r>
        <w:rPr>
          <w:rFonts w:hint="eastAsia" w:hAnsi="宋体" w:cs="Arial Unicode MS"/>
          <w:b/>
          <w:szCs w:val="21"/>
          <w:highlight w:val="none"/>
        </w:rPr>
        <w:t>等</w:t>
      </w:r>
    </w:p>
    <w:p>
      <w:pPr>
        <w:pStyle w:val="2"/>
        <w:spacing w:line="360" w:lineRule="auto"/>
        <w:ind w:firstLine="421"/>
        <w:rPr>
          <w:rFonts w:hAnsi="宋体" w:cs="Arial Unicode MS"/>
          <w:b/>
          <w:szCs w:val="21"/>
          <w:highlight w:val="none"/>
        </w:rPr>
      </w:pPr>
      <w:r>
        <w:rPr>
          <w:rFonts w:hint="eastAsia" w:hAnsi="宋体" w:cs="Arial Unicode MS"/>
          <w:b/>
          <w:szCs w:val="21"/>
          <w:highlight w:val="none"/>
        </w:rPr>
        <w:t>甲方向乙方支付的费用，包含乙方船员的工资、待遇、社保、公积金等费用（统称船员成本费用），以及乙方提供本项目服务所包含的管理费用、风险费用及企业利润等全部费用（统称管理费），所有费用都是含税费用。</w:t>
      </w:r>
    </w:p>
    <w:p>
      <w:pPr>
        <w:spacing w:line="360" w:lineRule="auto"/>
        <w:ind w:firstLine="420" w:firstLineChars="200"/>
        <w:rPr>
          <w:rFonts w:hAnsi="宋体" w:cs="新宋体"/>
          <w:szCs w:val="21"/>
          <w:highlight w:val="none"/>
        </w:rPr>
      </w:pPr>
      <w:r>
        <w:rPr>
          <w:rFonts w:hint="eastAsia" w:hAnsi="宋体" w:cs="新宋体"/>
          <w:szCs w:val="21"/>
          <w:highlight w:val="none"/>
        </w:rPr>
        <w:t>1、船员工资：船员工资为包干工资，</w:t>
      </w:r>
      <w:r>
        <w:rPr>
          <w:rFonts w:hint="eastAsia" w:hAnsi="宋体" w:cs="新宋体"/>
          <w:szCs w:val="21"/>
          <w:highlight w:val="none"/>
          <w:lang w:val="zh-CN"/>
        </w:rPr>
        <w:t>工资费用</w:t>
      </w:r>
      <w:r>
        <w:rPr>
          <w:rFonts w:hint="eastAsia" w:hAnsi="宋体" w:cs="新宋体"/>
          <w:szCs w:val="21"/>
          <w:highlight w:val="none"/>
        </w:rPr>
        <w:t>已</w:t>
      </w:r>
      <w:r>
        <w:rPr>
          <w:rFonts w:hint="eastAsia" w:hAnsi="宋体" w:cs="新宋体"/>
          <w:szCs w:val="21"/>
          <w:highlight w:val="none"/>
          <w:lang w:val="zh-CN"/>
        </w:rPr>
        <w:t>包括基本工资、岗位绩效、社会保险费和公积金（五险一金）等。其中，岗位绩效占工资总额的</w:t>
      </w:r>
      <w:r>
        <w:rPr>
          <w:rFonts w:hint="eastAsia" w:hAnsi="宋体" w:cs="新宋体"/>
          <w:szCs w:val="21"/>
          <w:highlight w:val="none"/>
        </w:rPr>
        <w:t>40%，</w:t>
      </w:r>
      <w:r>
        <w:rPr>
          <w:rFonts w:hint="eastAsia" w:hAnsi="宋体" w:cs="新宋体"/>
          <w:szCs w:val="21"/>
          <w:highlight w:val="none"/>
          <w:lang w:val="zh-CN"/>
        </w:rPr>
        <w:t>乙方</w:t>
      </w:r>
      <w:r>
        <w:rPr>
          <w:rFonts w:hint="eastAsia" w:hAnsi="宋体" w:cs="新宋体"/>
          <w:szCs w:val="21"/>
          <w:highlight w:val="none"/>
          <w:lang w:val="en-US" w:eastAsia="zh-CN"/>
        </w:rPr>
        <w:t>提供</w:t>
      </w:r>
      <w:r>
        <w:rPr>
          <w:rFonts w:hint="eastAsia" w:hAnsi="宋体" w:cs="新宋体"/>
          <w:szCs w:val="21"/>
          <w:highlight w:val="none"/>
          <w:lang w:val="zh-CN"/>
        </w:rPr>
        <w:t>岗位绩效考核方案（包含日常工作考核、自修考核，扩大自修奖励分配</w:t>
      </w:r>
      <w:r>
        <w:rPr>
          <w:rFonts w:hint="eastAsia" w:hAnsi="宋体" w:cs="新宋体"/>
          <w:szCs w:val="21"/>
          <w:highlight w:val="none"/>
        </w:rPr>
        <w:t>等</w:t>
      </w:r>
      <w:r>
        <w:rPr>
          <w:rFonts w:hint="eastAsia" w:hAnsi="宋体" w:cs="新宋体"/>
          <w:szCs w:val="21"/>
          <w:highlight w:val="none"/>
          <w:lang w:val="zh-CN"/>
        </w:rPr>
        <w:t>方案），</w:t>
      </w:r>
      <w:r>
        <w:rPr>
          <w:rFonts w:hint="eastAsia" w:hAnsi="宋体" w:cs="新宋体"/>
          <w:szCs w:val="21"/>
          <w:highlight w:val="none"/>
          <w:lang w:val="en-US" w:eastAsia="zh-CN"/>
        </w:rPr>
        <w:t>经甲方</w:t>
      </w:r>
      <w:r>
        <w:rPr>
          <w:rFonts w:hint="eastAsia" w:hAnsi="宋体" w:cs="新宋体"/>
          <w:szCs w:val="21"/>
          <w:highlight w:val="none"/>
          <w:lang w:val="zh-CN"/>
        </w:rPr>
        <w:t>同意</w:t>
      </w:r>
      <w:r>
        <w:rPr>
          <w:rFonts w:hint="eastAsia" w:hAnsi="宋体" w:cs="新宋体"/>
          <w:szCs w:val="21"/>
          <w:highlight w:val="none"/>
          <w:lang w:val="en-US" w:eastAsia="zh-CN"/>
        </w:rPr>
        <w:t>后实施</w:t>
      </w:r>
      <w:r>
        <w:rPr>
          <w:rFonts w:hint="eastAsia" w:hAnsi="宋体" w:cs="新宋体"/>
          <w:szCs w:val="21"/>
          <w:highlight w:val="none"/>
          <w:lang w:val="zh-CN"/>
        </w:rPr>
        <w:t>，岗位绩效须</w:t>
      </w:r>
      <w:r>
        <w:rPr>
          <w:rFonts w:hint="eastAsia" w:hAnsi="宋体" w:cs="新宋体"/>
          <w:szCs w:val="21"/>
          <w:highlight w:val="none"/>
        </w:rPr>
        <w:t>甲乙方</w:t>
      </w:r>
      <w:r>
        <w:rPr>
          <w:rFonts w:hint="eastAsia" w:hAnsi="宋体" w:cs="新宋体"/>
          <w:szCs w:val="21"/>
          <w:highlight w:val="none"/>
          <w:lang w:val="zh-CN"/>
        </w:rPr>
        <w:t>共同考核后发放。</w:t>
      </w:r>
      <w:r>
        <w:rPr>
          <w:rFonts w:hint="eastAsia" w:hAnsi="宋体" w:cs="新宋体"/>
          <w:szCs w:val="21"/>
          <w:highlight w:val="none"/>
        </w:rPr>
        <w:t>乙方按月把船员工资发放到船员指定的账户内，甲方定期与乙方结算。乙方应如实发放船员工资，如乙方未如实发放、出现克扣</w:t>
      </w:r>
      <w:r>
        <w:rPr>
          <w:rFonts w:hint="eastAsia" w:hAnsi="宋体" w:cs="新宋体"/>
          <w:szCs w:val="21"/>
          <w:highlight w:val="none"/>
          <w:lang w:val="en-US" w:eastAsia="zh-CN"/>
        </w:rPr>
        <w:t>船员</w:t>
      </w:r>
      <w:r>
        <w:rPr>
          <w:rFonts w:hint="eastAsia" w:hAnsi="宋体" w:cs="新宋体"/>
          <w:szCs w:val="21"/>
          <w:highlight w:val="none"/>
        </w:rPr>
        <w:t>工资等情况，相关法律责任均由乙方自行承担。乙方按照法律规定为船员代扣代缴个人所得税和代扣代缴社会保险。甲方有权对乙方支付给所雇佣船员的社保缴纳及相关福利待遇进行抽查或监督，乙方应予配合，如发现乙方存在未依法依约办理、缴纳社保</w:t>
      </w:r>
      <w:r>
        <w:rPr>
          <w:rFonts w:hint="eastAsia" w:hAnsi="宋体" w:cs="新宋体"/>
          <w:szCs w:val="21"/>
          <w:highlight w:val="none"/>
          <w:lang w:eastAsia="zh-CN"/>
        </w:rPr>
        <w:t>、</w:t>
      </w:r>
      <w:r>
        <w:rPr>
          <w:rFonts w:hint="eastAsia" w:hAnsi="宋体" w:cs="新宋体"/>
          <w:szCs w:val="21"/>
          <w:highlight w:val="none"/>
        </w:rPr>
        <w:t>公积金</w:t>
      </w:r>
      <w:r>
        <w:rPr>
          <w:rFonts w:hint="eastAsia" w:hAnsi="宋体" w:cs="新宋体"/>
          <w:szCs w:val="21"/>
          <w:highlight w:val="none"/>
          <w:lang w:eastAsia="zh-CN"/>
        </w:rPr>
        <w:t>、</w:t>
      </w:r>
      <w:r>
        <w:rPr>
          <w:rFonts w:hint="eastAsia" w:hAnsi="宋体" w:cs="新宋体"/>
          <w:szCs w:val="21"/>
          <w:highlight w:val="none"/>
          <w:lang w:val="en-US" w:eastAsia="zh-CN"/>
        </w:rPr>
        <w:t>克扣船员工资</w:t>
      </w:r>
      <w:r>
        <w:rPr>
          <w:rFonts w:hint="eastAsia" w:hAnsi="宋体" w:cs="新宋体"/>
          <w:szCs w:val="21"/>
          <w:highlight w:val="none"/>
        </w:rPr>
        <w:t>等情况，甲方有权终止服务合同，由此产生的一切经济及法律责任均由乙方承担。</w:t>
      </w:r>
    </w:p>
    <w:p>
      <w:pPr>
        <w:spacing w:line="360" w:lineRule="auto"/>
        <w:ind w:firstLine="420" w:firstLineChars="200"/>
        <w:rPr>
          <w:rFonts w:hAnsi="宋体" w:cs="新宋体"/>
          <w:szCs w:val="21"/>
          <w:highlight w:val="none"/>
        </w:rPr>
      </w:pPr>
      <w:r>
        <w:rPr>
          <w:rFonts w:hint="eastAsia" w:hAnsi="宋体" w:cs="新宋体"/>
          <w:szCs w:val="21"/>
          <w:highlight w:val="none"/>
        </w:rPr>
        <w:t>2、船员伙食：船员在甲方船舶工作期间，甲方为其提供与甲方工作人员同等的伙食待遇。</w:t>
      </w:r>
    </w:p>
    <w:p>
      <w:pPr>
        <w:spacing w:line="360" w:lineRule="auto"/>
        <w:ind w:firstLine="420" w:firstLineChars="200"/>
        <w:rPr>
          <w:rFonts w:hAnsi="宋体" w:cs="新宋体"/>
          <w:szCs w:val="21"/>
          <w:highlight w:val="none"/>
        </w:rPr>
      </w:pPr>
      <w:r>
        <w:rPr>
          <w:rFonts w:hint="eastAsia" w:hAnsi="宋体" w:cs="新宋体"/>
          <w:szCs w:val="21"/>
          <w:highlight w:val="none"/>
        </w:rPr>
        <w:t>3、其他劳务补助（包括出海补助等）：甲方可根据具体情况给予乙方船员额外奖励，具体标准按甲方有关规定执行。</w:t>
      </w:r>
    </w:p>
    <w:p>
      <w:pPr>
        <w:spacing w:line="360" w:lineRule="auto"/>
        <w:ind w:firstLine="420" w:firstLineChars="200"/>
        <w:rPr>
          <w:rFonts w:hAnsi="宋体" w:cs="新宋体"/>
          <w:szCs w:val="21"/>
          <w:highlight w:val="none"/>
        </w:rPr>
      </w:pPr>
      <w:r>
        <w:rPr>
          <w:rFonts w:hint="eastAsia" w:hAnsi="宋体" w:cs="新宋体"/>
          <w:szCs w:val="21"/>
          <w:highlight w:val="none"/>
        </w:rPr>
        <w:t>4、船员医疗：甲方船舶配备部分常用药品，所有在船船员可以免费使用。</w:t>
      </w:r>
    </w:p>
    <w:p>
      <w:pPr>
        <w:spacing w:line="360" w:lineRule="auto"/>
        <w:ind w:firstLine="420" w:firstLineChars="200"/>
        <w:rPr>
          <w:rFonts w:hAnsi="宋体" w:cs="新宋体"/>
          <w:szCs w:val="21"/>
          <w:highlight w:val="none"/>
        </w:rPr>
      </w:pPr>
      <w:r>
        <w:rPr>
          <w:rFonts w:hint="eastAsia" w:hAnsi="宋体" w:cs="新宋体"/>
          <w:szCs w:val="21"/>
          <w:highlight w:val="none"/>
        </w:rPr>
        <w:t>乙方船员在上岗服务期间生病或受伤的，乙方按照国内工伤保险条例的规定及船员人身意外伤害保险和附加医疗保险处理。（但因船员隐瞒既往病史而上船后发作的或因船员生活不检点感染性病的以及其它慢性疾病除外）。甲方对由于船员本人自杀、自残或违法犯罪行为，有意隐瞒既往病史（包括但不限于心脏病、高血压、糖尿病、肝炎等慢性疾病以及性病等）造成的伤亡不负任何责任，由乙方负责处理并承担因此而产生的有关费用。</w:t>
      </w:r>
    </w:p>
    <w:p>
      <w:pPr>
        <w:spacing w:line="360" w:lineRule="auto"/>
        <w:ind w:firstLine="420" w:firstLineChars="200"/>
        <w:rPr>
          <w:rFonts w:hAnsi="宋体" w:cs="新宋体"/>
          <w:szCs w:val="21"/>
          <w:highlight w:val="none"/>
        </w:rPr>
      </w:pPr>
      <w:r>
        <w:rPr>
          <w:rFonts w:hint="eastAsia" w:hAnsi="宋体" w:cs="新宋体"/>
          <w:szCs w:val="21"/>
          <w:highlight w:val="none"/>
        </w:rPr>
        <w:t>5、船员劳保：船员劳保由乙方承担，除劳保服装由甲方按实际岗位数量（如同一岗位出现换人，只按一个岗位计算）的服装需求予以保障，但因换人导致的超出部分，劳保服装费用由乙方承担。</w:t>
      </w:r>
    </w:p>
    <w:p>
      <w:pPr>
        <w:spacing w:line="360" w:lineRule="auto"/>
        <w:rPr>
          <w:rFonts w:hAnsi="宋体" w:cs="Arial Unicode MS"/>
          <w:b/>
          <w:szCs w:val="21"/>
          <w:highlight w:val="none"/>
        </w:rPr>
      </w:pPr>
      <w:r>
        <w:rPr>
          <w:rFonts w:hint="eastAsia" w:hAnsi="宋体" w:cs="Arial Unicode MS"/>
          <w:b/>
          <w:szCs w:val="21"/>
          <w:highlight w:val="none"/>
        </w:rPr>
        <w:t>第六条 船员离职和返回</w:t>
      </w:r>
    </w:p>
    <w:p>
      <w:pPr>
        <w:spacing w:line="360" w:lineRule="auto"/>
        <w:ind w:firstLine="424" w:firstLineChars="202"/>
        <w:rPr>
          <w:rFonts w:hAnsi="宋体" w:cs="新宋体"/>
          <w:szCs w:val="21"/>
          <w:highlight w:val="none"/>
        </w:rPr>
      </w:pPr>
      <w:r>
        <w:rPr>
          <w:rFonts w:hint="eastAsia" w:hAnsi="宋体" w:cs="新宋体"/>
          <w:szCs w:val="21"/>
          <w:highlight w:val="none"/>
        </w:rPr>
        <w:t>1、船员离职：如乙方收到船员申请离职或离岗，应在2个工作日内以书面形式告知甲方，乙方经甲方确认后与该船员办理有关离职等手续，并在3个日历日内补充新船员到岗，离岗船员与新船员工作交接后才可离岗，不得影响船舶正常运行和甲方工作的开展。</w:t>
      </w:r>
    </w:p>
    <w:p>
      <w:pPr>
        <w:spacing w:line="360" w:lineRule="auto"/>
        <w:ind w:firstLine="424" w:firstLineChars="202"/>
        <w:rPr>
          <w:rFonts w:hAnsi="宋体" w:cs="新宋体"/>
          <w:szCs w:val="21"/>
          <w:highlight w:val="none"/>
        </w:rPr>
      </w:pPr>
      <w:r>
        <w:rPr>
          <w:rFonts w:hint="eastAsia" w:hAnsi="宋体" w:cs="新宋体"/>
          <w:szCs w:val="21"/>
          <w:highlight w:val="none"/>
        </w:rPr>
        <w:t>2、船员退回：乙方船员有下列情况之一的，甲方有权要求退回该船员。退回的船员涉及劳动（劳务）纠纷的，该纠纷与甲方无关，由乙方负责处理并依法承担相应责任：</w:t>
      </w:r>
    </w:p>
    <w:p>
      <w:pPr>
        <w:spacing w:line="360" w:lineRule="auto"/>
        <w:ind w:firstLine="424" w:firstLineChars="202"/>
        <w:rPr>
          <w:rFonts w:hAnsi="宋体" w:cs="新宋体"/>
          <w:szCs w:val="21"/>
          <w:highlight w:val="none"/>
        </w:rPr>
      </w:pPr>
      <w:r>
        <w:rPr>
          <w:rFonts w:hint="eastAsia" w:hAnsi="宋体" w:cs="新宋体"/>
          <w:szCs w:val="21"/>
          <w:highlight w:val="none"/>
        </w:rPr>
        <w:t>1）严重违反国家法律、法规，依法被追究刑事责任的；</w:t>
      </w:r>
    </w:p>
    <w:p>
      <w:pPr>
        <w:spacing w:line="360" w:lineRule="auto"/>
        <w:ind w:firstLine="424" w:firstLineChars="202"/>
        <w:rPr>
          <w:rFonts w:hAnsi="宋体" w:cs="新宋体"/>
          <w:szCs w:val="21"/>
          <w:highlight w:val="none"/>
        </w:rPr>
      </w:pPr>
      <w:r>
        <w:rPr>
          <w:rFonts w:hint="eastAsia" w:hAnsi="宋体" w:cs="新宋体"/>
          <w:szCs w:val="21"/>
          <w:highlight w:val="none"/>
        </w:rPr>
        <w:t>2）严重违反劳动纪律或甲乙各自依法制定的规章制度，符合开除、除名、辞退条件的；</w:t>
      </w:r>
    </w:p>
    <w:p>
      <w:pPr>
        <w:spacing w:line="360" w:lineRule="auto"/>
        <w:ind w:firstLine="424" w:firstLineChars="202"/>
        <w:rPr>
          <w:rFonts w:hAnsi="宋体" w:cs="新宋体"/>
          <w:szCs w:val="21"/>
          <w:highlight w:val="none"/>
        </w:rPr>
      </w:pPr>
      <w:r>
        <w:rPr>
          <w:rFonts w:hint="eastAsia" w:hAnsi="宋体" w:cs="新宋体"/>
          <w:szCs w:val="21"/>
          <w:highlight w:val="none"/>
        </w:rPr>
        <w:t>3）严重失职、营私舞弊或泄露国家秘密，给国家造成重大损失的；</w:t>
      </w:r>
    </w:p>
    <w:p>
      <w:pPr>
        <w:spacing w:line="360" w:lineRule="auto"/>
        <w:ind w:firstLine="424" w:firstLineChars="202"/>
        <w:rPr>
          <w:rFonts w:hAnsi="宋体" w:cs="新宋体"/>
          <w:szCs w:val="21"/>
          <w:highlight w:val="none"/>
        </w:rPr>
      </w:pPr>
      <w:r>
        <w:rPr>
          <w:rFonts w:hint="eastAsia" w:hAnsi="宋体" w:cs="新宋体"/>
          <w:szCs w:val="21"/>
          <w:highlight w:val="none"/>
        </w:rPr>
        <w:t>4）违反甲方管理要求的；</w:t>
      </w:r>
    </w:p>
    <w:p>
      <w:pPr>
        <w:spacing w:line="360" w:lineRule="auto"/>
        <w:ind w:firstLine="424" w:firstLineChars="202"/>
        <w:rPr>
          <w:rFonts w:hAnsi="宋体" w:cs="新宋体"/>
          <w:szCs w:val="21"/>
          <w:highlight w:val="none"/>
        </w:rPr>
      </w:pPr>
      <w:r>
        <w:rPr>
          <w:rFonts w:hint="eastAsia" w:hAnsi="宋体" w:cs="新宋体"/>
          <w:szCs w:val="21"/>
          <w:highlight w:val="none"/>
        </w:rPr>
        <w:t>5）该船员对完成甲方的工作任务造成严重影响，经甲方提出后，拒不改正的；</w:t>
      </w:r>
    </w:p>
    <w:p>
      <w:pPr>
        <w:spacing w:line="360" w:lineRule="auto"/>
        <w:ind w:firstLine="424" w:firstLineChars="202"/>
        <w:rPr>
          <w:rFonts w:hAnsi="宋体" w:cs="新宋体"/>
          <w:szCs w:val="21"/>
          <w:highlight w:val="none"/>
        </w:rPr>
      </w:pPr>
      <w:r>
        <w:rPr>
          <w:rFonts w:hint="eastAsia" w:hAnsi="宋体" w:cs="新宋体"/>
          <w:szCs w:val="21"/>
          <w:highlight w:val="none"/>
        </w:rPr>
        <w:t>6）派遣员工同时与其他用人单位建立劳动关系的；</w:t>
      </w:r>
    </w:p>
    <w:p>
      <w:pPr>
        <w:spacing w:line="360" w:lineRule="auto"/>
        <w:ind w:firstLine="424" w:firstLineChars="202"/>
        <w:rPr>
          <w:rFonts w:hAnsi="宋体" w:cs="新宋体"/>
          <w:szCs w:val="21"/>
          <w:highlight w:val="none"/>
        </w:rPr>
      </w:pPr>
      <w:r>
        <w:rPr>
          <w:rFonts w:hint="eastAsia" w:hAnsi="宋体" w:cs="新宋体"/>
          <w:szCs w:val="21"/>
          <w:highlight w:val="none"/>
        </w:rPr>
        <w:t>7）在合同期内不符合录用条件的（如甲方对乙方提供的人员不满意要求更换时，乙方必须及时且无条件的为甲方更换合格的人员）；</w:t>
      </w:r>
    </w:p>
    <w:p>
      <w:pPr>
        <w:spacing w:line="360" w:lineRule="auto"/>
        <w:ind w:firstLine="424" w:firstLineChars="202"/>
        <w:rPr>
          <w:rFonts w:hAnsi="宋体" w:cs="新宋体"/>
          <w:szCs w:val="21"/>
          <w:highlight w:val="none"/>
        </w:rPr>
      </w:pPr>
      <w:r>
        <w:rPr>
          <w:rFonts w:hint="eastAsia" w:hAnsi="宋体" w:cs="新宋体"/>
          <w:szCs w:val="21"/>
          <w:highlight w:val="none"/>
        </w:rPr>
        <w:t>8）因派遣船员自身原因（参见第五条第4款）或者因乙方原因（如未按本合同要求配各合格的船员或未适当履行船员管理义务等）未完成合同期被提前遣返的；</w:t>
      </w:r>
    </w:p>
    <w:p>
      <w:pPr>
        <w:spacing w:line="360" w:lineRule="auto"/>
        <w:ind w:firstLine="424" w:firstLineChars="202"/>
        <w:rPr>
          <w:rFonts w:hAnsi="宋体" w:cs="新宋体"/>
          <w:szCs w:val="21"/>
          <w:highlight w:val="none"/>
        </w:rPr>
      </w:pPr>
      <w:r>
        <w:rPr>
          <w:rFonts w:hint="eastAsia" w:hAnsi="宋体" w:cs="新宋体"/>
          <w:szCs w:val="21"/>
          <w:highlight w:val="none"/>
        </w:rPr>
        <w:t>因上述原因退回时，乙方应负责妥善处理船员离岗以及接替船员上岗的相关事宜，确保不影响船舶运行和甲方工作，该船员离岗以及接替船员上岗的费用均由乙方承担。若船员不服提起仲裁或诉讼的，由乙方负责依法妥善处理并承担相应责任；若经劳动部门、仲裁机构、法院等作出的承担赔偿责任的行政处分、裁决或判决，认定用人单位或甲方需承担责任的，该责任最终由乙方承担。甲方可向乙方进行追偿，追偿范围包括但不仅限于经济补偿金、赔偿金、行政罚款及甲方因此所产生的应诉费用、律师费用和差旅费等。</w:t>
      </w:r>
    </w:p>
    <w:p>
      <w:pPr>
        <w:spacing w:line="360" w:lineRule="auto"/>
        <w:rPr>
          <w:rFonts w:hAnsi="宋体" w:cs="Arial Unicode MS"/>
          <w:b/>
          <w:szCs w:val="21"/>
          <w:highlight w:val="none"/>
        </w:rPr>
      </w:pPr>
      <w:r>
        <w:rPr>
          <w:rFonts w:hint="eastAsia" w:hAnsi="宋体" w:cs="Arial Unicode MS"/>
          <w:b/>
          <w:szCs w:val="21"/>
          <w:highlight w:val="none"/>
        </w:rPr>
        <w:t>第七条 出海期间的意外保险</w:t>
      </w:r>
    </w:p>
    <w:p>
      <w:pPr>
        <w:spacing w:line="360" w:lineRule="auto"/>
        <w:ind w:firstLine="424" w:firstLineChars="202"/>
        <w:rPr>
          <w:rFonts w:hAnsi="宋体" w:cs="新宋体"/>
          <w:szCs w:val="21"/>
          <w:highlight w:val="none"/>
        </w:rPr>
      </w:pPr>
      <w:r>
        <w:rPr>
          <w:rFonts w:hint="eastAsia" w:hAnsi="宋体" w:cs="新宋体"/>
          <w:szCs w:val="21"/>
          <w:highlight w:val="none"/>
        </w:rPr>
        <w:t>船舶出海期间，甲方为乙方船员办理与甲方工作人员同等保额的人身意外伤害保险，保险费用由甲方承担。</w:t>
      </w:r>
    </w:p>
    <w:p>
      <w:pPr>
        <w:spacing w:line="360" w:lineRule="auto"/>
        <w:rPr>
          <w:rFonts w:hAnsi="宋体" w:cs="Arial Unicode MS"/>
          <w:b/>
          <w:szCs w:val="21"/>
          <w:highlight w:val="none"/>
        </w:rPr>
      </w:pPr>
      <w:r>
        <w:rPr>
          <w:rFonts w:hAnsi="宋体" w:cs="Arial Unicode MS"/>
          <w:b/>
          <w:szCs w:val="21"/>
          <w:highlight w:val="none"/>
        </w:rPr>
        <w:t>第八条 船员管理</w:t>
      </w:r>
    </w:p>
    <w:p>
      <w:pPr>
        <w:spacing w:line="360" w:lineRule="auto"/>
        <w:ind w:firstLine="424" w:firstLineChars="202"/>
        <w:rPr>
          <w:rFonts w:hAnsi="宋体" w:cs="新宋体"/>
          <w:szCs w:val="21"/>
          <w:highlight w:val="none"/>
        </w:rPr>
      </w:pPr>
      <w:r>
        <w:rPr>
          <w:rFonts w:hint="eastAsia" w:hAnsi="宋体" w:cs="新宋体"/>
          <w:szCs w:val="21"/>
          <w:highlight w:val="none"/>
        </w:rPr>
        <w:t>1、乙方应保证船员遵守国际公约、港口国、国家安全法和我国的法律、法规及各种相关规定，并对船员的工作负有监督管理责任。</w:t>
      </w:r>
    </w:p>
    <w:p>
      <w:pPr>
        <w:spacing w:line="360" w:lineRule="auto"/>
        <w:ind w:firstLine="424" w:firstLineChars="202"/>
        <w:rPr>
          <w:rFonts w:hAnsi="宋体" w:cs="新宋体"/>
          <w:szCs w:val="21"/>
          <w:highlight w:val="none"/>
        </w:rPr>
      </w:pPr>
      <w:r>
        <w:rPr>
          <w:rFonts w:hint="eastAsia" w:hAnsi="宋体" w:cs="新宋体"/>
          <w:szCs w:val="21"/>
          <w:highlight w:val="none"/>
        </w:rPr>
        <w:t>2、乙方应教育船员遵守甲方的规章制度，船员违反甲方的规章制度，造成甲方经济损失的，视为乙方违约，乙方应承担连带赔偿责任。</w:t>
      </w:r>
    </w:p>
    <w:p>
      <w:pPr>
        <w:spacing w:line="360" w:lineRule="auto"/>
        <w:rPr>
          <w:rFonts w:hAnsi="宋体" w:cs="Arial Unicode MS"/>
          <w:b/>
          <w:szCs w:val="21"/>
          <w:highlight w:val="none"/>
        </w:rPr>
      </w:pPr>
      <w:r>
        <w:rPr>
          <w:rFonts w:hAnsi="宋体" w:cs="Arial Unicode MS"/>
          <w:b/>
          <w:szCs w:val="21"/>
          <w:highlight w:val="none"/>
        </w:rPr>
        <w:t>第九条 双方代表登船</w:t>
      </w:r>
    </w:p>
    <w:p>
      <w:pPr>
        <w:spacing w:line="360" w:lineRule="auto"/>
        <w:ind w:firstLine="424" w:firstLineChars="202"/>
        <w:rPr>
          <w:rFonts w:hAnsi="宋体" w:cs="Arial Unicode MS"/>
          <w:b/>
          <w:szCs w:val="21"/>
          <w:highlight w:val="none"/>
        </w:rPr>
      </w:pPr>
      <w:r>
        <w:rPr>
          <w:rFonts w:hAnsi="宋体" w:cs="新宋体"/>
          <w:szCs w:val="21"/>
          <w:highlight w:val="none"/>
        </w:rPr>
        <w:t>为保证船舶的安全操作，甲乙双方在必要时应派代表登船检查</w:t>
      </w:r>
      <w:r>
        <w:rPr>
          <w:rFonts w:hint="eastAsia" w:hAnsi="宋体" w:cs="新宋体"/>
          <w:szCs w:val="21"/>
          <w:highlight w:val="none"/>
        </w:rPr>
        <w:t>乙方</w:t>
      </w:r>
      <w:r>
        <w:rPr>
          <w:rFonts w:hAnsi="宋体" w:cs="新宋体"/>
          <w:szCs w:val="21"/>
          <w:highlight w:val="none"/>
        </w:rPr>
        <w:t>船员的工作或处理有关事宜，由此发生的各种费用</w:t>
      </w:r>
      <w:r>
        <w:rPr>
          <w:rFonts w:hint="eastAsia" w:hAnsi="宋体" w:cs="新宋体"/>
          <w:szCs w:val="21"/>
          <w:highlight w:val="none"/>
        </w:rPr>
        <w:t>（</w:t>
      </w:r>
      <w:r>
        <w:rPr>
          <w:rFonts w:hAnsi="宋体" w:cs="新宋体"/>
          <w:szCs w:val="21"/>
          <w:highlight w:val="none"/>
        </w:rPr>
        <w:t>包括差旅费、在船伙食费等</w:t>
      </w:r>
      <w:r>
        <w:rPr>
          <w:rFonts w:hint="eastAsia" w:hAnsi="宋体" w:cs="新宋体"/>
          <w:szCs w:val="21"/>
          <w:highlight w:val="none"/>
        </w:rPr>
        <w:t>）</w:t>
      </w:r>
      <w:r>
        <w:rPr>
          <w:rFonts w:hAnsi="宋体" w:cs="新宋体"/>
          <w:szCs w:val="21"/>
          <w:highlight w:val="none"/>
        </w:rPr>
        <w:t>以及可能产生的各种风险责任由双方各自承担。</w:t>
      </w:r>
    </w:p>
    <w:p>
      <w:pPr>
        <w:spacing w:line="360" w:lineRule="auto"/>
        <w:rPr>
          <w:rFonts w:hAnsi="宋体" w:cs="Arial Unicode MS"/>
          <w:b/>
          <w:szCs w:val="21"/>
          <w:highlight w:val="none"/>
        </w:rPr>
      </w:pPr>
      <w:r>
        <w:rPr>
          <w:rFonts w:hAnsi="宋体" w:cs="Arial Unicode MS"/>
          <w:b/>
          <w:szCs w:val="21"/>
          <w:highlight w:val="none"/>
        </w:rPr>
        <w:t>第十条 报酬支付与费用承担</w:t>
      </w:r>
    </w:p>
    <w:p>
      <w:pPr>
        <w:spacing w:line="360" w:lineRule="auto"/>
        <w:ind w:firstLine="424" w:firstLineChars="202"/>
        <w:rPr>
          <w:rFonts w:hint="default" w:hAnsi="宋体" w:eastAsia="宋体" w:cs="新宋体"/>
          <w:szCs w:val="21"/>
          <w:highlight w:val="none"/>
          <w:lang w:val="en-US" w:eastAsia="zh-CN"/>
        </w:rPr>
      </w:pPr>
      <w:r>
        <w:rPr>
          <w:rFonts w:hint="eastAsia" w:hAnsi="宋体" w:cs="新宋体"/>
          <w:szCs w:val="21"/>
          <w:highlight w:val="none"/>
        </w:rPr>
        <w:t>1、乙方船员的报酬标准按照乙方投标标准执行，甲方有权</w:t>
      </w:r>
      <w:r>
        <w:rPr>
          <w:rFonts w:hint="eastAsia" w:hAnsi="宋体" w:cs="新宋体"/>
          <w:szCs w:val="21"/>
          <w:highlight w:val="none"/>
          <w:lang w:val="en-US" w:eastAsia="zh-CN"/>
        </w:rPr>
        <w:t>核查</w:t>
      </w:r>
      <w:r>
        <w:rPr>
          <w:rFonts w:hint="eastAsia" w:hAnsi="宋体" w:cs="新宋体"/>
          <w:szCs w:val="21"/>
          <w:highlight w:val="none"/>
        </w:rPr>
        <w:t>相关工资待遇发放、社会保险费和公积金（五险一金）代扣代缴及个税代扣代缴等情况。</w:t>
      </w:r>
    </w:p>
    <w:p>
      <w:pPr>
        <w:spacing w:line="360" w:lineRule="auto"/>
        <w:ind w:firstLine="424" w:firstLineChars="202"/>
        <w:rPr>
          <w:rFonts w:hAnsi="宋体" w:cs="新宋体"/>
          <w:szCs w:val="21"/>
          <w:highlight w:val="none"/>
        </w:rPr>
      </w:pPr>
      <w:r>
        <w:rPr>
          <w:rFonts w:hint="eastAsia" w:hAnsi="宋体" w:cs="新宋体"/>
          <w:szCs w:val="21"/>
          <w:highlight w:val="none"/>
        </w:rPr>
        <w:t>2、船员出海补助：甲乙双方同意，乙方船员出海时甲方可根据情况给予一定的补助，出海补助可由甲方直接支付给乙方船员。</w:t>
      </w:r>
    </w:p>
    <w:p>
      <w:pPr>
        <w:spacing w:line="360" w:lineRule="auto"/>
        <w:ind w:firstLine="424" w:firstLineChars="202"/>
        <w:rPr>
          <w:rFonts w:hAnsi="宋体" w:cs="新宋体"/>
          <w:szCs w:val="21"/>
          <w:highlight w:val="none"/>
        </w:rPr>
      </w:pPr>
      <w:r>
        <w:rPr>
          <w:rFonts w:hint="eastAsia" w:hAnsi="宋体" w:cs="新宋体"/>
          <w:szCs w:val="21"/>
          <w:highlight w:val="none"/>
        </w:rPr>
        <w:t>3、</w:t>
      </w:r>
      <w:r>
        <w:rPr>
          <w:rFonts w:hAnsi="宋体" w:cs="新宋体"/>
          <w:szCs w:val="21"/>
          <w:highlight w:val="none"/>
        </w:rPr>
        <w:t>甲方向乙方支付的费用包含船员成本费用和管理费用</w:t>
      </w:r>
      <w:r>
        <w:rPr>
          <w:rFonts w:hint="eastAsia" w:hAnsi="宋体" w:cs="新宋体"/>
          <w:szCs w:val="21"/>
          <w:highlight w:val="none"/>
        </w:rPr>
        <w:t>（</w:t>
      </w:r>
      <w:r>
        <w:rPr>
          <w:rFonts w:hAnsi="宋体" w:cs="新宋体"/>
          <w:szCs w:val="21"/>
          <w:highlight w:val="none"/>
        </w:rPr>
        <w:t>所有费用的</w:t>
      </w:r>
      <w:r>
        <w:rPr>
          <w:rFonts w:hint="eastAsia" w:hAnsi="宋体" w:cs="新宋体"/>
          <w:szCs w:val="21"/>
          <w:highlight w:val="none"/>
        </w:rPr>
        <w:t>价格</w:t>
      </w:r>
      <w:r>
        <w:rPr>
          <w:rFonts w:hAnsi="宋体" w:cs="新宋体"/>
          <w:szCs w:val="21"/>
          <w:highlight w:val="none"/>
        </w:rPr>
        <w:t>均为含税</w:t>
      </w:r>
      <w:r>
        <w:rPr>
          <w:rFonts w:hint="eastAsia" w:hAnsi="宋体" w:cs="新宋体"/>
          <w:szCs w:val="21"/>
          <w:highlight w:val="none"/>
        </w:rPr>
        <w:t>价格），</w:t>
      </w:r>
      <w:r>
        <w:rPr>
          <w:rFonts w:hAnsi="宋体" w:cs="新宋体"/>
          <w:szCs w:val="21"/>
          <w:highlight w:val="none"/>
        </w:rPr>
        <w:t>船员成本费用</w:t>
      </w:r>
      <w:r>
        <w:rPr>
          <w:rFonts w:hint="eastAsia" w:hAnsi="宋体" w:cs="新宋体"/>
          <w:szCs w:val="21"/>
          <w:highlight w:val="none"/>
        </w:rPr>
        <w:t>包括基本工资、岗位绩效、社会保险费和公积金（五险一金）单位缴纳部分。</w:t>
      </w:r>
      <w:r>
        <w:rPr>
          <w:rFonts w:hAnsi="宋体" w:cs="新宋体"/>
          <w:szCs w:val="21"/>
          <w:highlight w:val="none"/>
        </w:rPr>
        <w:t>管理费用包含</w:t>
      </w:r>
      <w:r>
        <w:rPr>
          <w:rFonts w:hint="eastAsia" w:hAnsi="宋体" w:cs="新宋体"/>
          <w:szCs w:val="21"/>
          <w:highlight w:val="none"/>
        </w:rPr>
        <w:t>乙方负责办理</w:t>
      </w:r>
      <w:r>
        <w:rPr>
          <w:rFonts w:hAnsi="宋体" w:cs="新宋体"/>
          <w:szCs w:val="21"/>
          <w:highlight w:val="none"/>
        </w:rPr>
        <w:t>用工手续办理、人员工资发放、劳保福利和社会劳动保险的代扣代缴、计划生育管理费、残疾人就业保障金、上下船路费、向采购人开具的发票税金等劳动用工管理及完成本项目所产生的全部费用、风险费用及企业利润等全部费用。</w:t>
      </w:r>
      <w:r>
        <w:rPr>
          <w:rFonts w:hint="eastAsia" w:hAnsi="宋体" w:cs="新宋体"/>
          <w:szCs w:val="21"/>
          <w:highlight w:val="none"/>
        </w:rPr>
        <w:t>乙方收取的管理费用（即乙方的服务报酬），按照实际发生船员成本费用总额的</w:t>
      </w:r>
      <w:r>
        <w:rPr>
          <w:rFonts w:hint="eastAsia" w:hAnsi="宋体" w:cs="新宋体"/>
          <w:szCs w:val="21"/>
          <w:highlight w:val="none"/>
          <w:u w:val="single"/>
        </w:rPr>
        <w:t xml:space="preserve">    </w:t>
      </w:r>
      <w:r>
        <w:rPr>
          <w:rFonts w:hint="eastAsia" w:hAnsi="宋体" w:cs="新宋体"/>
          <w:szCs w:val="21"/>
          <w:highlight w:val="none"/>
        </w:rPr>
        <w:t>%计算。</w:t>
      </w:r>
    </w:p>
    <w:p>
      <w:pPr>
        <w:spacing w:line="360" w:lineRule="auto"/>
        <w:ind w:firstLine="424" w:firstLineChars="202"/>
        <w:rPr>
          <w:rFonts w:hAnsi="宋体" w:cs="新宋体"/>
          <w:szCs w:val="21"/>
          <w:highlight w:val="none"/>
        </w:rPr>
      </w:pPr>
      <w:r>
        <w:rPr>
          <w:rFonts w:hint="eastAsia" w:hAnsi="宋体" w:cs="新宋体"/>
          <w:szCs w:val="21"/>
          <w:highlight w:val="none"/>
        </w:rPr>
        <w:t>4、结算票据：</w:t>
      </w:r>
    </w:p>
    <w:p>
      <w:pPr>
        <w:spacing w:line="360" w:lineRule="auto"/>
        <w:ind w:firstLine="424" w:firstLineChars="202"/>
        <w:rPr>
          <w:rFonts w:hAnsi="宋体" w:cs="新宋体"/>
          <w:szCs w:val="21"/>
          <w:highlight w:val="none"/>
        </w:rPr>
      </w:pPr>
      <w:r>
        <w:rPr>
          <w:rFonts w:hint="eastAsia" w:hAnsi="宋体" w:cs="新宋体"/>
          <w:szCs w:val="21"/>
          <w:highlight w:val="none"/>
        </w:rPr>
        <w:t>（1）乙方收取甲方的服务费用（含税费）应向甲方提供等额正式发票；</w:t>
      </w:r>
    </w:p>
    <w:p>
      <w:pPr>
        <w:spacing w:line="360" w:lineRule="auto"/>
        <w:ind w:firstLine="424" w:firstLineChars="202"/>
        <w:rPr>
          <w:rFonts w:hAnsi="宋体" w:cs="新宋体"/>
          <w:szCs w:val="21"/>
          <w:highlight w:val="none"/>
        </w:rPr>
      </w:pPr>
      <w:r>
        <w:rPr>
          <w:rFonts w:hint="eastAsia" w:hAnsi="宋体" w:cs="新宋体"/>
          <w:szCs w:val="21"/>
          <w:highlight w:val="none"/>
        </w:rPr>
        <w:t>（2）乙方发放的船员工资，应向甲方提供工资发放凭据；</w:t>
      </w:r>
    </w:p>
    <w:p>
      <w:pPr>
        <w:spacing w:line="360" w:lineRule="auto"/>
        <w:ind w:firstLine="424" w:firstLineChars="202"/>
        <w:rPr>
          <w:rFonts w:hint="eastAsia" w:hAnsi="宋体" w:cs="新宋体"/>
          <w:szCs w:val="21"/>
          <w:highlight w:val="none"/>
        </w:rPr>
      </w:pPr>
      <w:r>
        <w:rPr>
          <w:rFonts w:hint="eastAsia" w:hAnsi="宋体" w:cs="新宋体"/>
          <w:szCs w:val="21"/>
          <w:highlight w:val="none"/>
        </w:rPr>
        <w:t>（3）乙方代扣的船员社保费、公积金以及其他费用，应向甲方提供代扣代缴存的凭据。</w:t>
      </w:r>
    </w:p>
    <w:p>
      <w:pPr>
        <w:pStyle w:val="2"/>
        <w:ind w:firstLine="420" w:firstLineChars="200"/>
        <w:rPr>
          <w:highlight w:val="none"/>
        </w:rPr>
      </w:pPr>
      <w:r>
        <w:rPr>
          <w:rFonts w:hint="eastAsia" w:hAnsi="宋体" w:cs="新宋体"/>
          <w:szCs w:val="21"/>
          <w:highlight w:val="none"/>
        </w:rPr>
        <w:t>5、支付方式</w:t>
      </w:r>
    </w:p>
    <w:p>
      <w:pPr>
        <w:spacing w:line="360" w:lineRule="auto"/>
        <w:ind w:firstLine="424" w:firstLineChars="202"/>
        <w:rPr>
          <w:highlight w:val="none"/>
        </w:rPr>
      </w:pPr>
      <w:r>
        <w:rPr>
          <w:rFonts w:hint="eastAsia" w:hAnsi="宋体" w:cs="新宋体"/>
          <w:szCs w:val="21"/>
          <w:highlight w:val="none"/>
          <w:lang w:val="en-US" w:eastAsia="zh-CN"/>
        </w:rPr>
        <w:t>乙方根据甲方确认的考核方案每月5日前完成上月船员考核（包括船舶实际配员和船员考勤），每月10日前根据考核结果和合同要求编制上月《船员工资费用明细表》，并提交采购人审核，审核</w:t>
      </w:r>
      <w:r>
        <w:rPr>
          <w:rFonts w:hint="eastAsia" w:hAnsi="宋体" w:cs="新宋体"/>
          <w:szCs w:val="21"/>
          <w:highlight w:val="none"/>
        </w:rPr>
        <w:t>无异议后，乙方按明细表在3个</w:t>
      </w:r>
      <w:r>
        <w:rPr>
          <w:rFonts w:hint="eastAsia" w:hAnsi="宋体" w:cs="新宋体"/>
          <w:szCs w:val="21"/>
          <w:highlight w:val="none"/>
          <w:lang w:eastAsia="zh-CN"/>
        </w:rPr>
        <w:t>工作</w:t>
      </w:r>
      <w:r>
        <w:rPr>
          <w:rFonts w:hint="eastAsia" w:hAnsi="宋体" w:cs="新宋体"/>
          <w:szCs w:val="21"/>
          <w:highlight w:val="none"/>
        </w:rPr>
        <w:t>日内发放</w:t>
      </w:r>
      <w:r>
        <w:rPr>
          <w:rFonts w:hint="eastAsia" w:hAnsi="宋体" w:cs="新宋体"/>
          <w:szCs w:val="21"/>
          <w:highlight w:val="none"/>
          <w:lang w:val="en-US" w:eastAsia="zh-CN"/>
        </w:rPr>
        <w:t>上月</w:t>
      </w:r>
      <w:r>
        <w:rPr>
          <w:rFonts w:hint="eastAsia" w:hAnsi="宋体" w:cs="新宋体"/>
          <w:szCs w:val="21"/>
          <w:highlight w:val="none"/>
        </w:rPr>
        <w:t xml:space="preserve">船员工资。工资发放后乙方按本合同 </w:t>
      </w:r>
      <w:r>
        <w:rPr>
          <w:rFonts w:hint="eastAsia" w:hAnsi="宋体" w:cs="新宋体"/>
          <w:b/>
          <w:szCs w:val="21"/>
          <w:highlight w:val="none"/>
          <w:u w:val="single"/>
        </w:rPr>
        <w:t>第十条第4款、结算票据</w:t>
      </w:r>
      <w:r>
        <w:rPr>
          <w:rFonts w:hint="eastAsia" w:hAnsi="宋体" w:cs="新宋体"/>
          <w:b/>
          <w:szCs w:val="21"/>
          <w:highlight w:val="none"/>
        </w:rPr>
        <w:t xml:space="preserve"> </w:t>
      </w:r>
      <w:r>
        <w:rPr>
          <w:rFonts w:hint="eastAsia" w:hAnsi="宋体" w:cs="新宋体"/>
          <w:szCs w:val="21"/>
          <w:highlight w:val="none"/>
        </w:rPr>
        <w:t>将工资发放凭据、发票等结算票据提供甲方。甲方于收到结算票据后5个工作日内将费用汇入乙方指定账号。（上述时间节点如遇节假日则相应顺延）</w:t>
      </w:r>
    </w:p>
    <w:p>
      <w:pPr>
        <w:spacing w:line="360" w:lineRule="auto"/>
        <w:ind w:firstLine="424" w:firstLineChars="202"/>
        <w:rPr>
          <w:rFonts w:hAnsi="宋体" w:cs="新宋体"/>
          <w:szCs w:val="21"/>
          <w:highlight w:val="none"/>
        </w:rPr>
      </w:pPr>
      <w:r>
        <w:rPr>
          <w:rFonts w:hint="eastAsia" w:hAnsi="宋体" w:cs="新宋体"/>
          <w:szCs w:val="21"/>
          <w:highlight w:val="none"/>
        </w:rPr>
        <w:t xml:space="preserve">船员工资费用明细表应包括以下项目： </w:t>
      </w:r>
    </w:p>
    <w:p>
      <w:pPr>
        <w:spacing w:line="360" w:lineRule="auto"/>
        <w:ind w:firstLine="424" w:firstLineChars="202"/>
        <w:rPr>
          <w:rFonts w:hAnsi="宋体" w:cs="新宋体"/>
          <w:szCs w:val="21"/>
          <w:highlight w:val="none"/>
        </w:rPr>
      </w:pPr>
      <w:r>
        <w:rPr>
          <w:rFonts w:hint="eastAsia" w:hAnsi="宋体" w:cs="新宋体"/>
          <w:szCs w:val="21"/>
          <w:highlight w:val="none"/>
        </w:rPr>
        <w:t xml:space="preserve">（1）船员基本工资； </w:t>
      </w:r>
    </w:p>
    <w:p>
      <w:pPr>
        <w:spacing w:line="360" w:lineRule="auto"/>
        <w:ind w:firstLine="424" w:firstLineChars="202"/>
        <w:rPr>
          <w:rFonts w:hAnsi="宋体" w:cs="新宋体"/>
          <w:szCs w:val="21"/>
          <w:highlight w:val="none"/>
        </w:rPr>
      </w:pPr>
      <w:r>
        <w:rPr>
          <w:rFonts w:hint="eastAsia" w:hAnsi="宋体" w:cs="新宋体"/>
          <w:szCs w:val="21"/>
          <w:highlight w:val="none"/>
        </w:rPr>
        <w:t xml:space="preserve">（2）船员岗位绩效工资；  </w:t>
      </w:r>
    </w:p>
    <w:p>
      <w:pPr>
        <w:spacing w:line="360" w:lineRule="auto"/>
        <w:ind w:firstLine="424" w:firstLineChars="202"/>
        <w:rPr>
          <w:rFonts w:hAnsi="宋体" w:cs="新宋体"/>
          <w:szCs w:val="21"/>
          <w:highlight w:val="none"/>
        </w:rPr>
      </w:pPr>
      <w:r>
        <w:rPr>
          <w:rFonts w:hint="eastAsia" w:hAnsi="宋体" w:cs="新宋体"/>
          <w:szCs w:val="21"/>
          <w:highlight w:val="none"/>
        </w:rPr>
        <w:t xml:space="preserve">（3）社会保险费； </w:t>
      </w:r>
    </w:p>
    <w:p>
      <w:pPr>
        <w:spacing w:line="360" w:lineRule="auto"/>
        <w:ind w:firstLine="424" w:firstLineChars="202"/>
        <w:rPr>
          <w:rFonts w:hAnsi="宋体" w:cs="新宋体"/>
          <w:szCs w:val="21"/>
          <w:highlight w:val="none"/>
        </w:rPr>
      </w:pPr>
      <w:r>
        <w:rPr>
          <w:rFonts w:hint="eastAsia" w:hAnsi="宋体" w:cs="新宋体"/>
          <w:szCs w:val="21"/>
          <w:highlight w:val="none"/>
        </w:rPr>
        <w:t xml:space="preserve">（4）商业保险费； </w:t>
      </w:r>
    </w:p>
    <w:p>
      <w:pPr>
        <w:spacing w:line="360" w:lineRule="auto"/>
        <w:ind w:firstLine="424" w:firstLineChars="202"/>
        <w:rPr>
          <w:rFonts w:hAnsi="宋体" w:cs="新宋体"/>
          <w:szCs w:val="21"/>
          <w:highlight w:val="none"/>
        </w:rPr>
      </w:pPr>
      <w:r>
        <w:rPr>
          <w:rFonts w:hint="eastAsia" w:hAnsi="宋体" w:cs="新宋体"/>
          <w:szCs w:val="21"/>
          <w:highlight w:val="none"/>
        </w:rPr>
        <w:t xml:space="preserve">（5）船员管理费。 </w:t>
      </w:r>
    </w:p>
    <w:p>
      <w:pPr>
        <w:spacing w:line="360" w:lineRule="auto"/>
        <w:ind w:firstLine="424" w:firstLineChars="202"/>
        <w:rPr>
          <w:rFonts w:hAnsi="宋体" w:cs="新宋体"/>
          <w:szCs w:val="21"/>
          <w:highlight w:val="none"/>
        </w:rPr>
      </w:pPr>
      <w:r>
        <w:rPr>
          <w:rFonts w:hint="eastAsia" w:hAnsi="宋体" w:cs="新宋体"/>
          <w:szCs w:val="21"/>
          <w:highlight w:val="none"/>
        </w:rPr>
        <w:t>因甲方使用的是财政资金，前款规定的甲方付款时间为甲方向政府财政支付部门提出办理财政支付申请手续的时间（不含政府财政支付部门审核拨付的时间）。</w:t>
      </w:r>
    </w:p>
    <w:p>
      <w:pPr>
        <w:spacing w:line="360" w:lineRule="auto"/>
        <w:ind w:firstLine="424" w:firstLineChars="202"/>
        <w:rPr>
          <w:rFonts w:hint="default" w:eastAsia="宋体"/>
          <w:highlight w:val="none"/>
          <w:lang w:val="en-US" w:eastAsia="zh-CN"/>
        </w:rPr>
      </w:pPr>
      <w:r>
        <w:rPr>
          <w:rFonts w:hint="eastAsia" w:hAnsi="宋体" w:cs="新宋体"/>
          <w:szCs w:val="21"/>
          <w:highlight w:val="none"/>
        </w:rPr>
        <w:t>乙方</w:t>
      </w:r>
      <w:r>
        <w:rPr>
          <w:rFonts w:hint="eastAsia" w:hAnsi="宋体" w:cs="新宋体"/>
          <w:szCs w:val="21"/>
          <w:highlight w:val="none"/>
          <w:lang w:val="en-US" w:eastAsia="zh-CN"/>
        </w:rPr>
        <w:t>应当按合同约定及时发放</w:t>
      </w:r>
      <w:r>
        <w:rPr>
          <w:rFonts w:hint="eastAsia" w:hAnsi="宋体" w:cs="新宋体"/>
          <w:szCs w:val="21"/>
          <w:highlight w:val="none"/>
        </w:rPr>
        <w:t>船员工资。如因财政拨款等客观因素造成甲方延期结算费用的，乙方承诺保证船员工资正常发放，以保障甲方船舶正常运转和甲方工作的正常开展。</w:t>
      </w:r>
    </w:p>
    <w:p>
      <w:pPr>
        <w:spacing w:line="360" w:lineRule="auto"/>
        <w:ind w:firstLine="426" w:firstLineChars="202"/>
        <w:rPr>
          <w:rFonts w:hint="eastAsia" w:hAnsi="宋体"/>
          <w:b/>
          <w:bCs/>
          <w:szCs w:val="21"/>
          <w:highlight w:val="none"/>
        </w:rPr>
      </w:pPr>
      <w:r>
        <w:rPr>
          <w:rFonts w:hint="eastAsia" w:hAnsi="宋体"/>
          <w:b/>
          <w:bCs/>
          <w:szCs w:val="21"/>
          <w:highlight w:val="none"/>
        </w:rPr>
        <w:t>注：乙方明确同意，合同服务期内，甲方实际需求量未达到招标需求量的，按照甲方实际需求量执行；乙方应收取的管理费用，按第十条第</w:t>
      </w:r>
      <w:r>
        <w:rPr>
          <w:rFonts w:hAnsi="宋体"/>
          <w:b/>
          <w:bCs/>
          <w:szCs w:val="21"/>
          <w:highlight w:val="none"/>
        </w:rPr>
        <w:t>3</w:t>
      </w:r>
      <w:r>
        <w:rPr>
          <w:rFonts w:hint="eastAsia" w:hAnsi="宋体"/>
          <w:b/>
          <w:bCs/>
          <w:szCs w:val="21"/>
          <w:highlight w:val="none"/>
        </w:rPr>
        <w:t>款的约定的实际发生船员成本费用总额的</w:t>
      </w:r>
      <w:r>
        <w:rPr>
          <w:rFonts w:hint="eastAsia" w:hAnsi="宋体"/>
          <w:b/>
          <w:bCs/>
          <w:szCs w:val="21"/>
          <w:highlight w:val="none"/>
          <w:u w:val="single"/>
        </w:rPr>
        <w:t xml:space="preserve">    </w:t>
      </w:r>
      <w:r>
        <w:rPr>
          <w:rFonts w:hAnsi="宋体"/>
          <w:b/>
          <w:bCs/>
          <w:szCs w:val="21"/>
          <w:highlight w:val="none"/>
        </w:rPr>
        <w:t>%</w:t>
      </w:r>
      <w:r>
        <w:rPr>
          <w:rFonts w:hint="eastAsia" w:hAnsi="宋体"/>
          <w:b/>
          <w:bCs/>
          <w:szCs w:val="21"/>
          <w:highlight w:val="none"/>
        </w:rPr>
        <w:t>进行结算。实际支出的船员成本和相应管理费据实结算。</w:t>
      </w:r>
    </w:p>
    <w:p>
      <w:pPr>
        <w:tabs>
          <w:tab w:val="left" w:pos="709"/>
        </w:tabs>
        <w:spacing w:beforeLines="50" w:afterLines="50" w:line="360" w:lineRule="auto"/>
        <w:outlineLvl w:val="2"/>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第十一条</w:t>
      </w: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b/>
          <w:bCs/>
          <w:sz w:val="21"/>
          <w:szCs w:val="21"/>
          <w:highlight w:val="none"/>
          <w:lang w:val="en-US" w:eastAsia="zh-CN"/>
        </w:rPr>
        <w:t>船员服务</w:t>
      </w:r>
      <w:r>
        <w:rPr>
          <w:rFonts w:hint="eastAsia" w:asciiTheme="minorEastAsia" w:hAnsiTheme="minorEastAsia" w:eastAsiaTheme="minorEastAsia" w:cstheme="minorEastAsia"/>
          <w:b/>
          <w:bCs/>
          <w:sz w:val="21"/>
          <w:szCs w:val="21"/>
          <w:highlight w:val="none"/>
        </w:rPr>
        <w:t>考核及处理</w:t>
      </w:r>
    </w:p>
    <w:p>
      <w:pPr>
        <w:pStyle w:val="2"/>
        <w:spacing w:line="360" w:lineRule="auto"/>
        <w:ind w:firstLine="420" w:firstLineChars="200"/>
        <w:outlineLvl w:val="3"/>
        <w:rPr>
          <w:rFonts w:hint="eastAsia" w:ascii="宋体" w:hAnsi="宋体" w:eastAsia="宋体" w:cs="新宋体"/>
          <w:b w:val="0"/>
          <w:sz w:val="21"/>
          <w:szCs w:val="21"/>
          <w:highlight w:val="none"/>
        </w:rPr>
      </w:pPr>
      <w:r>
        <w:rPr>
          <w:rFonts w:hint="eastAsia" w:ascii="宋体" w:hAnsi="宋体" w:eastAsia="宋体" w:cs="新宋体"/>
          <w:b w:val="0"/>
          <w:sz w:val="21"/>
          <w:szCs w:val="21"/>
          <w:highlight w:val="none"/>
          <w:lang w:eastAsia="zh-CN"/>
        </w:rPr>
        <w:t>1、</w:t>
      </w:r>
      <w:r>
        <w:rPr>
          <w:rFonts w:hint="eastAsia" w:ascii="宋体" w:hAnsi="宋体" w:eastAsia="宋体" w:cs="新宋体"/>
          <w:b w:val="0"/>
          <w:sz w:val="21"/>
          <w:szCs w:val="21"/>
          <w:highlight w:val="none"/>
        </w:rPr>
        <w:t>考核办法</w:t>
      </w:r>
    </w:p>
    <w:p>
      <w:pPr>
        <w:pStyle w:val="2"/>
        <w:spacing w:beforeLines="50" w:line="360" w:lineRule="auto"/>
        <w:ind w:left="102" w:firstLine="420" w:firstLineChars="200"/>
        <w:rPr>
          <w:rFonts w:hint="eastAsia" w:ascii="宋体" w:hAnsi="宋体" w:eastAsia="宋体" w:cs="新宋体"/>
          <w:sz w:val="21"/>
          <w:szCs w:val="21"/>
          <w:highlight w:val="none"/>
        </w:rPr>
      </w:pPr>
      <w:r>
        <w:rPr>
          <w:rFonts w:hint="eastAsia" w:ascii="宋体" w:hAnsi="宋体" w:eastAsia="宋体" w:cs="新宋体"/>
          <w:sz w:val="21"/>
          <w:szCs w:val="21"/>
          <w:highlight w:val="none"/>
          <w:lang w:eastAsia="zh-CN"/>
        </w:rPr>
        <w:t>甲方</w:t>
      </w:r>
      <w:r>
        <w:rPr>
          <w:rFonts w:hint="eastAsia" w:ascii="宋体" w:hAnsi="宋体" w:eastAsia="宋体" w:cs="新宋体"/>
          <w:sz w:val="21"/>
          <w:szCs w:val="21"/>
          <w:highlight w:val="none"/>
        </w:rPr>
        <w:t>每月对</w:t>
      </w:r>
      <w:r>
        <w:rPr>
          <w:rFonts w:hint="eastAsia" w:ascii="宋体" w:hAnsi="宋体" w:eastAsia="宋体" w:cs="新宋体"/>
          <w:sz w:val="21"/>
          <w:szCs w:val="21"/>
          <w:highlight w:val="none"/>
          <w:lang w:val="en-US" w:eastAsia="zh-CN"/>
        </w:rPr>
        <w:t>乙方的</w:t>
      </w:r>
      <w:r>
        <w:rPr>
          <w:rFonts w:hint="eastAsia" w:ascii="宋体" w:hAnsi="宋体" w:eastAsia="宋体" w:cs="新宋体"/>
          <w:sz w:val="21"/>
          <w:szCs w:val="21"/>
          <w:highlight w:val="none"/>
        </w:rPr>
        <w:t>船员服务进行考核，考核实行扣分制，即基础分100分，在此基础上出现各种违规行为（详见考核标准）扣减一定分值，每月得分将作为履约合同的重要依据。</w:t>
      </w:r>
    </w:p>
    <w:p>
      <w:pPr>
        <w:pStyle w:val="2"/>
        <w:widowControl/>
        <w:spacing w:line="360" w:lineRule="auto"/>
        <w:ind w:firstLine="420"/>
        <w:jc w:val="both"/>
        <w:rPr>
          <w:rFonts w:hint="eastAsia" w:hAnsi="宋体" w:cs="新宋体"/>
          <w:b w:val="0"/>
          <w:sz w:val="21"/>
          <w:szCs w:val="21"/>
          <w:highlight w:val="none"/>
        </w:rPr>
      </w:pPr>
      <w:r>
        <w:rPr>
          <w:rFonts w:hint="eastAsia" w:ascii="宋体" w:hAnsi="宋体" w:eastAsia="宋体" w:cs="新宋体"/>
          <w:b w:val="0"/>
          <w:sz w:val="21"/>
          <w:szCs w:val="21"/>
          <w:highlight w:val="none"/>
          <w:lang w:eastAsia="zh-CN"/>
        </w:rPr>
        <w:t>2、</w:t>
      </w:r>
      <w:r>
        <w:rPr>
          <w:rFonts w:hint="eastAsia" w:ascii="宋体" w:hAnsi="宋体" w:eastAsia="宋体" w:cs="新宋体"/>
          <w:b w:val="0"/>
          <w:sz w:val="21"/>
          <w:szCs w:val="21"/>
          <w:highlight w:val="none"/>
        </w:rPr>
        <w:t>考核标准</w:t>
      </w:r>
      <w:r>
        <w:rPr>
          <w:rFonts w:hint="eastAsia" w:hAnsi="宋体" w:cs="新宋体"/>
          <w:b w:val="0"/>
          <w:sz w:val="21"/>
          <w:szCs w:val="21"/>
          <w:highlight w:val="none"/>
        </w:rPr>
        <w:br w:type="page"/>
      </w:r>
    </w:p>
    <w:p>
      <w:pPr>
        <w:widowControl/>
        <w:rPr>
          <w:rFonts w:hAnsi="宋体"/>
          <w:b/>
          <w:highlight w:val="none"/>
        </w:rPr>
      </w:pPr>
    </w:p>
    <w:tbl>
      <w:tblPr>
        <w:tblStyle w:val="49"/>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6543"/>
        <w:gridCol w:w="752"/>
        <w:gridCol w:w="754"/>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40" w:type="dxa"/>
            <w:gridSpan w:val="5"/>
            <w:tcBorders>
              <w:top w:val="nil"/>
              <w:left w:val="nil"/>
              <w:bottom w:val="single" w:color="auto" w:sz="4" w:space="0"/>
              <w:right w:val="nil"/>
            </w:tcBorders>
            <w:vAlign w:val="center"/>
          </w:tcPr>
          <w:p>
            <w:pPr>
              <w:widowControl/>
              <w:spacing w:after="0" w:line="240" w:lineRule="auto"/>
              <w:jc w:val="center"/>
              <w:rPr>
                <w:rFonts w:ascii="仿宋" w:hAnsi="仿宋" w:eastAsia="仿宋" w:cs="仿宋"/>
                <w:sz w:val="24"/>
                <w:highlight w:val="none"/>
                <w:u w:val="single"/>
              </w:rPr>
            </w:pPr>
            <w:r>
              <w:rPr>
                <w:rFonts w:hint="eastAsia" w:hAnsi="宋体"/>
                <w:b/>
                <w:sz w:val="28"/>
                <w:highlight w:val="none"/>
              </w:rPr>
              <w:t>船员服务考核标准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40" w:type="dxa"/>
            <w:gridSpan w:val="5"/>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9740" w:type="dxa"/>
            <w:gridSpan w:val="5"/>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总分：100分（月度评分100分为满分，月度评分低于80分为不合格, 80分以下每少1分将扣除当月管理费用的0.5％，低于60分超过3次，视为中标人</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乙方</w:t>
            </w:r>
            <w:r>
              <w:rPr>
                <w:rFonts w:hint="eastAsia" w:ascii="仿宋" w:hAnsi="仿宋" w:eastAsia="仿宋" w:cs="仿宋"/>
                <w:sz w:val="24"/>
                <w:highlight w:val="none"/>
                <w:lang w:eastAsia="zh-CN"/>
              </w:rPr>
              <w:t>）</w:t>
            </w:r>
            <w:r>
              <w:rPr>
                <w:rFonts w:hint="eastAsia" w:ascii="仿宋" w:hAnsi="仿宋" w:eastAsia="仿宋" w:cs="仿宋"/>
                <w:sz w:val="24"/>
                <w:highlight w:val="none"/>
              </w:rPr>
              <w:t>违约，采购人</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甲方</w:t>
            </w:r>
            <w:r>
              <w:rPr>
                <w:rFonts w:hint="eastAsia" w:ascii="仿宋" w:hAnsi="仿宋" w:eastAsia="仿宋" w:cs="仿宋"/>
                <w:sz w:val="24"/>
                <w:highlight w:val="none"/>
                <w:lang w:eastAsia="zh-CN"/>
              </w:rPr>
              <w:t>）</w:t>
            </w:r>
            <w:r>
              <w:rPr>
                <w:rFonts w:hint="eastAsia" w:ascii="仿宋" w:hAnsi="仿宋" w:eastAsia="仿宋" w:cs="仿宋"/>
                <w:sz w:val="24"/>
                <w:highlight w:val="none"/>
              </w:rPr>
              <w:t>有权解除合同并将相关情况上报同级政府采购监督管理部门和有关部门。）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序号</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考核内容</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扣分</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考核</w:t>
            </w:r>
          </w:p>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日期</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一</w:t>
            </w:r>
          </w:p>
        </w:tc>
        <w:tc>
          <w:tcPr>
            <w:tcW w:w="9097" w:type="dxa"/>
            <w:gridSpan w:val="4"/>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b/>
                <w:sz w:val="24"/>
                <w:highlight w:val="none"/>
              </w:rPr>
            </w:pPr>
            <w:r>
              <w:rPr>
                <w:rFonts w:hint="eastAsia" w:ascii="仿宋" w:hAnsi="仿宋" w:eastAsia="仿宋" w:cs="仿宋"/>
                <w:b/>
                <w:sz w:val="24"/>
                <w:highlight w:val="none"/>
              </w:rPr>
              <w:t>各个岗位派遣人员落实情况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101</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left"/>
              <w:rPr>
                <w:rFonts w:ascii="仿宋" w:hAnsi="仿宋" w:eastAsia="仿宋" w:cs="仿宋"/>
                <w:sz w:val="24"/>
                <w:highlight w:val="none"/>
              </w:rPr>
            </w:pPr>
            <w:r>
              <w:rPr>
                <w:rFonts w:hint="eastAsia" w:ascii="仿宋" w:hAnsi="仿宋" w:eastAsia="仿宋" w:cs="仿宋"/>
                <w:sz w:val="24"/>
                <w:highlight w:val="none"/>
              </w:rPr>
              <w:t>未按要求派遣足够人员到岗、或派遣人员缺勤、或在</w:t>
            </w:r>
            <w:r>
              <w:rPr>
                <w:rFonts w:hint="eastAsia" w:ascii="仿宋" w:hAnsi="仿宋" w:eastAsia="仿宋" w:cs="仿宋"/>
                <w:sz w:val="24"/>
                <w:highlight w:val="none"/>
                <w:lang w:val="en-US" w:eastAsia="zh-CN"/>
              </w:rPr>
              <w:t>发生</w:t>
            </w:r>
            <w:r>
              <w:rPr>
                <w:rFonts w:hint="eastAsia" w:ascii="仿宋" w:hAnsi="仿宋" w:eastAsia="仿宋" w:cs="仿宋"/>
                <w:sz w:val="24"/>
                <w:highlight w:val="none"/>
              </w:rPr>
              <w:t>被派遣人员被退回或离职的情况下未按要求及时补充适格人员，每缺1人次/天扣5分（如缺每1人达到1天扣5分）</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二</w:t>
            </w:r>
          </w:p>
        </w:tc>
        <w:tc>
          <w:tcPr>
            <w:tcW w:w="9097" w:type="dxa"/>
            <w:gridSpan w:val="4"/>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b/>
                <w:sz w:val="24"/>
                <w:highlight w:val="none"/>
              </w:rPr>
            </w:pPr>
            <w:r>
              <w:rPr>
                <w:rFonts w:hint="eastAsia" w:ascii="仿宋" w:hAnsi="仿宋" w:eastAsia="仿宋" w:cs="仿宋"/>
                <w:b/>
                <w:sz w:val="24"/>
                <w:highlight w:val="none"/>
              </w:rPr>
              <w:t>派遣工作人员工作态度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201</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left"/>
              <w:rPr>
                <w:rFonts w:ascii="仿宋" w:hAnsi="仿宋" w:eastAsia="仿宋" w:cs="仿宋"/>
                <w:sz w:val="24"/>
                <w:highlight w:val="none"/>
              </w:rPr>
            </w:pPr>
            <w:r>
              <w:rPr>
                <w:rFonts w:hint="eastAsia" w:ascii="仿宋" w:hAnsi="仿宋" w:eastAsia="仿宋" w:cs="仿宋"/>
                <w:sz w:val="24"/>
                <w:highlight w:val="none"/>
              </w:rPr>
              <w:t>用人部门投诉被派遣工作人员不听劝导，工作态度差，经查核实的（每人次扣1分）</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三</w:t>
            </w:r>
          </w:p>
        </w:tc>
        <w:tc>
          <w:tcPr>
            <w:tcW w:w="9097" w:type="dxa"/>
            <w:gridSpan w:val="4"/>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b/>
                <w:sz w:val="24"/>
                <w:highlight w:val="none"/>
              </w:rPr>
            </w:pPr>
            <w:r>
              <w:rPr>
                <w:rFonts w:hint="eastAsia" w:ascii="仿宋" w:hAnsi="仿宋" w:eastAsia="仿宋" w:cs="仿宋"/>
                <w:b/>
                <w:sz w:val="24"/>
                <w:highlight w:val="none"/>
              </w:rPr>
              <w:t>业务水平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301</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left"/>
              <w:rPr>
                <w:rFonts w:ascii="仿宋" w:hAnsi="仿宋" w:eastAsia="仿宋" w:cs="仿宋"/>
                <w:sz w:val="24"/>
                <w:highlight w:val="none"/>
              </w:rPr>
            </w:pPr>
            <w:r>
              <w:rPr>
                <w:rFonts w:hint="eastAsia" w:ascii="仿宋" w:hAnsi="仿宋" w:eastAsia="仿宋" w:cs="仿宋"/>
                <w:sz w:val="24"/>
                <w:highlight w:val="none"/>
              </w:rPr>
              <w:t>乙方所派的船员工作失误的原因严重影响船舶安全或造成事故等，并经查实的（小事故每次扣30分，一般事故每次扣50分，大事故及以上等级事故的每次扣100分）</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302</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left"/>
              <w:rPr>
                <w:rFonts w:ascii="仿宋" w:hAnsi="仿宋" w:eastAsia="仿宋" w:cs="仿宋"/>
                <w:sz w:val="24"/>
                <w:highlight w:val="none"/>
              </w:rPr>
            </w:pPr>
            <w:r>
              <w:rPr>
                <w:rFonts w:hint="eastAsia" w:ascii="仿宋" w:hAnsi="仿宋" w:eastAsia="仿宋" w:cs="仿宋"/>
                <w:sz w:val="24"/>
                <w:highlight w:val="none"/>
              </w:rPr>
              <w:t>乙方承诺各类响应时间未及时响应（本表序号101外的事项）（每超时1天扣5分）</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303</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left"/>
              <w:rPr>
                <w:rFonts w:ascii="仿宋" w:hAnsi="仿宋" w:eastAsia="仿宋" w:cs="仿宋"/>
                <w:sz w:val="24"/>
                <w:highlight w:val="none"/>
              </w:rPr>
            </w:pPr>
            <w:r>
              <w:rPr>
                <w:rFonts w:hint="eastAsia" w:ascii="仿宋" w:hAnsi="仿宋" w:eastAsia="仿宋" w:cs="仿宋"/>
                <w:sz w:val="24"/>
                <w:highlight w:val="none"/>
              </w:rPr>
              <w:t>乙方对其所派的船员考核不到位，未按双方确认的考核标准实际准确考核，存在包庇人员、隐瞒问题的（每人次扣5分）</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四</w:t>
            </w:r>
          </w:p>
        </w:tc>
        <w:tc>
          <w:tcPr>
            <w:tcW w:w="9097" w:type="dxa"/>
            <w:gridSpan w:val="4"/>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b/>
                <w:sz w:val="24"/>
                <w:highlight w:val="none"/>
              </w:rPr>
            </w:pPr>
            <w:r>
              <w:rPr>
                <w:rFonts w:hint="eastAsia" w:ascii="仿宋" w:hAnsi="仿宋" w:eastAsia="仿宋" w:cs="仿宋"/>
                <w:b/>
                <w:sz w:val="24"/>
                <w:highlight w:val="none"/>
              </w:rPr>
              <w:t>派遣人员的工作质量和效率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401</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left"/>
              <w:rPr>
                <w:rFonts w:ascii="仿宋" w:hAnsi="仿宋" w:eastAsia="仿宋" w:cs="仿宋"/>
                <w:sz w:val="24"/>
                <w:highlight w:val="none"/>
              </w:rPr>
            </w:pPr>
            <w:r>
              <w:rPr>
                <w:rFonts w:hint="eastAsia" w:ascii="仿宋" w:hAnsi="仿宋" w:eastAsia="仿宋" w:cs="仿宋"/>
                <w:sz w:val="24"/>
                <w:highlight w:val="none"/>
              </w:rPr>
              <w:t>用人部门有投诉被派遣人员工作质量有所下降，欠缺工作积极性的（每人次扣2分）</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五</w:t>
            </w:r>
          </w:p>
        </w:tc>
        <w:tc>
          <w:tcPr>
            <w:tcW w:w="9097" w:type="dxa"/>
            <w:gridSpan w:val="4"/>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b/>
                <w:sz w:val="24"/>
                <w:highlight w:val="none"/>
              </w:rPr>
            </w:pPr>
            <w:r>
              <w:rPr>
                <w:rFonts w:hint="eastAsia" w:ascii="仿宋" w:hAnsi="仿宋" w:eastAsia="仿宋" w:cs="仿宋"/>
                <w:b/>
                <w:sz w:val="24"/>
                <w:highlight w:val="none"/>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501</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left"/>
              <w:rPr>
                <w:rFonts w:ascii="仿宋" w:hAnsi="仿宋" w:eastAsia="仿宋" w:cs="仿宋"/>
                <w:sz w:val="24"/>
                <w:highlight w:val="none"/>
              </w:rPr>
            </w:pPr>
            <w:r>
              <w:rPr>
                <w:rFonts w:hint="eastAsia" w:ascii="仿宋" w:hAnsi="仿宋" w:eastAsia="仿宋" w:cs="仿宋"/>
                <w:sz w:val="24"/>
                <w:highlight w:val="none"/>
              </w:rPr>
              <w:t>被派遣工作人员违反用人单位的规章制度的（每人次扣5分）</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b/>
                <w:sz w:val="24"/>
                <w:highlight w:val="none"/>
              </w:rPr>
            </w:pPr>
            <w:r>
              <w:rPr>
                <w:rFonts w:hint="eastAsia" w:ascii="仿宋" w:hAnsi="仿宋" w:eastAsia="仿宋" w:cs="仿宋"/>
                <w:b/>
                <w:sz w:val="24"/>
                <w:highlight w:val="none"/>
              </w:rPr>
              <w:t>　</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六</w:t>
            </w:r>
          </w:p>
        </w:tc>
        <w:tc>
          <w:tcPr>
            <w:tcW w:w="9097" w:type="dxa"/>
            <w:gridSpan w:val="4"/>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b/>
                <w:sz w:val="24"/>
                <w:highlight w:val="none"/>
              </w:rPr>
            </w:pPr>
            <w:r>
              <w:rPr>
                <w:rFonts w:hint="eastAsia" w:ascii="仿宋" w:hAnsi="仿宋" w:eastAsia="仿宋" w:cs="仿宋"/>
                <w:b/>
                <w:sz w:val="24"/>
                <w:highlight w:val="none"/>
              </w:rPr>
              <w:t>兼职影响工作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601</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left"/>
              <w:rPr>
                <w:rFonts w:ascii="仿宋" w:hAnsi="仿宋" w:eastAsia="仿宋" w:cs="仿宋"/>
                <w:sz w:val="24"/>
                <w:highlight w:val="none"/>
              </w:rPr>
            </w:pPr>
            <w:r>
              <w:rPr>
                <w:rFonts w:hint="eastAsia" w:ascii="仿宋" w:hAnsi="仿宋" w:eastAsia="仿宋" w:cs="仿宋"/>
                <w:sz w:val="24"/>
                <w:highlight w:val="none"/>
              </w:rPr>
              <w:t>被派遣人员在外兼职，对完成船舶的工作任务造成严重影响，拒不改正的（每人次扣10分）</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七</w:t>
            </w:r>
          </w:p>
        </w:tc>
        <w:tc>
          <w:tcPr>
            <w:tcW w:w="9097" w:type="dxa"/>
            <w:gridSpan w:val="4"/>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b/>
                <w:sz w:val="24"/>
                <w:highlight w:val="none"/>
              </w:rPr>
              <w:t>管理不善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701</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left"/>
              <w:rPr>
                <w:rFonts w:ascii="仿宋" w:hAnsi="仿宋" w:eastAsia="仿宋" w:cs="仿宋"/>
                <w:sz w:val="24"/>
                <w:highlight w:val="none"/>
              </w:rPr>
            </w:pPr>
            <w:r>
              <w:rPr>
                <w:rFonts w:hint="eastAsia" w:ascii="仿宋" w:hAnsi="仿宋" w:eastAsia="仿宋" w:cs="仿宋"/>
                <w:sz w:val="24"/>
                <w:highlight w:val="none"/>
              </w:rPr>
              <w:t>未按时发放船员工资（每超期一天扣1分）</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702</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left"/>
              <w:rPr>
                <w:rFonts w:ascii="仿宋" w:hAnsi="仿宋" w:eastAsia="仿宋" w:cs="仿宋"/>
                <w:sz w:val="24"/>
                <w:highlight w:val="none"/>
              </w:rPr>
            </w:pPr>
            <w:r>
              <w:rPr>
                <w:rFonts w:hint="eastAsia" w:ascii="仿宋" w:hAnsi="仿宋" w:eastAsia="仿宋" w:cs="仿宋"/>
                <w:sz w:val="24"/>
                <w:highlight w:val="none"/>
              </w:rPr>
              <w:t>未按规定为船员缴纳社会保险费用、住房公积金等情况（每发生一次扣10分）</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八</w:t>
            </w:r>
          </w:p>
        </w:tc>
        <w:tc>
          <w:tcPr>
            <w:tcW w:w="9097" w:type="dxa"/>
            <w:gridSpan w:val="4"/>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b/>
                <w:sz w:val="24"/>
                <w:highlight w:val="none"/>
              </w:rPr>
              <w:t>改善落实情况及其他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801</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left"/>
              <w:rPr>
                <w:rFonts w:ascii="仿宋" w:hAnsi="仿宋" w:eastAsia="仿宋" w:cs="仿宋"/>
                <w:sz w:val="24"/>
                <w:highlight w:val="none"/>
              </w:rPr>
            </w:pPr>
            <w:r>
              <w:rPr>
                <w:rFonts w:hint="eastAsia" w:ascii="仿宋" w:hAnsi="仿宋" w:eastAsia="仿宋" w:cs="仿宋"/>
                <w:sz w:val="24"/>
                <w:highlight w:val="none"/>
              </w:rPr>
              <w:t>在近三个月内投诉情况类同、相同工作中存在不良现象的，经查属实的（每发生一次扣5分）</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186" w:type="dxa"/>
            <w:gridSpan w:val="2"/>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b/>
                <w:sz w:val="24"/>
                <w:highlight w:val="none"/>
              </w:rPr>
            </w:pPr>
            <w:r>
              <w:rPr>
                <w:rFonts w:hint="eastAsia" w:ascii="仿宋" w:hAnsi="仿宋" w:eastAsia="仿宋" w:cs="仿宋"/>
                <w:b/>
                <w:sz w:val="24"/>
                <w:highlight w:val="none"/>
              </w:rPr>
              <w:t>合计:</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9740" w:type="dxa"/>
            <w:gridSpan w:val="5"/>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hint="eastAsia"/>
                <w:highlight w:val="none"/>
              </w:rPr>
            </w:pPr>
            <w:r>
              <w:rPr>
                <w:rFonts w:hint="eastAsia"/>
                <w:highlight w:val="none"/>
                <w:lang w:val="en-US" w:eastAsia="zh-CN"/>
              </w:rPr>
              <w:t>甲方考核组意见</w:t>
            </w:r>
            <w:r>
              <w:rPr>
                <w:rFonts w:hint="eastAsia"/>
                <w:highlight w:val="none"/>
              </w:rPr>
              <w:t>：</w:t>
            </w:r>
          </w:p>
          <w:p>
            <w:pPr>
              <w:pStyle w:val="2"/>
              <w:rPr>
                <w:rFonts w:hint="eastAsia"/>
                <w:highlight w:val="none"/>
              </w:rPr>
            </w:pPr>
          </w:p>
          <w:p>
            <w:pPr>
              <w:pStyle w:val="3"/>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签字：</w:t>
            </w:r>
          </w:p>
          <w:p>
            <w:pPr>
              <w:pStyle w:val="3"/>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740" w:type="dxa"/>
            <w:gridSpan w:val="5"/>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hint="eastAsia"/>
                <w:highlight w:val="none"/>
              </w:rPr>
            </w:pPr>
            <w:r>
              <w:rPr>
                <w:rFonts w:hint="eastAsia"/>
                <w:highlight w:val="none"/>
                <w:lang w:val="en-US" w:eastAsia="zh-CN"/>
              </w:rPr>
              <w:t>被</w:t>
            </w:r>
            <w:r>
              <w:rPr>
                <w:rFonts w:hint="eastAsia"/>
                <w:highlight w:val="none"/>
              </w:rPr>
              <w:t>考核单位</w:t>
            </w:r>
            <w:r>
              <w:rPr>
                <w:rFonts w:hint="eastAsia"/>
                <w:highlight w:val="none"/>
                <w:lang w:eastAsia="zh-CN"/>
              </w:rPr>
              <w:t>（</w:t>
            </w:r>
            <w:r>
              <w:rPr>
                <w:rFonts w:hint="eastAsia"/>
                <w:highlight w:val="none"/>
                <w:lang w:val="en-US" w:eastAsia="zh-CN"/>
              </w:rPr>
              <w:t>乙方</w:t>
            </w:r>
            <w:r>
              <w:rPr>
                <w:rFonts w:hint="eastAsia"/>
                <w:highlight w:val="none"/>
                <w:lang w:eastAsia="zh-CN"/>
              </w:rPr>
              <w:t>）</w:t>
            </w:r>
            <w:r>
              <w:rPr>
                <w:rFonts w:hint="eastAsia"/>
                <w:highlight w:val="none"/>
                <w:lang w:val="en-US" w:eastAsia="zh-CN"/>
              </w:rPr>
              <w:t>意见</w:t>
            </w:r>
            <w:r>
              <w:rPr>
                <w:rFonts w:hint="eastAsia"/>
                <w:highlight w:val="none"/>
              </w:rPr>
              <w:t>：</w:t>
            </w:r>
          </w:p>
          <w:p>
            <w:pPr>
              <w:pStyle w:val="3"/>
              <w:rPr>
                <w:rFonts w:hint="eastAsia" w:ascii="仿宋" w:hAnsi="仿宋" w:eastAsia="仿宋" w:cs="仿宋"/>
                <w:sz w:val="24"/>
                <w:highlight w:val="none"/>
              </w:rPr>
            </w:pPr>
          </w:p>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lang w:val="en-US" w:eastAsia="zh-CN"/>
              </w:rPr>
              <w:t>签字：</w:t>
            </w:r>
          </w:p>
        </w:tc>
      </w:tr>
    </w:tbl>
    <w:p>
      <w:pPr>
        <w:pStyle w:val="3"/>
        <w:rPr>
          <w:rFonts w:hint="eastAsia" w:hAnsi="宋体"/>
          <w:b/>
          <w:bCs/>
          <w:szCs w:val="21"/>
          <w:highlight w:val="none"/>
        </w:rPr>
      </w:pPr>
    </w:p>
    <w:p>
      <w:pPr>
        <w:spacing w:line="360" w:lineRule="auto"/>
        <w:rPr>
          <w:rFonts w:hAnsi="宋体" w:cs="Arial Unicode MS"/>
          <w:b/>
          <w:szCs w:val="21"/>
          <w:highlight w:val="none"/>
        </w:rPr>
      </w:pPr>
      <w:r>
        <w:rPr>
          <w:rFonts w:hAnsi="宋体" w:cs="Arial Unicode MS"/>
          <w:b/>
          <w:szCs w:val="21"/>
          <w:highlight w:val="none"/>
        </w:rPr>
        <w:t>第十</w:t>
      </w:r>
      <w:r>
        <w:rPr>
          <w:rFonts w:hint="eastAsia" w:hAnsi="宋体" w:cs="Arial Unicode MS"/>
          <w:b/>
          <w:szCs w:val="21"/>
          <w:highlight w:val="none"/>
          <w:lang w:val="en-US" w:eastAsia="zh-CN"/>
        </w:rPr>
        <w:t>二</w:t>
      </w:r>
      <w:r>
        <w:rPr>
          <w:rFonts w:hAnsi="宋体" w:cs="Arial Unicode MS"/>
          <w:b/>
          <w:szCs w:val="21"/>
          <w:highlight w:val="none"/>
        </w:rPr>
        <w:t>条 合同的变更、转移</w:t>
      </w:r>
    </w:p>
    <w:p>
      <w:pPr>
        <w:spacing w:line="360" w:lineRule="auto"/>
        <w:ind w:firstLine="424" w:firstLineChars="202"/>
        <w:rPr>
          <w:rFonts w:hAnsi="宋体" w:cs="新宋体"/>
          <w:szCs w:val="21"/>
          <w:highlight w:val="none"/>
        </w:rPr>
      </w:pPr>
      <w:r>
        <w:rPr>
          <w:rFonts w:hAnsi="宋体" w:cs="新宋体"/>
          <w:szCs w:val="21"/>
          <w:highlight w:val="none"/>
        </w:rPr>
        <w:t>1、合同的变更：本合同签订后，甲乙双方必须严格执行，任何一方不得擅自变更合同条款，但经双方平等友好协商，可以对本合同部分条款进行修改或补充，修改或补充</w:t>
      </w:r>
      <w:r>
        <w:rPr>
          <w:rFonts w:hint="eastAsia" w:hAnsi="宋体" w:cs="新宋体"/>
          <w:szCs w:val="21"/>
          <w:highlight w:val="none"/>
        </w:rPr>
        <w:t>的条款以书面形式</w:t>
      </w:r>
      <w:r>
        <w:rPr>
          <w:rFonts w:hAnsi="宋体" w:cs="新宋体"/>
          <w:szCs w:val="21"/>
          <w:highlight w:val="none"/>
        </w:rPr>
        <w:t>自双方签字盖章之日起生效</w:t>
      </w:r>
      <w:r>
        <w:rPr>
          <w:rFonts w:hint="eastAsia" w:hAnsi="宋体" w:cs="新宋体"/>
          <w:szCs w:val="21"/>
          <w:highlight w:val="none"/>
        </w:rPr>
        <w:t>，成为本合同的组成部分</w:t>
      </w:r>
      <w:r>
        <w:rPr>
          <w:rFonts w:hAnsi="宋体" w:cs="新宋体"/>
          <w:szCs w:val="21"/>
          <w:highlight w:val="none"/>
        </w:rPr>
        <w:t>。</w:t>
      </w:r>
    </w:p>
    <w:p>
      <w:pPr>
        <w:spacing w:line="360" w:lineRule="auto"/>
        <w:ind w:firstLine="424" w:firstLineChars="202"/>
        <w:rPr>
          <w:rFonts w:hAnsi="宋体" w:cs="新宋体"/>
          <w:szCs w:val="21"/>
          <w:highlight w:val="none"/>
        </w:rPr>
      </w:pPr>
      <w:r>
        <w:rPr>
          <w:rFonts w:hAnsi="宋体" w:cs="新宋体"/>
          <w:szCs w:val="21"/>
          <w:highlight w:val="none"/>
        </w:rPr>
        <w:t>2、合同义务的转移：</w:t>
      </w:r>
      <w:r>
        <w:rPr>
          <w:rFonts w:hint="eastAsia" w:hAnsi="宋体" w:cs="新宋体"/>
          <w:szCs w:val="21"/>
          <w:highlight w:val="none"/>
        </w:rPr>
        <w:t>乙方不得将其在本合同项下的任何义务转移给第三方。</w:t>
      </w:r>
    </w:p>
    <w:p>
      <w:pPr>
        <w:spacing w:line="360" w:lineRule="auto"/>
        <w:rPr>
          <w:rFonts w:hAnsi="宋体" w:cs="Arial Unicode MS"/>
          <w:b/>
          <w:szCs w:val="21"/>
          <w:highlight w:val="none"/>
        </w:rPr>
      </w:pPr>
      <w:r>
        <w:rPr>
          <w:rFonts w:hAnsi="宋体" w:cs="Arial Unicode MS"/>
          <w:b/>
          <w:szCs w:val="21"/>
          <w:highlight w:val="none"/>
        </w:rPr>
        <w:t>第十</w:t>
      </w:r>
      <w:r>
        <w:rPr>
          <w:rFonts w:hint="eastAsia" w:hAnsi="宋体" w:cs="Arial Unicode MS"/>
          <w:b/>
          <w:szCs w:val="21"/>
          <w:highlight w:val="none"/>
          <w:lang w:val="en-US" w:eastAsia="zh-CN"/>
        </w:rPr>
        <w:t>三</w:t>
      </w:r>
      <w:r>
        <w:rPr>
          <w:rFonts w:hAnsi="宋体" w:cs="Arial Unicode MS"/>
          <w:b/>
          <w:szCs w:val="21"/>
          <w:highlight w:val="none"/>
        </w:rPr>
        <w:t>条 合同生效与终止</w:t>
      </w:r>
      <w:r>
        <w:rPr>
          <w:rFonts w:hint="eastAsia" w:hAnsi="宋体" w:cs="Arial Unicode MS"/>
          <w:b/>
          <w:szCs w:val="21"/>
          <w:highlight w:val="none"/>
        </w:rPr>
        <w:t>（以下条款包含甲方有权单方面终止（解除）合同的情形，请乙方留意）</w:t>
      </w:r>
    </w:p>
    <w:p>
      <w:pPr>
        <w:spacing w:line="360" w:lineRule="auto"/>
        <w:ind w:firstLine="424" w:firstLineChars="202"/>
        <w:rPr>
          <w:rFonts w:hAnsi="宋体" w:cs="新宋体"/>
          <w:szCs w:val="21"/>
          <w:highlight w:val="none"/>
        </w:rPr>
      </w:pPr>
      <w:r>
        <w:rPr>
          <w:rFonts w:hint="eastAsia" w:hAnsi="宋体" w:cs="新宋体"/>
          <w:szCs w:val="21"/>
          <w:highlight w:val="none"/>
        </w:rPr>
        <w:t>1、本合同自甲乙双方签字盖章之日起生效，合同到期时自动终止。</w:t>
      </w:r>
    </w:p>
    <w:p>
      <w:pPr>
        <w:spacing w:line="360" w:lineRule="auto"/>
        <w:ind w:firstLine="424" w:firstLineChars="202"/>
        <w:rPr>
          <w:rFonts w:hAnsi="宋体" w:cs="新宋体"/>
          <w:szCs w:val="21"/>
          <w:highlight w:val="none"/>
        </w:rPr>
      </w:pPr>
      <w:r>
        <w:rPr>
          <w:rFonts w:hint="eastAsia" w:hAnsi="宋体" w:cs="新宋体"/>
          <w:szCs w:val="21"/>
          <w:highlight w:val="none"/>
        </w:rPr>
        <w:t>2、如果乙方没有依约为甲方船舶配备足量的适格船员以致影响甲方船舶的正常作业时，甲方有权提前</w:t>
      </w:r>
      <w:r>
        <w:rPr>
          <w:rFonts w:hAnsi="宋体" w:cs="新宋体"/>
          <w:szCs w:val="21"/>
          <w:highlight w:val="none"/>
        </w:rPr>
        <w:t>3</w:t>
      </w:r>
      <w:r>
        <w:rPr>
          <w:rFonts w:hint="eastAsia" w:hAnsi="宋体" w:cs="新宋体"/>
          <w:szCs w:val="21"/>
          <w:highlight w:val="none"/>
        </w:rPr>
        <w:t>个日历日，以书面形式通知乙方解除合同，乙方对此无异议，不存在甲方违约及费用赔偿等问题。</w:t>
      </w:r>
    </w:p>
    <w:p>
      <w:pPr>
        <w:spacing w:line="360" w:lineRule="auto"/>
        <w:ind w:firstLine="424" w:firstLineChars="202"/>
        <w:rPr>
          <w:rFonts w:hAnsi="宋体" w:cs="新宋体"/>
          <w:szCs w:val="21"/>
          <w:highlight w:val="none"/>
        </w:rPr>
      </w:pPr>
      <w:r>
        <w:rPr>
          <w:rFonts w:hint="eastAsia" w:hAnsi="宋体" w:cs="新宋体"/>
          <w:szCs w:val="21"/>
          <w:highlight w:val="none"/>
        </w:rPr>
        <w:t>3、如遇到甲方机构改革、管理权限变更和管理模式发生变化以及其他不可抗力因素，甲方有权提前1个月以书面形式通知乙方终止合同，乙方对此无异议，不存在甲方违约及费用赔偿等问题。</w:t>
      </w:r>
    </w:p>
    <w:p>
      <w:pPr>
        <w:spacing w:line="360" w:lineRule="auto"/>
        <w:ind w:firstLine="424" w:firstLineChars="202"/>
        <w:rPr>
          <w:rFonts w:hAnsi="宋体" w:cs="新宋体"/>
          <w:szCs w:val="21"/>
          <w:highlight w:val="none"/>
        </w:rPr>
      </w:pPr>
      <w:r>
        <w:rPr>
          <w:rFonts w:hint="eastAsia" w:hAnsi="宋体" w:cs="新宋体"/>
          <w:szCs w:val="21"/>
          <w:highlight w:val="none"/>
        </w:rPr>
        <w:t>4、如果一方由于任何其可控制的原因而不履行或不能适当履行其按照本合同规定的义务，另一方可以书面方式通知其在合理的时间内尽快做出补正措施，如果在合理的时间内未能按通知方的合理要求做出补正措施，通知方有权以书面方式通知其立即终止合同。</w:t>
      </w:r>
    </w:p>
    <w:p>
      <w:pPr>
        <w:spacing w:line="360" w:lineRule="auto"/>
        <w:ind w:firstLine="424" w:firstLineChars="202"/>
        <w:rPr>
          <w:rFonts w:hAnsi="宋体" w:cs="新宋体"/>
          <w:szCs w:val="21"/>
          <w:highlight w:val="none"/>
        </w:rPr>
      </w:pPr>
      <w:r>
        <w:rPr>
          <w:rFonts w:hint="eastAsia" w:hAnsi="宋体" w:cs="新宋体"/>
          <w:szCs w:val="21"/>
          <w:highlight w:val="none"/>
        </w:rPr>
        <w:t>5、异常情况下合同的终止：在船舶出售，船舶全损或推定、宣告全损，管理权变更或被征用或被宣告失踪等异常情况下，本合同自动终止，甲方无责任。</w:t>
      </w:r>
    </w:p>
    <w:p>
      <w:pPr>
        <w:spacing w:line="360" w:lineRule="auto"/>
        <w:ind w:firstLine="424" w:firstLineChars="202"/>
        <w:rPr>
          <w:rFonts w:hAnsi="宋体" w:cs="新宋体"/>
          <w:szCs w:val="21"/>
          <w:highlight w:val="none"/>
        </w:rPr>
      </w:pPr>
      <w:r>
        <w:rPr>
          <w:rFonts w:hint="eastAsia" w:hAnsi="宋体" w:cs="新宋体"/>
          <w:szCs w:val="21"/>
          <w:highlight w:val="none"/>
        </w:rPr>
        <w:t>6、本合同效力的终止不应损害合同双方在合同终止之前应享有和已享有的所有权利，亦不应解除合同双方在合同终止后应承担的责任和义务。</w:t>
      </w:r>
    </w:p>
    <w:p>
      <w:pPr>
        <w:spacing w:line="360" w:lineRule="auto"/>
        <w:ind w:firstLine="424" w:firstLineChars="202"/>
        <w:rPr>
          <w:rFonts w:hAnsi="宋体" w:cs="新宋体"/>
          <w:szCs w:val="21"/>
          <w:highlight w:val="none"/>
        </w:rPr>
      </w:pPr>
      <w:r>
        <w:rPr>
          <w:rFonts w:hint="eastAsia" w:hAnsi="宋体" w:cs="新宋体"/>
          <w:szCs w:val="21"/>
          <w:highlight w:val="none"/>
        </w:rPr>
        <w:t>7、若出现合同到期时甲方仍有部分船舶在海上执行任务，部分船员不能及时撤离到位的情况，在此期间产生的费用将按照合同标准按天发放，乙方应配合甲方做好相关工作。</w:t>
      </w:r>
    </w:p>
    <w:p>
      <w:pPr>
        <w:spacing w:line="360" w:lineRule="auto"/>
        <w:ind w:firstLine="446"/>
        <w:rPr>
          <w:rFonts w:hAnsi="宋体" w:cs="Arial Unicode MS"/>
          <w:b/>
          <w:szCs w:val="21"/>
          <w:highlight w:val="none"/>
        </w:rPr>
      </w:pPr>
      <w:r>
        <w:rPr>
          <w:rFonts w:hint="eastAsia" w:hAnsi="宋体" w:cs="Arial Unicode MS"/>
          <w:b/>
          <w:szCs w:val="21"/>
          <w:highlight w:val="none"/>
        </w:rPr>
        <w:t>第十</w:t>
      </w:r>
      <w:r>
        <w:rPr>
          <w:rFonts w:hint="eastAsia" w:hAnsi="宋体" w:cs="Arial Unicode MS"/>
          <w:b/>
          <w:szCs w:val="21"/>
          <w:highlight w:val="none"/>
          <w:lang w:val="en-US" w:eastAsia="zh-CN"/>
        </w:rPr>
        <w:t>四</w:t>
      </w:r>
      <w:r>
        <w:rPr>
          <w:rFonts w:hint="eastAsia" w:hAnsi="宋体" w:cs="Arial Unicode MS"/>
          <w:b/>
          <w:szCs w:val="21"/>
          <w:highlight w:val="none"/>
        </w:rPr>
        <w:t xml:space="preserve">条 </w:t>
      </w:r>
      <w:r>
        <w:rPr>
          <w:rFonts w:hint="eastAsia" w:hAnsi="宋体"/>
          <w:b/>
          <w:szCs w:val="21"/>
          <w:highlight w:val="none"/>
        </w:rPr>
        <w:t>保密义务</w:t>
      </w:r>
    </w:p>
    <w:p>
      <w:pPr>
        <w:spacing w:line="360" w:lineRule="auto"/>
        <w:ind w:firstLine="424" w:firstLineChars="202"/>
        <w:rPr>
          <w:rFonts w:hAnsi="宋体"/>
          <w:szCs w:val="21"/>
          <w:highlight w:val="none"/>
        </w:rPr>
      </w:pPr>
      <w:r>
        <w:rPr>
          <w:rFonts w:hint="eastAsia" w:hAnsi="宋体"/>
          <w:szCs w:val="21"/>
          <w:highlight w:val="none"/>
        </w:rPr>
        <w:t>1、双方对本合同的内容以及因履行本合同所知悉的对方的保密信息负有保密责任。未经对方事先书面同意，任何一方不得将相关信息披露给任何第三方，任何一方违反本条保密约定，均应承担全部法律责任并赔偿因此给守约方造成的全部损失。本条规定持续有效，不因本合同解除或终止而失效。</w:t>
      </w:r>
    </w:p>
    <w:p>
      <w:pPr>
        <w:spacing w:line="360" w:lineRule="auto"/>
        <w:ind w:firstLine="424" w:firstLineChars="202"/>
        <w:rPr>
          <w:rFonts w:hAnsi="宋体"/>
          <w:szCs w:val="21"/>
          <w:highlight w:val="none"/>
        </w:rPr>
      </w:pPr>
      <w:r>
        <w:rPr>
          <w:rFonts w:hint="eastAsia" w:hAnsi="宋体"/>
          <w:szCs w:val="21"/>
          <w:highlight w:val="none"/>
        </w:rPr>
        <w:t>2、乙方及其船员获得的相关船舶和航次信息仅限于能够完成船舶工作需要，不得涉及国家秘密，不得将此类信息复制留存，或以任何形式转让给第三方。</w:t>
      </w:r>
    </w:p>
    <w:p>
      <w:pPr>
        <w:spacing w:line="360" w:lineRule="auto"/>
        <w:ind w:firstLine="424" w:firstLineChars="202"/>
        <w:rPr>
          <w:rFonts w:hAnsi="宋体"/>
          <w:szCs w:val="21"/>
          <w:highlight w:val="none"/>
        </w:rPr>
      </w:pPr>
      <w:r>
        <w:rPr>
          <w:rFonts w:hint="eastAsia" w:hAnsi="宋体"/>
          <w:szCs w:val="21"/>
          <w:highlight w:val="none"/>
        </w:rPr>
        <w:t xml:space="preserve">3、乙方及其船员对甲方船舶调度、使用、调查作业、专业调查设备和完成国家相关科研项目的信息和资料负有保密的义务，未经甲方同意，不得将此类资料复制留存，或以任何形式转让给第三方。 </w:t>
      </w:r>
    </w:p>
    <w:p>
      <w:pPr>
        <w:spacing w:line="360" w:lineRule="auto"/>
        <w:ind w:firstLine="424" w:firstLineChars="202"/>
        <w:rPr>
          <w:rFonts w:hAnsi="宋体"/>
          <w:szCs w:val="21"/>
          <w:highlight w:val="none"/>
        </w:rPr>
      </w:pPr>
      <w:r>
        <w:rPr>
          <w:rFonts w:hint="eastAsia" w:hAnsi="宋体"/>
          <w:szCs w:val="21"/>
          <w:highlight w:val="none"/>
        </w:rPr>
        <w:t>4、 对乙方实施的管理体系文件，未经乙方书面同意，甲方不得以任何方式向第三方（甲方上级管理部门除外）透露上述文件资料。</w:t>
      </w:r>
    </w:p>
    <w:p>
      <w:pPr>
        <w:spacing w:line="360" w:lineRule="auto"/>
        <w:ind w:firstLine="424" w:firstLineChars="202"/>
        <w:rPr>
          <w:rFonts w:hAnsi="宋体"/>
          <w:szCs w:val="21"/>
          <w:highlight w:val="none"/>
        </w:rPr>
      </w:pPr>
      <w:r>
        <w:rPr>
          <w:rFonts w:hint="eastAsia" w:hAnsi="宋体"/>
          <w:szCs w:val="21"/>
          <w:highlight w:val="none"/>
        </w:rPr>
        <w:t>5、甲方向乙方提供的任何资料、文件和信息，在合同期结束后，乙方应及时归还甲方，电子文档应从乙方的电脑等储存设备中永久删除。</w:t>
      </w:r>
    </w:p>
    <w:p>
      <w:pPr>
        <w:spacing w:line="360" w:lineRule="auto"/>
        <w:ind w:firstLine="424" w:firstLineChars="202"/>
        <w:rPr>
          <w:rFonts w:hAnsi="宋体"/>
          <w:szCs w:val="21"/>
          <w:highlight w:val="none"/>
        </w:rPr>
      </w:pPr>
      <w:r>
        <w:rPr>
          <w:rFonts w:hint="eastAsia" w:hAnsi="宋体"/>
          <w:szCs w:val="21"/>
          <w:highlight w:val="none"/>
        </w:rPr>
        <w:t>6、甲乙双方应遵守国家保密法律法规和甲方的相关规定，甲方要求签订《保密协议》时，乙方及其船员应无条件与甲方签订《保密协议》</w:t>
      </w:r>
      <w:r>
        <w:rPr>
          <w:rFonts w:hint="eastAsia" w:hAnsi="宋体" w:cs="新宋体"/>
          <w:szCs w:val="21"/>
          <w:highlight w:val="none"/>
        </w:rPr>
        <w:t>。</w:t>
      </w:r>
    </w:p>
    <w:p>
      <w:pPr>
        <w:spacing w:line="360" w:lineRule="auto"/>
        <w:ind w:firstLine="446"/>
        <w:rPr>
          <w:rFonts w:hAnsi="宋体" w:cs="Arial Unicode MS"/>
          <w:b/>
          <w:szCs w:val="21"/>
          <w:highlight w:val="none"/>
        </w:rPr>
      </w:pPr>
      <w:r>
        <w:rPr>
          <w:rFonts w:hAnsi="宋体" w:cs="Arial Unicode MS"/>
          <w:b/>
          <w:szCs w:val="21"/>
          <w:highlight w:val="none"/>
        </w:rPr>
        <w:t>第十</w:t>
      </w:r>
      <w:r>
        <w:rPr>
          <w:rFonts w:hint="eastAsia" w:hAnsi="宋体" w:cs="Arial Unicode MS"/>
          <w:b/>
          <w:szCs w:val="21"/>
          <w:highlight w:val="none"/>
          <w:lang w:val="en-US" w:eastAsia="zh-CN"/>
        </w:rPr>
        <w:t>五</w:t>
      </w:r>
      <w:r>
        <w:rPr>
          <w:rFonts w:hAnsi="宋体" w:cs="Arial Unicode MS"/>
          <w:b/>
          <w:szCs w:val="21"/>
          <w:highlight w:val="none"/>
        </w:rPr>
        <w:t>条</w:t>
      </w:r>
      <w:r>
        <w:rPr>
          <w:rFonts w:hint="eastAsia" w:hAnsi="宋体" w:cs="Arial Unicode MS"/>
          <w:b/>
          <w:szCs w:val="21"/>
          <w:highlight w:val="none"/>
        </w:rPr>
        <w:t xml:space="preserve"> 违约责任</w:t>
      </w:r>
    </w:p>
    <w:p>
      <w:pPr>
        <w:spacing w:line="360" w:lineRule="auto"/>
        <w:ind w:firstLine="424" w:firstLineChars="202"/>
        <w:rPr>
          <w:rFonts w:hAnsi="宋体" w:cs="新宋体"/>
          <w:szCs w:val="21"/>
          <w:highlight w:val="none"/>
        </w:rPr>
      </w:pPr>
      <w:r>
        <w:rPr>
          <w:rFonts w:hint="eastAsia" w:hAnsi="宋体" w:cs="新宋体"/>
          <w:szCs w:val="21"/>
          <w:highlight w:val="none"/>
        </w:rPr>
        <w:t>1、乙方不得将承包项目发包或转包，否则，视为乙方违约，甲方有权解除合同并将相关情况上报同级政府采购监督管理部门和有关部门。</w:t>
      </w:r>
    </w:p>
    <w:p>
      <w:pPr>
        <w:spacing w:line="360" w:lineRule="auto"/>
        <w:ind w:firstLine="424" w:firstLineChars="202"/>
        <w:rPr>
          <w:rFonts w:hAnsi="宋体" w:cs="新宋体"/>
          <w:szCs w:val="21"/>
          <w:highlight w:val="none"/>
        </w:rPr>
      </w:pPr>
      <w:r>
        <w:rPr>
          <w:rFonts w:hint="eastAsia" w:hAnsi="宋体" w:cs="新宋体"/>
          <w:szCs w:val="21"/>
          <w:highlight w:val="none"/>
        </w:rPr>
        <w:t>2、乙方随意更换船员影响甲方工作的，视为乙方违约，甲方有权解除合同并将相关情况上报同级政府采购监督管理部门和有关部门。</w:t>
      </w:r>
    </w:p>
    <w:p>
      <w:pPr>
        <w:spacing w:line="360" w:lineRule="auto"/>
        <w:ind w:firstLine="424" w:firstLineChars="202"/>
        <w:rPr>
          <w:rFonts w:hAnsi="宋体" w:cs="新宋体"/>
          <w:szCs w:val="21"/>
          <w:highlight w:val="none"/>
        </w:rPr>
      </w:pPr>
      <w:r>
        <w:rPr>
          <w:rFonts w:hint="eastAsia" w:hAnsi="宋体" w:cs="新宋体"/>
          <w:szCs w:val="21"/>
          <w:highlight w:val="none"/>
        </w:rPr>
        <w:t>3、乙方不得拖欠其船员工资、不按规定为船员缴纳社会保险费用、住房公积金等有关薪酬，不得虚构名目或虚报不实费用从甲方处获取除报酬外的非法利益。否则，视为乙方违约，甲方有权扣除相应管理费，且有权解除合同并将相关情况上报同级政府采购监督管理部门和有关部门。</w:t>
      </w:r>
    </w:p>
    <w:p>
      <w:pPr>
        <w:spacing w:line="360" w:lineRule="auto"/>
        <w:ind w:firstLine="424" w:firstLineChars="202"/>
        <w:rPr>
          <w:rFonts w:hAnsi="宋体" w:cs="新宋体"/>
          <w:szCs w:val="21"/>
          <w:highlight w:val="none"/>
        </w:rPr>
      </w:pPr>
      <w:r>
        <w:rPr>
          <w:rFonts w:hint="eastAsia" w:hAnsi="宋体" w:cs="新宋体"/>
          <w:szCs w:val="21"/>
          <w:highlight w:val="none"/>
        </w:rPr>
        <w:t>4、乙方没有依约为甲方船舶配备足量的适格船员以致影响甲方船舶的正常作业时，视为乙方违约，甲方有权扣除相应管理费，且有权解除合同并将相关情况上报同级政府采购监督管理部门和有关部门。</w:t>
      </w:r>
    </w:p>
    <w:p>
      <w:pPr>
        <w:spacing w:line="360" w:lineRule="auto"/>
        <w:ind w:firstLine="424" w:firstLineChars="202"/>
        <w:rPr>
          <w:rFonts w:hAnsi="宋体" w:cs="新宋体"/>
          <w:szCs w:val="21"/>
          <w:highlight w:val="none"/>
        </w:rPr>
      </w:pPr>
      <w:r>
        <w:rPr>
          <w:rFonts w:hint="eastAsia" w:hAnsi="宋体" w:cs="新宋体"/>
          <w:szCs w:val="21"/>
          <w:highlight w:val="none"/>
        </w:rPr>
        <w:t>5、由于乙方或乙方船员工作失误的原因，造成甲方的经济损失，所产生的损失及后果由乙方承担。</w:t>
      </w:r>
    </w:p>
    <w:p>
      <w:pPr>
        <w:spacing w:line="360" w:lineRule="auto"/>
        <w:ind w:firstLine="424" w:firstLineChars="202"/>
        <w:rPr>
          <w:rFonts w:hAnsi="宋体" w:cs="新宋体"/>
          <w:szCs w:val="21"/>
          <w:highlight w:val="none"/>
        </w:rPr>
      </w:pPr>
      <w:r>
        <w:rPr>
          <w:rFonts w:hint="eastAsia" w:hAnsi="宋体" w:cs="新宋体"/>
          <w:szCs w:val="21"/>
          <w:highlight w:val="none"/>
        </w:rPr>
        <w:t>6、服务期内，如甲方发生机构改革或财政拨款无法到位等政策原因造成费用不能及时支付时，乙方不追究甲方责任。</w:t>
      </w:r>
    </w:p>
    <w:p>
      <w:pPr>
        <w:spacing w:line="360" w:lineRule="auto"/>
        <w:ind w:firstLine="424" w:firstLineChars="202"/>
        <w:rPr>
          <w:rFonts w:hAnsi="宋体" w:cs="新宋体"/>
          <w:szCs w:val="21"/>
          <w:highlight w:val="none"/>
        </w:rPr>
      </w:pPr>
      <w:r>
        <w:rPr>
          <w:rFonts w:hint="eastAsia" w:hAnsi="宋体" w:cs="新宋体"/>
          <w:szCs w:val="21"/>
          <w:highlight w:val="none"/>
        </w:rPr>
        <w:t>7、乙方有义务告知船员须遵守本合同、本项目招标文件及投标文件中规定的船员要求，应教育船员遵守甲方的规章制度，乙方船员违反本合同、本项目招标文件及投标文件中规定的船员要求，违反甲方的规章制度，造成甲方经济损失的，视为乙方违约。</w:t>
      </w:r>
    </w:p>
    <w:p>
      <w:pPr>
        <w:spacing w:line="360" w:lineRule="auto"/>
        <w:ind w:firstLine="424" w:firstLineChars="202"/>
        <w:rPr>
          <w:rFonts w:hAnsi="宋体" w:cs="新宋体"/>
          <w:szCs w:val="21"/>
          <w:highlight w:val="none"/>
        </w:rPr>
      </w:pPr>
      <w:r>
        <w:rPr>
          <w:rFonts w:hint="eastAsia" w:hAnsi="宋体" w:cs="新宋体"/>
          <w:szCs w:val="21"/>
          <w:highlight w:val="none"/>
        </w:rPr>
        <w:t>8、乙方或其船员违反以下任一条规定，视为违约：</w:t>
      </w:r>
    </w:p>
    <w:p>
      <w:pPr>
        <w:spacing w:line="360" w:lineRule="auto"/>
        <w:ind w:firstLine="424" w:firstLineChars="202"/>
        <w:rPr>
          <w:rFonts w:hAnsi="宋体" w:cs="新宋体"/>
          <w:szCs w:val="21"/>
          <w:highlight w:val="none"/>
        </w:rPr>
      </w:pPr>
      <w:r>
        <w:rPr>
          <w:rFonts w:hint="eastAsia" w:hAnsi="宋体" w:cs="新宋体"/>
          <w:szCs w:val="21"/>
          <w:highlight w:val="none"/>
        </w:rPr>
        <w:t>（1）不履行本合同、本项目招标文件及投标文件中所承诺的事项；</w:t>
      </w:r>
    </w:p>
    <w:p>
      <w:pPr>
        <w:spacing w:line="360" w:lineRule="auto"/>
        <w:ind w:firstLine="424" w:firstLineChars="202"/>
        <w:rPr>
          <w:rFonts w:hAnsi="宋体" w:cs="新宋体"/>
          <w:szCs w:val="21"/>
          <w:highlight w:val="none"/>
        </w:rPr>
      </w:pPr>
      <w:r>
        <w:rPr>
          <w:rFonts w:hint="eastAsia" w:hAnsi="宋体" w:cs="新宋体"/>
          <w:szCs w:val="21"/>
          <w:highlight w:val="none"/>
        </w:rPr>
        <w:t>（2）拒绝更换不适格的船员；</w:t>
      </w:r>
    </w:p>
    <w:p>
      <w:pPr>
        <w:spacing w:line="360" w:lineRule="auto"/>
        <w:ind w:firstLine="424" w:firstLineChars="202"/>
        <w:rPr>
          <w:rFonts w:hAnsi="宋体" w:cs="新宋体"/>
          <w:szCs w:val="21"/>
          <w:highlight w:val="none"/>
        </w:rPr>
      </w:pPr>
      <w:r>
        <w:rPr>
          <w:rFonts w:hint="eastAsia" w:hAnsi="宋体" w:cs="新宋体"/>
          <w:szCs w:val="21"/>
          <w:highlight w:val="none"/>
        </w:rPr>
        <w:t>（3）未经甲方许可，擅自更换船员影响甲方工作；</w:t>
      </w:r>
    </w:p>
    <w:p>
      <w:pPr>
        <w:spacing w:line="360" w:lineRule="auto"/>
        <w:ind w:firstLine="424" w:firstLineChars="202"/>
        <w:rPr>
          <w:rFonts w:hAnsi="宋体" w:cs="新宋体"/>
          <w:szCs w:val="21"/>
          <w:highlight w:val="none"/>
        </w:rPr>
      </w:pPr>
      <w:r>
        <w:rPr>
          <w:rFonts w:hint="eastAsia" w:hAnsi="宋体" w:cs="新宋体"/>
          <w:szCs w:val="21"/>
          <w:highlight w:val="none"/>
        </w:rPr>
        <w:t>（4）不遵守甲方关于健康、安全和环保的规定；</w:t>
      </w:r>
    </w:p>
    <w:p>
      <w:pPr>
        <w:spacing w:line="360" w:lineRule="auto"/>
        <w:ind w:firstLine="424" w:firstLineChars="202"/>
        <w:rPr>
          <w:rFonts w:hAnsi="宋体" w:cs="新宋体"/>
          <w:szCs w:val="21"/>
          <w:highlight w:val="none"/>
        </w:rPr>
      </w:pPr>
      <w:r>
        <w:rPr>
          <w:rFonts w:hint="eastAsia" w:hAnsi="宋体" w:cs="新宋体"/>
          <w:szCs w:val="21"/>
          <w:highlight w:val="none"/>
        </w:rPr>
        <w:t>（5）乙方或其船员对甲方实施欺诈行为；</w:t>
      </w:r>
    </w:p>
    <w:p>
      <w:pPr>
        <w:spacing w:line="360" w:lineRule="auto"/>
        <w:ind w:firstLine="424" w:firstLineChars="202"/>
        <w:rPr>
          <w:rFonts w:hAnsi="宋体" w:cs="新宋体"/>
          <w:szCs w:val="21"/>
          <w:highlight w:val="none"/>
        </w:rPr>
      </w:pPr>
      <w:r>
        <w:rPr>
          <w:rFonts w:hint="eastAsia" w:hAnsi="宋体" w:cs="新宋体"/>
          <w:szCs w:val="21"/>
          <w:highlight w:val="none"/>
        </w:rPr>
        <w:t>（6）乙方或其船员的行为致使甲方遭受损害或致他人遭受损害。</w:t>
      </w:r>
    </w:p>
    <w:p>
      <w:pPr>
        <w:spacing w:line="360" w:lineRule="auto"/>
        <w:ind w:firstLine="424" w:firstLineChars="202"/>
        <w:rPr>
          <w:rFonts w:hAnsi="宋体" w:cs="新宋体"/>
          <w:szCs w:val="21"/>
          <w:highlight w:val="none"/>
        </w:rPr>
      </w:pPr>
      <w:r>
        <w:rPr>
          <w:rFonts w:hint="eastAsia" w:hAnsi="宋体" w:cs="新宋体"/>
          <w:szCs w:val="21"/>
          <w:highlight w:val="none"/>
        </w:rPr>
        <w:t>9、如乙方出现上述违约情况，违反本合同任一条规定，违反双方依法协商签订的相关文件（包括约谈记录、会议记录等文件），均视为违约。如发生违约行为，违约金按当月</w:t>
      </w:r>
      <w:r>
        <w:rPr>
          <w:rFonts w:hint="eastAsia" w:hAnsi="宋体" w:cs="新宋体"/>
          <w:szCs w:val="21"/>
          <w:highlight w:val="none"/>
          <w:lang w:val="zh-CN"/>
        </w:rPr>
        <w:t>管理费</w:t>
      </w:r>
      <w:r>
        <w:rPr>
          <w:rFonts w:hint="eastAsia" w:hAnsi="宋体" w:cs="新宋体"/>
          <w:szCs w:val="21"/>
          <w:highlight w:val="none"/>
        </w:rPr>
        <w:t>50%计算，如有两项或两项以上违约，甲方有权扣除当月全部管理费（作为违约金）。发生上述违约情形三次以上时，甲方有权解除本合同，所产生的损失及后果由乙方承担。</w:t>
      </w:r>
    </w:p>
    <w:p>
      <w:pPr>
        <w:spacing w:line="360" w:lineRule="auto"/>
        <w:ind w:firstLine="424" w:firstLineChars="202"/>
        <w:rPr>
          <w:rFonts w:hAnsi="宋体" w:cs="新宋体"/>
          <w:szCs w:val="21"/>
          <w:highlight w:val="none"/>
        </w:rPr>
      </w:pPr>
      <w:r>
        <w:rPr>
          <w:rFonts w:hint="eastAsia" w:hAnsi="宋体" w:cs="新宋体"/>
          <w:szCs w:val="21"/>
          <w:highlight w:val="none"/>
        </w:rPr>
        <w:t>10、如乙方发生违约或因乙方违约而解除合同时，如乙方支付的违约金无法补偿甲方因此遭受的全部损失，乙方应向甲方另行支付赔偿金。本合同项下的损失包括生产延期的损失、生产暂停的损失、工作期限延误的损失、甲方预期可获得的商业利润、因为乙方违约导致甲方向第三方支付的违约金和赔偿金、甲方因第三方索赔而发生的全部费用（包括但不限于律师费用、诉讼费用、鉴定费用和赔偿金等）。</w:t>
      </w:r>
    </w:p>
    <w:p>
      <w:pPr>
        <w:spacing w:line="360" w:lineRule="auto"/>
        <w:ind w:firstLine="424" w:firstLineChars="202"/>
        <w:rPr>
          <w:rFonts w:hAnsi="宋体" w:cs="新宋体"/>
          <w:szCs w:val="21"/>
          <w:highlight w:val="none"/>
        </w:rPr>
      </w:pPr>
      <w:r>
        <w:rPr>
          <w:rFonts w:hint="eastAsia" w:hAnsi="宋体" w:cs="新宋体"/>
          <w:szCs w:val="21"/>
          <w:highlight w:val="none"/>
        </w:rPr>
        <w:t>11、乙方根据本合同的规定应承担违约金或赔偿责任的，甲方有权从合同价款余额中直接扣除或凭履约保函要求银行支付该等违约金或赔偿款项。</w:t>
      </w:r>
    </w:p>
    <w:p>
      <w:pPr>
        <w:spacing w:line="360" w:lineRule="auto"/>
        <w:rPr>
          <w:rFonts w:hAnsi="宋体" w:cs="Arial Unicode MS"/>
          <w:b/>
          <w:szCs w:val="21"/>
          <w:highlight w:val="none"/>
        </w:rPr>
      </w:pPr>
      <w:r>
        <w:rPr>
          <w:rFonts w:hAnsi="宋体" w:cs="Arial Unicode MS"/>
          <w:b/>
          <w:szCs w:val="21"/>
          <w:highlight w:val="none"/>
        </w:rPr>
        <w:t>第十</w:t>
      </w:r>
      <w:r>
        <w:rPr>
          <w:rFonts w:hint="eastAsia" w:hAnsi="宋体" w:cs="Arial Unicode MS"/>
          <w:b/>
          <w:szCs w:val="21"/>
          <w:highlight w:val="none"/>
          <w:lang w:val="en-US" w:eastAsia="zh-CN"/>
        </w:rPr>
        <w:t>六</w:t>
      </w:r>
      <w:r>
        <w:rPr>
          <w:rFonts w:hAnsi="宋体" w:cs="Arial Unicode MS"/>
          <w:b/>
          <w:szCs w:val="21"/>
          <w:highlight w:val="none"/>
        </w:rPr>
        <w:t>条 争议及解决</w:t>
      </w:r>
    </w:p>
    <w:p>
      <w:pPr>
        <w:spacing w:line="360" w:lineRule="auto"/>
        <w:ind w:firstLine="424" w:firstLineChars="202"/>
        <w:rPr>
          <w:rFonts w:hAnsi="宋体" w:cs="新宋体"/>
          <w:szCs w:val="21"/>
          <w:highlight w:val="none"/>
        </w:rPr>
      </w:pPr>
      <w:r>
        <w:rPr>
          <w:rFonts w:hint="eastAsia" w:hAnsi="宋体" w:cs="新宋体"/>
          <w:szCs w:val="21"/>
          <w:highlight w:val="none"/>
        </w:rPr>
        <w:t>1、凡因本合同引起或与本合同有关的任何争议，由甲乙双方平等友好的协商解决。</w:t>
      </w:r>
      <w:r>
        <w:rPr>
          <w:rFonts w:hAnsi="宋体" w:cs="新宋体"/>
          <w:szCs w:val="21"/>
          <w:highlight w:val="none"/>
        </w:rPr>
        <w:t>如经协商不能达成一致，</w:t>
      </w:r>
      <w:r>
        <w:rPr>
          <w:rFonts w:hint="eastAsia" w:hAnsi="宋体" w:cs="新宋体"/>
          <w:szCs w:val="21"/>
          <w:highlight w:val="none"/>
        </w:rPr>
        <w:t>任何一方有权向海珠区人民法院提起诉讼，律师费由败诉方承担</w:t>
      </w:r>
      <w:r>
        <w:rPr>
          <w:rFonts w:hAnsi="宋体" w:cs="新宋体"/>
          <w:szCs w:val="21"/>
          <w:highlight w:val="none"/>
        </w:rPr>
        <w:t>。</w:t>
      </w:r>
    </w:p>
    <w:p>
      <w:pPr>
        <w:spacing w:line="360" w:lineRule="auto"/>
        <w:ind w:firstLine="424" w:firstLineChars="202"/>
        <w:rPr>
          <w:rFonts w:hAnsi="宋体" w:cs="新宋体"/>
          <w:szCs w:val="21"/>
          <w:highlight w:val="none"/>
        </w:rPr>
      </w:pPr>
      <w:r>
        <w:rPr>
          <w:rFonts w:hint="eastAsia" w:hAnsi="宋体" w:cs="新宋体"/>
          <w:szCs w:val="21"/>
          <w:highlight w:val="none"/>
        </w:rPr>
        <w:t>2、本合同的所有相关内容，如与国家的法律、法规、规定相悖，以国家的法律、法规、规定为准。</w:t>
      </w:r>
    </w:p>
    <w:p>
      <w:pPr>
        <w:spacing w:line="360" w:lineRule="auto"/>
        <w:rPr>
          <w:rFonts w:hAnsi="宋体" w:cs="Arial Unicode MS"/>
          <w:b/>
          <w:szCs w:val="21"/>
          <w:highlight w:val="none"/>
        </w:rPr>
      </w:pPr>
      <w:r>
        <w:rPr>
          <w:rFonts w:hAnsi="宋体" w:cs="Arial Unicode MS"/>
          <w:b/>
          <w:szCs w:val="21"/>
          <w:highlight w:val="none"/>
        </w:rPr>
        <w:t>第十</w:t>
      </w:r>
      <w:r>
        <w:rPr>
          <w:rFonts w:hint="eastAsia" w:hAnsi="宋体" w:cs="Arial Unicode MS"/>
          <w:b/>
          <w:szCs w:val="21"/>
          <w:highlight w:val="none"/>
          <w:lang w:val="en-US" w:eastAsia="zh-CN"/>
        </w:rPr>
        <w:t>七</w:t>
      </w:r>
      <w:r>
        <w:rPr>
          <w:rFonts w:hAnsi="宋体" w:cs="Arial Unicode MS"/>
          <w:b/>
          <w:szCs w:val="21"/>
          <w:highlight w:val="none"/>
        </w:rPr>
        <w:t>条 其他</w:t>
      </w:r>
    </w:p>
    <w:p>
      <w:pPr>
        <w:spacing w:line="360" w:lineRule="auto"/>
        <w:ind w:firstLine="424" w:firstLineChars="202"/>
        <w:rPr>
          <w:rFonts w:hAnsi="宋体" w:cs="新宋体"/>
          <w:szCs w:val="21"/>
          <w:highlight w:val="none"/>
        </w:rPr>
      </w:pPr>
      <w:r>
        <w:rPr>
          <w:rFonts w:hint="eastAsia" w:hAnsi="宋体" w:cs="新宋体"/>
          <w:szCs w:val="21"/>
          <w:highlight w:val="none"/>
        </w:rPr>
        <w:t>1、本合同所有附件、招标文件、投标文件、中标通知书均为合同的有效组成部分，与本合同具有同等法律效力。</w:t>
      </w:r>
    </w:p>
    <w:p>
      <w:pPr>
        <w:spacing w:line="360" w:lineRule="auto"/>
        <w:ind w:firstLine="424" w:firstLineChars="202"/>
        <w:rPr>
          <w:rFonts w:hAnsi="宋体" w:cs="新宋体"/>
          <w:szCs w:val="21"/>
          <w:highlight w:val="none"/>
        </w:rPr>
      </w:pPr>
      <w:r>
        <w:rPr>
          <w:rFonts w:hint="eastAsia" w:hAnsi="宋体" w:cs="新宋体"/>
          <w:szCs w:val="21"/>
          <w:highlight w:val="none"/>
        </w:rPr>
        <w:t>2、在执行本合同的过程中，所有经双方签署确认的文件（包括会议纪要、补充协议、往来信函）即成为本合同的有效组成部分。</w:t>
      </w:r>
    </w:p>
    <w:p>
      <w:pPr>
        <w:spacing w:line="360" w:lineRule="auto"/>
        <w:ind w:firstLine="424" w:firstLineChars="202"/>
        <w:rPr>
          <w:rFonts w:hAnsi="宋体" w:cs="新宋体"/>
          <w:szCs w:val="21"/>
          <w:highlight w:val="none"/>
        </w:rPr>
      </w:pPr>
      <w:r>
        <w:rPr>
          <w:rFonts w:hint="eastAsia" w:hAnsi="宋体" w:cs="新宋体"/>
          <w:szCs w:val="21"/>
          <w:highlight w:val="none"/>
        </w:rPr>
        <w:t>3、本合同签字栏记载的合同各方通讯地址为所有通知、文件、资料等送达地址，当面交付文件的，在交付之时视为送达；通过邮寄方式的，以投邮当日视为送达。</w:t>
      </w:r>
    </w:p>
    <w:p>
      <w:pPr>
        <w:spacing w:line="360" w:lineRule="auto"/>
        <w:ind w:firstLine="424" w:firstLineChars="202"/>
        <w:rPr>
          <w:rFonts w:hAnsi="宋体" w:cs="新宋体"/>
          <w:szCs w:val="21"/>
          <w:highlight w:val="none"/>
        </w:rPr>
      </w:pPr>
      <w:r>
        <w:rPr>
          <w:rFonts w:hint="eastAsia" w:hAnsi="宋体" w:cs="新宋体"/>
          <w:szCs w:val="21"/>
          <w:highlight w:val="none"/>
        </w:rPr>
        <w:t>4、</w:t>
      </w:r>
      <w:r>
        <w:rPr>
          <w:rFonts w:hAnsi="宋体" w:cs="新宋体"/>
          <w:szCs w:val="21"/>
          <w:highlight w:val="none"/>
        </w:rPr>
        <w:t>本合同在广州</w:t>
      </w:r>
      <w:r>
        <w:rPr>
          <w:rFonts w:hint="eastAsia" w:hAnsi="宋体" w:cs="新宋体"/>
          <w:szCs w:val="21"/>
          <w:highlight w:val="none"/>
        </w:rPr>
        <w:t>市海珠区</w:t>
      </w:r>
      <w:r>
        <w:rPr>
          <w:rFonts w:hAnsi="宋体" w:cs="新宋体"/>
          <w:szCs w:val="21"/>
          <w:highlight w:val="none"/>
        </w:rPr>
        <w:t>签署，合同文本</w:t>
      </w:r>
      <w:r>
        <w:rPr>
          <w:rFonts w:hint="eastAsia" w:hAnsi="宋体" w:cs="新宋体"/>
          <w:szCs w:val="21"/>
          <w:highlight w:val="none"/>
        </w:rPr>
        <w:t>一</w:t>
      </w:r>
      <w:r>
        <w:rPr>
          <w:rFonts w:hAnsi="宋体" w:cs="新宋体"/>
          <w:szCs w:val="21"/>
          <w:highlight w:val="none"/>
        </w:rPr>
        <w:t>式</w:t>
      </w:r>
      <w:r>
        <w:rPr>
          <w:rFonts w:hint="eastAsia" w:hAnsi="宋体" w:cs="新宋体"/>
          <w:szCs w:val="21"/>
          <w:highlight w:val="none"/>
        </w:rPr>
        <w:t>肆</w:t>
      </w:r>
      <w:r>
        <w:rPr>
          <w:rFonts w:hAnsi="宋体" w:cs="新宋体"/>
          <w:szCs w:val="21"/>
          <w:highlight w:val="none"/>
        </w:rPr>
        <w:t>份，甲乙双方各执</w:t>
      </w:r>
      <w:r>
        <w:rPr>
          <w:rFonts w:hint="eastAsia" w:hAnsi="宋体" w:cs="新宋体"/>
          <w:szCs w:val="21"/>
          <w:highlight w:val="none"/>
        </w:rPr>
        <w:t>贰</w:t>
      </w:r>
      <w:r>
        <w:rPr>
          <w:rFonts w:hAnsi="宋体" w:cs="新宋体"/>
          <w:szCs w:val="21"/>
          <w:highlight w:val="none"/>
        </w:rPr>
        <w:t>份，</w:t>
      </w:r>
      <w:r>
        <w:rPr>
          <w:rFonts w:hint="eastAsia" w:hAnsi="宋体" w:cs="新宋体"/>
          <w:szCs w:val="21"/>
          <w:highlight w:val="none"/>
        </w:rPr>
        <w:t>在甲乙双方法人代表或其授权代表签字盖章后生效</w:t>
      </w:r>
      <w:r>
        <w:rPr>
          <w:rFonts w:hAnsi="宋体" w:cs="新宋体"/>
          <w:szCs w:val="21"/>
          <w:highlight w:val="none"/>
        </w:rPr>
        <w:t>。</w:t>
      </w:r>
    </w:p>
    <w:p>
      <w:pPr>
        <w:spacing w:line="360" w:lineRule="auto"/>
        <w:rPr>
          <w:rFonts w:hAnsi="宋体" w:cs="新宋体"/>
          <w:b/>
          <w:szCs w:val="21"/>
          <w:highlight w:val="none"/>
        </w:rPr>
      </w:pPr>
    </w:p>
    <w:tbl>
      <w:tblPr>
        <w:tblStyle w:val="49"/>
        <w:tblW w:w="9738" w:type="dxa"/>
        <w:tblInd w:w="0" w:type="dxa"/>
        <w:tblLayout w:type="fixed"/>
        <w:tblCellMar>
          <w:top w:w="0" w:type="dxa"/>
          <w:left w:w="108" w:type="dxa"/>
          <w:bottom w:w="0" w:type="dxa"/>
          <w:right w:w="108" w:type="dxa"/>
        </w:tblCellMar>
      </w:tblPr>
      <w:tblGrid>
        <w:gridCol w:w="4995"/>
        <w:gridCol w:w="4743"/>
      </w:tblGrid>
      <w:tr>
        <w:tblPrEx>
          <w:tblCellMar>
            <w:top w:w="0" w:type="dxa"/>
            <w:left w:w="108" w:type="dxa"/>
            <w:bottom w:w="0" w:type="dxa"/>
            <w:right w:w="108" w:type="dxa"/>
          </w:tblCellMar>
        </w:tblPrEx>
        <w:trPr>
          <w:trHeight w:val="1243" w:hRule="exact"/>
        </w:trPr>
        <w:tc>
          <w:tcPr>
            <w:tcW w:w="4995" w:type="dxa"/>
            <w:vAlign w:val="center"/>
          </w:tcPr>
          <w:p>
            <w:pPr>
              <w:snapToGrid w:val="0"/>
              <w:rPr>
                <w:rFonts w:hAnsi="宋体"/>
                <w:szCs w:val="21"/>
                <w:highlight w:val="none"/>
              </w:rPr>
            </w:pPr>
            <w:r>
              <w:rPr>
                <w:rFonts w:hint="eastAsia" w:hAnsi="宋体"/>
                <w:szCs w:val="21"/>
                <w:highlight w:val="none"/>
              </w:rPr>
              <w:t>甲方（盖章）：</w:t>
            </w:r>
          </w:p>
          <w:p>
            <w:pPr>
              <w:snapToGrid w:val="0"/>
              <w:rPr>
                <w:rFonts w:hAnsi="宋体"/>
                <w:szCs w:val="21"/>
                <w:highlight w:val="none"/>
              </w:rPr>
            </w:pPr>
          </w:p>
          <w:p>
            <w:pPr>
              <w:snapToGrid w:val="0"/>
              <w:rPr>
                <w:szCs w:val="21"/>
                <w:highlight w:val="none"/>
              </w:rPr>
            </w:pPr>
            <w:r>
              <w:rPr>
                <w:rFonts w:hint="eastAsia" w:hAnsi="宋体"/>
                <w:szCs w:val="21"/>
                <w:highlight w:val="none"/>
              </w:rPr>
              <w:t>国家海洋局南海标准计量中心</w:t>
            </w:r>
          </w:p>
        </w:tc>
        <w:tc>
          <w:tcPr>
            <w:tcW w:w="4743" w:type="dxa"/>
            <w:vAlign w:val="center"/>
          </w:tcPr>
          <w:p>
            <w:pPr>
              <w:snapToGrid w:val="0"/>
              <w:rPr>
                <w:rFonts w:hAnsi="宋体"/>
                <w:szCs w:val="21"/>
                <w:highlight w:val="none"/>
              </w:rPr>
            </w:pPr>
            <w:r>
              <w:rPr>
                <w:rFonts w:hint="eastAsia" w:hAnsi="宋体"/>
                <w:szCs w:val="21"/>
                <w:highlight w:val="none"/>
              </w:rPr>
              <w:t>乙方（盖章）：</w:t>
            </w:r>
          </w:p>
          <w:p>
            <w:pPr>
              <w:pStyle w:val="23"/>
              <w:tabs>
                <w:tab w:val="left" w:pos="0"/>
                <w:tab w:val="left" w:pos="770"/>
                <w:tab w:val="left" w:pos="1000"/>
              </w:tabs>
              <w:topLinePunct/>
              <w:jc w:val="left"/>
              <w:rPr>
                <w:szCs w:val="21"/>
                <w:highlight w:val="none"/>
              </w:rPr>
            </w:pPr>
          </w:p>
          <w:p>
            <w:pPr>
              <w:pStyle w:val="23"/>
              <w:tabs>
                <w:tab w:val="left" w:pos="0"/>
                <w:tab w:val="left" w:pos="770"/>
                <w:tab w:val="left" w:pos="1000"/>
              </w:tabs>
              <w:topLinePunct/>
              <w:jc w:val="left"/>
              <w:rPr>
                <w:szCs w:val="21"/>
                <w:highlight w:val="none"/>
              </w:rPr>
            </w:pPr>
          </w:p>
        </w:tc>
      </w:tr>
      <w:tr>
        <w:tblPrEx>
          <w:tblCellMar>
            <w:top w:w="0" w:type="dxa"/>
            <w:left w:w="108" w:type="dxa"/>
            <w:bottom w:w="0" w:type="dxa"/>
            <w:right w:w="108" w:type="dxa"/>
          </w:tblCellMar>
        </w:tblPrEx>
        <w:trPr>
          <w:trHeight w:val="1544" w:hRule="atLeast"/>
        </w:trPr>
        <w:tc>
          <w:tcPr>
            <w:tcW w:w="4995" w:type="dxa"/>
            <w:vAlign w:val="center"/>
          </w:tcPr>
          <w:p>
            <w:pPr>
              <w:snapToGrid w:val="0"/>
              <w:rPr>
                <w:highlight w:val="none"/>
              </w:rPr>
            </w:pPr>
            <w:r>
              <w:rPr>
                <w:rFonts w:hint="eastAsia"/>
                <w:highlight w:val="none"/>
              </w:rPr>
              <w:t>甲方法定代表人或授权代表（签字）：</w:t>
            </w:r>
          </w:p>
          <w:p>
            <w:pPr>
              <w:rPr>
                <w:highlight w:val="none"/>
              </w:rPr>
            </w:pPr>
          </w:p>
          <w:p>
            <w:pPr>
              <w:rPr>
                <w:highlight w:val="none"/>
              </w:rPr>
            </w:pPr>
          </w:p>
          <w:p>
            <w:pPr>
              <w:pStyle w:val="2"/>
              <w:rPr>
                <w:szCs w:val="21"/>
                <w:highlight w:val="none"/>
              </w:rPr>
            </w:pPr>
          </w:p>
        </w:tc>
        <w:tc>
          <w:tcPr>
            <w:tcW w:w="4743" w:type="dxa"/>
            <w:vAlign w:val="center"/>
          </w:tcPr>
          <w:p>
            <w:pPr>
              <w:snapToGrid w:val="0"/>
              <w:rPr>
                <w:highlight w:val="none"/>
              </w:rPr>
            </w:pPr>
            <w:r>
              <w:rPr>
                <w:rFonts w:hint="eastAsia"/>
                <w:highlight w:val="none"/>
              </w:rPr>
              <w:t>乙方法定代表人或授权代表（签字）：</w:t>
            </w:r>
          </w:p>
          <w:p>
            <w:pPr>
              <w:rPr>
                <w:highlight w:val="none"/>
              </w:rPr>
            </w:pPr>
          </w:p>
          <w:p>
            <w:pPr>
              <w:snapToGrid w:val="0"/>
              <w:rPr>
                <w:highlight w:val="none"/>
              </w:rPr>
            </w:pPr>
          </w:p>
          <w:p>
            <w:pPr>
              <w:pStyle w:val="2"/>
              <w:rPr>
                <w:highlight w:val="none"/>
              </w:rPr>
            </w:pPr>
          </w:p>
        </w:tc>
      </w:tr>
      <w:tr>
        <w:tblPrEx>
          <w:tblCellMar>
            <w:top w:w="0" w:type="dxa"/>
            <w:left w:w="108" w:type="dxa"/>
            <w:bottom w:w="0" w:type="dxa"/>
            <w:right w:w="108" w:type="dxa"/>
          </w:tblCellMar>
        </w:tblPrEx>
        <w:trPr>
          <w:trHeight w:val="1102" w:hRule="exact"/>
        </w:trPr>
        <w:tc>
          <w:tcPr>
            <w:tcW w:w="4995" w:type="dxa"/>
            <w:vAlign w:val="center"/>
          </w:tcPr>
          <w:p>
            <w:pPr>
              <w:snapToGrid w:val="0"/>
              <w:rPr>
                <w:szCs w:val="21"/>
                <w:highlight w:val="none"/>
              </w:rPr>
            </w:pPr>
            <w:r>
              <w:rPr>
                <w:rFonts w:hint="eastAsia" w:hAnsi="宋体"/>
                <w:szCs w:val="21"/>
                <w:highlight w:val="none"/>
              </w:rPr>
              <w:t>联系人：</w:t>
            </w:r>
          </w:p>
        </w:tc>
        <w:tc>
          <w:tcPr>
            <w:tcW w:w="4743" w:type="dxa"/>
            <w:vAlign w:val="center"/>
          </w:tcPr>
          <w:p>
            <w:pPr>
              <w:snapToGrid w:val="0"/>
              <w:rPr>
                <w:szCs w:val="21"/>
                <w:highlight w:val="none"/>
              </w:rPr>
            </w:pPr>
            <w:r>
              <w:rPr>
                <w:rFonts w:hint="eastAsia" w:hAnsi="宋体"/>
                <w:szCs w:val="21"/>
                <w:highlight w:val="none"/>
              </w:rPr>
              <w:t>联系人：</w:t>
            </w:r>
          </w:p>
        </w:tc>
      </w:tr>
      <w:tr>
        <w:tblPrEx>
          <w:tblCellMar>
            <w:top w:w="0" w:type="dxa"/>
            <w:left w:w="108" w:type="dxa"/>
            <w:bottom w:w="0" w:type="dxa"/>
            <w:right w:w="108" w:type="dxa"/>
          </w:tblCellMar>
        </w:tblPrEx>
        <w:trPr>
          <w:trHeight w:val="1606" w:hRule="exact"/>
        </w:trPr>
        <w:tc>
          <w:tcPr>
            <w:tcW w:w="4995" w:type="dxa"/>
          </w:tcPr>
          <w:p>
            <w:pPr>
              <w:snapToGrid w:val="0"/>
              <w:rPr>
                <w:rFonts w:hAnsi="宋体"/>
                <w:szCs w:val="21"/>
                <w:highlight w:val="none"/>
              </w:rPr>
            </w:pPr>
            <w:r>
              <w:rPr>
                <w:rFonts w:hint="eastAsia" w:hAnsi="宋体"/>
                <w:szCs w:val="21"/>
                <w:highlight w:val="none"/>
              </w:rPr>
              <w:t>联系电话：</w:t>
            </w:r>
          </w:p>
          <w:p>
            <w:pPr>
              <w:snapToGrid w:val="0"/>
              <w:rPr>
                <w:rFonts w:hAnsi="宋体"/>
                <w:szCs w:val="21"/>
                <w:highlight w:val="none"/>
              </w:rPr>
            </w:pPr>
          </w:p>
          <w:p>
            <w:pPr>
              <w:snapToGrid w:val="0"/>
              <w:rPr>
                <w:rFonts w:hAnsi="宋体"/>
                <w:szCs w:val="21"/>
                <w:highlight w:val="none"/>
              </w:rPr>
            </w:pPr>
          </w:p>
          <w:p>
            <w:pPr>
              <w:snapToGrid w:val="0"/>
              <w:rPr>
                <w:rFonts w:hAnsi="宋体"/>
                <w:szCs w:val="21"/>
                <w:highlight w:val="none"/>
              </w:rPr>
            </w:pPr>
            <w:r>
              <w:rPr>
                <w:rFonts w:hint="eastAsia" w:hAnsi="宋体"/>
                <w:szCs w:val="21"/>
                <w:highlight w:val="none"/>
              </w:rPr>
              <w:t>地址：</w:t>
            </w:r>
          </w:p>
        </w:tc>
        <w:tc>
          <w:tcPr>
            <w:tcW w:w="4743" w:type="dxa"/>
          </w:tcPr>
          <w:p>
            <w:pPr>
              <w:snapToGrid w:val="0"/>
              <w:rPr>
                <w:rFonts w:hAnsi="宋体"/>
                <w:szCs w:val="21"/>
                <w:highlight w:val="none"/>
              </w:rPr>
            </w:pPr>
            <w:r>
              <w:rPr>
                <w:rFonts w:hint="eastAsia" w:hAnsi="宋体"/>
                <w:szCs w:val="21"/>
                <w:highlight w:val="none"/>
              </w:rPr>
              <w:t>联系电话：</w:t>
            </w:r>
          </w:p>
          <w:p>
            <w:pPr>
              <w:snapToGrid w:val="0"/>
              <w:rPr>
                <w:rFonts w:hAnsi="宋体"/>
                <w:szCs w:val="21"/>
                <w:highlight w:val="none"/>
              </w:rPr>
            </w:pPr>
          </w:p>
          <w:p>
            <w:pPr>
              <w:snapToGrid w:val="0"/>
              <w:rPr>
                <w:rFonts w:hAnsi="宋体"/>
                <w:szCs w:val="21"/>
                <w:highlight w:val="none"/>
              </w:rPr>
            </w:pPr>
          </w:p>
          <w:p>
            <w:pPr>
              <w:snapToGrid w:val="0"/>
              <w:rPr>
                <w:rFonts w:hAnsi="宋体"/>
                <w:szCs w:val="21"/>
                <w:highlight w:val="none"/>
              </w:rPr>
            </w:pPr>
            <w:r>
              <w:rPr>
                <w:rFonts w:hint="eastAsia" w:hAnsi="宋体"/>
                <w:szCs w:val="21"/>
                <w:highlight w:val="none"/>
              </w:rPr>
              <w:t>地址：</w:t>
            </w:r>
          </w:p>
          <w:p>
            <w:pPr>
              <w:snapToGrid w:val="0"/>
              <w:rPr>
                <w:rFonts w:hAnsi="宋体"/>
                <w:szCs w:val="21"/>
                <w:highlight w:val="none"/>
              </w:rPr>
            </w:pPr>
          </w:p>
        </w:tc>
      </w:tr>
      <w:tr>
        <w:tblPrEx>
          <w:tblCellMar>
            <w:top w:w="0" w:type="dxa"/>
            <w:left w:w="108" w:type="dxa"/>
            <w:bottom w:w="0" w:type="dxa"/>
            <w:right w:w="108" w:type="dxa"/>
          </w:tblCellMar>
        </w:tblPrEx>
        <w:trPr>
          <w:trHeight w:val="810" w:hRule="exact"/>
        </w:trPr>
        <w:tc>
          <w:tcPr>
            <w:tcW w:w="4995" w:type="dxa"/>
            <w:vAlign w:val="center"/>
          </w:tcPr>
          <w:p>
            <w:pPr>
              <w:snapToGrid w:val="0"/>
              <w:rPr>
                <w:szCs w:val="21"/>
                <w:highlight w:val="none"/>
              </w:rPr>
            </w:pPr>
            <w:r>
              <w:rPr>
                <w:rFonts w:hint="eastAsia" w:hAnsi="宋体"/>
                <w:szCs w:val="21"/>
                <w:highlight w:val="none"/>
              </w:rPr>
              <w:t>签订日期：年月   日</w:t>
            </w:r>
          </w:p>
        </w:tc>
        <w:tc>
          <w:tcPr>
            <w:tcW w:w="4743" w:type="dxa"/>
            <w:vAlign w:val="center"/>
          </w:tcPr>
          <w:p>
            <w:pPr>
              <w:snapToGrid w:val="0"/>
              <w:rPr>
                <w:szCs w:val="21"/>
                <w:highlight w:val="none"/>
              </w:rPr>
            </w:pPr>
            <w:r>
              <w:rPr>
                <w:rFonts w:hint="eastAsia" w:hAnsi="宋体"/>
                <w:szCs w:val="21"/>
                <w:highlight w:val="none"/>
              </w:rPr>
              <w:t>签订地点：广州市</w:t>
            </w:r>
          </w:p>
        </w:tc>
      </w:tr>
    </w:tbl>
    <w:p>
      <w:pPr>
        <w:jc w:val="both"/>
        <w:rPr>
          <w:bCs/>
          <w:sz w:val="28"/>
          <w:szCs w:val="28"/>
          <w:highlight w:val="none"/>
        </w:rPr>
      </w:pPr>
    </w:p>
    <w:p>
      <w:pPr>
        <w:pStyle w:val="4"/>
        <w:keepNext/>
        <w:keepLines/>
        <w:pageBreakBefore/>
        <w:numPr>
          <w:ilvl w:val="0"/>
          <w:numId w:val="9"/>
        </w:numPr>
        <w:tabs>
          <w:tab w:val="left" w:pos="1080"/>
        </w:tabs>
        <w:spacing w:line="360" w:lineRule="auto"/>
        <w:jc w:val="center"/>
        <w:rPr>
          <w:rFonts w:hAnsi="宋体" w:cs="宋体"/>
          <w:b/>
          <w:bCs/>
          <w:kern w:val="44"/>
          <w:sz w:val="32"/>
          <w:szCs w:val="32"/>
          <w:highlight w:val="none"/>
          <w:lang w:val="zh-CN"/>
        </w:rPr>
      </w:pPr>
      <w:r>
        <w:rPr>
          <w:rFonts w:hint="eastAsia" w:hAnsi="宋体" w:cs="宋体"/>
          <w:b/>
          <w:bCs/>
          <w:kern w:val="44"/>
          <w:sz w:val="32"/>
          <w:szCs w:val="32"/>
          <w:highlight w:val="none"/>
          <w:lang w:val="zh-CN"/>
        </w:rPr>
        <w:t>用户需求书</w:t>
      </w:r>
    </w:p>
    <w:p>
      <w:pPr>
        <w:spacing w:beforeLines="100" w:afterLines="100" w:line="480" w:lineRule="exact"/>
        <w:ind w:firstLine="562" w:firstLineChars="200"/>
        <w:outlineLvl w:val="1"/>
        <w:rPr>
          <w:rFonts w:ascii="黑体" w:hAnsi="黑体" w:eastAsia="黑体" w:cs="黑体"/>
          <w:b/>
          <w:bCs/>
          <w:sz w:val="28"/>
          <w:szCs w:val="28"/>
          <w:highlight w:val="none"/>
        </w:rPr>
      </w:pPr>
      <w:bookmarkStart w:id="13" w:name="_Toc14579"/>
      <w:r>
        <w:rPr>
          <w:rFonts w:hint="eastAsia" w:ascii="黑体" w:hAnsi="黑体" w:eastAsia="黑体" w:cs="黑体"/>
          <w:b/>
          <w:bCs/>
          <w:sz w:val="28"/>
          <w:szCs w:val="28"/>
          <w:highlight w:val="none"/>
        </w:rPr>
        <w:t>（一）项目概况</w:t>
      </w:r>
      <w:bookmarkEnd w:id="13"/>
    </w:p>
    <w:p>
      <w:pPr>
        <w:spacing w:line="480" w:lineRule="exact"/>
        <w:ind w:firstLine="560" w:firstLineChars="200"/>
        <w:rPr>
          <w:rFonts w:ascii="仿宋_GB2312" w:hAnsi="黑体" w:eastAsia="仿宋_GB2312"/>
          <w:sz w:val="28"/>
          <w:szCs w:val="28"/>
          <w:highlight w:val="none"/>
          <w:u w:val="single"/>
        </w:rPr>
      </w:pPr>
      <w:r>
        <w:rPr>
          <w:rFonts w:hint="eastAsia" w:ascii="仿宋_GB2312" w:hAnsi="仿宋_GB2312" w:eastAsia="仿宋_GB2312" w:cs="仿宋_GB2312"/>
          <w:iCs/>
          <w:sz w:val="28"/>
          <w:szCs w:val="28"/>
          <w:highlight w:val="none"/>
        </w:rPr>
        <w:t>为国家海洋局南海标准计量中心船舶配备船员，安排船员对船舶进行日常管理和操作，妥善管理甲方船舶，并根据需要开展相关岸基管理工作，保障船舶处于适航状态，满足自然资源部南海局职责工作需要。</w:t>
      </w:r>
    </w:p>
    <w:p>
      <w:pPr>
        <w:spacing w:beforeLines="100" w:afterLines="100" w:line="480" w:lineRule="exact"/>
        <w:ind w:firstLine="562" w:firstLineChars="200"/>
        <w:outlineLvl w:val="1"/>
        <w:rPr>
          <w:rFonts w:ascii="楷体_GB2312" w:hAnsi="楷体_GB2312" w:eastAsia="楷体_GB2312" w:cs="楷体_GB2312"/>
          <w:sz w:val="28"/>
          <w:szCs w:val="28"/>
          <w:highlight w:val="none"/>
        </w:rPr>
      </w:pPr>
      <w:bookmarkStart w:id="14" w:name="_Toc32249"/>
      <w:r>
        <w:rPr>
          <w:rFonts w:hint="eastAsia" w:ascii="黑体" w:hAnsi="黑体" w:eastAsia="黑体" w:cs="黑体"/>
          <w:b/>
          <w:bCs/>
          <w:sz w:val="28"/>
          <w:szCs w:val="28"/>
          <w:highlight w:val="none"/>
        </w:rPr>
        <w:t>（二）采购项目预（概）算</w:t>
      </w:r>
      <w:bookmarkEnd w:id="14"/>
    </w:p>
    <w:p>
      <w:pPr>
        <w:spacing w:line="480" w:lineRule="exact"/>
        <w:ind w:firstLine="560" w:firstLineChars="200"/>
        <w:rPr>
          <w:rFonts w:hint="eastAsia" w:ascii="楷体" w:hAnsi="楷体" w:eastAsia="楷体"/>
          <w:sz w:val="28"/>
          <w:szCs w:val="28"/>
          <w:highlight w:val="none"/>
        </w:rPr>
      </w:pPr>
      <w:r>
        <w:rPr>
          <w:rFonts w:ascii="楷体" w:hAnsi="楷体" w:eastAsia="楷体"/>
          <w:sz w:val="28"/>
          <w:szCs w:val="28"/>
          <w:highlight w:val="none"/>
        </w:rPr>
        <w:t>总预算</w:t>
      </w:r>
      <w:r>
        <w:rPr>
          <w:rFonts w:hint="eastAsia" w:ascii="楷体" w:hAnsi="楷体" w:eastAsia="楷体"/>
          <w:sz w:val="28"/>
          <w:szCs w:val="28"/>
          <w:highlight w:val="none"/>
        </w:rPr>
        <w:t>：不超过</w:t>
      </w:r>
      <w:r>
        <w:rPr>
          <w:rFonts w:hint="eastAsia" w:ascii="仿宋_GB2312" w:hAnsi="仿宋_GB2312" w:eastAsia="仿宋_GB2312" w:cs="仿宋_GB2312"/>
          <w:iCs/>
          <w:sz w:val="28"/>
          <w:szCs w:val="28"/>
          <w:highlight w:val="none"/>
          <w:u w:val="single"/>
        </w:rPr>
        <w:t>￥</w:t>
      </w:r>
      <w:r>
        <w:rPr>
          <w:rFonts w:hint="eastAsia" w:ascii="楷体" w:hAnsi="楷体" w:eastAsia="楷体"/>
          <w:sz w:val="28"/>
          <w:szCs w:val="28"/>
          <w:highlight w:val="none"/>
          <w:u w:val="single"/>
        </w:rPr>
        <w:t>1623.97万元</w:t>
      </w:r>
      <w:r>
        <w:rPr>
          <w:rFonts w:hint="eastAsia" w:ascii="楷体" w:hAnsi="楷体" w:eastAsia="楷体"/>
          <w:sz w:val="28"/>
          <w:szCs w:val="28"/>
          <w:highlight w:val="none"/>
        </w:rPr>
        <w:t>。</w:t>
      </w:r>
    </w:p>
    <w:p>
      <w:pPr>
        <w:spacing w:line="480" w:lineRule="exact"/>
        <w:ind w:firstLine="560" w:firstLineChars="200"/>
        <w:rPr>
          <w:rFonts w:hint="eastAsia" w:ascii="仿宋_GB2312" w:hAnsi="仿宋_GB2312" w:eastAsia="仿宋_GB2312" w:cs="仿宋_GB2312"/>
          <w:iCs/>
          <w:sz w:val="28"/>
          <w:szCs w:val="28"/>
          <w:highlight w:val="none"/>
        </w:rPr>
      </w:pPr>
      <w:r>
        <w:rPr>
          <w:rFonts w:hint="eastAsia" w:ascii="仿宋_GB2312" w:hAnsi="仿宋_GB2312" w:eastAsia="仿宋_GB2312" w:cs="仿宋_GB2312"/>
          <w:iCs/>
          <w:sz w:val="28"/>
          <w:szCs w:val="28"/>
          <w:highlight w:val="none"/>
          <w:lang w:val="en-US" w:eastAsia="zh-CN"/>
        </w:rPr>
        <w:t>注：</w:t>
      </w:r>
      <w:r>
        <w:rPr>
          <w:rFonts w:hint="eastAsia" w:ascii="仿宋_GB2312" w:hAnsi="仿宋_GB2312" w:eastAsia="仿宋_GB2312" w:cs="仿宋_GB2312"/>
          <w:iCs/>
          <w:sz w:val="28"/>
          <w:szCs w:val="28"/>
          <w:highlight w:val="none"/>
        </w:rPr>
        <w:t>本项目执行金额达到</w:t>
      </w:r>
      <w:r>
        <w:rPr>
          <w:rFonts w:hint="eastAsia" w:ascii="仿宋_GB2312" w:hAnsi="仿宋_GB2312" w:eastAsia="仿宋_GB2312" w:cs="仿宋_GB2312"/>
          <w:iCs/>
          <w:sz w:val="28"/>
          <w:szCs w:val="28"/>
          <w:highlight w:val="none"/>
          <w:lang w:eastAsia="zh-CN"/>
        </w:rPr>
        <w:t>总</w:t>
      </w:r>
      <w:r>
        <w:rPr>
          <w:rFonts w:hint="eastAsia" w:ascii="仿宋_GB2312" w:hAnsi="仿宋_GB2312" w:eastAsia="仿宋_GB2312" w:cs="仿宋_GB2312"/>
          <w:iCs/>
          <w:sz w:val="28"/>
          <w:szCs w:val="28"/>
          <w:highlight w:val="none"/>
          <w:lang w:val="en-US" w:eastAsia="zh-CN"/>
        </w:rPr>
        <w:t>预算</w:t>
      </w:r>
      <w:r>
        <w:rPr>
          <w:rFonts w:hint="eastAsia" w:ascii="仿宋_GB2312" w:hAnsi="仿宋_GB2312" w:eastAsia="仿宋_GB2312" w:cs="仿宋_GB2312"/>
          <w:iCs/>
          <w:sz w:val="28"/>
          <w:szCs w:val="28"/>
          <w:highlight w:val="none"/>
        </w:rPr>
        <w:t>时，合同自动终止；或本项目执行时间到2023年12月31日时，无论执行金额是否达到</w:t>
      </w:r>
      <w:r>
        <w:rPr>
          <w:rFonts w:hint="eastAsia" w:ascii="仿宋_GB2312" w:hAnsi="仿宋_GB2312" w:eastAsia="仿宋_GB2312" w:cs="仿宋_GB2312"/>
          <w:iCs/>
          <w:sz w:val="28"/>
          <w:szCs w:val="28"/>
          <w:highlight w:val="none"/>
          <w:lang w:eastAsia="zh-CN"/>
        </w:rPr>
        <w:t>总预算</w:t>
      </w:r>
      <w:r>
        <w:rPr>
          <w:rFonts w:hint="eastAsia" w:ascii="仿宋_GB2312" w:hAnsi="仿宋_GB2312" w:eastAsia="仿宋_GB2312" w:cs="仿宋_GB2312"/>
          <w:iCs/>
          <w:sz w:val="28"/>
          <w:szCs w:val="28"/>
          <w:highlight w:val="none"/>
        </w:rPr>
        <w:t>，合同均自动终止。</w:t>
      </w:r>
    </w:p>
    <w:p>
      <w:pPr>
        <w:pStyle w:val="2"/>
        <w:spacing w:beforeLines="100" w:afterLines="100"/>
        <w:ind w:firstLine="562" w:firstLineChars="200"/>
        <w:outlineLvl w:val="1"/>
        <w:rPr>
          <w:rFonts w:ascii="黑体" w:hAnsi="黑体" w:eastAsia="黑体" w:cs="黑体"/>
          <w:b/>
          <w:bCs/>
          <w:sz w:val="28"/>
          <w:szCs w:val="28"/>
          <w:highlight w:val="none"/>
        </w:rPr>
      </w:pPr>
      <w:bookmarkStart w:id="15" w:name="_Toc11849"/>
      <w:r>
        <w:rPr>
          <w:rFonts w:hint="eastAsia" w:ascii="黑体" w:hAnsi="黑体" w:eastAsia="黑体" w:cs="黑体"/>
          <w:b/>
          <w:bCs/>
          <w:sz w:val="28"/>
          <w:szCs w:val="28"/>
          <w:highlight w:val="none"/>
        </w:rPr>
        <w:t>（三）服务期限</w:t>
      </w:r>
      <w:bookmarkEnd w:id="15"/>
    </w:p>
    <w:p>
      <w:pPr>
        <w:pStyle w:val="2"/>
        <w:ind w:firstLine="560" w:firstLineChars="200"/>
        <w:rPr>
          <w:rFonts w:ascii="仿宋_GB2312" w:hAnsi="仿宋_GB2312" w:eastAsia="仿宋_GB2312" w:cs="仿宋_GB2312"/>
          <w:iCs/>
          <w:sz w:val="28"/>
          <w:szCs w:val="28"/>
          <w:highlight w:val="none"/>
        </w:rPr>
      </w:pPr>
      <w:r>
        <w:rPr>
          <w:rFonts w:hint="eastAsia" w:ascii="仿宋_GB2312" w:hAnsi="仿宋_GB2312" w:eastAsia="仿宋_GB2312" w:cs="仿宋_GB2312"/>
          <w:iCs/>
          <w:sz w:val="28"/>
          <w:szCs w:val="28"/>
          <w:highlight w:val="none"/>
        </w:rPr>
        <w:t>合同服务期限</w:t>
      </w:r>
      <w:r>
        <w:rPr>
          <w:rFonts w:hint="eastAsia" w:ascii="仿宋_GB2312" w:hAnsi="仿宋_GB2312" w:eastAsia="仿宋_GB2312" w:cs="仿宋_GB2312"/>
          <w:iCs/>
          <w:sz w:val="28"/>
          <w:szCs w:val="28"/>
          <w:highlight w:val="none"/>
          <w:lang w:val="zh-CN"/>
        </w:rPr>
        <w:t>至202</w:t>
      </w:r>
      <w:r>
        <w:rPr>
          <w:rFonts w:hint="eastAsia" w:ascii="仿宋_GB2312" w:hAnsi="仿宋_GB2312" w:eastAsia="仿宋_GB2312" w:cs="仿宋_GB2312"/>
          <w:iCs/>
          <w:sz w:val="28"/>
          <w:szCs w:val="28"/>
          <w:highlight w:val="none"/>
        </w:rPr>
        <w:t>3</w:t>
      </w:r>
      <w:r>
        <w:rPr>
          <w:rFonts w:hint="eastAsia" w:ascii="仿宋_GB2312" w:hAnsi="仿宋_GB2312" w:eastAsia="仿宋_GB2312" w:cs="仿宋_GB2312"/>
          <w:iCs/>
          <w:sz w:val="28"/>
          <w:szCs w:val="28"/>
          <w:highlight w:val="none"/>
          <w:lang w:val="zh-CN"/>
        </w:rPr>
        <w:t>年</w:t>
      </w:r>
      <w:r>
        <w:rPr>
          <w:rFonts w:hint="eastAsia" w:ascii="仿宋_GB2312" w:hAnsi="仿宋_GB2312" w:eastAsia="仿宋_GB2312" w:cs="仿宋_GB2312"/>
          <w:iCs/>
          <w:sz w:val="28"/>
          <w:szCs w:val="28"/>
          <w:highlight w:val="none"/>
        </w:rPr>
        <w:t>12</w:t>
      </w:r>
      <w:r>
        <w:rPr>
          <w:rFonts w:hint="eastAsia" w:ascii="仿宋_GB2312" w:hAnsi="仿宋_GB2312" w:eastAsia="仿宋_GB2312" w:cs="仿宋_GB2312"/>
          <w:iCs/>
          <w:sz w:val="28"/>
          <w:szCs w:val="28"/>
          <w:highlight w:val="none"/>
          <w:lang w:val="zh-CN"/>
        </w:rPr>
        <w:t>月</w:t>
      </w:r>
      <w:r>
        <w:rPr>
          <w:rFonts w:hint="eastAsia" w:ascii="仿宋_GB2312" w:hAnsi="仿宋_GB2312" w:eastAsia="仿宋_GB2312" w:cs="仿宋_GB2312"/>
          <w:iCs/>
          <w:sz w:val="28"/>
          <w:szCs w:val="28"/>
          <w:highlight w:val="none"/>
        </w:rPr>
        <w:t>31</w:t>
      </w:r>
      <w:r>
        <w:rPr>
          <w:rFonts w:hint="eastAsia" w:ascii="仿宋_GB2312" w:hAnsi="仿宋_GB2312" w:eastAsia="仿宋_GB2312" w:cs="仿宋_GB2312"/>
          <w:iCs/>
          <w:sz w:val="28"/>
          <w:szCs w:val="28"/>
          <w:highlight w:val="none"/>
          <w:lang w:val="zh-CN"/>
        </w:rPr>
        <w:t>日</w:t>
      </w:r>
      <w:r>
        <w:rPr>
          <w:rFonts w:hint="eastAsia" w:ascii="仿宋_GB2312" w:hAnsi="仿宋_GB2312" w:eastAsia="仿宋_GB2312" w:cs="仿宋_GB2312"/>
          <w:iCs/>
          <w:sz w:val="28"/>
          <w:szCs w:val="28"/>
          <w:highlight w:val="none"/>
        </w:rPr>
        <w:t>,具体按正式合同签订之日起计算。</w:t>
      </w:r>
    </w:p>
    <w:p>
      <w:pPr>
        <w:spacing w:beforeLines="100" w:afterLines="100" w:line="480" w:lineRule="exact"/>
        <w:ind w:firstLine="562" w:firstLineChars="200"/>
        <w:outlineLvl w:val="1"/>
        <w:rPr>
          <w:rFonts w:ascii="黑体" w:hAnsi="黑体" w:eastAsia="黑体" w:cs="黑体"/>
          <w:b/>
          <w:bCs/>
          <w:sz w:val="28"/>
          <w:szCs w:val="28"/>
          <w:highlight w:val="none"/>
        </w:rPr>
      </w:pPr>
      <w:bookmarkStart w:id="16" w:name="_Toc31455"/>
      <w:r>
        <w:rPr>
          <w:rFonts w:hint="eastAsia" w:ascii="黑体" w:hAnsi="黑体" w:eastAsia="黑体" w:cs="黑体"/>
          <w:b/>
          <w:bCs/>
          <w:sz w:val="28"/>
          <w:szCs w:val="28"/>
          <w:highlight w:val="none"/>
        </w:rPr>
        <w:t>（四）采购内容</w:t>
      </w:r>
      <w:bookmarkEnd w:id="16"/>
    </w:p>
    <w:tbl>
      <w:tblPr>
        <w:tblStyle w:val="49"/>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2699"/>
        <w:gridCol w:w="809"/>
        <w:gridCol w:w="1498"/>
        <w:gridCol w:w="1857"/>
        <w:gridCol w:w="980"/>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913" w:type="dxa"/>
            <w:vAlign w:val="center"/>
          </w:tcPr>
          <w:p>
            <w:pPr>
              <w:spacing w:line="460" w:lineRule="exact"/>
              <w:jc w:val="center"/>
              <w:rPr>
                <w:rFonts w:ascii="仿宋" w:hAnsi="仿宋" w:eastAsia="仿宋"/>
                <w:b/>
                <w:sz w:val="28"/>
                <w:szCs w:val="28"/>
                <w:highlight w:val="none"/>
              </w:rPr>
            </w:pPr>
            <w:r>
              <w:rPr>
                <w:rFonts w:hint="eastAsia" w:ascii="仿宋" w:hAnsi="仿宋" w:eastAsia="仿宋"/>
                <w:b/>
                <w:sz w:val="28"/>
                <w:szCs w:val="28"/>
                <w:highlight w:val="none"/>
              </w:rPr>
              <w:t>序号</w:t>
            </w:r>
          </w:p>
        </w:tc>
        <w:tc>
          <w:tcPr>
            <w:tcW w:w="2699" w:type="dxa"/>
            <w:vAlign w:val="center"/>
          </w:tcPr>
          <w:p>
            <w:pPr>
              <w:spacing w:line="460" w:lineRule="exact"/>
              <w:jc w:val="center"/>
              <w:rPr>
                <w:rFonts w:ascii="仿宋" w:hAnsi="仿宋" w:eastAsia="仿宋"/>
                <w:b/>
                <w:sz w:val="28"/>
                <w:szCs w:val="28"/>
                <w:highlight w:val="none"/>
              </w:rPr>
            </w:pPr>
            <w:r>
              <w:rPr>
                <w:rFonts w:hint="eastAsia" w:ascii="仿宋" w:hAnsi="仿宋" w:eastAsia="仿宋"/>
                <w:b/>
                <w:sz w:val="28"/>
                <w:szCs w:val="28"/>
                <w:highlight w:val="none"/>
              </w:rPr>
              <w:t>标的名称</w:t>
            </w:r>
          </w:p>
        </w:tc>
        <w:tc>
          <w:tcPr>
            <w:tcW w:w="809" w:type="dxa"/>
            <w:vAlign w:val="center"/>
          </w:tcPr>
          <w:p>
            <w:pPr>
              <w:spacing w:line="460" w:lineRule="exact"/>
              <w:jc w:val="center"/>
              <w:rPr>
                <w:rFonts w:ascii="仿宋" w:hAnsi="仿宋" w:eastAsia="仿宋"/>
                <w:b/>
                <w:sz w:val="28"/>
                <w:szCs w:val="28"/>
                <w:highlight w:val="none"/>
              </w:rPr>
            </w:pPr>
            <w:r>
              <w:rPr>
                <w:rFonts w:hint="eastAsia" w:ascii="仿宋" w:hAnsi="仿宋" w:eastAsia="仿宋"/>
                <w:b/>
                <w:sz w:val="28"/>
                <w:szCs w:val="28"/>
                <w:highlight w:val="none"/>
              </w:rPr>
              <w:t>数量</w:t>
            </w:r>
          </w:p>
        </w:tc>
        <w:tc>
          <w:tcPr>
            <w:tcW w:w="1498" w:type="dxa"/>
            <w:vAlign w:val="center"/>
          </w:tcPr>
          <w:p>
            <w:pPr>
              <w:spacing w:line="460" w:lineRule="exact"/>
              <w:jc w:val="center"/>
              <w:rPr>
                <w:rFonts w:ascii="仿宋" w:hAnsi="仿宋" w:eastAsia="仿宋"/>
                <w:b/>
                <w:sz w:val="28"/>
                <w:szCs w:val="28"/>
                <w:highlight w:val="none"/>
              </w:rPr>
            </w:pPr>
            <w:r>
              <w:rPr>
                <w:rFonts w:hint="eastAsia" w:ascii="仿宋" w:hAnsi="仿宋" w:eastAsia="仿宋"/>
                <w:b/>
                <w:sz w:val="28"/>
                <w:szCs w:val="28"/>
                <w:highlight w:val="none"/>
              </w:rPr>
              <w:t>计量</w:t>
            </w:r>
          </w:p>
          <w:p>
            <w:pPr>
              <w:spacing w:line="460" w:lineRule="exact"/>
              <w:jc w:val="center"/>
              <w:rPr>
                <w:rFonts w:ascii="仿宋" w:hAnsi="仿宋" w:eastAsia="仿宋"/>
                <w:b/>
                <w:sz w:val="28"/>
                <w:szCs w:val="28"/>
                <w:highlight w:val="none"/>
              </w:rPr>
            </w:pPr>
            <w:r>
              <w:rPr>
                <w:rFonts w:hint="eastAsia" w:ascii="仿宋" w:hAnsi="仿宋" w:eastAsia="仿宋"/>
                <w:b/>
                <w:sz w:val="28"/>
                <w:szCs w:val="28"/>
                <w:highlight w:val="none"/>
              </w:rPr>
              <w:t>单位</w:t>
            </w:r>
          </w:p>
        </w:tc>
        <w:tc>
          <w:tcPr>
            <w:tcW w:w="1857" w:type="dxa"/>
            <w:vAlign w:val="center"/>
          </w:tcPr>
          <w:p>
            <w:pPr>
              <w:spacing w:line="460" w:lineRule="exact"/>
              <w:jc w:val="center"/>
              <w:rPr>
                <w:rFonts w:ascii="仿宋" w:hAnsi="仿宋" w:eastAsia="仿宋"/>
                <w:b/>
                <w:sz w:val="28"/>
                <w:szCs w:val="28"/>
                <w:highlight w:val="none"/>
              </w:rPr>
            </w:pPr>
            <w:r>
              <w:rPr>
                <w:rFonts w:hint="eastAsia" w:ascii="仿宋" w:hAnsi="仿宋" w:eastAsia="仿宋"/>
                <w:b/>
                <w:sz w:val="28"/>
                <w:szCs w:val="28"/>
                <w:highlight w:val="none"/>
              </w:rPr>
              <w:t>单价（万元）</w:t>
            </w:r>
          </w:p>
        </w:tc>
        <w:tc>
          <w:tcPr>
            <w:tcW w:w="980" w:type="dxa"/>
            <w:vAlign w:val="center"/>
          </w:tcPr>
          <w:p>
            <w:pPr>
              <w:spacing w:line="460" w:lineRule="exact"/>
              <w:jc w:val="center"/>
              <w:rPr>
                <w:rFonts w:ascii="仿宋" w:hAnsi="仿宋" w:eastAsia="仿宋"/>
                <w:b/>
                <w:sz w:val="28"/>
                <w:szCs w:val="28"/>
                <w:highlight w:val="none"/>
              </w:rPr>
            </w:pPr>
            <w:r>
              <w:rPr>
                <w:rFonts w:hint="eastAsia" w:ascii="仿宋" w:hAnsi="仿宋" w:eastAsia="仿宋"/>
                <w:b/>
                <w:sz w:val="28"/>
                <w:szCs w:val="28"/>
                <w:highlight w:val="none"/>
              </w:rPr>
              <w:t>是否进口</w:t>
            </w:r>
          </w:p>
        </w:tc>
        <w:tc>
          <w:tcPr>
            <w:tcW w:w="980" w:type="dxa"/>
            <w:vAlign w:val="center"/>
          </w:tcPr>
          <w:p>
            <w:pPr>
              <w:spacing w:line="460" w:lineRule="exact"/>
              <w:jc w:val="center"/>
              <w:rPr>
                <w:rFonts w:ascii="仿宋" w:hAnsi="仿宋" w:eastAsia="仿宋"/>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13" w:type="dxa"/>
            <w:vAlign w:val="center"/>
          </w:tcPr>
          <w:p>
            <w:pPr>
              <w:snapToGrid w:val="0"/>
              <w:spacing w:line="460" w:lineRule="exact"/>
              <w:jc w:val="center"/>
              <w:rPr>
                <w:rFonts w:ascii="仿宋" w:hAnsi="仿宋" w:eastAsia="仿宋"/>
                <w:sz w:val="28"/>
                <w:szCs w:val="28"/>
                <w:highlight w:val="none"/>
              </w:rPr>
            </w:pPr>
            <w:r>
              <w:rPr>
                <w:rFonts w:hint="eastAsia" w:ascii="仿宋" w:hAnsi="仿宋" w:eastAsia="仿宋"/>
                <w:sz w:val="28"/>
                <w:szCs w:val="28"/>
                <w:highlight w:val="none"/>
              </w:rPr>
              <w:t>1</w:t>
            </w:r>
          </w:p>
        </w:tc>
        <w:tc>
          <w:tcPr>
            <w:tcW w:w="2699" w:type="dxa"/>
            <w:vAlign w:val="center"/>
          </w:tcPr>
          <w:p>
            <w:pPr>
              <w:snapToGrid w:val="0"/>
              <w:spacing w:line="460" w:lineRule="exact"/>
              <w:jc w:val="center"/>
              <w:rPr>
                <w:rFonts w:ascii="仿宋" w:hAnsi="仿宋" w:eastAsia="仿宋"/>
                <w:iCs/>
                <w:sz w:val="28"/>
                <w:szCs w:val="28"/>
                <w:highlight w:val="none"/>
              </w:rPr>
            </w:pPr>
            <w:r>
              <w:rPr>
                <w:rFonts w:hint="eastAsia" w:ascii="仿宋" w:hAnsi="仿宋" w:eastAsia="仿宋"/>
                <w:iCs/>
                <w:sz w:val="28"/>
                <w:szCs w:val="28"/>
                <w:highlight w:val="none"/>
              </w:rPr>
              <w:t>国家海洋局南海标准计量中心2023年船员服务</w:t>
            </w:r>
          </w:p>
          <w:p>
            <w:pPr>
              <w:snapToGrid w:val="0"/>
              <w:spacing w:line="460" w:lineRule="exact"/>
              <w:jc w:val="center"/>
              <w:rPr>
                <w:rFonts w:ascii="仿宋" w:hAnsi="仿宋" w:eastAsia="仿宋"/>
                <w:iCs/>
                <w:sz w:val="28"/>
                <w:szCs w:val="28"/>
                <w:highlight w:val="none"/>
              </w:rPr>
            </w:pPr>
            <w:r>
              <w:rPr>
                <w:rFonts w:hint="eastAsia" w:ascii="仿宋" w:hAnsi="仿宋" w:eastAsia="仿宋"/>
                <w:iCs/>
                <w:sz w:val="28"/>
                <w:szCs w:val="28"/>
                <w:highlight w:val="none"/>
              </w:rPr>
              <w:t>采购项目</w:t>
            </w:r>
          </w:p>
        </w:tc>
        <w:tc>
          <w:tcPr>
            <w:tcW w:w="809" w:type="dxa"/>
            <w:vAlign w:val="center"/>
          </w:tcPr>
          <w:p>
            <w:pPr>
              <w:snapToGrid w:val="0"/>
              <w:spacing w:line="460" w:lineRule="exact"/>
              <w:jc w:val="center"/>
              <w:rPr>
                <w:rFonts w:ascii="仿宋" w:hAnsi="仿宋" w:eastAsia="仿宋"/>
                <w:sz w:val="28"/>
                <w:szCs w:val="28"/>
                <w:highlight w:val="none"/>
              </w:rPr>
            </w:pPr>
            <w:r>
              <w:rPr>
                <w:rFonts w:hint="eastAsia" w:ascii="仿宋" w:hAnsi="仿宋" w:eastAsia="仿宋"/>
                <w:sz w:val="28"/>
                <w:szCs w:val="28"/>
                <w:highlight w:val="none"/>
              </w:rPr>
              <w:t>1</w:t>
            </w:r>
          </w:p>
        </w:tc>
        <w:tc>
          <w:tcPr>
            <w:tcW w:w="1498" w:type="dxa"/>
            <w:vAlign w:val="center"/>
          </w:tcPr>
          <w:p>
            <w:pPr>
              <w:snapToGrid w:val="0"/>
              <w:spacing w:line="460" w:lineRule="exact"/>
              <w:jc w:val="center"/>
              <w:rPr>
                <w:rFonts w:ascii="仿宋" w:hAnsi="仿宋" w:eastAsia="仿宋"/>
                <w:sz w:val="28"/>
                <w:szCs w:val="28"/>
                <w:highlight w:val="none"/>
              </w:rPr>
            </w:pPr>
            <w:r>
              <w:rPr>
                <w:rFonts w:hint="eastAsia" w:ascii="仿宋" w:hAnsi="仿宋" w:eastAsia="仿宋"/>
                <w:sz w:val="28"/>
                <w:szCs w:val="28"/>
                <w:highlight w:val="none"/>
              </w:rPr>
              <w:t>项</w:t>
            </w:r>
          </w:p>
        </w:tc>
        <w:tc>
          <w:tcPr>
            <w:tcW w:w="1857" w:type="dxa"/>
            <w:vAlign w:val="center"/>
          </w:tcPr>
          <w:p>
            <w:pPr>
              <w:snapToGrid w:val="0"/>
              <w:spacing w:line="460" w:lineRule="exact"/>
              <w:jc w:val="center"/>
              <w:rPr>
                <w:rFonts w:ascii="仿宋" w:hAnsi="仿宋" w:eastAsia="仿宋"/>
                <w:sz w:val="28"/>
                <w:szCs w:val="28"/>
                <w:highlight w:val="none"/>
              </w:rPr>
            </w:pPr>
            <w:r>
              <w:rPr>
                <w:rFonts w:hint="eastAsia" w:ascii="楷体" w:hAnsi="楷体" w:eastAsia="楷体"/>
                <w:sz w:val="28"/>
                <w:szCs w:val="28"/>
                <w:highlight w:val="none"/>
                <w:u w:val="single"/>
              </w:rPr>
              <w:t>1623.97</w:t>
            </w:r>
          </w:p>
        </w:tc>
        <w:tc>
          <w:tcPr>
            <w:tcW w:w="980" w:type="dxa"/>
            <w:vAlign w:val="center"/>
          </w:tcPr>
          <w:p>
            <w:pPr>
              <w:snapToGrid w:val="0"/>
              <w:spacing w:line="460" w:lineRule="exact"/>
              <w:jc w:val="center"/>
              <w:rPr>
                <w:rFonts w:ascii="仿宋" w:hAnsi="仿宋" w:eastAsia="仿宋"/>
                <w:sz w:val="28"/>
                <w:szCs w:val="28"/>
                <w:highlight w:val="none"/>
              </w:rPr>
            </w:pPr>
            <w:r>
              <w:rPr>
                <w:rFonts w:hint="eastAsia" w:ascii="仿宋" w:hAnsi="仿宋" w:eastAsia="仿宋"/>
                <w:sz w:val="28"/>
                <w:szCs w:val="28"/>
                <w:highlight w:val="none"/>
              </w:rPr>
              <w:t>否</w:t>
            </w:r>
          </w:p>
        </w:tc>
        <w:tc>
          <w:tcPr>
            <w:tcW w:w="980" w:type="dxa"/>
            <w:vAlign w:val="center"/>
          </w:tcPr>
          <w:p>
            <w:pPr>
              <w:snapToGrid w:val="0"/>
              <w:spacing w:line="460" w:lineRule="exact"/>
              <w:jc w:val="center"/>
              <w:rPr>
                <w:rFonts w:ascii="仿宋" w:hAnsi="仿宋" w:eastAsia="仿宋"/>
                <w:sz w:val="28"/>
                <w:szCs w:val="28"/>
                <w:highlight w:val="none"/>
              </w:rPr>
            </w:pPr>
          </w:p>
        </w:tc>
      </w:tr>
    </w:tbl>
    <w:p>
      <w:pPr>
        <w:spacing w:line="480" w:lineRule="exact"/>
        <w:ind w:firstLine="562" w:firstLineChars="200"/>
        <w:rPr>
          <w:rFonts w:ascii="黑体" w:hAnsi="黑体" w:eastAsia="黑体" w:cs="黑体"/>
          <w:b/>
          <w:bCs/>
          <w:sz w:val="28"/>
          <w:szCs w:val="28"/>
          <w:highlight w:val="none"/>
        </w:rPr>
      </w:pPr>
      <w:bookmarkStart w:id="17" w:name="_Toc10619"/>
      <w:r>
        <w:rPr>
          <w:rFonts w:hint="eastAsia" w:ascii="黑体" w:hAnsi="黑体" w:eastAsia="黑体" w:cs="黑体"/>
          <w:b/>
          <w:bCs/>
          <w:sz w:val="28"/>
          <w:szCs w:val="28"/>
          <w:highlight w:val="none"/>
        </w:rPr>
        <w:t>（五）投标报价要求</w:t>
      </w:r>
    </w:p>
    <w:p>
      <w:pPr>
        <w:tabs>
          <w:tab w:val="left" w:pos="709"/>
        </w:tabs>
        <w:spacing w:beforeLines="50" w:afterLines="50" w:line="360" w:lineRule="auto"/>
        <w:outlineLvl w:val="2"/>
        <w:rPr>
          <w:rFonts w:ascii="仿宋" w:hAnsi="仿宋" w:eastAsia="仿宋" w:cs="仿宋"/>
          <w:b/>
          <w:bCs/>
          <w:sz w:val="28"/>
          <w:szCs w:val="28"/>
          <w:highlight w:val="none"/>
        </w:rPr>
      </w:pPr>
      <w:r>
        <w:rPr>
          <w:rFonts w:hint="eastAsia" w:ascii="仿宋" w:hAnsi="仿宋" w:eastAsia="仿宋" w:cs="仿宋"/>
          <w:b/>
          <w:bCs/>
          <w:sz w:val="28"/>
          <w:szCs w:val="28"/>
          <w:highlight w:val="none"/>
        </w:rPr>
        <w:t>1.投标报价</w:t>
      </w:r>
    </w:p>
    <w:p>
      <w:pPr>
        <w:pStyle w:val="98"/>
        <w:spacing w:line="560" w:lineRule="exact"/>
        <w:ind w:firstLine="0" w:firstLineChars="0"/>
        <w:rPr>
          <w:rFonts w:ascii="仿宋" w:hAnsi="仿宋" w:eastAsia="仿宋" w:cs="仿宋"/>
          <w:sz w:val="24"/>
          <w:highlight w:val="none"/>
        </w:rPr>
      </w:pPr>
      <w:r>
        <w:rPr>
          <w:rFonts w:hint="eastAsia" w:ascii="仿宋" w:hAnsi="仿宋" w:eastAsia="仿宋" w:cs="仿宋"/>
          <w:sz w:val="24"/>
          <w:highlight w:val="none"/>
        </w:rPr>
        <w:t>1.1  本项目投标报价为完成本次采购服务项目而产生的所有费用（招标文件约定由采购人支付的费用除外），投标报价为含税报价，包含（但不限于）船员成本费用及管理费。</w:t>
      </w:r>
    </w:p>
    <w:p>
      <w:pPr>
        <w:pStyle w:val="98"/>
        <w:spacing w:line="560" w:lineRule="exact"/>
        <w:ind w:firstLine="480"/>
        <w:rPr>
          <w:rFonts w:ascii="仿宋" w:hAnsi="仿宋" w:eastAsia="仿宋" w:cs="仿宋"/>
          <w:sz w:val="24"/>
          <w:highlight w:val="none"/>
        </w:rPr>
      </w:pPr>
      <w:r>
        <w:rPr>
          <w:rFonts w:hint="eastAsia" w:ascii="仿宋" w:hAnsi="仿宋" w:eastAsia="仿宋" w:cs="仿宋"/>
          <w:sz w:val="24"/>
          <w:highlight w:val="none"/>
        </w:rPr>
        <w:t>船员成本费用包括船员的工资、待遇、社保、公积金等费用。</w:t>
      </w:r>
    </w:p>
    <w:p>
      <w:pPr>
        <w:pStyle w:val="98"/>
        <w:spacing w:line="560" w:lineRule="exact"/>
        <w:ind w:firstLine="480"/>
        <w:rPr>
          <w:rFonts w:ascii="仿宋" w:hAnsi="仿宋" w:eastAsia="仿宋" w:cs="仿宋"/>
          <w:sz w:val="24"/>
          <w:highlight w:val="none"/>
        </w:rPr>
      </w:pPr>
      <w:r>
        <w:rPr>
          <w:rFonts w:hint="eastAsia" w:ascii="仿宋" w:hAnsi="仿宋" w:eastAsia="仿宋" w:cs="仿宋"/>
          <w:sz w:val="24"/>
          <w:highlight w:val="none"/>
        </w:rPr>
        <w:t>管理费包含（但不限于）提供本服务的管理费用（包含：用工手续办理、人员工资发放、劳保福利和社会劳动保险的缴纳、计划生育管理费、残疾人就业保障金、上下船路费、向采购人开具的发票税金等劳动用工管理及完成本项目所产生的全部费用）、风险费用及企业利润等全部费用。管理费报价不能高于实际发生船员成本费用总额的15%。</w:t>
      </w:r>
    </w:p>
    <w:p>
      <w:pPr>
        <w:pStyle w:val="98"/>
        <w:spacing w:line="560" w:lineRule="exact"/>
        <w:ind w:firstLine="0" w:firstLineChars="0"/>
        <w:rPr>
          <w:rFonts w:ascii="仿宋" w:hAnsi="仿宋" w:eastAsia="仿宋" w:cs="仿宋"/>
          <w:sz w:val="24"/>
          <w:highlight w:val="none"/>
        </w:rPr>
      </w:pPr>
      <w:r>
        <w:rPr>
          <w:rFonts w:hint="eastAsia" w:ascii="仿宋" w:hAnsi="仿宋" w:eastAsia="仿宋" w:cs="仿宋"/>
          <w:sz w:val="24"/>
          <w:highlight w:val="none"/>
        </w:rPr>
        <w:t>1.2  本项目的投标报价不包含船员出海补助、伙食费用，船员出海补助由采购人直接支付给中标人船员，伙食费用按照采购人规定执行。</w:t>
      </w:r>
    </w:p>
    <w:p>
      <w:pPr>
        <w:pStyle w:val="98"/>
        <w:spacing w:line="560" w:lineRule="exact"/>
        <w:ind w:firstLine="480"/>
        <w:rPr>
          <w:rFonts w:ascii="仿宋" w:hAnsi="仿宋" w:eastAsia="仿宋" w:cs="仿宋"/>
          <w:sz w:val="24"/>
          <w:highlight w:val="none"/>
        </w:rPr>
      </w:pPr>
      <w:r>
        <w:rPr>
          <w:rFonts w:hint="eastAsia" w:ascii="仿宋" w:hAnsi="仿宋" w:eastAsia="仿宋" w:cs="仿宋"/>
          <w:sz w:val="24"/>
          <w:highlight w:val="none"/>
        </w:rPr>
        <w:t>（1）船员伙食：船员在采购人船舶工作期间，采购人为其提供与采购人工作人员同等的伙食待遇。</w:t>
      </w:r>
    </w:p>
    <w:p>
      <w:pPr>
        <w:pStyle w:val="98"/>
        <w:spacing w:line="560" w:lineRule="exact"/>
        <w:ind w:firstLine="480"/>
        <w:rPr>
          <w:rFonts w:ascii="仿宋" w:hAnsi="仿宋" w:eastAsia="仿宋" w:cs="仿宋"/>
          <w:sz w:val="24"/>
          <w:highlight w:val="none"/>
        </w:rPr>
      </w:pPr>
      <w:r>
        <w:rPr>
          <w:rFonts w:hint="eastAsia" w:ascii="仿宋" w:hAnsi="仿宋" w:eastAsia="仿宋" w:cs="仿宋"/>
          <w:sz w:val="24"/>
          <w:highlight w:val="none"/>
        </w:rPr>
        <w:t>（2）其他劳务补助（包括出海补助等）：采购人可根据具体情况给予中标人船员额外奖励，具体标准按采购人有关规定执行。</w:t>
      </w:r>
    </w:p>
    <w:p>
      <w:pPr>
        <w:tabs>
          <w:tab w:val="left" w:pos="709"/>
        </w:tabs>
        <w:spacing w:beforeLines="50" w:afterLines="50" w:line="360" w:lineRule="auto"/>
        <w:outlineLvl w:val="2"/>
        <w:rPr>
          <w:rFonts w:ascii="仿宋" w:hAnsi="仿宋" w:eastAsia="仿宋" w:cs="仿宋"/>
          <w:b/>
          <w:bCs/>
          <w:sz w:val="28"/>
          <w:szCs w:val="28"/>
          <w:highlight w:val="none"/>
          <w:lang w:val="zh-CN"/>
        </w:rPr>
      </w:pPr>
      <w:r>
        <w:rPr>
          <w:rFonts w:hint="eastAsia" w:ascii="仿宋" w:hAnsi="仿宋" w:eastAsia="仿宋" w:cs="仿宋"/>
          <w:b/>
          <w:bCs/>
          <w:sz w:val="28"/>
          <w:szCs w:val="28"/>
          <w:highlight w:val="none"/>
        </w:rPr>
        <w:t>2.</w:t>
      </w:r>
      <w:r>
        <w:rPr>
          <w:rFonts w:hint="eastAsia" w:ascii="仿宋" w:hAnsi="仿宋" w:eastAsia="仿宋" w:cs="仿宋"/>
          <w:b/>
          <w:bCs/>
          <w:sz w:val="28"/>
          <w:szCs w:val="28"/>
          <w:highlight w:val="none"/>
          <w:lang w:val="zh-CN"/>
        </w:rPr>
        <w:t>船员工资</w:t>
      </w:r>
    </w:p>
    <w:p>
      <w:pPr>
        <w:pStyle w:val="98"/>
        <w:spacing w:line="560" w:lineRule="exact"/>
        <w:ind w:firstLine="0" w:firstLineChars="0"/>
        <w:rPr>
          <w:rFonts w:ascii="仿宋" w:hAnsi="仿宋" w:eastAsia="仿宋" w:cs="仿宋"/>
          <w:sz w:val="24"/>
          <w:highlight w:val="none"/>
        </w:rPr>
      </w:pPr>
      <w:r>
        <w:rPr>
          <w:rFonts w:hint="eastAsia" w:ascii="仿宋" w:hAnsi="仿宋" w:eastAsia="仿宋" w:cs="仿宋"/>
          <w:sz w:val="24"/>
          <w:highlight w:val="none"/>
        </w:rPr>
        <w:t>2.1  船员工资为包干工资，工资费用已包括：基本工资、岗位绩效、社会保险费和公积金（五险一金）等。其中，岗位绩效占工资总额的40%，中标人</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lang w:val="zh-CN"/>
        </w:rPr>
        <w:t>岗位绩效考核方案（包含日常工作考核、自修考核，扩大自修奖励分配</w:t>
      </w:r>
      <w:r>
        <w:rPr>
          <w:rFonts w:hint="eastAsia" w:ascii="仿宋" w:hAnsi="仿宋" w:eastAsia="仿宋" w:cs="仿宋"/>
          <w:sz w:val="24"/>
          <w:highlight w:val="none"/>
        </w:rPr>
        <w:t>等</w:t>
      </w:r>
      <w:r>
        <w:rPr>
          <w:rFonts w:hint="eastAsia" w:ascii="仿宋" w:hAnsi="仿宋" w:eastAsia="仿宋" w:cs="仿宋"/>
          <w:sz w:val="24"/>
          <w:highlight w:val="none"/>
          <w:lang w:val="zh-CN"/>
        </w:rPr>
        <w:t>方案），</w:t>
      </w:r>
      <w:r>
        <w:rPr>
          <w:rFonts w:hint="eastAsia" w:ascii="仿宋" w:hAnsi="仿宋" w:eastAsia="仿宋" w:cs="仿宋"/>
          <w:sz w:val="24"/>
          <w:highlight w:val="none"/>
          <w:lang w:val="en-US" w:eastAsia="zh-CN"/>
        </w:rPr>
        <w:t>经采购人</w:t>
      </w:r>
      <w:r>
        <w:rPr>
          <w:rFonts w:hint="eastAsia" w:ascii="仿宋" w:hAnsi="仿宋" w:eastAsia="仿宋" w:cs="仿宋"/>
          <w:sz w:val="24"/>
          <w:highlight w:val="none"/>
          <w:lang w:val="zh-CN"/>
        </w:rPr>
        <w:t>同意</w:t>
      </w:r>
      <w:r>
        <w:rPr>
          <w:rFonts w:hint="eastAsia" w:ascii="仿宋" w:hAnsi="仿宋" w:eastAsia="仿宋" w:cs="仿宋"/>
          <w:sz w:val="24"/>
          <w:highlight w:val="none"/>
          <w:lang w:val="en-US" w:eastAsia="zh-CN"/>
        </w:rPr>
        <w:t>后实施</w:t>
      </w:r>
      <w:r>
        <w:rPr>
          <w:rFonts w:hint="eastAsia" w:ascii="仿宋" w:hAnsi="仿宋" w:eastAsia="仿宋" w:cs="仿宋"/>
          <w:sz w:val="24"/>
          <w:highlight w:val="none"/>
          <w:lang w:val="zh-CN"/>
        </w:rPr>
        <w:t>，岗位绩效须</w:t>
      </w:r>
      <w:r>
        <w:rPr>
          <w:rFonts w:hint="eastAsia" w:ascii="仿宋" w:hAnsi="仿宋" w:eastAsia="仿宋" w:cs="仿宋"/>
          <w:sz w:val="24"/>
          <w:highlight w:val="none"/>
          <w:lang w:val="en-US" w:eastAsia="zh-CN"/>
        </w:rPr>
        <w:t>双</w:t>
      </w:r>
      <w:r>
        <w:rPr>
          <w:rFonts w:hint="eastAsia" w:ascii="仿宋" w:hAnsi="仿宋" w:eastAsia="仿宋" w:cs="仿宋"/>
          <w:sz w:val="24"/>
          <w:highlight w:val="none"/>
        </w:rPr>
        <w:t>方</w:t>
      </w:r>
      <w:r>
        <w:rPr>
          <w:rFonts w:hint="eastAsia" w:ascii="仿宋" w:hAnsi="仿宋" w:eastAsia="仿宋" w:cs="仿宋"/>
          <w:sz w:val="24"/>
          <w:highlight w:val="none"/>
          <w:lang w:val="zh-CN"/>
        </w:rPr>
        <w:t>共同考核后发放。</w:t>
      </w:r>
      <w:r>
        <w:rPr>
          <w:rFonts w:hint="eastAsia" w:ascii="仿宋" w:hAnsi="仿宋" w:eastAsia="仿宋" w:cs="仿宋"/>
          <w:sz w:val="24"/>
          <w:highlight w:val="none"/>
        </w:rPr>
        <w:t>中标人按月把船员工资发放到船员指定的账户内，采购人定期与中标人结算。</w:t>
      </w:r>
    </w:p>
    <w:p>
      <w:pPr>
        <w:pStyle w:val="98"/>
        <w:spacing w:line="560" w:lineRule="exact"/>
        <w:ind w:firstLine="0" w:firstLineChars="0"/>
        <w:rPr>
          <w:rFonts w:ascii="仿宋" w:hAnsi="仿宋" w:eastAsia="仿宋" w:cs="仿宋"/>
          <w:sz w:val="24"/>
          <w:highlight w:val="none"/>
        </w:rPr>
      </w:pPr>
      <w:r>
        <w:rPr>
          <w:rFonts w:hint="eastAsia" w:ascii="仿宋" w:hAnsi="仿宋" w:eastAsia="仿宋" w:cs="仿宋"/>
          <w:sz w:val="24"/>
          <w:highlight w:val="none"/>
        </w:rPr>
        <w:t>2.2  中标人应如实发放船员工资，如中标人未如实发放，相关法律责任均由中标人承担。中标人按照法律规定为船员代扣代缴个人所得税和代扣代缴社会保险。采购人有权对中标人支付给所雇佣船员的社保缴纳及相关福利待遇进行抽查或监督，中标人应予配合，如中标人存在未按约定缴纳社保</w:t>
      </w:r>
      <w:r>
        <w:rPr>
          <w:rFonts w:hint="eastAsia" w:ascii="仿宋" w:hAnsi="仿宋" w:eastAsia="仿宋" w:cs="仿宋"/>
          <w:sz w:val="24"/>
          <w:highlight w:val="none"/>
          <w:lang w:eastAsia="zh-CN"/>
        </w:rPr>
        <w:t>、</w:t>
      </w:r>
      <w:r>
        <w:rPr>
          <w:rFonts w:hint="eastAsia" w:ascii="仿宋" w:hAnsi="仿宋" w:eastAsia="仿宋" w:cs="仿宋"/>
          <w:sz w:val="24"/>
          <w:highlight w:val="none"/>
        </w:rPr>
        <w:t>公积金</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克扣船员工资</w:t>
      </w:r>
      <w:r>
        <w:rPr>
          <w:rFonts w:hint="eastAsia" w:ascii="仿宋" w:hAnsi="仿宋" w:eastAsia="仿宋" w:cs="仿宋"/>
          <w:sz w:val="24"/>
          <w:highlight w:val="none"/>
        </w:rPr>
        <w:t>等情况，采购人有权终止服务合同，由此产生的一切经济及法律责任均由中标人承担。</w:t>
      </w:r>
    </w:p>
    <w:p>
      <w:pPr>
        <w:tabs>
          <w:tab w:val="left" w:pos="709"/>
        </w:tabs>
        <w:spacing w:beforeLines="50" w:afterLines="50" w:line="360" w:lineRule="auto"/>
        <w:outlineLvl w:val="2"/>
        <w:rPr>
          <w:rFonts w:ascii="仿宋" w:hAnsi="仿宋" w:eastAsia="仿宋" w:cs="仿宋"/>
          <w:b/>
          <w:bCs/>
          <w:sz w:val="28"/>
          <w:szCs w:val="28"/>
          <w:highlight w:val="none"/>
        </w:rPr>
      </w:pPr>
      <w:r>
        <w:rPr>
          <w:rFonts w:hint="eastAsia" w:ascii="仿宋" w:hAnsi="仿宋" w:eastAsia="仿宋" w:cs="仿宋"/>
          <w:b/>
          <w:bCs/>
          <w:sz w:val="28"/>
          <w:szCs w:val="28"/>
          <w:highlight w:val="none"/>
        </w:rPr>
        <w:t>3.船员医疗</w:t>
      </w:r>
    </w:p>
    <w:p>
      <w:pPr>
        <w:pStyle w:val="98"/>
        <w:spacing w:line="560" w:lineRule="exact"/>
        <w:ind w:firstLine="0" w:firstLineChars="0"/>
        <w:rPr>
          <w:rFonts w:ascii="仿宋" w:hAnsi="仿宋" w:eastAsia="仿宋" w:cs="仿宋"/>
          <w:sz w:val="24"/>
          <w:highlight w:val="none"/>
        </w:rPr>
      </w:pPr>
      <w:r>
        <w:rPr>
          <w:rFonts w:hint="eastAsia" w:ascii="仿宋" w:hAnsi="仿宋" w:eastAsia="仿宋" w:cs="仿宋"/>
          <w:sz w:val="24"/>
          <w:highlight w:val="none"/>
        </w:rPr>
        <w:t>3.1  采购人船舶配备部分常用药品，所有在船船员可以免费使用。</w:t>
      </w:r>
    </w:p>
    <w:p>
      <w:pPr>
        <w:pStyle w:val="98"/>
        <w:spacing w:line="560" w:lineRule="exact"/>
        <w:ind w:firstLine="480"/>
        <w:rPr>
          <w:rFonts w:ascii="仿宋" w:hAnsi="仿宋" w:eastAsia="仿宋" w:cs="仿宋"/>
          <w:sz w:val="24"/>
          <w:highlight w:val="none"/>
          <w:lang w:val="zh-CN"/>
        </w:rPr>
      </w:pPr>
      <w:r>
        <w:rPr>
          <w:rFonts w:hint="eastAsia" w:ascii="仿宋" w:hAnsi="仿宋" w:eastAsia="仿宋" w:cs="仿宋"/>
          <w:sz w:val="24"/>
          <w:highlight w:val="none"/>
          <w:lang w:val="zh-CN"/>
        </w:rPr>
        <w:t>船员在上岗服务期间生病或受伤的，</w:t>
      </w:r>
      <w:r>
        <w:rPr>
          <w:rFonts w:hint="eastAsia" w:ascii="仿宋" w:hAnsi="仿宋" w:eastAsia="仿宋" w:cs="仿宋"/>
          <w:sz w:val="24"/>
          <w:highlight w:val="none"/>
        </w:rPr>
        <w:t>中标人</w:t>
      </w:r>
      <w:r>
        <w:rPr>
          <w:rFonts w:hint="eastAsia" w:ascii="仿宋" w:hAnsi="仿宋" w:eastAsia="仿宋" w:cs="仿宋"/>
          <w:sz w:val="24"/>
          <w:highlight w:val="none"/>
          <w:lang w:val="zh-CN"/>
        </w:rPr>
        <w:t>按照国内工伤保险条例的规定及船员人身意外伤害保险和附加医疗保险处理。（但因船员隐瞒既往病史而上船后发作的或因船员生活不检点感染性病的以及其它慢性疾病除外）。</w:t>
      </w:r>
    </w:p>
    <w:p>
      <w:pPr>
        <w:pStyle w:val="98"/>
        <w:spacing w:line="560" w:lineRule="exact"/>
        <w:ind w:firstLine="0" w:firstLineChars="0"/>
        <w:rPr>
          <w:rFonts w:ascii="仿宋" w:hAnsi="仿宋" w:eastAsia="仿宋" w:cs="仿宋"/>
          <w:sz w:val="24"/>
          <w:highlight w:val="none"/>
          <w:lang w:val="zh-CN"/>
        </w:rPr>
      </w:pPr>
      <w:r>
        <w:rPr>
          <w:rFonts w:hint="eastAsia" w:ascii="仿宋" w:hAnsi="仿宋" w:eastAsia="仿宋" w:cs="仿宋"/>
          <w:sz w:val="24"/>
          <w:highlight w:val="none"/>
        </w:rPr>
        <w:t>3.2  采购人</w:t>
      </w:r>
      <w:r>
        <w:rPr>
          <w:rFonts w:hint="eastAsia" w:ascii="仿宋" w:hAnsi="仿宋" w:eastAsia="仿宋" w:cs="仿宋"/>
          <w:sz w:val="24"/>
          <w:highlight w:val="none"/>
          <w:lang w:val="zh-CN"/>
        </w:rPr>
        <w:t>对由于船员本人自杀、自残或违法犯罪行为，有意隐瞒既往病史（包括但不限于心脏病、高血压、糖尿病、肝炎等慢性疾病以及性病等）造成的伤亡不负任何责任，由</w:t>
      </w:r>
      <w:r>
        <w:rPr>
          <w:rFonts w:hint="eastAsia" w:ascii="仿宋" w:hAnsi="仿宋" w:eastAsia="仿宋" w:cs="仿宋"/>
          <w:sz w:val="24"/>
          <w:highlight w:val="none"/>
        </w:rPr>
        <w:t>中标人</w:t>
      </w:r>
      <w:r>
        <w:rPr>
          <w:rFonts w:hint="eastAsia" w:ascii="仿宋" w:hAnsi="仿宋" w:eastAsia="仿宋" w:cs="仿宋"/>
          <w:sz w:val="24"/>
          <w:highlight w:val="none"/>
          <w:lang w:val="zh-CN"/>
        </w:rPr>
        <w:t>负责处理并承担因此而产生的有关费用。</w:t>
      </w:r>
    </w:p>
    <w:p>
      <w:pPr>
        <w:tabs>
          <w:tab w:val="left" w:pos="709"/>
        </w:tabs>
        <w:spacing w:beforeLines="50" w:afterLines="50" w:line="360" w:lineRule="auto"/>
        <w:outlineLvl w:val="2"/>
        <w:rPr>
          <w:rFonts w:ascii="仿宋" w:hAnsi="仿宋" w:eastAsia="仿宋" w:cs="仿宋"/>
          <w:b/>
          <w:bCs/>
          <w:sz w:val="28"/>
          <w:szCs w:val="28"/>
          <w:highlight w:val="none"/>
        </w:rPr>
      </w:pPr>
      <w:r>
        <w:rPr>
          <w:rFonts w:hint="eastAsia" w:ascii="仿宋" w:hAnsi="仿宋" w:eastAsia="仿宋" w:cs="仿宋"/>
          <w:b/>
          <w:bCs/>
          <w:sz w:val="28"/>
          <w:szCs w:val="28"/>
          <w:highlight w:val="none"/>
        </w:rPr>
        <w:t>4.船员劳保</w:t>
      </w:r>
    </w:p>
    <w:p>
      <w:pPr>
        <w:pStyle w:val="98"/>
        <w:spacing w:line="560" w:lineRule="exact"/>
        <w:ind w:firstLine="480"/>
        <w:rPr>
          <w:rFonts w:ascii="仿宋" w:hAnsi="仿宋" w:eastAsia="仿宋" w:cs="仿宋"/>
          <w:sz w:val="24"/>
          <w:highlight w:val="none"/>
        </w:rPr>
      </w:pPr>
      <w:r>
        <w:rPr>
          <w:rFonts w:hint="eastAsia" w:ascii="仿宋" w:hAnsi="仿宋" w:eastAsia="仿宋" w:cs="仿宋"/>
          <w:sz w:val="24"/>
          <w:highlight w:val="none"/>
        </w:rPr>
        <w:t>船员劳保由中标人承担，除劳保服装由采购人按实际岗位数量（如同一岗位出现换人，只按一个岗位计算）的服装需求予以保障，但因换人导致的超出部分，劳保服装费用由中标人承担。</w:t>
      </w:r>
    </w:p>
    <w:bookmarkEnd w:id="17"/>
    <w:p>
      <w:pPr>
        <w:spacing w:beforeLines="100" w:afterLines="100" w:line="480" w:lineRule="exact"/>
        <w:ind w:firstLine="562" w:firstLineChars="200"/>
        <w:outlineLvl w:val="1"/>
        <w:rPr>
          <w:rFonts w:ascii="黑体" w:hAnsi="黑体" w:eastAsia="黑体" w:cs="黑体"/>
          <w:b/>
          <w:bCs/>
          <w:sz w:val="28"/>
          <w:szCs w:val="28"/>
          <w:highlight w:val="none"/>
        </w:rPr>
      </w:pPr>
      <w:bookmarkStart w:id="18" w:name="_Toc23217"/>
      <w:r>
        <w:rPr>
          <w:rFonts w:hint="eastAsia" w:ascii="黑体" w:hAnsi="黑体" w:eastAsia="黑体" w:cs="黑体"/>
          <w:b/>
          <w:bCs/>
          <w:sz w:val="28"/>
          <w:szCs w:val="28"/>
          <w:highlight w:val="none"/>
        </w:rPr>
        <w:t>（六）</w:t>
      </w:r>
      <w:r>
        <w:rPr>
          <w:rFonts w:hint="eastAsia" w:ascii="黑体" w:hAnsi="黑体" w:eastAsia="黑体" w:cs="黑体"/>
          <w:b/>
          <w:bCs/>
          <w:sz w:val="28"/>
          <w:szCs w:val="28"/>
          <w:highlight w:val="none"/>
          <w:lang w:val="zh-CN"/>
        </w:rPr>
        <w:t>服务要求</w:t>
      </w:r>
      <w:bookmarkEnd w:id="18"/>
    </w:p>
    <w:p>
      <w:pPr>
        <w:tabs>
          <w:tab w:val="left" w:pos="709"/>
        </w:tabs>
        <w:spacing w:beforeLines="50" w:afterLines="50" w:line="360" w:lineRule="auto"/>
        <w:outlineLvl w:val="2"/>
        <w:rPr>
          <w:rFonts w:ascii="仿宋" w:hAnsi="仿宋" w:eastAsia="仿宋" w:cs="仿宋"/>
          <w:b/>
          <w:bCs/>
          <w:sz w:val="28"/>
          <w:szCs w:val="28"/>
          <w:highlight w:val="none"/>
          <w:lang w:val="zh-CN"/>
        </w:rPr>
      </w:pPr>
      <w:bookmarkStart w:id="19" w:name="_Toc18135"/>
      <w:r>
        <w:rPr>
          <w:rFonts w:hint="eastAsia" w:ascii="仿宋" w:hAnsi="仿宋" w:eastAsia="仿宋" w:cs="仿宋"/>
          <w:b/>
          <w:bCs/>
          <w:sz w:val="28"/>
          <w:szCs w:val="28"/>
          <w:highlight w:val="none"/>
        </w:rPr>
        <w:t>1.</w:t>
      </w:r>
      <w:r>
        <w:rPr>
          <w:rFonts w:hint="eastAsia" w:ascii="仿宋" w:hAnsi="仿宋" w:eastAsia="仿宋" w:cs="仿宋"/>
          <w:b/>
          <w:bCs/>
          <w:sz w:val="28"/>
          <w:szCs w:val="28"/>
          <w:highlight w:val="none"/>
          <w:lang w:val="zh-CN"/>
        </w:rPr>
        <w:t>需执行国家相关标准、行业标准、地方标准或者其他标准、规范</w:t>
      </w:r>
      <w:bookmarkEnd w:id="19"/>
    </w:p>
    <w:p>
      <w:pPr>
        <w:tabs>
          <w:tab w:val="left" w:pos="709"/>
        </w:tabs>
        <w:spacing w:beforeLines="50" w:afterLines="50" w:line="360" w:lineRule="auto"/>
        <w:outlineLvl w:val="2"/>
        <w:rPr>
          <w:rFonts w:ascii="仿宋" w:hAnsi="仿宋" w:eastAsia="仿宋" w:cs="仿宋"/>
          <w:b/>
          <w:bCs/>
          <w:sz w:val="28"/>
          <w:szCs w:val="28"/>
          <w:highlight w:val="none"/>
          <w:lang w:val="zh-CN"/>
        </w:rPr>
      </w:pPr>
      <w:bookmarkStart w:id="20" w:name="_Toc17300"/>
      <w:r>
        <w:rPr>
          <w:rFonts w:hint="eastAsia" w:ascii="仿宋" w:hAnsi="仿宋" w:eastAsia="仿宋" w:cs="仿宋"/>
          <w:b/>
          <w:bCs/>
          <w:sz w:val="28"/>
          <w:szCs w:val="28"/>
          <w:highlight w:val="none"/>
        </w:rPr>
        <w:t>2.船员</w:t>
      </w:r>
      <w:r>
        <w:rPr>
          <w:rFonts w:hint="eastAsia" w:ascii="仿宋" w:hAnsi="仿宋" w:eastAsia="仿宋" w:cs="仿宋"/>
          <w:b/>
          <w:bCs/>
          <w:sz w:val="28"/>
          <w:szCs w:val="28"/>
          <w:highlight w:val="none"/>
          <w:lang w:val="zh-CN"/>
        </w:rPr>
        <w:t>需求及数量</w:t>
      </w:r>
      <w:bookmarkEnd w:id="20"/>
      <w:bookmarkStart w:id="21" w:name="_Toc15548"/>
    </w:p>
    <w:tbl>
      <w:tblPr>
        <w:tblStyle w:val="49"/>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611"/>
        <w:gridCol w:w="3742"/>
        <w:gridCol w:w="3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restart"/>
          </w:tcPr>
          <w:p>
            <w:pPr>
              <w:pStyle w:val="3"/>
              <w:spacing w:line="360" w:lineRule="auto"/>
              <w:jc w:val="center"/>
              <w:rPr>
                <w:rFonts w:ascii="仿宋" w:hAnsi="仿宋" w:eastAsia="仿宋" w:cs="仿宋"/>
                <w:b/>
                <w:bCs/>
                <w:highlight w:val="none"/>
              </w:rPr>
            </w:pPr>
            <w:r>
              <w:rPr>
                <w:rFonts w:hint="eastAsia" w:ascii="仿宋" w:hAnsi="仿宋" w:eastAsia="仿宋" w:cs="仿宋"/>
                <w:b/>
                <w:bCs/>
                <w:highlight w:val="none"/>
              </w:rPr>
              <w:t>序号</w:t>
            </w:r>
          </w:p>
        </w:tc>
        <w:tc>
          <w:tcPr>
            <w:tcW w:w="1611" w:type="dxa"/>
            <w:vMerge w:val="restart"/>
          </w:tcPr>
          <w:p>
            <w:pPr>
              <w:pStyle w:val="3"/>
              <w:spacing w:line="360" w:lineRule="auto"/>
              <w:jc w:val="center"/>
              <w:rPr>
                <w:rFonts w:ascii="仿宋" w:hAnsi="仿宋" w:eastAsia="仿宋" w:cs="仿宋"/>
                <w:b/>
                <w:bCs/>
                <w:highlight w:val="none"/>
              </w:rPr>
            </w:pPr>
            <w:r>
              <w:rPr>
                <w:rFonts w:hint="eastAsia" w:ascii="仿宋" w:hAnsi="仿宋" w:eastAsia="仿宋" w:cs="仿宋"/>
                <w:b/>
                <w:bCs/>
                <w:highlight w:val="none"/>
              </w:rPr>
              <w:t>职务</w:t>
            </w:r>
          </w:p>
        </w:tc>
        <w:tc>
          <w:tcPr>
            <w:tcW w:w="7490" w:type="dxa"/>
            <w:gridSpan w:val="2"/>
          </w:tcPr>
          <w:p>
            <w:pPr>
              <w:pStyle w:val="3"/>
              <w:spacing w:line="360" w:lineRule="auto"/>
              <w:jc w:val="center"/>
              <w:rPr>
                <w:rFonts w:ascii="仿宋" w:hAnsi="仿宋" w:eastAsia="仿宋" w:cs="仿宋"/>
                <w:b/>
                <w:bCs/>
                <w:highlight w:val="none"/>
              </w:rPr>
            </w:pPr>
            <w:r>
              <w:rPr>
                <w:rFonts w:hint="eastAsia" w:ascii="仿宋" w:hAnsi="仿宋" w:eastAsia="仿宋" w:cs="仿宋"/>
                <w:b/>
                <w:bCs/>
                <w:highlight w:val="none"/>
              </w:rPr>
              <w:t>船员配备标准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tcPr>
          <w:p>
            <w:pPr>
              <w:pStyle w:val="3"/>
              <w:spacing w:line="360" w:lineRule="auto"/>
              <w:jc w:val="center"/>
              <w:rPr>
                <w:rFonts w:ascii="仿宋" w:hAnsi="仿宋" w:eastAsia="仿宋" w:cs="仿宋"/>
                <w:b/>
                <w:bCs/>
                <w:highlight w:val="none"/>
              </w:rPr>
            </w:pPr>
          </w:p>
        </w:tc>
        <w:tc>
          <w:tcPr>
            <w:tcW w:w="1611" w:type="dxa"/>
            <w:vMerge w:val="continue"/>
          </w:tcPr>
          <w:p>
            <w:pPr>
              <w:pStyle w:val="3"/>
              <w:spacing w:line="360" w:lineRule="auto"/>
              <w:jc w:val="center"/>
              <w:rPr>
                <w:rFonts w:ascii="仿宋" w:hAnsi="仿宋" w:eastAsia="仿宋" w:cs="仿宋"/>
                <w:b/>
                <w:bCs/>
                <w:highlight w:val="none"/>
              </w:rPr>
            </w:pPr>
          </w:p>
        </w:tc>
        <w:tc>
          <w:tcPr>
            <w:tcW w:w="3742" w:type="dxa"/>
          </w:tcPr>
          <w:p>
            <w:pPr>
              <w:pStyle w:val="3"/>
              <w:spacing w:line="360" w:lineRule="auto"/>
              <w:jc w:val="center"/>
              <w:rPr>
                <w:rFonts w:ascii="仿宋" w:hAnsi="仿宋" w:eastAsia="仿宋" w:cs="仿宋"/>
                <w:b/>
                <w:bCs/>
                <w:highlight w:val="none"/>
              </w:rPr>
            </w:pPr>
            <w:r>
              <w:rPr>
                <w:rFonts w:hint="eastAsia" w:ascii="仿宋" w:hAnsi="仿宋" w:eastAsia="仿宋" w:cs="仿宋"/>
                <w:b/>
                <w:bCs/>
                <w:highlight w:val="none"/>
              </w:rPr>
              <w:t>远洋调查船组</w:t>
            </w:r>
          </w:p>
        </w:tc>
        <w:tc>
          <w:tcPr>
            <w:tcW w:w="3748" w:type="dxa"/>
          </w:tcPr>
          <w:p>
            <w:pPr>
              <w:pStyle w:val="3"/>
              <w:spacing w:line="360" w:lineRule="auto"/>
              <w:jc w:val="center"/>
              <w:rPr>
                <w:rFonts w:ascii="仿宋" w:hAnsi="仿宋" w:eastAsia="仿宋" w:cs="仿宋"/>
                <w:b/>
                <w:bCs/>
                <w:highlight w:val="none"/>
              </w:rPr>
            </w:pPr>
            <w:r>
              <w:rPr>
                <w:rFonts w:hint="eastAsia" w:ascii="仿宋" w:hAnsi="仿宋" w:eastAsia="仿宋" w:cs="仿宋"/>
                <w:b/>
                <w:bCs/>
                <w:highlight w:val="none"/>
              </w:rPr>
              <w:t>500吨级以上调查船组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1</w:t>
            </w:r>
          </w:p>
        </w:tc>
        <w:tc>
          <w:tcPr>
            <w:tcW w:w="1611"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船长</w:t>
            </w:r>
          </w:p>
        </w:tc>
        <w:tc>
          <w:tcPr>
            <w:tcW w:w="3742"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c>
          <w:tcPr>
            <w:tcW w:w="3748"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2</w:t>
            </w:r>
          </w:p>
        </w:tc>
        <w:tc>
          <w:tcPr>
            <w:tcW w:w="1611"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大副</w:t>
            </w:r>
          </w:p>
        </w:tc>
        <w:tc>
          <w:tcPr>
            <w:tcW w:w="3742"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c>
          <w:tcPr>
            <w:tcW w:w="3748"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c>
          <w:tcPr>
            <w:tcW w:w="1611"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二副</w:t>
            </w:r>
          </w:p>
        </w:tc>
        <w:tc>
          <w:tcPr>
            <w:tcW w:w="3742"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c>
          <w:tcPr>
            <w:tcW w:w="3748"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4</w:t>
            </w:r>
          </w:p>
        </w:tc>
        <w:tc>
          <w:tcPr>
            <w:tcW w:w="1611"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三副</w:t>
            </w:r>
          </w:p>
        </w:tc>
        <w:tc>
          <w:tcPr>
            <w:tcW w:w="3742"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c>
          <w:tcPr>
            <w:tcW w:w="3748"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5</w:t>
            </w:r>
          </w:p>
        </w:tc>
        <w:tc>
          <w:tcPr>
            <w:tcW w:w="1611"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轮机长</w:t>
            </w:r>
          </w:p>
        </w:tc>
        <w:tc>
          <w:tcPr>
            <w:tcW w:w="3742"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c>
          <w:tcPr>
            <w:tcW w:w="3748"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6</w:t>
            </w:r>
          </w:p>
        </w:tc>
        <w:tc>
          <w:tcPr>
            <w:tcW w:w="1611"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大管轮</w:t>
            </w:r>
          </w:p>
        </w:tc>
        <w:tc>
          <w:tcPr>
            <w:tcW w:w="3742"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c>
          <w:tcPr>
            <w:tcW w:w="3748"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7</w:t>
            </w:r>
          </w:p>
        </w:tc>
        <w:tc>
          <w:tcPr>
            <w:tcW w:w="1611"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二管轮</w:t>
            </w:r>
          </w:p>
        </w:tc>
        <w:tc>
          <w:tcPr>
            <w:tcW w:w="3742"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c>
          <w:tcPr>
            <w:tcW w:w="3748"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8</w:t>
            </w:r>
          </w:p>
        </w:tc>
        <w:tc>
          <w:tcPr>
            <w:tcW w:w="1611"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三管轮</w:t>
            </w:r>
          </w:p>
        </w:tc>
        <w:tc>
          <w:tcPr>
            <w:tcW w:w="3742"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c>
          <w:tcPr>
            <w:tcW w:w="3748"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9</w:t>
            </w:r>
          </w:p>
        </w:tc>
        <w:tc>
          <w:tcPr>
            <w:tcW w:w="1611"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电机员</w:t>
            </w:r>
          </w:p>
        </w:tc>
        <w:tc>
          <w:tcPr>
            <w:tcW w:w="3742"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c>
          <w:tcPr>
            <w:tcW w:w="3748"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10</w:t>
            </w:r>
          </w:p>
        </w:tc>
        <w:tc>
          <w:tcPr>
            <w:tcW w:w="1611"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水手长</w:t>
            </w:r>
          </w:p>
        </w:tc>
        <w:tc>
          <w:tcPr>
            <w:tcW w:w="3742"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c>
          <w:tcPr>
            <w:tcW w:w="3748"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11</w:t>
            </w:r>
          </w:p>
        </w:tc>
        <w:tc>
          <w:tcPr>
            <w:tcW w:w="1611"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水手</w:t>
            </w:r>
          </w:p>
        </w:tc>
        <w:tc>
          <w:tcPr>
            <w:tcW w:w="3742"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12</w:t>
            </w:r>
          </w:p>
        </w:tc>
        <w:tc>
          <w:tcPr>
            <w:tcW w:w="3748"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12</w:t>
            </w:r>
          </w:p>
        </w:tc>
        <w:tc>
          <w:tcPr>
            <w:tcW w:w="1611"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机工长</w:t>
            </w:r>
          </w:p>
        </w:tc>
        <w:tc>
          <w:tcPr>
            <w:tcW w:w="3742"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c>
          <w:tcPr>
            <w:tcW w:w="3748" w:type="dxa"/>
          </w:tcPr>
          <w:p>
            <w:pPr>
              <w:spacing w:line="360" w:lineRule="auto"/>
              <w:jc w:val="center"/>
              <w:rPr>
                <w:rFonts w:ascii="仿宋" w:hAnsi="仿宋" w:eastAsia="仿宋" w:cs="仿宋"/>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13</w:t>
            </w:r>
          </w:p>
        </w:tc>
        <w:tc>
          <w:tcPr>
            <w:tcW w:w="1611"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机工</w:t>
            </w:r>
          </w:p>
        </w:tc>
        <w:tc>
          <w:tcPr>
            <w:tcW w:w="3742"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12</w:t>
            </w:r>
          </w:p>
        </w:tc>
        <w:tc>
          <w:tcPr>
            <w:tcW w:w="3748"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14</w:t>
            </w:r>
          </w:p>
        </w:tc>
        <w:tc>
          <w:tcPr>
            <w:tcW w:w="1611"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船医</w:t>
            </w:r>
          </w:p>
        </w:tc>
        <w:tc>
          <w:tcPr>
            <w:tcW w:w="3742"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c>
          <w:tcPr>
            <w:tcW w:w="3748"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15</w:t>
            </w:r>
          </w:p>
        </w:tc>
        <w:tc>
          <w:tcPr>
            <w:tcW w:w="1611"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大厨</w:t>
            </w:r>
          </w:p>
        </w:tc>
        <w:tc>
          <w:tcPr>
            <w:tcW w:w="3742"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c>
          <w:tcPr>
            <w:tcW w:w="3748"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16</w:t>
            </w:r>
          </w:p>
        </w:tc>
        <w:tc>
          <w:tcPr>
            <w:tcW w:w="1611"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厨工</w:t>
            </w:r>
          </w:p>
        </w:tc>
        <w:tc>
          <w:tcPr>
            <w:tcW w:w="3742"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6</w:t>
            </w:r>
          </w:p>
        </w:tc>
        <w:tc>
          <w:tcPr>
            <w:tcW w:w="3748"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17</w:t>
            </w:r>
          </w:p>
        </w:tc>
        <w:tc>
          <w:tcPr>
            <w:tcW w:w="1611"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服务员</w:t>
            </w:r>
          </w:p>
        </w:tc>
        <w:tc>
          <w:tcPr>
            <w:tcW w:w="3742"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6</w:t>
            </w:r>
          </w:p>
        </w:tc>
        <w:tc>
          <w:tcPr>
            <w:tcW w:w="3748"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gridSpan w:val="2"/>
            <w:vAlign w:val="center"/>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合计</w:t>
            </w:r>
          </w:p>
        </w:tc>
        <w:tc>
          <w:tcPr>
            <w:tcW w:w="3742" w:type="dxa"/>
          </w:tcPr>
          <w:p>
            <w:pPr>
              <w:spacing w:line="360" w:lineRule="auto"/>
              <w:jc w:val="center"/>
              <w:rPr>
                <w:rFonts w:hint="eastAsia" w:ascii="仿宋" w:hAnsi="仿宋" w:eastAsia="仿宋" w:cs="仿宋"/>
                <w:iCs/>
                <w:sz w:val="24"/>
                <w:highlight w:val="none"/>
                <w:lang w:eastAsia="zh-CN"/>
              </w:rPr>
            </w:pPr>
            <w:r>
              <w:rPr>
                <w:rFonts w:hint="eastAsia" w:ascii="仿宋" w:hAnsi="仿宋" w:eastAsia="仿宋" w:cs="仿宋"/>
                <w:iCs/>
                <w:sz w:val="24"/>
                <w:highlight w:val="none"/>
              </w:rPr>
              <w:t>7</w:t>
            </w:r>
            <w:r>
              <w:rPr>
                <w:rFonts w:hint="eastAsia" w:ascii="仿宋" w:hAnsi="仿宋" w:eastAsia="仿宋" w:cs="仿宋"/>
                <w:iCs/>
                <w:sz w:val="24"/>
                <w:highlight w:val="none"/>
                <w:lang w:val="en-US" w:eastAsia="zh-CN"/>
              </w:rPr>
              <w:t>5</w:t>
            </w:r>
          </w:p>
        </w:tc>
        <w:tc>
          <w:tcPr>
            <w:tcW w:w="3748" w:type="dxa"/>
          </w:tcPr>
          <w:p>
            <w:pPr>
              <w:spacing w:line="360" w:lineRule="auto"/>
              <w:jc w:val="center"/>
              <w:rPr>
                <w:rFonts w:ascii="仿宋" w:hAnsi="仿宋" w:eastAsia="仿宋" w:cs="仿宋"/>
                <w:iCs/>
                <w:sz w:val="24"/>
                <w:highlight w:val="none"/>
              </w:rPr>
            </w:pPr>
            <w:r>
              <w:rPr>
                <w:rFonts w:hint="eastAsia" w:ascii="仿宋" w:hAnsi="仿宋" w:eastAsia="仿宋" w:cs="仿宋"/>
                <w:iCs/>
                <w:sz w:val="24"/>
                <w:highlight w:val="none"/>
              </w:rPr>
              <w:t>51</w:t>
            </w:r>
          </w:p>
        </w:tc>
      </w:tr>
    </w:tbl>
    <w:p>
      <w:pPr>
        <w:pStyle w:val="2"/>
        <w:rPr>
          <w:highlight w:val="none"/>
        </w:rPr>
      </w:pPr>
    </w:p>
    <w:p>
      <w:pPr>
        <w:spacing w:line="360" w:lineRule="auto"/>
        <w:rPr>
          <w:rFonts w:ascii="仿宋" w:hAnsi="仿宋" w:eastAsia="仿宋" w:cs="仿宋"/>
          <w:b/>
          <w:bCs/>
          <w:sz w:val="24"/>
          <w:highlight w:val="none"/>
        </w:rPr>
      </w:pPr>
      <w:r>
        <w:rPr>
          <w:rFonts w:hint="eastAsia" w:ascii="仿宋" w:hAnsi="仿宋" w:eastAsia="仿宋" w:cs="仿宋"/>
          <w:b/>
          <w:bCs/>
          <w:sz w:val="24"/>
          <w:highlight w:val="none"/>
        </w:rPr>
        <w:t>备注：上述船员需求量仅为采购人按现有船舶</w:t>
      </w:r>
      <w:r>
        <w:rPr>
          <w:rFonts w:hint="eastAsia" w:ascii="仿宋" w:hAnsi="仿宋" w:eastAsia="仿宋" w:cs="仿宋"/>
          <w:b/>
          <w:bCs/>
          <w:sz w:val="24"/>
          <w:highlight w:val="none"/>
          <w:lang w:val="en-US" w:eastAsia="zh-CN"/>
        </w:rPr>
        <w:t>标准配员</w:t>
      </w:r>
      <w:r>
        <w:rPr>
          <w:rFonts w:hint="eastAsia" w:ascii="仿宋" w:hAnsi="仿宋" w:eastAsia="仿宋" w:cs="仿宋"/>
          <w:b/>
          <w:bCs/>
          <w:sz w:val="24"/>
          <w:highlight w:val="none"/>
        </w:rPr>
        <w:t>预估数，非实际</w:t>
      </w:r>
      <w:r>
        <w:rPr>
          <w:rFonts w:hint="eastAsia" w:ascii="仿宋" w:hAnsi="仿宋" w:eastAsia="仿宋" w:cs="仿宋"/>
          <w:b/>
          <w:bCs/>
          <w:sz w:val="24"/>
          <w:highlight w:val="none"/>
          <w:lang w:val="en-US" w:eastAsia="zh-CN"/>
        </w:rPr>
        <w:t>派员</w:t>
      </w:r>
      <w:r>
        <w:rPr>
          <w:rFonts w:hint="eastAsia" w:ascii="仿宋" w:hAnsi="仿宋" w:eastAsia="仿宋" w:cs="仿宋"/>
          <w:b/>
          <w:bCs/>
          <w:sz w:val="24"/>
          <w:highlight w:val="none"/>
        </w:rPr>
        <w:t>需求数。实际船员按采购人船舶运行管理的实际需求配备，以采购人实际派员需求为准。</w:t>
      </w:r>
    </w:p>
    <w:p>
      <w:pPr>
        <w:tabs>
          <w:tab w:val="left" w:pos="709"/>
        </w:tabs>
        <w:spacing w:beforeLines="50" w:afterLines="50" w:line="360" w:lineRule="auto"/>
        <w:outlineLvl w:val="2"/>
        <w:rPr>
          <w:rFonts w:ascii="仿宋" w:hAnsi="仿宋" w:eastAsia="仿宋" w:cs="仿宋"/>
          <w:b/>
          <w:bCs/>
          <w:sz w:val="28"/>
          <w:szCs w:val="28"/>
          <w:highlight w:val="none"/>
        </w:rPr>
      </w:pPr>
      <w:r>
        <w:rPr>
          <w:rFonts w:hint="eastAsia" w:ascii="仿宋" w:hAnsi="仿宋" w:eastAsia="仿宋" w:cs="仿宋"/>
          <w:b/>
          <w:bCs/>
          <w:sz w:val="28"/>
          <w:szCs w:val="28"/>
          <w:highlight w:val="none"/>
        </w:rPr>
        <w:t>3.服务要求</w:t>
      </w:r>
      <w:bookmarkEnd w:id="21"/>
    </w:p>
    <w:p>
      <w:pPr>
        <w:tabs>
          <w:tab w:val="left" w:pos="525"/>
          <w:tab w:val="left" w:pos="846"/>
          <w:tab w:val="left" w:pos="3398"/>
        </w:tabs>
        <w:spacing w:line="360" w:lineRule="auto"/>
        <w:outlineLvl w:val="3"/>
        <w:rPr>
          <w:rFonts w:ascii="仿宋" w:hAnsi="仿宋" w:eastAsia="仿宋" w:cs="仿宋"/>
          <w:b/>
          <w:sz w:val="28"/>
          <w:szCs w:val="28"/>
          <w:highlight w:val="none"/>
        </w:rPr>
      </w:pPr>
      <w:r>
        <w:rPr>
          <w:rFonts w:hint="eastAsia" w:ascii="仿宋" w:hAnsi="仿宋" w:eastAsia="仿宋" w:cs="仿宋"/>
          <w:b/>
          <w:sz w:val="28"/>
          <w:szCs w:val="28"/>
          <w:highlight w:val="none"/>
        </w:rPr>
        <w:t>3.1制度体系：</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供应商根据《中华人民共和国船员条例》、《2006年海事劳工公约》等制度体系要求，建立适合我国船舶船员管理的相关制度、运行机制，并保持其长期有效执行；协助采购人进行船舶安全体系运行。</w:t>
      </w:r>
    </w:p>
    <w:p>
      <w:pPr>
        <w:tabs>
          <w:tab w:val="left" w:pos="525"/>
          <w:tab w:val="left" w:pos="846"/>
          <w:tab w:val="left" w:pos="3398"/>
        </w:tabs>
        <w:spacing w:line="360" w:lineRule="auto"/>
        <w:outlineLvl w:val="3"/>
        <w:rPr>
          <w:rFonts w:ascii="仿宋" w:hAnsi="仿宋" w:eastAsia="仿宋" w:cs="仿宋"/>
          <w:b/>
          <w:sz w:val="28"/>
          <w:szCs w:val="28"/>
          <w:highlight w:val="none"/>
        </w:rPr>
      </w:pPr>
      <w:r>
        <w:rPr>
          <w:rFonts w:hint="eastAsia" w:ascii="仿宋" w:hAnsi="仿宋" w:eastAsia="仿宋" w:cs="仿宋"/>
          <w:b/>
          <w:sz w:val="28"/>
          <w:szCs w:val="28"/>
          <w:highlight w:val="none"/>
        </w:rPr>
        <w:t>3.1船员配备要求：</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1）根据船舶管理运行需要，结合《船员健康检查要求》（GB30035-2021）相关要求，供应商为采购人配备相应岗位持证、适任的健康船员，必须具有中华人民国和国国籍，拥护中国共产党的领导，热爱社会主义祖国，遵守中华人民共和国宪法和法律，具备良好的品行和职业道德。爱岗敬业，责任心强，加强政治和业务学习，提高政治觉悟和道德情操，能随时完成领导交办的任务，能辅助完成海上科学考察工作。</w:t>
      </w:r>
    </w:p>
    <w:p>
      <w:pPr>
        <w:spacing w:line="360" w:lineRule="auto"/>
        <w:rPr>
          <w:rFonts w:ascii="仿宋" w:hAnsi="仿宋" w:eastAsia="仿宋" w:cs="仿宋"/>
          <w:bCs/>
          <w:sz w:val="24"/>
          <w:highlight w:val="none"/>
        </w:rPr>
      </w:pPr>
      <w:r>
        <w:rPr>
          <w:rFonts w:hint="eastAsia" w:ascii="仿宋" w:hAnsi="仿宋" w:eastAsia="仿宋" w:cs="仿宋"/>
          <w:bCs/>
          <w:sz w:val="24"/>
          <w:highlight w:val="none"/>
        </w:rPr>
        <w:t>中标人在材料审核、面试、技能考核等环节严格把关，对新上船船员进行安全管理体系规则方面的教育和技术培训工作，并保证每名船员年度在船时间原则上不少于 8 个月。</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（2）职务船员：具有大专或以上学历，原则上年龄不超过45周岁，持有与聘用岗位相对应的《船员服务簿》和《海船船员适任证书》，具有相应的任职资历，具备岗位所需的专业或技能条件。</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普通船员：具有高中或以上学历，并考取《海船船员专业培训合格证书》，年龄不低于18周岁，初次上船时年龄原则上要求 50 岁以下。对专业要求特殊的岗位，年龄可适当放宽。</w:t>
      </w:r>
    </w:p>
    <w:p>
      <w:pPr>
        <w:spacing w:line="360" w:lineRule="auto"/>
        <w:rPr>
          <w:rFonts w:ascii="仿宋" w:hAnsi="仿宋" w:eastAsia="仿宋" w:cs="仿宋"/>
          <w:bCs/>
          <w:sz w:val="24"/>
          <w:highlight w:val="none"/>
        </w:rPr>
      </w:pPr>
      <w:r>
        <w:rPr>
          <w:rFonts w:hint="eastAsia" w:ascii="仿宋" w:hAnsi="仿宋" w:eastAsia="仿宋" w:cs="仿宋"/>
          <w:bCs/>
          <w:sz w:val="24"/>
          <w:highlight w:val="none"/>
        </w:rPr>
        <w:t xml:space="preserve">    （3）船员轮换：供应商在接到采购人船员轮换需求后，应当在</w:t>
      </w:r>
      <w:r>
        <w:rPr>
          <w:rFonts w:ascii="仿宋" w:hAnsi="仿宋" w:eastAsia="仿宋" w:cs="仿宋"/>
          <w:bCs/>
          <w:sz w:val="24"/>
          <w:highlight w:val="none"/>
        </w:rPr>
        <w:t>3</w:t>
      </w:r>
      <w:r>
        <w:rPr>
          <w:rFonts w:hint="eastAsia" w:ascii="仿宋" w:hAnsi="仿宋" w:eastAsia="仿宋" w:cs="仿宋"/>
          <w:bCs/>
          <w:sz w:val="24"/>
          <w:highlight w:val="none"/>
        </w:rPr>
        <w:t>天内将选聘船员的相关资料、证书、无犯罪记录证明等复印件提交采购人审核、评估、备案；在满足上述（2）相关要求外，原则上从事推荐职务应当满 2 年，并且有过不少于两艘船上的服务资历；派遣的船员必须通过采购人评估适任方能上船工作；采购人对不能适任的船员具有否决权，并通知船员劳务公司继续推荐选聘人员，直至适任为止。采购人有向劳务派遣公司推荐适任船员的权利，劳务派遣公司对采购人推荐的船员具有建议权和面试权，对不合格的船员，劳务派遣公司有权利拒绝；因劳务派遣公司和船员个人原因导致的人员调配，至少提前一个月通知采购人；在执行 30 天内的出海作业任务时，航前船员轮换率不能超过 5%；执行 60 天内的出海作业任务时，航前船员轮换率不能超过 10%；执行 100 天内的出海作业任务时，航前船员轮换率不能超过 20%；起航前 10 天不得进行船员轮换。</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（4）无犯罪记录：中标人应当确保所有船员都无刑事犯罪记录，并将相关证明交甲方备案。</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5）健康要求：中标人应当确保所有船员上船前已通过有资质的检查机构证明其适合所从事的工作的健康检查（包括但不限于：精神正常、无传染病、无残疾，双眼视力、辨色力正常。身体健康，具有正常履行船员岗位职责的身体条件，能够适应海上工作环境，在六级风力的海况下不会晕船等等），持有按照我国政府相应要求签发的有效健康证书或体检表。</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（6）一般为男性，身体健康，具有正常履行船员岗位职责的身体条件，能够适应海上工作环境，在六级风力的海况下不会晕船。</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drawing>
          <wp:anchor distT="0" distB="0" distL="114300" distR="114300" simplePos="0" relativeHeight="251667456" behindDoc="0" locked="0" layoutInCell="1" allowOverlap="1">
            <wp:simplePos x="0" y="0"/>
            <wp:positionH relativeFrom="page">
              <wp:posOffset>6997700</wp:posOffset>
            </wp:positionH>
            <wp:positionV relativeFrom="paragraph">
              <wp:posOffset>80645</wp:posOffset>
            </wp:positionV>
            <wp:extent cx="8890" cy="6985"/>
            <wp:effectExtent l="0" t="4445" r="3810" b="0"/>
            <wp:wrapNone/>
            <wp:docPr id="19" name="图片 7"/>
            <wp:cNvGraphicFramePr/>
            <a:graphic xmlns:a="http://schemas.openxmlformats.org/drawingml/2006/main">
              <a:graphicData uri="http://schemas.openxmlformats.org/drawingml/2006/picture">
                <pic:pic xmlns:pic="http://schemas.openxmlformats.org/drawingml/2006/picture">
                  <pic:nvPicPr>
                    <pic:cNvPr id="19" name="图片 7"/>
                    <pic:cNvPicPr/>
                  </pic:nvPicPr>
                  <pic:blipFill>
                    <a:blip r:embed="rId12"/>
                    <a:stretch>
                      <a:fillRect/>
                    </a:stretch>
                  </pic:blipFill>
                  <pic:spPr>
                    <a:xfrm>
                      <a:off x="0" y="0"/>
                      <a:ext cx="8890" cy="6985"/>
                    </a:xfrm>
                    <a:prstGeom prst="rect">
                      <a:avLst/>
                    </a:prstGeom>
                    <a:noFill/>
                    <a:ln>
                      <a:noFill/>
                    </a:ln>
                  </pic:spPr>
                </pic:pic>
              </a:graphicData>
            </a:graphic>
          </wp:anchor>
        </w:drawing>
      </w:r>
      <w:r>
        <w:rPr>
          <w:rFonts w:hint="eastAsia" w:ascii="仿宋" w:hAnsi="仿宋" w:eastAsia="仿宋" w:cs="仿宋"/>
          <w:bCs/>
          <w:sz w:val="24"/>
          <w:highlight w:val="none"/>
        </w:rPr>
        <w:drawing>
          <wp:anchor distT="0" distB="0" distL="114300" distR="114300" simplePos="0" relativeHeight="251660288" behindDoc="1" locked="0" layoutInCell="1" allowOverlap="1">
            <wp:simplePos x="0" y="0"/>
            <wp:positionH relativeFrom="page">
              <wp:posOffset>3753485</wp:posOffset>
            </wp:positionH>
            <wp:positionV relativeFrom="paragraph">
              <wp:posOffset>340995</wp:posOffset>
            </wp:positionV>
            <wp:extent cx="6985" cy="8890"/>
            <wp:effectExtent l="635" t="0" r="1905" b="2540"/>
            <wp:wrapNone/>
            <wp:docPr id="20" name="图片 8"/>
            <wp:cNvGraphicFramePr/>
            <a:graphic xmlns:a="http://schemas.openxmlformats.org/drawingml/2006/main">
              <a:graphicData uri="http://schemas.openxmlformats.org/drawingml/2006/picture">
                <pic:pic xmlns:pic="http://schemas.openxmlformats.org/drawingml/2006/picture">
                  <pic:nvPicPr>
                    <pic:cNvPr id="20" name="图片 8"/>
                    <pic:cNvPicPr/>
                  </pic:nvPicPr>
                  <pic:blipFill>
                    <a:blip r:embed="rId13"/>
                    <a:stretch>
                      <a:fillRect/>
                    </a:stretch>
                  </pic:blipFill>
                  <pic:spPr>
                    <a:xfrm>
                      <a:off x="0" y="0"/>
                      <a:ext cx="6985" cy="8890"/>
                    </a:xfrm>
                    <a:prstGeom prst="rect">
                      <a:avLst/>
                    </a:prstGeom>
                    <a:noFill/>
                    <a:ln>
                      <a:noFill/>
                    </a:ln>
                  </pic:spPr>
                </pic:pic>
              </a:graphicData>
            </a:graphic>
          </wp:anchor>
        </w:drawing>
      </w:r>
      <w:r>
        <w:rPr>
          <w:rFonts w:hint="eastAsia" w:ascii="仿宋" w:hAnsi="仿宋" w:eastAsia="仿宋" w:cs="仿宋"/>
          <w:bCs/>
          <w:sz w:val="24"/>
          <w:highlight w:val="none"/>
        </w:rPr>
        <w:t>（7）任职资格：中标人负责根据甲方的需求为船舶配备符合“STCW 95”要求的合格、适任的船员，保证所派船员在上船前和在船服务期间内，持有船上相应工作所需的各种有效证件（所有驾驶员应当持有有效的GMDSS操作员证书），并确保船员的配备标准、职务、资格和证书符合我国相关法律、法规规定的培训等要求。</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（8）所有船员均须具备采购人认可的海上任职资历，并能胜任采购人船舶的工作要求。</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9）在本合同履行期限内，中标人保证所有与派遣船员任职有关的证书有效、齐全、真实、合法，负责船员证书的办理，负责在船船员的国际劳工公约所要求的手册、合同和记录等，满足船舶国际航行所需的必要手续要求。中标人有专门的对服务船员证书的管理。</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10）船员考核及处置：中标人协助采购人开展船员考核工作。负责做好考核中的各项协调工作，按照考核办法监督船员安全履职情况，并依据采购人认可的考核结果给予奖惩；按照采购方要求对不符合要求、不适任或日常管理考核不达标的船员，进行及时更换和调整。</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（11）疫情防控：新冠疫情下，供应商具有完备的疫情防控体系，包括全面的疫情防控政策和相应的应急防控预案等。</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12）船员费税罚款：应与船员签订满足国家相关法律、法规要求的《劳动合同》，按国家要求代扣、代缴个人所得税及保险费用，负责船员生病、工伤和死亡等事故的善后处理，并负责收集证据和索赔事宜。船员在采购人船上服务期间，若出现责任事故，供应商要参考采购人的具体处理建议，相关责任船员的罚款由船员负责支付。</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（13）薪金保证：在合同期内，中标人确保不因船员薪金问题影响派遣工作运行。</w:t>
      </w:r>
    </w:p>
    <w:p>
      <w:pPr>
        <w:widowControl/>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（14）符合国家及采购人规定的其他资格条件。</w:t>
      </w:r>
    </w:p>
    <w:p>
      <w:pPr>
        <w:tabs>
          <w:tab w:val="left" w:pos="525"/>
          <w:tab w:val="left" w:pos="846"/>
          <w:tab w:val="left" w:pos="3398"/>
        </w:tabs>
        <w:spacing w:line="360" w:lineRule="auto"/>
        <w:outlineLvl w:val="3"/>
        <w:rPr>
          <w:rFonts w:ascii="仿宋" w:hAnsi="仿宋" w:eastAsia="仿宋" w:cs="仿宋"/>
          <w:b/>
          <w:sz w:val="28"/>
          <w:szCs w:val="28"/>
          <w:highlight w:val="none"/>
        </w:rPr>
      </w:pPr>
      <w:r>
        <w:rPr>
          <w:rFonts w:hint="eastAsia" w:ascii="仿宋" w:hAnsi="仿宋" w:eastAsia="仿宋" w:cs="仿宋"/>
          <w:b/>
          <w:sz w:val="28"/>
          <w:szCs w:val="28"/>
          <w:highlight w:val="none"/>
        </w:rPr>
        <w:t>3.2 船员调配管理</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1）中标人应将双方商定的现有在船和后备船员作为采购人接受中标人派遣船员的基础。上述船员需调整时，经双方协商，由采购人在中标人船员中挑选合适船员作替补；若中标人因特殊情况需适当调整骨干船员，应事先征得采购人书面同意。</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（2）中标人至少提前30天将预派的和预公休的船员名单报采购人，若采购人提出调整意见，中标人应根据采购人意见及时调整配员，并经采购人同意。如采购人不同意，不得进行船员调配。</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（3）船员在船服务期内，因病、伤、残、亡等原因需要更换时，须经采购人同意并改派与合同签订时双方确认的同等或更高素质的船员。</w:t>
      </w:r>
    </w:p>
    <w:p>
      <w:pPr>
        <w:tabs>
          <w:tab w:val="left" w:pos="525"/>
          <w:tab w:val="left" w:pos="846"/>
          <w:tab w:val="left" w:pos="3398"/>
        </w:tabs>
        <w:spacing w:line="360" w:lineRule="auto"/>
        <w:outlineLvl w:val="3"/>
        <w:rPr>
          <w:rFonts w:ascii="仿宋" w:hAnsi="仿宋" w:eastAsia="仿宋" w:cs="仿宋"/>
          <w:b/>
          <w:sz w:val="28"/>
          <w:szCs w:val="28"/>
          <w:highlight w:val="none"/>
        </w:rPr>
      </w:pPr>
      <w:r>
        <w:rPr>
          <w:rFonts w:hint="eastAsia" w:ascii="仿宋" w:hAnsi="仿宋" w:eastAsia="仿宋" w:cs="仿宋"/>
          <w:b/>
          <w:sz w:val="28"/>
          <w:szCs w:val="28"/>
          <w:highlight w:val="none"/>
        </w:rPr>
        <w:t>3.3船员管理和教育</w:t>
      </w:r>
    </w:p>
    <w:p>
      <w:pPr>
        <w:pStyle w:val="2"/>
        <w:outlineLvl w:val="4"/>
        <w:rPr>
          <w:rFonts w:ascii="仿宋" w:hAnsi="仿宋" w:eastAsia="仿宋" w:cs="仿宋"/>
          <w:bCs/>
          <w:sz w:val="24"/>
          <w:szCs w:val="24"/>
          <w:highlight w:val="none"/>
        </w:rPr>
      </w:pPr>
      <w:r>
        <w:rPr>
          <w:rFonts w:hint="eastAsia" w:ascii="仿宋" w:hAnsi="仿宋" w:eastAsia="仿宋" w:cs="仿宋"/>
          <w:b/>
          <w:sz w:val="28"/>
          <w:szCs w:val="28"/>
          <w:highlight w:val="none"/>
        </w:rPr>
        <w:t>3.3.1 采购人职责</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（1）采购人始终享有对船员的首位管理权。</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（2）采购人如有更换船员需求，一般至少提前3天书面或口头通知中标人换人计划。</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3）采购人负责船员考核工作。颁布相关的考核办法，严格执行对船员的日常管理、考核与奖惩措施，并检查船员安全履行职责情况；对不符合要求、不适任或日常考核不达标的船员，有权提出更换和调整要求。</w:t>
      </w:r>
    </w:p>
    <w:p>
      <w:pPr>
        <w:spacing w:line="360" w:lineRule="auto"/>
        <w:ind w:firstLine="480" w:firstLineChars="200"/>
        <w:rPr>
          <w:highlight w:val="none"/>
        </w:rPr>
      </w:pPr>
      <w:r>
        <w:rPr>
          <w:rFonts w:hint="eastAsia" w:ascii="仿宋" w:hAnsi="仿宋" w:eastAsia="仿宋" w:cs="仿宋"/>
          <w:bCs/>
          <w:sz w:val="24"/>
          <w:highlight w:val="none"/>
        </w:rPr>
        <w:t>（4）采购人依法保证派遣船员的休假权利。船员在船舶上每工作2个月可享有5日的休假，应当按休假流程办理审批手续。船舶执行任务期间，不允许休假。船员在休假期间，应遵守法律法规、疫情防控要求和船舶管理相关制度，船员工资正常发放。</w:t>
      </w:r>
    </w:p>
    <w:p>
      <w:pPr>
        <w:pStyle w:val="2"/>
        <w:spacing w:line="360" w:lineRule="auto"/>
        <w:outlineLvl w:val="4"/>
        <w:rPr>
          <w:rFonts w:ascii="仿宋" w:hAnsi="仿宋" w:eastAsia="仿宋" w:cs="仿宋"/>
          <w:bCs/>
          <w:sz w:val="24"/>
          <w:szCs w:val="24"/>
          <w:highlight w:val="none"/>
        </w:rPr>
      </w:pPr>
      <w:r>
        <w:rPr>
          <w:rFonts w:hint="eastAsia" w:ascii="仿宋" w:hAnsi="仿宋" w:eastAsia="仿宋" w:cs="仿宋"/>
          <w:b/>
          <w:sz w:val="28"/>
          <w:szCs w:val="28"/>
          <w:highlight w:val="none"/>
        </w:rPr>
        <w:t>3.3.2 中标人职责</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1）船员派出前的管理教育工作由中标人负责，中标人应加强对船员派出前的教育及派出后的跟踪管理。对采购人船舶，中标人应适当派员上船了解情况，及时处理船员管理中出现的问题，并做好船员的思想工作。</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（2）中标人在接到采购人更换船员通知后，在</w:t>
      </w:r>
      <w:r>
        <w:rPr>
          <w:rFonts w:ascii="仿宋" w:hAnsi="仿宋" w:eastAsia="仿宋" w:cs="仿宋"/>
          <w:bCs/>
          <w:sz w:val="24"/>
          <w:highlight w:val="none"/>
        </w:rPr>
        <w:t>3</w:t>
      </w:r>
      <w:r>
        <w:rPr>
          <w:rFonts w:hint="eastAsia" w:ascii="仿宋" w:hAnsi="仿宋" w:eastAsia="仿宋" w:cs="仿宋"/>
          <w:bCs/>
          <w:sz w:val="24"/>
          <w:highlight w:val="none"/>
        </w:rPr>
        <w:t>天内将选聘船员的全套个人资料（包括身份证复印件、海事证书扫描件和居住地公安机关出具的无犯罪记录证明等）和中标人面试船员记录表提交采购人审核、确认、备案。</w:t>
      </w:r>
    </w:p>
    <w:p>
      <w:pPr>
        <w:spacing w:line="360" w:lineRule="auto"/>
        <w:ind w:firstLine="480" w:firstLineChars="200"/>
        <w:rPr>
          <w:highlight w:val="none"/>
        </w:rPr>
      </w:pPr>
      <w:r>
        <w:rPr>
          <w:rFonts w:hint="eastAsia" w:ascii="仿宋" w:hAnsi="仿宋" w:eastAsia="仿宋" w:cs="仿宋"/>
          <w:bCs/>
          <w:sz w:val="24"/>
          <w:highlight w:val="none"/>
        </w:rPr>
        <w:t>（3）中标人所派船员在船服务期内应服从采购人管理，严格执行采购人建立的安全与保密协议等管理体系的相关要求，不得以任何借口消极怠工或拒绝工作、影响正常工作。采购人有权派员上船检查船员在安全生产、保密保卫、维修保养及遵纪守法等各方面的工作；有权按其体系文件规定对船员的职责履行情况、业务技术能力等进行检查、考核和跟踪指导。</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4）中标人协助采购人开展船员考核工作。负责做好考核中的各项协调工作，按照考核办法监督船员安全履职情况，并依据采购人认可的考核结果给予奖惩；按照采购人要求对不符合要求、不适任或日常管理考核不达标的船员，进行及时更换和调整。</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（5）中标人船员必须严格遵守采购人的所有相关规章制度。</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（6）中标人船员须严格遵守法律法规，严禁走私倒卖、吸毒、贩毒、赌博等一切非法犯罪行为；如发生违法犯罪行为，一切责任由中标人和船员本人负责，采购人对此不承担任何责任。</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（7）新冠疫情下，中标人具有完备的疫情防控体系，包括全面的疫情 防控政策和相应的应急防控预案等。同时应具备其他应急管理保障措施， 应急程序健全，应急相应及时。</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（8）中标人作为用人单位，负责办理船员的社会保险、意外伤害险等 必要保障，负责全面处理船员所可能产生的一切工伤/工亡事件，承担船员 所可能产生的一切工伤/工亡赔偿责任。因中标人未及时承担责任给甲方造成损失的，中标人应承担赔偿责任，采购人有权解除本合同。</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（9）中标人根据《中华人民共和国船员条例》、《2006 年海事劳工公约》等制度体系要求，建立适合我国船舶船员管理的相关制度、运行机制， 并保持其长期有效执行；中标人须协助甲方进行船舶安全体系运行，做好安全体系的督促、检查、指导等工作。</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（10）中标人未经甲方允许，不得在任何公共服务平台、各种网络应用软件中发布甲方所管船舶和船员的宣传信息。</w:t>
      </w:r>
    </w:p>
    <w:p>
      <w:pPr>
        <w:pStyle w:val="2"/>
        <w:spacing w:line="360" w:lineRule="auto"/>
        <w:outlineLvl w:val="4"/>
        <w:rPr>
          <w:rFonts w:ascii="仿宋" w:hAnsi="仿宋" w:eastAsia="仿宋" w:cs="仿宋"/>
          <w:b/>
          <w:sz w:val="28"/>
          <w:szCs w:val="28"/>
          <w:highlight w:val="none"/>
        </w:rPr>
      </w:pPr>
      <w:r>
        <w:rPr>
          <w:rFonts w:hint="eastAsia" w:ascii="仿宋" w:hAnsi="仿宋" w:eastAsia="仿宋" w:cs="仿宋"/>
          <w:b/>
          <w:sz w:val="28"/>
          <w:szCs w:val="28"/>
          <w:highlight w:val="none"/>
        </w:rPr>
        <w:t>3.3.3 出现下列情况的，采购人有权提出更换：</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（1）如引遇到采购人机构改革、管理权限变更和管理模式发生变化以及其他不可抗力因素，采购人一般至少提前3天以书面形式通知中标人更换船员计划；</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 xml:space="preserve">（2）中标人船员拒绝接受指令； </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 xml:space="preserve">（3）中标人船员擅自离船，且因船员离船影响船舶安全、任务执行及造成船舶安全事故，中标人应承担相应责任； </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 xml:space="preserve">（4）中标人船员在申请岗位时提供虚假或隐瞒真实情况或伪造证书和文件； </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 xml:space="preserve">（5）中标人船员个人能力或健康条件不能胜任本职岗位要求； </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 xml:space="preserve">（6）中标人船员进行任何违法、违规行为，或者受到司法条例的制裁或行政监视； </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 xml:space="preserve">（7）中标人船员严重扰乱社会治安和工作秩序； </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 xml:space="preserve">（8）中标人船员拒绝接受正常的岗位变更； </w:t>
      </w:r>
    </w:p>
    <w:p>
      <w:pPr>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（9）中标人船员因违反水上交通安全和防治船舶污染水域法律、行政法规行为， 被海事管理机构扣留证书的。</w:t>
      </w:r>
    </w:p>
    <w:p>
      <w:pPr>
        <w:tabs>
          <w:tab w:val="left" w:pos="525"/>
          <w:tab w:val="left" w:pos="846"/>
          <w:tab w:val="left" w:pos="3398"/>
        </w:tabs>
        <w:outlineLvl w:val="3"/>
        <w:rPr>
          <w:rFonts w:ascii="仿宋" w:hAnsi="仿宋" w:eastAsia="仿宋" w:cs="仿宋"/>
          <w:b/>
          <w:sz w:val="28"/>
          <w:szCs w:val="28"/>
          <w:highlight w:val="none"/>
        </w:rPr>
      </w:pPr>
      <w:r>
        <w:rPr>
          <w:rFonts w:hint="eastAsia" w:ascii="仿宋" w:hAnsi="仿宋" w:eastAsia="仿宋" w:cs="仿宋"/>
          <w:b/>
          <w:sz w:val="28"/>
          <w:szCs w:val="28"/>
          <w:highlight w:val="none"/>
        </w:rPr>
        <w:t>3.4其他要求：</w:t>
      </w:r>
    </w:p>
    <w:p>
      <w:pPr>
        <w:pStyle w:val="2"/>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drawing>
          <wp:anchor distT="0" distB="0" distL="114300" distR="114300" simplePos="0" relativeHeight="251661312" behindDoc="1" locked="0" layoutInCell="1" allowOverlap="1">
            <wp:simplePos x="0" y="0"/>
            <wp:positionH relativeFrom="page">
              <wp:posOffset>3740150</wp:posOffset>
            </wp:positionH>
            <wp:positionV relativeFrom="paragraph">
              <wp:posOffset>5715</wp:posOffset>
            </wp:positionV>
            <wp:extent cx="8890" cy="8890"/>
            <wp:effectExtent l="0" t="0" r="3810" b="2540"/>
            <wp:wrapNone/>
            <wp:docPr id="21" name="图片 9"/>
            <wp:cNvGraphicFramePr/>
            <a:graphic xmlns:a="http://schemas.openxmlformats.org/drawingml/2006/main">
              <a:graphicData uri="http://schemas.openxmlformats.org/drawingml/2006/picture">
                <pic:pic xmlns:pic="http://schemas.openxmlformats.org/drawingml/2006/picture">
                  <pic:nvPicPr>
                    <pic:cNvPr id="21" name="图片 9"/>
                    <pic:cNvPicPr/>
                  </pic:nvPicPr>
                  <pic:blipFill>
                    <a:blip r:embed="rId14"/>
                    <a:stretch>
                      <a:fillRect/>
                    </a:stretch>
                  </pic:blipFill>
                  <pic:spPr>
                    <a:xfrm>
                      <a:off x="0" y="0"/>
                      <a:ext cx="8890" cy="8890"/>
                    </a:xfrm>
                    <a:prstGeom prst="rect">
                      <a:avLst/>
                    </a:prstGeom>
                    <a:noFill/>
                    <a:ln>
                      <a:noFill/>
                    </a:ln>
                  </pic:spPr>
                </pic:pic>
              </a:graphicData>
            </a:graphic>
          </wp:anchor>
        </w:drawing>
      </w:r>
      <w:r>
        <w:rPr>
          <w:rFonts w:hint="eastAsia" w:ascii="仿宋" w:hAnsi="仿宋" w:eastAsia="仿宋" w:cs="仿宋"/>
          <w:sz w:val="24"/>
          <w:szCs w:val="24"/>
          <w:highlight w:val="none"/>
        </w:rPr>
        <w:t>（1）中标人保证合法用工：中标人必须与其雇佣船员签订相关劳动合同，依法为其雇佣船员缴纳五险一金。</w:t>
      </w:r>
    </w:p>
    <w:p>
      <w:pPr>
        <w:tabs>
          <w:tab w:val="left" w:pos="709"/>
        </w:tabs>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（2）相关协议：乙方须保证其工作人员及其雇佣船员保守甲方秘密。</w:t>
      </w:r>
    </w:p>
    <w:p>
      <w:pPr>
        <w:tabs>
          <w:tab w:val="left" w:pos="709"/>
        </w:tabs>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（3）采购人可根据实际情况或需求，对船员资格条件要求进行调整，中标人必须服从，且提供服务的船员必须符合采购人的要求。</w:t>
      </w:r>
    </w:p>
    <w:p>
      <w:pPr>
        <w:pStyle w:val="2"/>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（4）船员培训：管理级船员应接受岗前培训。中标人应按采购人要求安排船员进行上船前培训。中标人须针对采购人的规章制度，对船员进行培训。</w:t>
      </w:r>
    </w:p>
    <w:p>
      <w:pPr>
        <w:pStyle w:val="3"/>
        <w:spacing w:line="360" w:lineRule="auto"/>
        <w:rPr>
          <w:rFonts w:ascii="仿宋" w:hAnsi="仿宋" w:eastAsia="仿宋" w:cs="仿宋"/>
          <w:color w:val="auto"/>
          <w:kern w:val="2"/>
          <w:highlight w:val="none"/>
        </w:rPr>
      </w:pPr>
      <w:r>
        <w:rPr>
          <w:rFonts w:hint="eastAsia" w:ascii="仿宋" w:hAnsi="仿宋" w:eastAsia="仿宋" w:cs="仿宋"/>
          <w:color w:val="auto"/>
          <w:kern w:val="2"/>
          <w:highlight w:val="none"/>
        </w:rPr>
        <w:t xml:space="preserve">    （5）船员考核：实施分级考核。考核内容包括但不限于每月（周）维修保养工作计划及计划完成情况、月度安全训练、船容船貌及卫生、考勤休假、备品备件、油料管理、安全管理、防疫工作等，采用现场检查、检阅资料、询问提问、设备操作、应急演习、听取汇报等方式进行，以确保考核结果的真实、公正、准确。</w:t>
      </w:r>
    </w:p>
    <w:p>
      <w:pPr>
        <w:pStyle w:val="2"/>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（6）采购人船舶主要从事科考工作，船员除履行船员岗位职责外，还须协助船舶实验室、船载调查支撑设备的维护管理和操控工作等。</w:t>
      </w:r>
    </w:p>
    <w:p>
      <w:pPr>
        <w:tabs>
          <w:tab w:val="left" w:pos="709"/>
        </w:tabs>
        <w:spacing w:beforeLines="50" w:afterLines="50" w:line="360" w:lineRule="auto"/>
        <w:outlineLvl w:val="2"/>
        <w:rPr>
          <w:rFonts w:ascii="仿宋" w:hAnsi="仿宋" w:eastAsia="仿宋" w:cs="仿宋"/>
          <w:b/>
          <w:bCs/>
          <w:sz w:val="28"/>
          <w:szCs w:val="28"/>
          <w:highlight w:val="none"/>
        </w:rPr>
      </w:pPr>
      <w:bookmarkStart w:id="22" w:name="_Toc10837"/>
      <w:r>
        <w:rPr>
          <w:rFonts w:hint="eastAsia" w:ascii="仿宋" w:hAnsi="仿宋" w:eastAsia="仿宋" w:cs="仿宋"/>
          <w:b/>
          <w:bCs/>
          <w:sz w:val="28"/>
          <w:szCs w:val="28"/>
          <w:highlight w:val="none"/>
        </w:rPr>
        <w:t>4.船员主要职责及执证要求</w:t>
      </w:r>
      <w:bookmarkEnd w:id="22"/>
    </w:p>
    <w:p>
      <w:pPr>
        <w:tabs>
          <w:tab w:val="left" w:pos="525"/>
          <w:tab w:val="left" w:pos="846"/>
          <w:tab w:val="left" w:pos="3398"/>
        </w:tabs>
        <w:spacing w:line="360" w:lineRule="auto"/>
        <w:outlineLvl w:val="3"/>
        <w:rPr>
          <w:rFonts w:ascii="仿宋" w:hAnsi="仿宋" w:eastAsia="仿宋" w:cs="仿宋"/>
          <w:b/>
          <w:sz w:val="28"/>
          <w:szCs w:val="28"/>
          <w:highlight w:val="none"/>
        </w:rPr>
      </w:pPr>
      <w:r>
        <w:rPr>
          <w:rFonts w:hint="eastAsia" w:ascii="仿宋" w:hAnsi="仿宋" w:eastAsia="仿宋" w:cs="仿宋"/>
          <w:b/>
          <w:sz w:val="28"/>
          <w:szCs w:val="28"/>
          <w:highlight w:val="none"/>
        </w:rPr>
        <w:t>4.1  主要职责</w:t>
      </w:r>
    </w:p>
    <w:p>
      <w:pPr>
        <w:pStyle w:val="2"/>
        <w:spacing w:line="360" w:lineRule="auto"/>
        <w:outlineLvl w:val="4"/>
        <w:rPr>
          <w:rFonts w:ascii="仿宋" w:hAnsi="仿宋" w:eastAsia="仿宋" w:cs="仿宋"/>
          <w:b/>
          <w:sz w:val="28"/>
          <w:szCs w:val="28"/>
          <w:highlight w:val="none"/>
        </w:rPr>
      </w:pPr>
      <w:r>
        <w:rPr>
          <w:rFonts w:hint="eastAsia" w:ascii="仿宋" w:hAnsi="仿宋" w:eastAsia="仿宋" w:cs="仿宋"/>
          <w:b/>
          <w:sz w:val="28"/>
          <w:szCs w:val="28"/>
          <w:highlight w:val="none"/>
        </w:rPr>
        <w:t>4.1.1 船长</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 船长是船舶安全与防污染管理工作的第一责任人，在单位的领导下执行上传下达的各项指示、决定和命令，贯彻采购人的安全和环境保护方针，并激励船员遵守；以简明方式发布相应的命令和指示；组织协调各部门的工作。</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（2） 坚持安全活动日制度、航前会议制度及船务会议制度、航次汇报制度，并查签各项活动的记录。</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（3） 审批各部门年、月度预防检查和维修养护计划，检查执行情况。审查航海日志、轮机日志、电台日志记载的正确性和完整性，审签各部门的报表，拟（或签）发电报。</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（4） 负责船员的业务技术能力的评估和鉴定，对船员的调动、升降、培训、奖罚等向采购人提出建议。组织开展船舶的在岗培训工作。</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（5） 督促、落实各部门做好开航前的准备工作，保证船舶和船员在开航时处于适航、适任状态，按照规定保障船舶的最低安全配员，保证船舶的正常值班。</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（6） 督促检查各部门、岗位严格执行航行值班制度，在港内航行、靠离泊位、抛锚、起锚时应亲自指挥，遇恶劣天气、能见度不良以及通过冰区、礁区、浅、狭、险要航段和主要转向点应上驾驶台指导或指挥。</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（7） 当被值班驾驶员唤请时，应尽快到达驾驶台；每晚就寝前，应将航行指示、注意事项和其它有关布置明确写入夜航命令簿。</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（8） 严格执行和检查、督促各部门人员执行船舶停泊值班制度，以及船舶装卸等有关规定。</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（9） 在船舶出现紧急情况，履行总指挥职责，按采购人有关程序和规定指挥全体船员进行反应和处理，并及时向主管部门和采购人报告。</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（10） 审核并签署应变部署表，严格按采购人规定定期组织实施各类演习。</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（11） 船舶进厂修理，负责审核各部门修理计划，核定厂修工程和自修项目，检查、督促各部门做好监修和自修准备工作，落实安全措施。</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（12） 海上行动必须服从上级指挥，严格履行国家赋予采购人的相关职责。</w:t>
      </w:r>
    </w:p>
    <w:p>
      <w:pPr>
        <w:pStyle w:val="2"/>
        <w:spacing w:line="360" w:lineRule="auto"/>
        <w:outlineLvl w:val="4"/>
        <w:rPr>
          <w:rFonts w:ascii="仿宋" w:hAnsi="仿宋" w:eastAsia="仿宋" w:cs="仿宋"/>
          <w:b/>
          <w:sz w:val="28"/>
          <w:szCs w:val="28"/>
          <w:highlight w:val="none"/>
        </w:rPr>
      </w:pPr>
      <w:r>
        <w:rPr>
          <w:rFonts w:hint="eastAsia" w:ascii="仿宋" w:hAnsi="仿宋" w:eastAsia="仿宋" w:cs="仿宋"/>
          <w:b/>
          <w:sz w:val="28"/>
          <w:szCs w:val="28"/>
          <w:highlight w:val="none"/>
        </w:rPr>
        <w:t>4.1.2大副</w:t>
      </w:r>
    </w:p>
    <w:p>
      <w:pPr>
        <w:pStyle w:val="2"/>
        <w:numPr>
          <w:ilvl w:val="0"/>
          <w:numId w:val="10"/>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大副是船长的助手，甲板部的负责人，主持甲板部的日常工作，担任航行、停泊值班及垃圾处理等管理工作。</w:t>
      </w:r>
    </w:p>
    <w:p>
      <w:pPr>
        <w:pStyle w:val="2"/>
        <w:numPr>
          <w:ilvl w:val="0"/>
          <w:numId w:val="10"/>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负责编制甲板部年度、月度预防检查和维修养护计划，并组织实施。</w:t>
      </w:r>
    </w:p>
    <w:p>
      <w:pPr>
        <w:pStyle w:val="2"/>
        <w:numPr>
          <w:ilvl w:val="0"/>
          <w:numId w:val="10"/>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负责船舶各类水舱压载/排放的管理。</w:t>
      </w:r>
    </w:p>
    <w:p>
      <w:pPr>
        <w:pStyle w:val="2"/>
        <w:numPr>
          <w:ilvl w:val="0"/>
          <w:numId w:val="10"/>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按时主持甲板部的安全日活动。</w:t>
      </w:r>
    </w:p>
    <w:p>
      <w:pPr>
        <w:pStyle w:val="2"/>
        <w:numPr>
          <w:ilvl w:val="0"/>
          <w:numId w:val="10"/>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负责甲板部的备件、物料、工具、用品的申领、验收和盘点工作。</w:t>
      </w:r>
    </w:p>
    <w:p>
      <w:pPr>
        <w:pStyle w:val="2"/>
        <w:numPr>
          <w:ilvl w:val="0"/>
          <w:numId w:val="10"/>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审核三副编制的应变部署表和船员应变卡，督促三副和水手做好各种应变器材的养护工作。船舶进行应变演习时负责现场指挥。</w:t>
      </w:r>
    </w:p>
    <w:p>
      <w:pPr>
        <w:pStyle w:val="2"/>
        <w:numPr>
          <w:ilvl w:val="0"/>
          <w:numId w:val="10"/>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负责本部门船员的职责熟悉培训工作，测评本部门船员技术业务和工作表现，提出奖惩、升降建议报船长，督促指导本部门实习人员按计划完成实习任务。</w:t>
      </w:r>
    </w:p>
    <w:p>
      <w:pPr>
        <w:pStyle w:val="2"/>
        <w:numPr>
          <w:ilvl w:val="0"/>
          <w:numId w:val="10"/>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督促本部门做好开航前准备工作，将本航次淡水、燃料、吃水等记入航海日志。</w:t>
      </w:r>
    </w:p>
    <w:p>
      <w:pPr>
        <w:pStyle w:val="2"/>
        <w:numPr>
          <w:ilvl w:val="0"/>
          <w:numId w:val="10"/>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严格执行航行、停泊值班制度，航行中遇有疑难时及时报告船长。</w:t>
      </w:r>
    </w:p>
    <w:p>
      <w:pPr>
        <w:pStyle w:val="2"/>
        <w:numPr>
          <w:ilvl w:val="0"/>
          <w:numId w:val="10"/>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管理船上人员的生活服务，负责船上配佣金管理工作。</w:t>
      </w:r>
    </w:p>
    <w:p>
      <w:pPr>
        <w:pStyle w:val="2"/>
        <w:numPr>
          <w:ilvl w:val="0"/>
          <w:numId w:val="10"/>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进出港、靠离泊位、抛起锚和掉头时，应在船首了望，将现场情况和周围环境及时报告船长，按船长指示指挥现场作业。</w:t>
      </w:r>
    </w:p>
    <w:p>
      <w:pPr>
        <w:pStyle w:val="2"/>
        <w:numPr>
          <w:ilvl w:val="0"/>
          <w:numId w:val="10"/>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负责甲板部的修船工作，编制厂修、自修计划，制定安全措施，修理中，密切厂船配合，掌握修理进度，监督和验收工程质量，领导本部门的自修工作。</w:t>
      </w:r>
    </w:p>
    <w:p>
      <w:pPr>
        <w:pStyle w:val="2"/>
        <w:numPr>
          <w:ilvl w:val="0"/>
          <w:numId w:val="10"/>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海上行动必须服从上级指挥，严格履行国家赋予采购人的相关职责。</w:t>
      </w:r>
    </w:p>
    <w:p>
      <w:pPr>
        <w:pStyle w:val="2"/>
        <w:spacing w:line="360" w:lineRule="auto"/>
        <w:outlineLvl w:val="4"/>
        <w:rPr>
          <w:rFonts w:ascii="仿宋" w:hAnsi="仿宋" w:eastAsia="仿宋" w:cs="仿宋"/>
          <w:b/>
          <w:sz w:val="28"/>
          <w:szCs w:val="28"/>
          <w:highlight w:val="none"/>
        </w:rPr>
      </w:pPr>
      <w:r>
        <w:rPr>
          <w:rFonts w:hint="eastAsia" w:ascii="仿宋" w:hAnsi="仿宋" w:eastAsia="仿宋" w:cs="仿宋"/>
          <w:b/>
          <w:sz w:val="28"/>
          <w:szCs w:val="28"/>
          <w:highlight w:val="none"/>
        </w:rPr>
        <w:t>4.1.3二副</w:t>
      </w:r>
    </w:p>
    <w:p>
      <w:pPr>
        <w:pStyle w:val="2"/>
        <w:numPr>
          <w:ilvl w:val="0"/>
          <w:numId w:val="11"/>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在大副领导下，负责管理和维护驾驶设备、航海仪器、航海图书资料及航线设计等工作，执行航行、停泊值班制度。</w:t>
      </w:r>
    </w:p>
    <w:p>
      <w:pPr>
        <w:pStyle w:val="2"/>
        <w:numPr>
          <w:ilvl w:val="0"/>
          <w:numId w:val="11"/>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负责管理、申领航海日志、海图、航海书表、资料、航行通告及各种记录簿等，及时登记，改正海图和其他航用资料并作好记录。</w:t>
      </w:r>
    </w:p>
    <w:p>
      <w:pPr>
        <w:pStyle w:val="2"/>
        <w:numPr>
          <w:ilvl w:val="0"/>
          <w:numId w:val="11"/>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负责船舶电台对外无线电联系，包括收发电传、电报、电子邮件等，以及收听有关航海警告、航海气象的通报等。</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（4）管理并负责各种航海仪器、气象仪表的正确使用和养护，排除一般故障，做好检修和误差记录，请领和保管备件。</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（5） 负责管理、养护船上甚高频无线电话、声光信号设备及国旗、信号旗、号灯、号型，确保其处于良好可用状态。</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（6） 经常检查、校对驾驶台与机舱相关联的各种仪器设备，发现异常或故障及时通知轮机部检修。</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（7） 管理天文钟和船钟，按时校正、上弦或调换电池。当船舶跨时区航行时，应根据船长指示，及时拨快或拨慢船钟，并通知有关船员。</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（8） 负责管理驾驶台、海图室、备品库，经常保持整洁。</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（9） 开航前，按照船长指示备妥所需海图及有关资料，设计航线并报船长审批；及时启动电罗经，试验各种电航仪器，确认良好。</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（10） 进出港、靠离泊位、掉头时，应在船尾在船长指挥下工作，并将现场情况和周围环境及时报告船长。</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（11） 航行中应严格遵守航行值班制度和有关规章，遇有任何疑难应及时报告船长。</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（12） 航行中负责每天与机舱的正午对时，航次结束时负责填报航次报表。</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（13） 修船前，按时向大副提出所管仪器设备的修理项目；进坞时检查装于船底的助航仪器附件，防止因敲锈、油漆造成损坏失灵；修船期间，做好所管项目的监修和验收工作，并参加自修。</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（14） 海上行动必须服从上级指挥，严格履行国家赋予采购人的相关职责。</w:t>
      </w:r>
    </w:p>
    <w:p>
      <w:pPr>
        <w:pStyle w:val="2"/>
        <w:spacing w:line="360" w:lineRule="auto"/>
        <w:outlineLvl w:val="4"/>
        <w:rPr>
          <w:rFonts w:ascii="仿宋" w:hAnsi="仿宋" w:eastAsia="仿宋" w:cs="仿宋"/>
          <w:b/>
          <w:sz w:val="28"/>
          <w:szCs w:val="28"/>
          <w:highlight w:val="none"/>
        </w:rPr>
      </w:pPr>
      <w:r>
        <w:rPr>
          <w:rFonts w:hint="eastAsia" w:ascii="仿宋" w:hAnsi="仿宋" w:eastAsia="仿宋" w:cs="仿宋"/>
          <w:b/>
          <w:sz w:val="28"/>
          <w:szCs w:val="28"/>
          <w:highlight w:val="none"/>
        </w:rPr>
        <w:t>4.1.4三副</w:t>
      </w:r>
    </w:p>
    <w:p>
      <w:pPr>
        <w:pStyle w:val="2"/>
        <w:numPr>
          <w:ilvl w:val="0"/>
          <w:numId w:val="12"/>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在船长、大副的领导下，三副主管船舶救生、消防设备，应熟悉并遵守值班、联系制度，以及航行安全、技术操作方面的规章，履行规定的船舶航行和停泊值班职责。</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（2） 管理全船消防设备、器材和火警报警设备，定期养护、检查和换剂，使其处于良好的技术状态；灭火机应注明检验和换剂日期；禁止将消防器材移作他用。管理并熟练地操作固定式灭火系统(主副机扫气箱所属系统除外)，保持管系和分路阀的铭牌、标志鲜明。</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（3） 负责管理救生艇(筏)、救生浮具及其属具、备品，保持清洁完整，定期更换淡水和食品等；保持各种救生信号的有效期(驾驶台由二副管理的求救、救生信号和器材除外)。负责配置救生衣，经常检查是否放在指定位置，按期试验，如有损坏应即修复或更换。</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（4） 对船舶各种消防、救生器材、设备物品要认真登记入册，并做好维修、保养、更换和记录。</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（5） 按规定向船员讲解救生、消防知识和各种设备、器材的操作使用方法。</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（6） 开航前应编妥船舶应变部署表及船员应变卡，经大副审核、船长批准后公布执行；及时向新接任船员介绍应变岗位和具体职责。</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（7） 进出港口、靠离移泊和抛起锚时，在驾驶台执行瞭望和传达船长的指令，准确记录车钟和时间、重要船位及有关情况，或按船长指定的位置和任务进行工作。</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（8） 按时向大副提出所管设备的保养计划和修理项目，修船期间，做好自修和验收工作以及大副指派的工作。</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（9） 弃船时携带双向无线电话、海上搜救雷达应答器。</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（10）海上行动必须服从上级指挥，严格履行国家赋予采购人的相关职责。</w:t>
      </w:r>
    </w:p>
    <w:p>
      <w:pPr>
        <w:pStyle w:val="2"/>
        <w:spacing w:line="360" w:lineRule="auto"/>
        <w:outlineLvl w:val="4"/>
        <w:rPr>
          <w:rFonts w:ascii="仿宋" w:hAnsi="仿宋" w:eastAsia="仿宋" w:cs="仿宋"/>
          <w:b/>
          <w:sz w:val="28"/>
          <w:szCs w:val="28"/>
          <w:highlight w:val="none"/>
        </w:rPr>
      </w:pPr>
      <w:r>
        <w:rPr>
          <w:rFonts w:hint="eastAsia" w:ascii="仿宋" w:hAnsi="仿宋" w:eastAsia="仿宋" w:cs="仿宋"/>
          <w:b/>
          <w:sz w:val="28"/>
          <w:szCs w:val="28"/>
          <w:highlight w:val="none"/>
        </w:rPr>
        <w:t>4.1.5轮机长</w:t>
      </w:r>
    </w:p>
    <w:p>
      <w:pPr>
        <w:pStyle w:val="2"/>
        <w:numPr>
          <w:ilvl w:val="0"/>
          <w:numId w:val="13"/>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轮机长是全船机械、动力、电气（无线电通信导航和由甲板部使用的电子仪器除外）设备的技术总负责人。在船长领导下全面主持轮机部的工作，贯彻执行各项制度和操作规程，使各种设备保持良好技术状态。</w:t>
      </w:r>
    </w:p>
    <w:p>
      <w:pPr>
        <w:pStyle w:val="2"/>
        <w:numPr>
          <w:ilvl w:val="0"/>
          <w:numId w:val="13"/>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贯彻执行采购人指示和本船船务会议的决定；制定并组织实施轮机部工作计划。</w:t>
      </w:r>
    </w:p>
    <w:p>
      <w:pPr>
        <w:pStyle w:val="2"/>
        <w:numPr>
          <w:ilvl w:val="0"/>
          <w:numId w:val="13"/>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审核轮机部年、月度自修维护计划，交船长签署后上报单位批准，并负责予以实施。指导大管轮在安排具体工作时注意提高科学性和计划性。</w:t>
      </w:r>
    </w:p>
    <w:p>
      <w:pPr>
        <w:pStyle w:val="2"/>
        <w:numPr>
          <w:ilvl w:val="0"/>
          <w:numId w:val="13"/>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航行时每日审阅并签署轮机日志，检查轮机部其它各种日志记载的准确性和完善性，经常审阅各类安全管理记录。</w:t>
      </w:r>
    </w:p>
    <w:p>
      <w:pPr>
        <w:pStyle w:val="2"/>
        <w:numPr>
          <w:ilvl w:val="0"/>
          <w:numId w:val="13"/>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负责控制燃润油和锅炉用淡水的储量，及时向船长提出添装量；负责、监督燃润油的添加、移驳工作；审核燃、润油消耗报告并上报采购人机务处。</w:t>
      </w:r>
    </w:p>
    <w:p>
      <w:pPr>
        <w:pStyle w:val="2"/>
        <w:numPr>
          <w:ilvl w:val="0"/>
          <w:numId w:val="13"/>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监督燃润料、物料、备件的合理使用；定期提取主、副机润滑油样交有关单位化验分析，发现问题及时处理；督促本部门船员做好物料、工具、备件等的请领、验收、保管、统计、领取、使用工作。</w:t>
      </w:r>
    </w:p>
    <w:p>
      <w:pPr>
        <w:pStyle w:val="2"/>
        <w:numPr>
          <w:ilvl w:val="0"/>
          <w:numId w:val="13"/>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负责保管轮机部档案及技术资料，每年至少一次清点所有文件。</w:t>
      </w:r>
    </w:p>
    <w:p>
      <w:pPr>
        <w:pStyle w:val="2"/>
        <w:numPr>
          <w:ilvl w:val="0"/>
          <w:numId w:val="13"/>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船舶发生紧急情况时，按驾驶台发出的信号指挥机舱人员按应变部署表的分工，坚守岗位，积极抢救。</w:t>
      </w:r>
    </w:p>
    <w:p>
      <w:pPr>
        <w:pStyle w:val="2"/>
        <w:numPr>
          <w:ilvl w:val="0"/>
          <w:numId w:val="13"/>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按时主持轮机部安全活动日的活动；定期组织进行安全自查；及时组织有关人员分析事故原因及其经验教训，制定改进措施并予以实施。</w:t>
      </w:r>
    </w:p>
    <w:p>
      <w:pPr>
        <w:pStyle w:val="2"/>
        <w:numPr>
          <w:ilvl w:val="0"/>
          <w:numId w:val="13"/>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负责本部门船员的职责熟悉培训工作，测评本部门船员技术业务和工作表现，提出奖惩、升降建议并报船长，督促指导本部门实习人员按计划完成实习任务。</w:t>
      </w:r>
    </w:p>
    <w:p>
      <w:pPr>
        <w:pStyle w:val="2"/>
        <w:numPr>
          <w:ilvl w:val="0"/>
          <w:numId w:val="13"/>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负责轮机部的修船工作，汇编厂修、自修计划，制定并落实各项安全防护措施，密切厂船配合，掌握修理进度，监督和验收工程质量，领导本部门船员做好自修工作。</w:t>
      </w:r>
    </w:p>
    <w:p>
      <w:pPr>
        <w:pStyle w:val="2"/>
        <w:numPr>
          <w:ilvl w:val="0"/>
          <w:numId w:val="13"/>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负责审核本部门制定的操作规程，报船长批准后予以张贴。</w:t>
      </w:r>
    </w:p>
    <w:p>
      <w:pPr>
        <w:pStyle w:val="2"/>
        <w:numPr>
          <w:ilvl w:val="0"/>
          <w:numId w:val="13"/>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海上行动必须服从上级指挥，严格履行国家赋予采购人的相关职责。</w:t>
      </w:r>
    </w:p>
    <w:p>
      <w:pPr>
        <w:pStyle w:val="2"/>
        <w:spacing w:line="360" w:lineRule="auto"/>
        <w:outlineLvl w:val="4"/>
        <w:rPr>
          <w:rFonts w:ascii="仿宋" w:hAnsi="仿宋" w:eastAsia="仿宋" w:cs="仿宋"/>
          <w:b/>
          <w:sz w:val="28"/>
          <w:szCs w:val="28"/>
          <w:highlight w:val="none"/>
        </w:rPr>
      </w:pPr>
      <w:r>
        <w:rPr>
          <w:rFonts w:hint="eastAsia" w:ascii="仿宋" w:hAnsi="仿宋" w:eastAsia="仿宋" w:cs="仿宋"/>
          <w:b/>
          <w:sz w:val="28"/>
          <w:szCs w:val="28"/>
          <w:highlight w:val="none"/>
        </w:rPr>
        <w:t>4.1.6大管轮</w:t>
      </w:r>
    </w:p>
    <w:p>
      <w:pPr>
        <w:pStyle w:val="2"/>
        <w:numPr>
          <w:ilvl w:val="0"/>
          <w:numId w:val="14"/>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大管轮是轮机长的助手。在轮机长领导下，认真履行值班职责；根据机电合一原则，主管船舶推进装置及其附属设备（包括系统所属电机〈气〉设备）和养护分工明细表规定的各种设备，协助轮机长搞好技术管理和轮机部的日常工作。</w:t>
      </w:r>
    </w:p>
    <w:p>
      <w:pPr>
        <w:pStyle w:val="2"/>
        <w:numPr>
          <w:ilvl w:val="0"/>
          <w:numId w:val="14"/>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负责保持主管各种安全设备、装置和防护设施等经常处于良好可用状态，定期进行必要的检查或试验，开航前会同驾驶员、电机员校试舵机；负责指导有关人员熟悉和掌握正确的管理和使用方法；做好机舱的防火、防爆、防冻和防污染工作。</w:t>
      </w:r>
    </w:p>
    <w:p>
      <w:pPr>
        <w:pStyle w:val="2"/>
        <w:numPr>
          <w:ilvl w:val="0"/>
          <w:numId w:val="14"/>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按“船舶预防检查和维修养护周期”规定，拟定所管设备及其系统的年、月度自修维护计划，报轮机长审核并予以实施，确保其处于良好技术状态。</w:t>
      </w:r>
    </w:p>
    <w:p>
      <w:pPr>
        <w:pStyle w:val="2"/>
        <w:numPr>
          <w:ilvl w:val="0"/>
          <w:numId w:val="14"/>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根据轮机部月度自修维护计划，分配轮机部日常工作，布置各项安全措施并检查执行情况；督促本部门人员保持机舱环境清洁；凡抢修主机或主机吊缸检修，及主机经过较大的检修须要试验时，均应在场。</w:t>
      </w:r>
    </w:p>
    <w:p>
      <w:pPr>
        <w:pStyle w:val="2"/>
        <w:numPr>
          <w:ilvl w:val="0"/>
          <w:numId w:val="14"/>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负责安排轮机部航行和停泊值班，并按值班制度执行；停泊期间每日审阅和记载轮机日志。</w:t>
      </w:r>
    </w:p>
    <w:p>
      <w:pPr>
        <w:pStyle w:val="2"/>
        <w:numPr>
          <w:ilvl w:val="0"/>
          <w:numId w:val="14"/>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汇总编制轮机部备件、物料、工具等请领计划，送轮机长审核上报；指导有关人员做好验收、保管、清点和合理使用；负责润滑油的申领、验收和报销。</w:t>
      </w:r>
    </w:p>
    <w:p>
      <w:pPr>
        <w:pStyle w:val="2"/>
        <w:numPr>
          <w:ilvl w:val="0"/>
          <w:numId w:val="14"/>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保管所管设备的备件、专用工具和本人使用的技术资料等。</w:t>
      </w:r>
    </w:p>
    <w:p>
      <w:pPr>
        <w:pStyle w:val="2"/>
        <w:numPr>
          <w:ilvl w:val="0"/>
          <w:numId w:val="14"/>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协助轮机长做好轮机部人员的管理和在岗培训工作，组织和指导本部门船员技术业务学习。</w:t>
      </w:r>
    </w:p>
    <w:p>
      <w:pPr>
        <w:pStyle w:val="2"/>
        <w:numPr>
          <w:ilvl w:val="0"/>
          <w:numId w:val="14"/>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船舶发生紧急情况时，除按照应变部署表规定的职责做好工作外，还应按轮机长的指示指挥轮机部人员做好应变抢救工作。</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（10）修船工作</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①进厂前，提出所管设备厂修工程项目及自修工程项目，汇总二、三管轮的修理项目，送轮机长审阅。</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②厂修时，协助轮机长组织好本部门的监修、自修、测量记录和验收工作，亲自主持主管设备的监修、测量、验收；并做好安全防护和机舱的保卫工作。</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（11） 负责拟制主管设备的操作规程并报轮机长审核。</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（12） 海上行动必须服从上级指挥，严格履行国家赋予采购人的相关职责。</w:t>
      </w:r>
    </w:p>
    <w:p>
      <w:pPr>
        <w:pStyle w:val="2"/>
        <w:spacing w:line="360" w:lineRule="auto"/>
        <w:outlineLvl w:val="4"/>
        <w:rPr>
          <w:rFonts w:ascii="仿宋" w:hAnsi="仿宋" w:eastAsia="仿宋" w:cs="仿宋"/>
          <w:b/>
          <w:sz w:val="28"/>
          <w:szCs w:val="28"/>
          <w:highlight w:val="none"/>
        </w:rPr>
      </w:pPr>
      <w:r>
        <w:rPr>
          <w:rFonts w:hint="eastAsia" w:ascii="仿宋" w:hAnsi="仿宋" w:eastAsia="仿宋" w:cs="仿宋"/>
          <w:b/>
          <w:sz w:val="28"/>
          <w:szCs w:val="28"/>
          <w:highlight w:val="none"/>
        </w:rPr>
        <w:t>4.1.7二管轮</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二管轮受轮机长领导并在大管轮安排下进行工作；执行值班制度；根据机电合一原则，主管发电原动机及其附属设备（包括系统所属电机〈气〉设备）和分工明细表规定的各种设备，同时负责其它轮机员系统设备所属的电机〈气〉设备以外的独立电机（气）设备。确保处于良好技术状态。</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（2） 按“船舶预防检查和维修养护周期”规定，拟定所管设备的年、月度自修维护计划，交轮机长审阅予以实施，立并做好检查测量及维修记录。</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（3） 停泊时除执行值班制度外，领导大管轮分派给其的人员进行检修工作。</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（4） 接受和完成轮机长分配的其它工作，在大管轮指派下，协助其它轮机员进行各种机械设备的维护工作。</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（5） 负责燃油测量、记录和统计，按时报告轮机长；负责加装或移驳燃油，安排好添装次序、速度，正确留取油样。航次结束后，负责填写燃润油消耗报告送轮机长审核上报。</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（6） 开航前会同值班驾驶员、电机员校试舵机，在海上航行时每天填写并与二副交换正午报告（无人机舱由值班轮机员负责）。</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（7） 提出所管设备的备件、专用物料、工具的请领计划送大管轮汇总，并负责验收、盘点。保管所管设备的备件、专用工具和有关技术资料等。不设电机员的船舶还应负责轮机部电机（气）设备备件、工具、物料的保管和养护工作。</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（8） 修船工作</w:t>
      </w:r>
    </w:p>
    <w:p>
      <w:pPr>
        <w:pStyle w:val="2"/>
        <w:spacing w:line="360" w:lineRule="auto"/>
        <w:ind w:firstLine="960" w:firstLineChars="400"/>
        <w:rPr>
          <w:rFonts w:ascii="仿宋" w:hAnsi="仿宋" w:eastAsia="仿宋" w:cs="仿宋"/>
          <w:bCs/>
          <w:sz w:val="24"/>
          <w:szCs w:val="24"/>
          <w:highlight w:val="none"/>
        </w:rPr>
      </w:pPr>
      <w:r>
        <w:rPr>
          <w:rFonts w:hint="eastAsia" w:ascii="仿宋" w:hAnsi="仿宋" w:eastAsia="仿宋" w:cs="仿宋"/>
          <w:bCs/>
          <w:sz w:val="24"/>
          <w:szCs w:val="24"/>
          <w:highlight w:val="none"/>
        </w:rPr>
        <w:t>① 进厂前，拟定所管设备的厂修工程项目和自修工程项目，送大管轮汇总。</w:t>
      </w:r>
    </w:p>
    <w:p>
      <w:pPr>
        <w:pStyle w:val="2"/>
        <w:spacing w:line="360" w:lineRule="auto"/>
        <w:ind w:firstLine="960" w:firstLineChars="400"/>
        <w:rPr>
          <w:rFonts w:ascii="仿宋" w:hAnsi="仿宋" w:eastAsia="仿宋" w:cs="仿宋"/>
          <w:bCs/>
          <w:sz w:val="24"/>
          <w:szCs w:val="24"/>
          <w:highlight w:val="none"/>
        </w:rPr>
      </w:pPr>
      <w:r>
        <w:rPr>
          <w:rFonts w:hint="eastAsia" w:ascii="仿宋" w:hAnsi="仿宋" w:eastAsia="仿宋" w:cs="仿宋"/>
          <w:bCs/>
          <w:sz w:val="24"/>
          <w:szCs w:val="24"/>
          <w:highlight w:val="none"/>
        </w:rPr>
        <w:t>② 厂修期间，除完成自修工程项目外，按大管轮的安排，认真对厂修工程项目进行监修、验收；完成轮机长和大管轮指派的其它工作。</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（9）负责拟制主管设备的操作规程并报轮机长审核。</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（10）海上行动必须服从上级指挥，严格履行国家赋予采购人的相关职责。</w:t>
      </w:r>
    </w:p>
    <w:p>
      <w:pPr>
        <w:pStyle w:val="2"/>
        <w:spacing w:line="360" w:lineRule="auto"/>
        <w:outlineLvl w:val="4"/>
        <w:rPr>
          <w:rFonts w:ascii="仿宋" w:hAnsi="仿宋" w:eastAsia="仿宋" w:cs="仿宋"/>
          <w:b/>
          <w:sz w:val="28"/>
          <w:szCs w:val="28"/>
          <w:highlight w:val="none"/>
        </w:rPr>
      </w:pPr>
      <w:r>
        <w:rPr>
          <w:rFonts w:hint="eastAsia" w:ascii="仿宋" w:hAnsi="仿宋" w:eastAsia="仿宋" w:cs="仿宋"/>
          <w:b/>
          <w:sz w:val="28"/>
          <w:szCs w:val="28"/>
          <w:highlight w:val="none"/>
        </w:rPr>
        <w:t>4.1.8三管轮</w:t>
      </w:r>
    </w:p>
    <w:p>
      <w:pPr>
        <w:pStyle w:val="2"/>
        <w:adjustRightInd w:val="0"/>
        <w:snapToGrid w:val="0"/>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（1）三管轮在轮机长和大管轮的领导下，执行值班制度；根据机电合一原则，主管甲板机械及其附属设备（包括系统所属电机〈气〉设备）和养护分工明细表规定的各种设备，确保处于良好技术状态。</w:t>
      </w:r>
    </w:p>
    <w:p>
      <w:pPr>
        <w:pStyle w:val="2"/>
        <w:adjustRightInd w:val="0"/>
        <w:snapToGrid w:val="0"/>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（2） 按“船舶预防检查和维修养护周期”规定，拟定所管设备的年、月度自修维护计划，交大管轮汇总并实施，做好检查测量及维修记录，定期送轮机长审阅。</w:t>
      </w:r>
    </w:p>
    <w:p>
      <w:pPr>
        <w:pStyle w:val="2"/>
        <w:adjustRightInd w:val="0"/>
        <w:snapToGrid w:val="0"/>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（3） 开航前会同值班驾驶员、电机员校试舵机，停泊时除执行值班制度外，领导大管轮分派给他的人员进行检修工作。</w:t>
      </w:r>
    </w:p>
    <w:p>
      <w:pPr>
        <w:pStyle w:val="2"/>
        <w:adjustRightInd w:val="0"/>
        <w:snapToGrid w:val="0"/>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（4） 负责机舱污油及污水的处理。在排污过程中，严格遵守国际防污公约的有关规定，采取有效的防污措施。</w:t>
      </w:r>
    </w:p>
    <w:p>
      <w:pPr>
        <w:pStyle w:val="2"/>
        <w:adjustRightInd w:val="0"/>
        <w:snapToGrid w:val="0"/>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（5） 负责救生艇发动机、应急消防泵和其它本职所管各种应急、安全设备的管理，定期进行效用试验，使其经常处于良好技术状态。</w:t>
      </w:r>
    </w:p>
    <w:p>
      <w:pPr>
        <w:pStyle w:val="2"/>
        <w:adjustRightInd w:val="0"/>
        <w:snapToGrid w:val="0"/>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（6） 提出所管设备的备件、专用物料、工具等请领计划送大管轮汇总，并负责验收、盘点。保管所管设备的备件、专用工具和有关技术资料等。</w:t>
      </w:r>
    </w:p>
    <w:p>
      <w:pPr>
        <w:pStyle w:val="2"/>
        <w:adjustRightInd w:val="0"/>
        <w:snapToGrid w:val="0"/>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（7）修船工作</w:t>
      </w:r>
    </w:p>
    <w:p>
      <w:pPr>
        <w:pStyle w:val="2"/>
        <w:adjustRightInd w:val="0"/>
        <w:snapToGrid w:val="0"/>
        <w:spacing w:line="360" w:lineRule="auto"/>
        <w:ind w:firstLine="960" w:firstLineChars="400"/>
        <w:rPr>
          <w:rFonts w:ascii="仿宋" w:hAnsi="仿宋" w:eastAsia="仿宋" w:cs="仿宋"/>
          <w:bCs/>
          <w:sz w:val="24"/>
          <w:szCs w:val="24"/>
          <w:highlight w:val="none"/>
        </w:rPr>
      </w:pPr>
      <w:r>
        <w:rPr>
          <w:rFonts w:hint="eastAsia" w:ascii="仿宋" w:hAnsi="仿宋" w:eastAsia="仿宋" w:cs="仿宋"/>
          <w:bCs/>
          <w:sz w:val="24"/>
          <w:szCs w:val="24"/>
          <w:highlight w:val="none"/>
        </w:rPr>
        <w:t>①进厂前，拟定所管设备的厂修工程项目和自修工程项目，送大管轮汇总。</w:t>
      </w:r>
    </w:p>
    <w:p>
      <w:pPr>
        <w:pStyle w:val="2"/>
        <w:adjustRightInd w:val="0"/>
        <w:snapToGrid w:val="0"/>
        <w:spacing w:line="360" w:lineRule="auto"/>
        <w:ind w:firstLine="960" w:firstLineChars="400"/>
        <w:rPr>
          <w:rFonts w:ascii="仿宋" w:hAnsi="仿宋" w:eastAsia="仿宋" w:cs="仿宋"/>
          <w:bCs/>
          <w:sz w:val="24"/>
          <w:szCs w:val="24"/>
          <w:highlight w:val="none"/>
        </w:rPr>
      </w:pPr>
      <w:r>
        <w:rPr>
          <w:rFonts w:hint="eastAsia" w:ascii="仿宋" w:hAnsi="仿宋" w:eastAsia="仿宋" w:cs="仿宋"/>
          <w:bCs/>
          <w:sz w:val="24"/>
          <w:szCs w:val="24"/>
          <w:highlight w:val="none"/>
        </w:rPr>
        <w:t>②厂修期间，除完成自修工程项目外，按大管轮的安排，认真对厂修工程项目进行监修、验收；完成轮机长和大管轮指派的其它工作。</w:t>
      </w:r>
    </w:p>
    <w:p>
      <w:pPr>
        <w:pStyle w:val="2"/>
        <w:adjustRightInd w:val="0"/>
        <w:snapToGrid w:val="0"/>
        <w:spacing w:line="360" w:lineRule="auto"/>
        <w:ind w:left="420" w:leftChars="200"/>
        <w:rPr>
          <w:rFonts w:ascii="仿宋" w:hAnsi="仿宋" w:eastAsia="仿宋" w:cs="仿宋"/>
          <w:bCs/>
          <w:sz w:val="24"/>
          <w:szCs w:val="24"/>
          <w:highlight w:val="none"/>
        </w:rPr>
      </w:pPr>
      <w:r>
        <w:rPr>
          <w:rFonts w:hint="eastAsia" w:ascii="仿宋" w:hAnsi="仿宋" w:eastAsia="仿宋" w:cs="仿宋"/>
          <w:bCs/>
          <w:sz w:val="24"/>
          <w:szCs w:val="24"/>
          <w:highlight w:val="none"/>
        </w:rPr>
        <w:t>（8）负责拟制主管设备的操作规程并报轮机长审核。</w:t>
      </w:r>
    </w:p>
    <w:p>
      <w:pPr>
        <w:pStyle w:val="2"/>
        <w:spacing w:line="360" w:lineRule="auto"/>
        <w:ind w:left="420" w:leftChars="200"/>
        <w:rPr>
          <w:rFonts w:ascii="仿宋" w:hAnsi="仿宋" w:eastAsia="仿宋" w:cs="仿宋"/>
          <w:bCs/>
          <w:sz w:val="24"/>
          <w:szCs w:val="24"/>
          <w:highlight w:val="none"/>
        </w:rPr>
      </w:pPr>
      <w:r>
        <w:rPr>
          <w:rFonts w:hint="eastAsia" w:ascii="仿宋" w:hAnsi="仿宋" w:eastAsia="仿宋" w:cs="仿宋"/>
          <w:bCs/>
          <w:sz w:val="24"/>
          <w:szCs w:val="24"/>
          <w:highlight w:val="none"/>
        </w:rPr>
        <w:t>（9）海上行动必须服从上级指挥，严格履行国家赋予采购人的相关职责。</w:t>
      </w:r>
    </w:p>
    <w:p>
      <w:pPr>
        <w:pStyle w:val="2"/>
        <w:spacing w:line="360" w:lineRule="auto"/>
        <w:outlineLvl w:val="4"/>
        <w:rPr>
          <w:rFonts w:ascii="仿宋" w:hAnsi="仿宋" w:eastAsia="仿宋" w:cs="仿宋"/>
          <w:b/>
          <w:sz w:val="28"/>
          <w:szCs w:val="28"/>
          <w:highlight w:val="none"/>
        </w:rPr>
      </w:pPr>
      <w:r>
        <w:rPr>
          <w:rFonts w:hint="eastAsia" w:ascii="仿宋" w:hAnsi="仿宋" w:eastAsia="仿宋" w:cs="仿宋"/>
          <w:b/>
          <w:sz w:val="28"/>
          <w:szCs w:val="28"/>
          <w:highlight w:val="none"/>
        </w:rPr>
        <w:t>4.1.9电机员</w:t>
      </w:r>
    </w:p>
    <w:p>
      <w:pPr>
        <w:pStyle w:val="2"/>
        <w:numPr>
          <w:ilvl w:val="0"/>
          <w:numId w:val="15"/>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在轮机长和大管轮领导下，协助轮机员做好全船电气设备的管理、检查、维护工作，确保处于良好技术状态。</w:t>
      </w:r>
    </w:p>
    <w:p>
      <w:pPr>
        <w:pStyle w:val="2"/>
        <w:numPr>
          <w:ilvl w:val="0"/>
          <w:numId w:val="15"/>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按轮机部制定的轮值表值班。停泊值班时，每天不少于三次巡视检查全船所有运转中的电机、电气设备，发现不正常的情况应及时纠正或修理，并报告轮机长或大管轮，装卸货时，如发现起货机、照明灯具使用不当，有责任立即提出纠正。</w:t>
      </w:r>
    </w:p>
    <w:p>
      <w:pPr>
        <w:pStyle w:val="2"/>
        <w:numPr>
          <w:ilvl w:val="0"/>
          <w:numId w:val="15"/>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船舶进出港口、靠离移泊和其它必要的情况下，应在机舱值守。</w:t>
      </w:r>
    </w:p>
    <w:p>
      <w:pPr>
        <w:pStyle w:val="2"/>
        <w:numPr>
          <w:ilvl w:val="0"/>
          <w:numId w:val="15"/>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开航前会同值班驾驶员、值班轮机员校试舵机，检查锚机、绞缆机、航行灯、无人机舱的摇控装置、各种报警装置等电气设备的可靠性；开航后，做好甲板、室外电气设备和装置的水密与防潮工作。</w:t>
      </w:r>
    </w:p>
    <w:p>
      <w:pPr>
        <w:pStyle w:val="2"/>
        <w:numPr>
          <w:ilvl w:val="0"/>
          <w:numId w:val="15"/>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到港前检查锚机、绞缆机、装卸设备的电气部份，甲板和室外照明装置及装卸灯，发现问题及时修复，确保系泊和装卸作业的顺利进行。</w:t>
      </w:r>
    </w:p>
    <w:p>
      <w:pPr>
        <w:pStyle w:val="2"/>
        <w:numPr>
          <w:ilvl w:val="0"/>
          <w:numId w:val="15"/>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负责电机（气）设备的备件、工具、物料的保管和养护工作，并向二管轮提出添置建议。</w:t>
      </w:r>
    </w:p>
    <w:p>
      <w:pPr>
        <w:pStyle w:val="2"/>
        <w:numPr>
          <w:ilvl w:val="0"/>
          <w:numId w:val="15"/>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及时向主管轮机员提出所管设备需厂修的项目，在厂修期间协助轮机员进行监修，并参加自修。</w:t>
      </w:r>
    </w:p>
    <w:p>
      <w:pPr>
        <w:pStyle w:val="2"/>
        <w:numPr>
          <w:ilvl w:val="0"/>
          <w:numId w:val="15"/>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严格遵守操作规程和安全规则，经常注意危险警告牌的正确悬挂，禁止非电气工作人员接触重要的带电设备。</w:t>
      </w:r>
    </w:p>
    <w:p>
      <w:pPr>
        <w:pStyle w:val="2"/>
        <w:numPr>
          <w:ilvl w:val="0"/>
          <w:numId w:val="15"/>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具体负责航行灯、信号灯、照明设备、日用电器设备及集装箱冷藏箱电源的正常使用和维护保养。</w:t>
      </w:r>
    </w:p>
    <w:p>
      <w:pPr>
        <w:pStyle w:val="2"/>
        <w:numPr>
          <w:ilvl w:val="0"/>
          <w:numId w:val="15"/>
        </w:numPr>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海上行动必须服从上级指挥，严格履行国家赋予采购人的相关职责。</w:t>
      </w:r>
    </w:p>
    <w:p>
      <w:pPr>
        <w:pStyle w:val="2"/>
        <w:spacing w:line="360" w:lineRule="auto"/>
        <w:outlineLvl w:val="4"/>
        <w:rPr>
          <w:rFonts w:ascii="仿宋" w:hAnsi="仿宋" w:eastAsia="仿宋" w:cs="仿宋"/>
          <w:b/>
          <w:sz w:val="28"/>
          <w:szCs w:val="28"/>
          <w:highlight w:val="none"/>
        </w:rPr>
      </w:pPr>
      <w:r>
        <w:rPr>
          <w:rFonts w:hint="eastAsia" w:ascii="仿宋" w:hAnsi="仿宋" w:eastAsia="仿宋" w:cs="仿宋"/>
          <w:b/>
          <w:sz w:val="28"/>
          <w:szCs w:val="28"/>
          <w:highlight w:val="none"/>
        </w:rPr>
        <w:t>4.1.10大厨/厨工</w:t>
      </w:r>
    </w:p>
    <w:p>
      <w:pPr>
        <w:pStyle w:val="2"/>
        <w:widowControl/>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（1）负责管理厨房、伙食等工作。</w:t>
      </w:r>
    </w:p>
    <w:p>
      <w:pPr>
        <w:pStyle w:val="2"/>
        <w:widowControl/>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（2）负责采购、储备足够数量的主副食品和佐料，制定菜谱、菜单，负责切菜、配料、烹调。</w:t>
      </w:r>
    </w:p>
    <w:p>
      <w:pPr>
        <w:pStyle w:val="2"/>
        <w:widowControl/>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（3）做好主副食品、佐料的验收、保管工作，保证饮食卫生。</w:t>
      </w:r>
    </w:p>
    <w:p>
      <w:pPr>
        <w:pStyle w:val="2"/>
        <w:widowControl/>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（4）做好船员餐厅、厨房、炊具，冷藏间、粮库等的清洁卫生和除害防火工作，注意节约燃料，保持个人卫生。</w:t>
      </w:r>
    </w:p>
    <w:p>
      <w:pPr>
        <w:pStyle w:val="2"/>
        <w:widowControl/>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（5）有关人员暂时不能离开工作岗位用膳时，做好热茶热饭供应。</w:t>
      </w:r>
    </w:p>
    <w:p>
      <w:pPr>
        <w:pStyle w:val="2"/>
        <w:widowControl/>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（6）做好月终库存盘点、结算，及时申领、保管厨房设备用品。</w:t>
      </w:r>
    </w:p>
    <w:p>
      <w:pPr>
        <w:pStyle w:val="2"/>
        <w:widowControl/>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（7）做好炉灶、炊具的管理、保养工作，负责联系搬运主副食品。</w:t>
      </w:r>
    </w:p>
    <w:p>
      <w:pPr>
        <w:pStyle w:val="2"/>
        <w:widowControl/>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（8）参加停泊护船班并供应夜餐。</w:t>
      </w:r>
    </w:p>
    <w:p>
      <w:pPr>
        <w:pStyle w:val="2"/>
        <w:widowControl/>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（9）海上行动必须服从上级指挥，严格履行国家赋予采购人的相关职责。</w:t>
      </w:r>
    </w:p>
    <w:p>
      <w:pPr>
        <w:pStyle w:val="2"/>
        <w:spacing w:line="360" w:lineRule="auto"/>
        <w:outlineLvl w:val="4"/>
        <w:rPr>
          <w:rFonts w:ascii="仿宋" w:hAnsi="仿宋" w:eastAsia="仿宋" w:cs="仿宋"/>
          <w:b/>
          <w:sz w:val="28"/>
          <w:szCs w:val="28"/>
          <w:highlight w:val="none"/>
        </w:rPr>
      </w:pPr>
      <w:r>
        <w:rPr>
          <w:rFonts w:hint="eastAsia" w:ascii="仿宋" w:hAnsi="仿宋" w:eastAsia="仿宋" w:cs="仿宋"/>
          <w:b/>
          <w:sz w:val="28"/>
          <w:szCs w:val="28"/>
          <w:highlight w:val="none"/>
        </w:rPr>
        <w:t>4.1.11船医</w:t>
      </w:r>
    </w:p>
    <w:p>
      <w:pPr>
        <w:pStyle w:val="2"/>
        <w:widowControl/>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（1）主管船上医药工作。</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（2）海上行动必须服从上级指挥，严格履行国家赋予采购人的相关职责。</w:t>
      </w:r>
    </w:p>
    <w:p>
      <w:pPr>
        <w:pStyle w:val="2"/>
        <w:spacing w:line="360" w:lineRule="auto"/>
        <w:outlineLvl w:val="4"/>
        <w:rPr>
          <w:rFonts w:ascii="仿宋" w:hAnsi="仿宋" w:eastAsia="仿宋" w:cs="仿宋"/>
          <w:b/>
          <w:sz w:val="28"/>
          <w:szCs w:val="28"/>
          <w:highlight w:val="none"/>
        </w:rPr>
      </w:pPr>
      <w:r>
        <w:rPr>
          <w:rFonts w:hint="eastAsia" w:ascii="仿宋" w:hAnsi="仿宋" w:eastAsia="仿宋" w:cs="仿宋"/>
          <w:b/>
          <w:sz w:val="28"/>
          <w:szCs w:val="28"/>
          <w:highlight w:val="none"/>
        </w:rPr>
        <w:t>4.1.12水手</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（1）在值班驾驶员领导下，担任操舵、值班、保养维修工作等工作。</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2）负责驾驶台内外和船内分工范围内的清洁；航行中，按船长、值班驾驶员口令正确及时执行舵令，并朗声复诵，当口令不一致时，执行船长的口令；发现空舵，舵效不灵或异常情况立即报告；使用自动舵时，不排除操舵责任；值班时坚守岗位，执行值班制度的各项规定。</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（3）按规定升降国旗、号旗，悬点号灯、号型和启闭甲板照明；开航前，校舵及检查航行灯。</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（4）进出港、靠离泊前，按驾驶员布置升降号旗、号型、关点号灯；空舵应协助驾驶员了望，进出港时负责监舵，夜航时注意检查航行灯、号灯是否明亮。</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（5）靠离泊前后，装卸舷梯、跳板、安全网，查看并记录前后吃水。</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（6）值舷梯班时，佩带袖章，做好会客登记，巡视船舶四周，给有关船、驳系解缆，负责舷梯、锚、靠把、出水孔、安全网、驳船等的安全正常。</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（7）锚泊时，检查锚链情况，悬点锚泊信号，遇雾敲钟，注意四周船舶动态及船岸信号，并守听甚高频无线电话，发现走锚或可疑情况立即报告值班驾驶员。</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8）正确操纵起锚机、起货机、绞缆机；拆装检查装卸属具，负责手锤测深，修补号旗和帆布盖罩，收放救生艇（筏），参加消防、救生、堵漏以及上高和舷外作业等工作；参加开航或靠泊前（系离泊）的准备工作和系解缆工作。</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（9）努力学习业务和操舵技术，熟悉舵性，懂得海图、潮流、避碰规则等一般航海知识。</w:t>
      </w:r>
    </w:p>
    <w:p>
      <w:pPr>
        <w:pStyle w:val="2"/>
        <w:tabs>
          <w:tab w:val="left" w:pos="284"/>
        </w:tabs>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（10）海上行动必须服从上级指挥，严格履行国家赋予采购人的相关职责。</w:t>
      </w:r>
    </w:p>
    <w:p>
      <w:pPr>
        <w:pStyle w:val="2"/>
        <w:spacing w:line="360" w:lineRule="auto"/>
        <w:outlineLvl w:val="4"/>
        <w:rPr>
          <w:rFonts w:ascii="仿宋" w:hAnsi="仿宋" w:eastAsia="仿宋" w:cs="仿宋"/>
          <w:b/>
          <w:sz w:val="28"/>
          <w:szCs w:val="28"/>
          <w:highlight w:val="none"/>
        </w:rPr>
      </w:pPr>
      <w:r>
        <w:rPr>
          <w:rFonts w:hint="eastAsia" w:ascii="仿宋" w:hAnsi="仿宋" w:eastAsia="仿宋" w:cs="仿宋"/>
          <w:b/>
          <w:sz w:val="28"/>
          <w:szCs w:val="28"/>
          <w:highlight w:val="none"/>
        </w:rPr>
        <w:t>4.1.13机工</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（1）参加轮值时，在值班轮机员领导下，遵守值班制度和操作规程，做好开航前各项准备工作，管理主、副机及附属设备的正常运转，并保持机舱清洁；执行值班轮机员指派的其它工作。</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（2）按驾驶员书面通知，正确注、排转换压载水，记录起止时间，凭牌开关甲板水、气、电。</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（3）不参加轮值时，在大管轮安排下，参加日常维修保养工作，并做好工属具的清洁工作。</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（4）执行大管轮指派的其它工作。</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（5）熟悉机、炉舱应变设备、消防设备的使用及操作方法。</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（6）海上行动必须服从上级指挥，严格履行国家赋予采购人的相关职责。</w:t>
      </w:r>
    </w:p>
    <w:p>
      <w:pPr>
        <w:pStyle w:val="2"/>
        <w:spacing w:line="360" w:lineRule="auto"/>
        <w:outlineLvl w:val="4"/>
        <w:rPr>
          <w:rFonts w:ascii="仿宋" w:hAnsi="仿宋" w:eastAsia="仿宋" w:cs="仿宋"/>
          <w:b/>
          <w:sz w:val="28"/>
          <w:szCs w:val="28"/>
          <w:highlight w:val="none"/>
        </w:rPr>
      </w:pPr>
      <w:r>
        <w:rPr>
          <w:rFonts w:hint="eastAsia" w:ascii="仿宋" w:hAnsi="仿宋" w:eastAsia="仿宋" w:cs="仿宋"/>
          <w:b/>
          <w:sz w:val="28"/>
          <w:szCs w:val="28"/>
          <w:highlight w:val="none"/>
        </w:rPr>
        <w:t>4.1.14服务员</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（1）服务员服从船上大副的领导，负责日常船上生活场所卫生整洁、生活用品保养。</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（2）执行船领导指派的其它工作。</w:t>
      </w:r>
    </w:p>
    <w:p>
      <w:pPr>
        <w:pStyle w:val="2"/>
        <w:spacing w:line="360" w:lineRule="auto"/>
        <w:ind w:firstLine="480" w:firstLineChars="200"/>
        <w:rPr>
          <w:rFonts w:ascii="仿宋" w:hAnsi="仿宋" w:eastAsia="仿宋" w:cs="仿宋"/>
          <w:b/>
          <w:sz w:val="24"/>
          <w:szCs w:val="24"/>
          <w:highlight w:val="none"/>
        </w:rPr>
      </w:pPr>
      <w:r>
        <w:rPr>
          <w:rFonts w:hint="eastAsia" w:ascii="仿宋" w:hAnsi="仿宋" w:eastAsia="仿宋" w:cs="仿宋"/>
          <w:bCs/>
          <w:sz w:val="24"/>
          <w:szCs w:val="24"/>
          <w:highlight w:val="none"/>
        </w:rPr>
        <w:t>（3）海上行动必须服从上级指挥，严格履行国家赋予采购人的相关职责。</w:t>
      </w:r>
    </w:p>
    <w:p>
      <w:pPr>
        <w:tabs>
          <w:tab w:val="left" w:pos="525"/>
          <w:tab w:val="left" w:pos="846"/>
          <w:tab w:val="left" w:pos="3398"/>
        </w:tabs>
        <w:spacing w:line="360" w:lineRule="auto"/>
        <w:outlineLvl w:val="3"/>
        <w:rPr>
          <w:rFonts w:ascii="仿宋" w:hAnsi="仿宋" w:eastAsia="仿宋" w:cs="仿宋"/>
          <w:b/>
          <w:sz w:val="28"/>
          <w:szCs w:val="28"/>
          <w:highlight w:val="none"/>
        </w:rPr>
      </w:pPr>
      <w:r>
        <w:rPr>
          <w:rFonts w:hint="eastAsia" w:ascii="仿宋" w:hAnsi="仿宋" w:eastAsia="仿宋" w:cs="仿宋"/>
          <w:b/>
          <w:sz w:val="28"/>
          <w:szCs w:val="28"/>
          <w:highlight w:val="none"/>
        </w:rPr>
        <w:t>4.2. 执证要求</w:t>
      </w:r>
    </w:p>
    <w:p>
      <w:pPr>
        <w:pStyle w:val="2"/>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（1）远洋调查船组所需船员执证要求如下表。</w:t>
      </w:r>
    </w:p>
    <w:tbl>
      <w:tblPr>
        <w:tblStyle w:val="49"/>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034"/>
        <w:gridCol w:w="77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828" w:type="dxa"/>
            <w:vAlign w:val="center"/>
          </w:tcPr>
          <w:p>
            <w:pPr>
              <w:pStyle w:val="2"/>
              <w:snapToGrid w:val="0"/>
              <w:spacing w:line="400" w:lineRule="exact"/>
              <w:jc w:val="center"/>
              <w:rPr>
                <w:rFonts w:hAnsi="宋体"/>
                <w:b/>
                <w:bCs/>
                <w:szCs w:val="21"/>
                <w:highlight w:val="none"/>
              </w:rPr>
            </w:pPr>
            <w:r>
              <w:rPr>
                <w:rFonts w:hint="eastAsia" w:hAnsi="宋体"/>
                <w:b/>
                <w:bCs/>
                <w:szCs w:val="21"/>
                <w:highlight w:val="none"/>
              </w:rPr>
              <w:t>序号</w:t>
            </w:r>
          </w:p>
        </w:tc>
        <w:tc>
          <w:tcPr>
            <w:tcW w:w="1034" w:type="dxa"/>
            <w:vAlign w:val="center"/>
          </w:tcPr>
          <w:p>
            <w:pPr>
              <w:pStyle w:val="2"/>
              <w:snapToGrid w:val="0"/>
              <w:spacing w:line="400" w:lineRule="exact"/>
              <w:jc w:val="center"/>
              <w:rPr>
                <w:rFonts w:hAnsi="宋体"/>
                <w:b/>
                <w:bCs/>
                <w:szCs w:val="21"/>
                <w:highlight w:val="none"/>
              </w:rPr>
            </w:pPr>
            <w:r>
              <w:rPr>
                <w:rFonts w:hint="eastAsia" w:hAnsi="宋体"/>
                <w:b/>
                <w:bCs/>
                <w:szCs w:val="21"/>
                <w:highlight w:val="none"/>
              </w:rPr>
              <w:t>职务</w:t>
            </w:r>
          </w:p>
        </w:tc>
        <w:tc>
          <w:tcPr>
            <w:tcW w:w="7757" w:type="dxa"/>
            <w:vAlign w:val="center"/>
          </w:tcPr>
          <w:p>
            <w:pPr>
              <w:pStyle w:val="2"/>
              <w:snapToGrid w:val="0"/>
              <w:spacing w:line="400" w:lineRule="exact"/>
              <w:jc w:val="center"/>
              <w:rPr>
                <w:rFonts w:hAnsi="宋体"/>
                <w:b/>
                <w:bCs/>
                <w:szCs w:val="21"/>
                <w:highlight w:val="none"/>
              </w:rPr>
            </w:pPr>
            <w:r>
              <w:rPr>
                <w:rFonts w:hint="eastAsia" w:hAnsi="宋体"/>
                <w:b/>
                <w:bCs/>
                <w:szCs w:val="21"/>
                <w:highlight w:val="none"/>
              </w:rPr>
              <w:t>持证要求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numPr>
                <w:ilvl w:val="0"/>
                <w:numId w:val="16"/>
              </w:numPr>
              <w:snapToGrid w:val="0"/>
              <w:spacing w:line="400" w:lineRule="exact"/>
              <w:jc w:val="center"/>
              <w:rPr>
                <w:rFonts w:hAnsi="宋体"/>
                <w:bCs/>
                <w:szCs w:val="21"/>
                <w:highlight w:val="none"/>
              </w:rPr>
            </w:pPr>
          </w:p>
        </w:tc>
        <w:tc>
          <w:tcPr>
            <w:tcW w:w="1034" w:type="dxa"/>
            <w:vAlign w:val="center"/>
          </w:tcPr>
          <w:p>
            <w:pPr>
              <w:snapToGrid w:val="0"/>
              <w:spacing w:line="400" w:lineRule="exact"/>
              <w:jc w:val="center"/>
              <w:rPr>
                <w:rFonts w:hAnsi="宋体" w:cs="宋体"/>
                <w:szCs w:val="21"/>
                <w:highlight w:val="none"/>
              </w:rPr>
            </w:pPr>
            <w:r>
              <w:rPr>
                <w:rFonts w:hint="eastAsia" w:hAnsi="宋体" w:cs="宋体"/>
                <w:szCs w:val="21"/>
                <w:highlight w:val="none"/>
              </w:rPr>
              <w:t>船长</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有效的</w:t>
            </w:r>
            <w:r>
              <w:rPr>
                <w:rFonts w:hint="eastAsia" w:hAnsi="宋体"/>
                <w:szCs w:val="21"/>
                <w:highlight w:val="none"/>
              </w:rPr>
              <w:t>甲类</w:t>
            </w:r>
            <w:r>
              <w:rPr>
                <w:rFonts w:hint="eastAsia" w:hAnsi="宋体"/>
                <w:bCs/>
                <w:szCs w:val="21"/>
                <w:highlight w:val="none"/>
              </w:rPr>
              <w:t>一等</w:t>
            </w:r>
            <w:r>
              <w:rPr>
                <w:rFonts w:hint="eastAsia" w:hAnsi="宋体"/>
                <w:szCs w:val="21"/>
                <w:highlight w:val="none"/>
              </w:rPr>
              <w:t>以上</w:t>
            </w:r>
            <w:r>
              <w:rPr>
                <w:rFonts w:hint="eastAsia" w:hAnsi="宋体"/>
                <w:bCs/>
                <w:szCs w:val="21"/>
                <w:highlight w:val="none"/>
              </w:rPr>
              <w:t>船长适任证书、GMDSS通用操作员适任证书、《熟悉和基本安全培训合格证》、《精通救生艇筏和救助艇培训合格证》、《高级消防培训合格证》、《精通急救培训合格证》、《雷达观测与标绘和雷达模拟器培训合格证》、《自动雷达标绘仪培训合格证》、《船上医护培训合格证》、《船舶保安员专业证书》、《海员证》、《护照》、《健康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numPr>
                <w:ilvl w:val="0"/>
                <w:numId w:val="16"/>
              </w:numPr>
              <w:snapToGrid w:val="0"/>
              <w:spacing w:line="400" w:lineRule="exact"/>
              <w:jc w:val="center"/>
              <w:rPr>
                <w:rFonts w:hAnsi="宋体"/>
                <w:bCs/>
                <w:szCs w:val="21"/>
                <w:highlight w:val="none"/>
              </w:rPr>
            </w:pPr>
          </w:p>
        </w:tc>
        <w:tc>
          <w:tcPr>
            <w:tcW w:w="1034"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大副</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有效的</w:t>
            </w:r>
            <w:r>
              <w:rPr>
                <w:rFonts w:hint="eastAsia" w:hAnsi="宋体"/>
                <w:szCs w:val="21"/>
                <w:highlight w:val="none"/>
              </w:rPr>
              <w:t>甲类</w:t>
            </w:r>
            <w:r>
              <w:rPr>
                <w:rFonts w:hint="eastAsia" w:hAnsi="宋体"/>
                <w:bCs/>
                <w:szCs w:val="21"/>
                <w:highlight w:val="none"/>
              </w:rPr>
              <w:t>一等以上大副适任证书、GMDSS通用操作员适任证书、《熟悉和基本安全培训合格证》、《精通救生艇筏和救助艇培训合格证》、《高级消防培训合格证》、《精通急救培训合格证》、《雷达观测与标绘和雷达模拟器培训合格证》、《自动雷达标绘仪培训合格证》、《船上医护培训合格证》、《船舶保安员专业证书》、《海员证》、《护照》、《健康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numPr>
                <w:ilvl w:val="0"/>
                <w:numId w:val="16"/>
              </w:numPr>
              <w:snapToGrid w:val="0"/>
              <w:spacing w:line="400" w:lineRule="exact"/>
              <w:jc w:val="center"/>
              <w:rPr>
                <w:rFonts w:hAnsi="宋体"/>
                <w:bCs/>
                <w:szCs w:val="21"/>
                <w:highlight w:val="none"/>
              </w:rPr>
            </w:pPr>
          </w:p>
        </w:tc>
        <w:tc>
          <w:tcPr>
            <w:tcW w:w="1034"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二副</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有效的</w:t>
            </w:r>
            <w:r>
              <w:rPr>
                <w:rFonts w:hint="eastAsia" w:hAnsi="宋体"/>
                <w:szCs w:val="21"/>
                <w:highlight w:val="none"/>
              </w:rPr>
              <w:t>甲类</w:t>
            </w:r>
            <w:r>
              <w:rPr>
                <w:rFonts w:hint="eastAsia" w:hAnsi="宋体"/>
                <w:bCs/>
                <w:szCs w:val="21"/>
                <w:highlight w:val="none"/>
              </w:rPr>
              <w:t>一等以上二副适任证书、GMDSS通用操作员适任证书、《熟悉和基本安全培训合格证》、《精通救生艇筏和救助艇培训合格证》、《高级消防培训合格证》、《精通急救培训合格证》、《雷达观测与标绘和雷达模拟器培训合格证》、《自动雷达标绘仪培训合格证》、《海员证》、《护照》、《健康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numPr>
                <w:ilvl w:val="0"/>
                <w:numId w:val="16"/>
              </w:numPr>
              <w:snapToGrid w:val="0"/>
              <w:spacing w:line="400" w:lineRule="exact"/>
              <w:jc w:val="center"/>
              <w:rPr>
                <w:rFonts w:hAnsi="宋体"/>
                <w:bCs/>
                <w:szCs w:val="21"/>
                <w:highlight w:val="none"/>
              </w:rPr>
            </w:pPr>
          </w:p>
        </w:tc>
        <w:tc>
          <w:tcPr>
            <w:tcW w:w="1034"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三副</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有效的</w:t>
            </w:r>
            <w:r>
              <w:rPr>
                <w:rFonts w:hint="eastAsia" w:hAnsi="宋体"/>
                <w:szCs w:val="21"/>
                <w:highlight w:val="none"/>
              </w:rPr>
              <w:t>甲类</w:t>
            </w:r>
            <w:r>
              <w:rPr>
                <w:rFonts w:hint="eastAsia" w:hAnsi="宋体"/>
                <w:bCs/>
                <w:szCs w:val="21"/>
                <w:highlight w:val="none"/>
              </w:rPr>
              <w:t>一等以上三副适任证书、GMDSS通用操作员适任证书、《熟悉和基本安全培训合格证》、《精通救生艇筏和救助艇培训合格证》、《高级消防培训合格证》、《精通急救培训合格证》、《雷达观测与标绘和雷达模拟器培训合格证》、《自动雷达标绘仪培训合格证》、《海员证》、《护照》、《健康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numPr>
                <w:ilvl w:val="0"/>
                <w:numId w:val="16"/>
              </w:numPr>
              <w:snapToGrid w:val="0"/>
              <w:spacing w:line="400" w:lineRule="exact"/>
              <w:jc w:val="center"/>
              <w:rPr>
                <w:rFonts w:hAnsi="宋体"/>
                <w:bCs/>
                <w:szCs w:val="21"/>
                <w:highlight w:val="none"/>
              </w:rPr>
            </w:pPr>
          </w:p>
        </w:tc>
        <w:tc>
          <w:tcPr>
            <w:tcW w:w="1034" w:type="dxa"/>
            <w:vAlign w:val="center"/>
          </w:tcPr>
          <w:p>
            <w:pPr>
              <w:pStyle w:val="2"/>
              <w:snapToGrid w:val="0"/>
              <w:spacing w:line="400" w:lineRule="exact"/>
              <w:jc w:val="center"/>
              <w:rPr>
                <w:rFonts w:hAnsi="宋体"/>
                <w:bCs/>
                <w:szCs w:val="21"/>
                <w:highlight w:val="none"/>
              </w:rPr>
            </w:pPr>
            <w:r>
              <w:rPr>
                <w:rFonts w:hint="eastAsia" w:hAnsi="宋体" w:cs="宋体"/>
                <w:szCs w:val="21"/>
                <w:highlight w:val="none"/>
              </w:rPr>
              <w:t>轮机长</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有效的</w:t>
            </w:r>
            <w:r>
              <w:rPr>
                <w:rFonts w:hint="eastAsia" w:hAnsi="宋体"/>
                <w:szCs w:val="21"/>
                <w:highlight w:val="none"/>
              </w:rPr>
              <w:t>甲类</w:t>
            </w:r>
            <w:r>
              <w:rPr>
                <w:rFonts w:hint="eastAsia" w:hAnsi="宋体"/>
                <w:bCs/>
                <w:szCs w:val="21"/>
                <w:highlight w:val="none"/>
              </w:rPr>
              <w:t>一等</w:t>
            </w:r>
            <w:r>
              <w:rPr>
                <w:rFonts w:hint="eastAsia" w:hAnsi="宋体"/>
                <w:szCs w:val="21"/>
                <w:highlight w:val="none"/>
              </w:rPr>
              <w:t>或以上</w:t>
            </w:r>
            <w:r>
              <w:rPr>
                <w:rFonts w:hint="eastAsia" w:hAnsi="宋体"/>
                <w:bCs/>
                <w:szCs w:val="21"/>
                <w:highlight w:val="none"/>
              </w:rPr>
              <w:t>轮机长适任证书、《熟悉和基本安全培训合格证》、《精通救生艇筏和救助艇培训合格证》、《高级消防培训合格证》、《精通急救培训合格证》、《海员证》、《护照》、《健康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numPr>
                <w:ilvl w:val="0"/>
                <w:numId w:val="16"/>
              </w:numPr>
              <w:snapToGrid w:val="0"/>
              <w:spacing w:line="400" w:lineRule="exact"/>
              <w:jc w:val="center"/>
              <w:rPr>
                <w:rFonts w:hAnsi="宋体"/>
                <w:bCs/>
                <w:szCs w:val="21"/>
                <w:highlight w:val="none"/>
              </w:rPr>
            </w:pPr>
          </w:p>
        </w:tc>
        <w:tc>
          <w:tcPr>
            <w:tcW w:w="1034"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大管轮</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有效的</w:t>
            </w:r>
            <w:r>
              <w:rPr>
                <w:rFonts w:hint="eastAsia" w:hAnsi="宋体"/>
                <w:szCs w:val="21"/>
                <w:highlight w:val="none"/>
              </w:rPr>
              <w:t>甲类或</w:t>
            </w:r>
            <w:r>
              <w:rPr>
                <w:rFonts w:hint="eastAsia" w:hAnsi="宋体"/>
                <w:bCs/>
                <w:szCs w:val="21"/>
                <w:highlight w:val="none"/>
              </w:rPr>
              <w:t>丙类一等以上大管轮适任证书、《熟悉和基本安全培训合格证》、《精通救生艇筏和救助艇培训合格证》、《高级消防培训合格证》、《精通急救培训合格证》、《海员证》、《护照》、《健康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numPr>
                <w:ilvl w:val="0"/>
                <w:numId w:val="16"/>
              </w:numPr>
              <w:snapToGrid w:val="0"/>
              <w:spacing w:line="400" w:lineRule="exact"/>
              <w:jc w:val="center"/>
              <w:rPr>
                <w:rFonts w:hAnsi="宋体"/>
                <w:bCs/>
                <w:szCs w:val="21"/>
                <w:highlight w:val="none"/>
              </w:rPr>
            </w:pPr>
          </w:p>
        </w:tc>
        <w:tc>
          <w:tcPr>
            <w:tcW w:w="1034"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二管轮</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有效的</w:t>
            </w:r>
            <w:r>
              <w:rPr>
                <w:rFonts w:hint="eastAsia" w:hAnsi="宋体"/>
                <w:szCs w:val="21"/>
                <w:highlight w:val="none"/>
              </w:rPr>
              <w:t>甲类</w:t>
            </w:r>
            <w:r>
              <w:rPr>
                <w:rFonts w:hint="eastAsia" w:hAnsi="宋体"/>
                <w:bCs/>
                <w:szCs w:val="21"/>
                <w:highlight w:val="none"/>
              </w:rPr>
              <w:t>一等或以上二管轮适任证书、《熟悉和基本安全培训合格证》、《精通救生艇筏和救助艇培训合格证》、《高级消防培训合格证》、《精通急救培训合格证》、《海员证》、《护照》、《健康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numPr>
                <w:ilvl w:val="0"/>
                <w:numId w:val="16"/>
              </w:numPr>
              <w:snapToGrid w:val="0"/>
              <w:spacing w:line="400" w:lineRule="exact"/>
              <w:jc w:val="center"/>
              <w:rPr>
                <w:rFonts w:hAnsi="宋体"/>
                <w:bCs/>
                <w:szCs w:val="21"/>
                <w:highlight w:val="none"/>
              </w:rPr>
            </w:pPr>
          </w:p>
        </w:tc>
        <w:tc>
          <w:tcPr>
            <w:tcW w:w="1034"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三管轮</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有效的</w:t>
            </w:r>
            <w:r>
              <w:rPr>
                <w:rFonts w:hint="eastAsia" w:hAnsi="宋体"/>
                <w:szCs w:val="21"/>
                <w:highlight w:val="none"/>
              </w:rPr>
              <w:t>甲类</w:t>
            </w:r>
            <w:r>
              <w:rPr>
                <w:rFonts w:hint="eastAsia" w:hAnsi="宋体"/>
                <w:bCs/>
                <w:szCs w:val="21"/>
                <w:highlight w:val="none"/>
              </w:rPr>
              <w:t>一等或以上三管轮适任证书、《熟悉和基本安全培训合格证》、《精通救生艇筏和救助艇培训合格证》、《高级消防培训合格证》、《精通急救培训合格证》、《海员证》、《护照》、《健康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numPr>
                <w:ilvl w:val="0"/>
                <w:numId w:val="16"/>
              </w:numPr>
              <w:snapToGrid w:val="0"/>
              <w:spacing w:line="400" w:lineRule="exact"/>
              <w:jc w:val="center"/>
              <w:rPr>
                <w:rFonts w:hAnsi="宋体"/>
                <w:bCs/>
                <w:szCs w:val="21"/>
                <w:highlight w:val="none"/>
              </w:rPr>
            </w:pPr>
          </w:p>
        </w:tc>
        <w:tc>
          <w:tcPr>
            <w:tcW w:w="1034"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电机员</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具有三年以上的船上电机员资历及相应的专业证书，有效的《熟悉和基本安全培训合格证》、《精通救生艇筏和救助艇培训合格证》、《海员证》、《护照》、《健康证》、《黄热病证》和《船员服务簿》等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numPr>
                <w:ilvl w:val="0"/>
                <w:numId w:val="16"/>
              </w:numPr>
              <w:snapToGrid w:val="0"/>
              <w:spacing w:line="400" w:lineRule="exact"/>
              <w:jc w:val="center"/>
              <w:rPr>
                <w:rFonts w:hAnsi="宋体"/>
                <w:bCs/>
                <w:szCs w:val="21"/>
                <w:highlight w:val="none"/>
              </w:rPr>
            </w:pPr>
          </w:p>
        </w:tc>
        <w:tc>
          <w:tcPr>
            <w:tcW w:w="1034"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大厨/厨工</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具有三年以上的船上厨工资历、有效的《熟悉和基本安全培训合格证》、《海员证》、《护照》、《健康证》、《黄热病证》和《船员服务簿》等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numPr>
                <w:ilvl w:val="0"/>
                <w:numId w:val="16"/>
              </w:numPr>
              <w:snapToGrid w:val="0"/>
              <w:spacing w:line="400" w:lineRule="exact"/>
              <w:jc w:val="center"/>
              <w:rPr>
                <w:rFonts w:hAnsi="宋体"/>
                <w:bCs/>
                <w:szCs w:val="21"/>
                <w:highlight w:val="none"/>
              </w:rPr>
            </w:pPr>
          </w:p>
        </w:tc>
        <w:tc>
          <w:tcPr>
            <w:tcW w:w="1034"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船医</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有效的医师执业证书、《熟悉和基本安全培训合格证》、《海员证》、《护照》、《健康证》、《黄热病证》和《船员服务簿》等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numPr>
                <w:ilvl w:val="0"/>
                <w:numId w:val="16"/>
              </w:numPr>
              <w:snapToGrid w:val="0"/>
              <w:spacing w:line="400" w:lineRule="exact"/>
              <w:jc w:val="center"/>
              <w:rPr>
                <w:rFonts w:hAnsi="宋体"/>
                <w:bCs/>
                <w:szCs w:val="21"/>
                <w:highlight w:val="none"/>
              </w:rPr>
            </w:pPr>
          </w:p>
        </w:tc>
        <w:tc>
          <w:tcPr>
            <w:tcW w:w="1034"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水手</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有效的甲类水手适任证书、《熟悉和基本安全培训合格证》、《精通救生艇筏和救助艇培训合格证》、《海员证》、《护照》、《健康证》、《黄热病证》和《船员服务簿》等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numPr>
                <w:ilvl w:val="0"/>
                <w:numId w:val="16"/>
              </w:numPr>
              <w:snapToGrid w:val="0"/>
              <w:spacing w:line="400" w:lineRule="exact"/>
              <w:jc w:val="center"/>
              <w:rPr>
                <w:rFonts w:hAnsi="宋体"/>
                <w:bCs/>
                <w:szCs w:val="21"/>
                <w:highlight w:val="none"/>
              </w:rPr>
            </w:pPr>
          </w:p>
        </w:tc>
        <w:tc>
          <w:tcPr>
            <w:tcW w:w="1034"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机工</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有效的甲类机工适任证书、《熟悉和基本安全培训合格证》、《精通救生艇筏和救助艇培训合格证》、《海员证》、《护照》、《健康证》、《黄热病证》和《船员服务簿》等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numPr>
                <w:ilvl w:val="0"/>
                <w:numId w:val="16"/>
              </w:numPr>
              <w:snapToGrid w:val="0"/>
              <w:spacing w:line="400" w:lineRule="exact"/>
              <w:jc w:val="center"/>
              <w:rPr>
                <w:rFonts w:hAnsi="宋体"/>
                <w:bCs/>
                <w:szCs w:val="21"/>
                <w:highlight w:val="none"/>
              </w:rPr>
            </w:pPr>
          </w:p>
        </w:tc>
        <w:tc>
          <w:tcPr>
            <w:tcW w:w="1034" w:type="dxa"/>
            <w:vAlign w:val="center"/>
          </w:tcPr>
          <w:p>
            <w:pPr>
              <w:pStyle w:val="2"/>
              <w:tabs>
                <w:tab w:val="left" w:pos="304"/>
              </w:tabs>
              <w:snapToGrid w:val="0"/>
              <w:spacing w:line="400" w:lineRule="exact"/>
              <w:jc w:val="center"/>
              <w:rPr>
                <w:rFonts w:hAnsi="宋体"/>
                <w:bCs/>
                <w:szCs w:val="21"/>
                <w:highlight w:val="none"/>
              </w:rPr>
            </w:pPr>
            <w:r>
              <w:rPr>
                <w:rFonts w:hint="eastAsia" w:hAnsi="宋体"/>
                <w:bCs/>
                <w:szCs w:val="21"/>
                <w:highlight w:val="none"/>
              </w:rPr>
              <w:t>服务员</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相关岗位适任证书、《熟悉和基本安全培训合格证》、《精通救生艇筏和救助艇培训合格证》、《海员证》、《护照》、《健康证》、《黄热病证》和《船员服务簿》等</w:t>
            </w:r>
          </w:p>
        </w:tc>
      </w:tr>
    </w:tbl>
    <w:p>
      <w:pPr>
        <w:pStyle w:val="3"/>
        <w:rPr>
          <w:rFonts w:ascii="仿宋" w:hAnsi="仿宋" w:eastAsia="仿宋" w:cs="仿宋"/>
          <w:bCs/>
          <w:color w:val="auto"/>
          <w:highlight w:val="none"/>
        </w:rPr>
      </w:pPr>
    </w:p>
    <w:p>
      <w:pPr>
        <w:tabs>
          <w:tab w:val="left" w:pos="525"/>
          <w:tab w:val="left" w:pos="846"/>
          <w:tab w:val="left" w:pos="3398"/>
        </w:tabs>
        <w:spacing w:line="360" w:lineRule="auto"/>
        <w:outlineLvl w:val="3"/>
        <w:rPr>
          <w:rFonts w:ascii="仿宋" w:hAnsi="仿宋" w:eastAsia="仿宋" w:cs="仿宋"/>
          <w:b/>
          <w:sz w:val="28"/>
          <w:szCs w:val="28"/>
          <w:highlight w:val="none"/>
        </w:rPr>
      </w:pPr>
      <w:r>
        <w:rPr>
          <w:rFonts w:hint="eastAsia" w:ascii="仿宋" w:hAnsi="仿宋" w:eastAsia="仿宋" w:cs="仿宋"/>
          <w:bCs/>
          <w:sz w:val="24"/>
          <w:highlight w:val="none"/>
        </w:rPr>
        <w:t>（2）500吨级以上调查船所需船员执证要求如下表。</w:t>
      </w:r>
    </w:p>
    <w:tbl>
      <w:tblPr>
        <w:tblStyle w:val="49"/>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034"/>
        <w:gridCol w:w="77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828" w:type="dxa"/>
            <w:vAlign w:val="center"/>
          </w:tcPr>
          <w:p>
            <w:pPr>
              <w:pStyle w:val="2"/>
              <w:snapToGrid w:val="0"/>
              <w:spacing w:line="400" w:lineRule="exact"/>
              <w:jc w:val="center"/>
              <w:rPr>
                <w:rFonts w:hAnsi="宋体"/>
                <w:b/>
                <w:bCs/>
                <w:szCs w:val="21"/>
                <w:highlight w:val="none"/>
              </w:rPr>
            </w:pPr>
            <w:r>
              <w:rPr>
                <w:rFonts w:hint="eastAsia" w:hAnsi="宋体"/>
                <w:b/>
                <w:bCs/>
                <w:szCs w:val="21"/>
                <w:highlight w:val="none"/>
              </w:rPr>
              <w:t>序号</w:t>
            </w:r>
          </w:p>
        </w:tc>
        <w:tc>
          <w:tcPr>
            <w:tcW w:w="1034" w:type="dxa"/>
            <w:vAlign w:val="center"/>
          </w:tcPr>
          <w:p>
            <w:pPr>
              <w:pStyle w:val="2"/>
              <w:snapToGrid w:val="0"/>
              <w:spacing w:line="400" w:lineRule="exact"/>
              <w:jc w:val="center"/>
              <w:rPr>
                <w:rFonts w:hAnsi="宋体"/>
                <w:b/>
                <w:bCs/>
                <w:szCs w:val="21"/>
                <w:highlight w:val="none"/>
              </w:rPr>
            </w:pPr>
            <w:r>
              <w:rPr>
                <w:rFonts w:hint="eastAsia" w:hAnsi="宋体"/>
                <w:b/>
                <w:bCs/>
                <w:szCs w:val="21"/>
                <w:highlight w:val="none"/>
              </w:rPr>
              <w:t>职务</w:t>
            </w:r>
          </w:p>
        </w:tc>
        <w:tc>
          <w:tcPr>
            <w:tcW w:w="7757" w:type="dxa"/>
            <w:vAlign w:val="center"/>
          </w:tcPr>
          <w:p>
            <w:pPr>
              <w:pStyle w:val="2"/>
              <w:snapToGrid w:val="0"/>
              <w:spacing w:line="400" w:lineRule="exact"/>
              <w:jc w:val="center"/>
              <w:rPr>
                <w:rFonts w:hAnsi="宋体"/>
                <w:b/>
                <w:bCs/>
                <w:szCs w:val="21"/>
                <w:highlight w:val="none"/>
              </w:rPr>
            </w:pPr>
            <w:r>
              <w:rPr>
                <w:rFonts w:hint="eastAsia" w:hAnsi="宋体"/>
                <w:b/>
                <w:bCs/>
                <w:szCs w:val="21"/>
                <w:highlight w:val="none"/>
              </w:rPr>
              <w:t>持证要求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1</w:t>
            </w:r>
          </w:p>
        </w:tc>
        <w:tc>
          <w:tcPr>
            <w:tcW w:w="1034" w:type="dxa"/>
            <w:vAlign w:val="center"/>
          </w:tcPr>
          <w:p>
            <w:pPr>
              <w:snapToGrid w:val="0"/>
              <w:spacing w:line="400" w:lineRule="exact"/>
              <w:jc w:val="center"/>
              <w:rPr>
                <w:rFonts w:hAnsi="宋体" w:cs="宋体"/>
                <w:szCs w:val="21"/>
                <w:highlight w:val="none"/>
              </w:rPr>
            </w:pPr>
            <w:r>
              <w:rPr>
                <w:rFonts w:hint="eastAsia" w:hAnsi="宋体" w:cs="宋体"/>
                <w:szCs w:val="21"/>
                <w:highlight w:val="none"/>
              </w:rPr>
              <w:t>船长</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有效的丙类一等</w:t>
            </w:r>
            <w:r>
              <w:rPr>
                <w:rFonts w:hint="eastAsia" w:hAnsi="宋体"/>
                <w:szCs w:val="21"/>
                <w:highlight w:val="none"/>
              </w:rPr>
              <w:t>以上</w:t>
            </w:r>
            <w:r>
              <w:rPr>
                <w:rFonts w:hint="eastAsia" w:hAnsi="宋体"/>
                <w:bCs/>
                <w:szCs w:val="21"/>
                <w:highlight w:val="none"/>
              </w:rPr>
              <w:t>船长适任证书、GMDSS通用操作员适任证书、《熟悉和基本安全培训合格证》、《精通救生艇筏和救助艇培训合格证》、《高级消防培训合格证》、《精通急救培训合格证》、《雷达观测与标绘和雷达模拟器培训合格证》、《自动雷达标绘仪培训合格证》、《船上医护培训合格证》、《健康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2</w:t>
            </w:r>
          </w:p>
        </w:tc>
        <w:tc>
          <w:tcPr>
            <w:tcW w:w="1034"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大副</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有效的丙类一等以上大副适任证书、GMDSS通用操作员适任证书、《熟悉和基本安全培训合格证》、《精通救生艇筏和救助艇培训合格证》、《高级消防培训合格证》、《精通急救培训合格证》、《雷达观测与标绘和雷达模拟器培训合格证》、《自动雷达标绘仪培训合格证》、《船上医护培训合格证》、《健康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3</w:t>
            </w:r>
          </w:p>
        </w:tc>
        <w:tc>
          <w:tcPr>
            <w:tcW w:w="1034"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二副</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有效的丙类一等以上二副适任证书、GMDSS通用操作员适任证书、《熟悉和基本安全培训合格证》、《精通救生艇筏和救助艇培训合格证》、《高级消防培训合格证》、《精通急救培训合格证》、《雷达观测与标绘和雷达模拟器培训合格证》、《自动雷达标绘仪培训合格证》、《健康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4</w:t>
            </w:r>
          </w:p>
        </w:tc>
        <w:tc>
          <w:tcPr>
            <w:tcW w:w="1034"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三副</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有效的丙类一等以上三副适任证书、GMDSS通用操作员适任证书、《熟悉和基本安全培训合格证》、《精通救生艇筏和救助艇培训合格证》、《高级消防培训合格证》、《精通急救培训合格证》、《雷达观测与标绘和雷达模拟器培训合格证》、《自动雷达标绘仪培训合格证》、《健康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5</w:t>
            </w:r>
          </w:p>
        </w:tc>
        <w:tc>
          <w:tcPr>
            <w:tcW w:w="1034" w:type="dxa"/>
            <w:vAlign w:val="center"/>
          </w:tcPr>
          <w:p>
            <w:pPr>
              <w:pStyle w:val="2"/>
              <w:snapToGrid w:val="0"/>
              <w:spacing w:line="400" w:lineRule="exact"/>
              <w:jc w:val="center"/>
              <w:rPr>
                <w:rFonts w:hAnsi="宋体"/>
                <w:bCs/>
                <w:szCs w:val="21"/>
                <w:highlight w:val="none"/>
              </w:rPr>
            </w:pPr>
            <w:r>
              <w:rPr>
                <w:rFonts w:hint="eastAsia" w:hAnsi="宋体" w:cs="宋体"/>
                <w:szCs w:val="21"/>
                <w:highlight w:val="none"/>
              </w:rPr>
              <w:t>轮机长</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有效的丙类一等</w:t>
            </w:r>
            <w:r>
              <w:rPr>
                <w:rFonts w:hint="eastAsia" w:hAnsi="宋体"/>
                <w:szCs w:val="21"/>
                <w:highlight w:val="none"/>
              </w:rPr>
              <w:t>或以上</w:t>
            </w:r>
            <w:r>
              <w:rPr>
                <w:rFonts w:hint="eastAsia" w:hAnsi="宋体"/>
                <w:bCs/>
                <w:szCs w:val="21"/>
                <w:highlight w:val="none"/>
              </w:rPr>
              <w:t>轮机长适任证书、《熟悉和基本安全培训合格证》、《精通救生艇筏和救助艇培训合格证》、《高级消防培训合格证》、《精通急救培训合格证》、《健康证》、《黄热病证》和《船员服务簿》等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6</w:t>
            </w:r>
          </w:p>
        </w:tc>
        <w:tc>
          <w:tcPr>
            <w:tcW w:w="1034"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大管轮</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有效的丙类一等以上大管轮适任证书、《熟悉和基本安全培训合格证》、《精通救生艇筏和救助艇培训合格证》、《高级消防培训合格证》、《精通急救培训合格证》、《健康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7</w:t>
            </w:r>
          </w:p>
        </w:tc>
        <w:tc>
          <w:tcPr>
            <w:tcW w:w="1034"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二管轮</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有效的丙类一等或以上二管轮适任证书、《熟悉和基本安全培训合格证》、《精通救生艇筏和救助艇培训合格证》、《高级消防培训合格证》、《精通急救培训合格证》、《健康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8</w:t>
            </w:r>
          </w:p>
        </w:tc>
        <w:tc>
          <w:tcPr>
            <w:tcW w:w="1034"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三管轮</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有效的丙类一等或以上三管轮适任证书、《熟悉和基本安全培训合格证》、《精通救生艇筏和救助艇培训合格证》、《高级消防培训合格证》、《精通急救培训合格证》、《健康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9</w:t>
            </w:r>
          </w:p>
        </w:tc>
        <w:tc>
          <w:tcPr>
            <w:tcW w:w="1034"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大厨/厨工</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具有三年以上的船上厨工资历、有效的《熟悉和基本安全培训合格证》、《海员证》、《黄热病证》和《船员服务簿》等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10</w:t>
            </w:r>
          </w:p>
        </w:tc>
        <w:tc>
          <w:tcPr>
            <w:tcW w:w="1034"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水手</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有效的丙类水手适任证书、《熟悉和基本安全培训合格证》、《精通救生艇筏和救助艇培训合格证》、《健康证》、《黄热病证》和《船员服务簿》等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11</w:t>
            </w:r>
          </w:p>
        </w:tc>
        <w:tc>
          <w:tcPr>
            <w:tcW w:w="1034"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机工</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有效的丙类机工适任证书、《熟悉和基本安全培训合格证》、《精通救生艇筏和救助艇培训合格证》、《健康证》、《黄热病证》和《船员服务簿》等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8" w:type="dxa"/>
            <w:vAlign w:val="center"/>
          </w:tcPr>
          <w:p>
            <w:pPr>
              <w:pStyle w:val="2"/>
              <w:snapToGrid w:val="0"/>
              <w:spacing w:line="400" w:lineRule="exact"/>
              <w:jc w:val="center"/>
              <w:rPr>
                <w:rFonts w:hAnsi="宋体"/>
                <w:bCs/>
                <w:szCs w:val="21"/>
                <w:highlight w:val="none"/>
              </w:rPr>
            </w:pPr>
            <w:r>
              <w:rPr>
                <w:rFonts w:hint="eastAsia" w:hAnsi="宋体"/>
                <w:bCs/>
                <w:szCs w:val="21"/>
                <w:highlight w:val="none"/>
              </w:rPr>
              <w:t>12</w:t>
            </w:r>
          </w:p>
        </w:tc>
        <w:tc>
          <w:tcPr>
            <w:tcW w:w="1034" w:type="dxa"/>
            <w:vAlign w:val="center"/>
          </w:tcPr>
          <w:p>
            <w:pPr>
              <w:pStyle w:val="2"/>
              <w:tabs>
                <w:tab w:val="left" w:pos="304"/>
              </w:tabs>
              <w:snapToGrid w:val="0"/>
              <w:spacing w:line="400" w:lineRule="exact"/>
              <w:jc w:val="center"/>
              <w:rPr>
                <w:rFonts w:hAnsi="宋体"/>
                <w:bCs/>
                <w:szCs w:val="21"/>
                <w:highlight w:val="none"/>
              </w:rPr>
            </w:pPr>
            <w:r>
              <w:rPr>
                <w:rFonts w:hint="eastAsia" w:hAnsi="宋体"/>
                <w:bCs/>
                <w:szCs w:val="21"/>
                <w:highlight w:val="none"/>
              </w:rPr>
              <w:t>服务员</w:t>
            </w:r>
          </w:p>
        </w:tc>
        <w:tc>
          <w:tcPr>
            <w:tcW w:w="7757" w:type="dxa"/>
            <w:vAlign w:val="center"/>
          </w:tcPr>
          <w:p>
            <w:pPr>
              <w:pStyle w:val="2"/>
              <w:snapToGrid w:val="0"/>
              <w:spacing w:line="400" w:lineRule="exact"/>
              <w:rPr>
                <w:rFonts w:hAnsi="宋体"/>
                <w:bCs/>
                <w:szCs w:val="21"/>
                <w:highlight w:val="none"/>
              </w:rPr>
            </w:pPr>
            <w:r>
              <w:rPr>
                <w:rFonts w:hint="eastAsia" w:hAnsi="宋体"/>
                <w:bCs/>
                <w:szCs w:val="21"/>
                <w:highlight w:val="none"/>
              </w:rPr>
              <w:t>相关岗位适任证书、《熟悉和基本安全培训合格证》、《精通救生艇筏和救助艇培训合格证》、《健康证》、《黄热病证》和《船员服务簿》等</w:t>
            </w:r>
          </w:p>
        </w:tc>
      </w:tr>
    </w:tbl>
    <w:p>
      <w:pPr>
        <w:pStyle w:val="2"/>
        <w:rPr>
          <w:highlight w:val="none"/>
        </w:rPr>
      </w:pPr>
    </w:p>
    <w:p>
      <w:pPr>
        <w:tabs>
          <w:tab w:val="left" w:pos="709"/>
        </w:tabs>
        <w:spacing w:beforeLines="50" w:afterLines="50" w:line="360" w:lineRule="auto"/>
        <w:outlineLvl w:val="2"/>
        <w:rPr>
          <w:rFonts w:ascii="仿宋" w:hAnsi="仿宋" w:eastAsia="仿宋" w:cs="仿宋"/>
          <w:b/>
          <w:bCs/>
          <w:sz w:val="28"/>
          <w:szCs w:val="28"/>
          <w:highlight w:val="none"/>
        </w:rPr>
      </w:pPr>
      <w:bookmarkStart w:id="23" w:name="_Toc8397"/>
      <w:r>
        <w:rPr>
          <w:rFonts w:hint="eastAsia" w:ascii="仿宋" w:hAnsi="仿宋" w:eastAsia="仿宋" w:cs="仿宋"/>
          <w:b/>
          <w:bCs/>
          <w:sz w:val="28"/>
          <w:szCs w:val="28"/>
          <w:highlight w:val="none"/>
        </w:rPr>
        <w:t>5.考核及处理（根据采购实际考核方法进行调整）</w:t>
      </w:r>
      <w:bookmarkEnd w:id="23"/>
    </w:p>
    <w:p>
      <w:pPr>
        <w:tabs>
          <w:tab w:val="left" w:pos="525"/>
          <w:tab w:val="left" w:pos="846"/>
          <w:tab w:val="left" w:pos="3398"/>
        </w:tabs>
        <w:spacing w:line="360" w:lineRule="auto"/>
        <w:outlineLvl w:val="3"/>
        <w:rPr>
          <w:rFonts w:ascii="仿宋" w:hAnsi="仿宋" w:eastAsia="仿宋" w:cs="仿宋"/>
          <w:b/>
          <w:sz w:val="28"/>
          <w:szCs w:val="28"/>
          <w:highlight w:val="none"/>
        </w:rPr>
      </w:pPr>
      <w:r>
        <w:rPr>
          <w:rFonts w:hint="eastAsia" w:ascii="仿宋" w:hAnsi="仿宋" w:eastAsia="仿宋" w:cs="仿宋"/>
          <w:b/>
          <w:sz w:val="28"/>
          <w:szCs w:val="28"/>
          <w:highlight w:val="none"/>
        </w:rPr>
        <w:t>5.1  考核办法</w:t>
      </w:r>
    </w:p>
    <w:p>
      <w:pPr>
        <w:tabs>
          <w:tab w:val="left" w:pos="525"/>
          <w:tab w:val="left" w:pos="851"/>
          <w:tab w:val="left" w:pos="3398"/>
        </w:tabs>
        <w:spacing w:beforeLines="50" w:line="360" w:lineRule="auto"/>
        <w:ind w:left="102" w:firstLine="480" w:firstLineChars="200"/>
        <w:rPr>
          <w:rFonts w:ascii="仿宋" w:hAnsi="仿宋" w:eastAsia="仿宋" w:cs="仿宋"/>
          <w:sz w:val="24"/>
          <w:highlight w:val="none"/>
        </w:rPr>
      </w:pPr>
      <w:r>
        <w:rPr>
          <w:rFonts w:hint="eastAsia" w:ascii="仿宋" w:hAnsi="仿宋" w:eastAsia="仿宋" w:cs="仿宋"/>
          <w:sz w:val="24"/>
          <w:highlight w:val="none"/>
        </w:rPr>
        <w:t>采购人每月对船员服务进行考核，考核实行扣分制，即基础分100分，在此基础上出现各种违规行为（详见考核标准）扣减一定分值，每月得分将作为履约合同的重要依据。</w:t>
      </w:r>
    </w:p>
    <w:p>
      <w:pPr>
        <w:tabs>
          <w:tab w:val="left" w:pos="525"/>
          <w:tab w:val="left" w:pos="846"/>
          <w:tab w:val="left" w:pos="3398"/>
        </w:tabs>
        <w:spacing w:line="360" w:lineRule="auto"/>
        <w:outlineLvl w:val="3"/>
        <w:rPr>
          <w:rFonts w:ascii="仿宋" w:hAnsi="仿宋" w:eastAsia="仿宋" w:cs="仿宋"/>
          <w:b/>
          <w:sz w:val="28"/>
          <w:szCs w:val="28"/>
          <w:highlight w:val="none"/>
        </w:rPr>
      </w:pPr>
      <w:r>
        <w:rPr>
          <w:rFonts w:hint="eastAsia" w:ascii="仿宋" w:hAnsi="仿宋" w:eastAsia="仿宋" w:cs="仿宋"/>
          <w:b/>
          <w:sz w:val="28"/>
          <w:szCs w:val="28"/>
          <w:highlight w:val="none"/>
        </w:rPr>
        <w:t>5.2  考核标准</w:t>
      </w:r>
    </w:p>
    <w:tbl>
      <w:tblPr>
        <w:tblStyle w:val="49"/>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6543"/>
        <w:gridCol w:w="752"/>
        <w:gridCol w:w="754"/>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40" w:type="dxa"/>
            <w:gridSpan w:val="5"/>
            <w:tcBorders>
              <w:top w:val="nil"/>
              <w:left w:val="nil"/>
              <w:bottom w:val="single" w:color="auto" w:sz="4" w:space="0"/>
              <w:right w:val="nil"/>
            </w:tcBorders>
            <w:vAlign w:val="center"/>
          </w:tcPr>
          <w:p>
            <w:pPr>
              <w:widowControl/>
              <w:spacing w:after="0" w:line="240" w:lineRule="auto"/>
              <w:jc w:val="center"/>
              <w:rPr>
                <w:rFonts w:ascii="仿宋" w:hAnsi="仿宋" w:eastAsia="仿宋" w:cs="仿宋"/>
                <w:sz w:val="24"/>
                <w:highlight w:val="none"/>
                <w:u w:val="single"/>
              </w:rPr>
            </w:pPr>
            <w:r>
              <w:rPr>
                <w:rFonts w:hint="eastAsia" w:hAnsi="宋体"/>
                <w:b/>
                <w:sz w:val="28"/>
                <w:highlight w:val="none"/>
              </w:rPr>
              <w:t>船员服务考核标准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40" w:type="dxa"/>
            <w:gridSpan w:val="5"/>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9740" w:type="dxa"/>
            <w:gridSpan w:val="5"/>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总分：100分（月度评分100分为满分，月度评分低于80分为不合格, 80分以下每少1分将扣除当月管理费用的0.5％，低于60分超过3次，视为中标人违约，采购人有权解除合同并将相关情况上报同级政府采购监督管理部门和有关部门。）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序号</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考核内容</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扣分</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考核</w:t>
            </w:r>
          </w:p>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日期</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一</w:t>
            </w:r>
          </w:p>
        </w:tc>
        <w:tc>
          <w:tcPr>
            <w:tcW w:w="9097" w:type="dxa"/>
            <w:gridSpan w:val="4"/>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b/>
                <w:sz w:val="24"/>
                <w:highlight w:val="none"/>
              </w:rPr>
            </w:pPr>
            <w:r>
              <w:rPr>
                <w:rFonts w:hint="eastAsia" w:ascii="仿宋" w:hAnsi="仿宋" w:eastAsia="仿宋" w:cs="仿宋"/>
                <w:b/>
                <w:sz w:val="24"/>
                <w:highlight w:val="none"/>
              </w:rPr>
              <w:t>各个岗位派遣人员落实情况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101</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left"/>
              <w:rPr>
                <w:rFonts w:ascii="仿宋" w:hAnsi="仿宋" w:eastAsia="仿宋" w:cs="仿宋"/>
                <w:sz w:val="24"/>
                <w:highlight w:val="none"/>
              </w:rPr>
            </w:pPr>
            <w:r>
              <w:rPr>
                <w:rFonts w:hint="eastAsia" w:ascii="仿宋" w:hAnsi="仿宋" w:eastAsia="仿宋" w:cs="仿宋"/>
                <w:sz w:val="24"/>
                <w:highlight w:val="none"/>
              </w:rPr>
              <w:t>未按要求派遣足够人员到岗、或派遣人员缺勤、或在</w:t>
            </w:r>
            <w:r>
              <w:rPr>
                <w:rFonts w:hint="eastAsia" w:ascii="仿宋" w:hAnsi="仿宋" w:eastAsia="仿宋" w:cs="仿宋"/>
                <w:sz w:val="24"/>
                <w:highlight w:val="none"/>
                <w:lang w:val="en-US" w:eastAsia="zh-CN"/>
              </w:rPr>
              <w:t>发生</w:t>
            </w:r>
            <w:r>
              <w:rPr>
                <w:rFonts w:hint="eastAsia" w:ascii="仿宋" w:hAnsi="仿宋" w:eastAsia="仿宋" w:cs="仿宋"/>
                <w:sz w:val="24"/>
                <w:highlight w:val="none"/>
              </w:rPr>
              <w:t>被派遣人员被退回或离职的情况下未按要求及时补充适格人员，每缺1人次/天扣5分（如缺每1人达到1天扣5分）</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二</w:t>
            </w:r>
          </w:p>
        </w:tc>
        <w:tc>
          <w:tcPr>
            <w:tcW w:w="9097" w:type="dxa"/>
            <w:gridSpan w:val="4"/>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b/>
                <w:sz w:val="24"/>
                <w:highlight w:val="none"/>
              </w:rPr>
            </w:pPr>
            <w:r>
              <w:rPr>
                <w:rFonts w:hint="eastAsia" w:ascii="仿宋" w:hAnsi="仿宋" w:eastAsia="仿宋" w:cs="仿宋"/>
                <w:b/>
                <w:sz w:val="24"/>
                <w:highlight w:val="none"/>
              </w:rPr>
              <w:t>派遣工作人员工作态度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201</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left"/>
              <w:rPr>
                <w:rFonts w:ascii="仿宋" w:hAnsi="仿宋" w:eastAsia="仿宋" w:cs="仿宋"/>
                <w:sz w:val="24"/>
                <w:highlight w:val="none"/>
              </w:rPr>
            </w:pPr>
            <w:r>
              <w:rPr>
                <w:rFonts w:hint="eastAsia" w:ascii="仿宋" w:hAnsi="仿宋" w:eastAsia="仿宋" w:cs="仿宋"/>
                <w:sz w:val="24"/>
                <w:highlight w:val="none"/>
              </w:rPr>
              <w:t>用人部门投诉被派遣工作人员不听劝导，工作态度差，经查核实的（每人次扣1分）</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三</w:t>
            </w:r>
          </w:p>
        </w:tc>
        <w:tc>
          <w:tcPr>
            <w:tcW w:w="9097" w:type="dxa"/>
            <w:gridSpan w:val="4"/>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b/>
                <w:sz w:val="24"/>
                <w:highlight w:val="none"/>
              </w:rPr>
            </w:pPr>
            <w:r>
              <w:rPr>
                <w:rFonts w:hint="eastAsia" w:ascii="仿宋" w:hAnsi="仿宋" w:eastAsia="仿宋" w:cs="仿宋"/>
                <w:b/>
                <w:sz w:val="24"/>
                <w:highlight w:val="none"/>
              </w:rPr>
              <w:t>业务水平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301</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left"/>
              <w:rPr>
                <w:rFonts w:ascii="仿宋" w:hAnsi="仿宋" w:eastAsia="仿宋" w:cs="仿宋"/>
                <w:sz w:val="24"/>
                <w:highlight w:val="none"/>
              </w:rPr>
            </w:pPr>
            <w:r>
              <w:rPr>
                <w:rFonts w:hint="eastAsia" w:ascii="仿宋" w:hAnsi="仿宋" w:eastAsia="仿宋" w:cs="仿宋"/>
                <w:sz w:val="24"/>
                <w:highlight w:val="none"/>
              </w:rPr>
              <w:t>乙方所派的船员工作失误的原因严重影响船舶安全或造成事故等，并经查实的（小事故每次扣30分，一般事故每次扣50分，大事故及以上等级事故的每次扣100分）</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302</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left"/>
              <w:rPr>
                <w:rFonts w:ascii="仿宋" w:hAnsi="仿宋" w:eastAsia="仿宋" w:cs="仿宋"/>
                <w:sz w:val="24"/>
                <w:highlight w:val="none"/>
              </w:rPr>
            </w:pPr>
            <w:r>
              <w:rPr>
                <w:rFonts w:hint="eastAsia" w:ascii="仿宋" w:hAnsi="仿宋" w:eastAsia="仿宋" w:cs="仿宋"/>
                <w:sz w:val="24"/>
                <w:highlight w:val="none"/>
              </w:rPr>
              <w:t>乙方承诺各类响应时间未及时响应（本表序号101外的事项）（每超时1天扣5分）</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303</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left"/>
              <w:rPr>
                <w:rFonts w:ascii="仿宋" w:hAnsi="仿宋" w:eastAsia="仿宋" w:cs="仿宋"/>
                <w:sz w:val="24"/>
                <w:highlight w:val="none"/>
              </w:rPr>
            </w:pPr>
            <w:r>
              <w:rPr>
                <w:rFonts w:hint="eastAsia" w:ascii="仿宋" w:hAnsi="仿宋" w:eastAsia="仿宋" w:cs="仿宋"/>
                <w:sz w:val="24"/>
                <w:highlight w:val="none"/>
              </w:rPr>
              <w:t>乙方对其所派的船员考核不到位，未按双方确认的考核标准实际准确考核，存在包庇人员、隐瞒问题的（每人次扣5分）</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四</w:t>
            </w:r>
          </w:p>
        </w:tc>
        <w:tc>
          <w:tcPr>
            <w:tcW w:w="9097" w:type="dxa"/>
            <w:gridSpan w:val="4"/>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b/>
                <w:sz w:val="24"/>
                <w:highlight w:val="none"/>
              </w:rPr>
            </w:pPr>
            <w:r>
              <w:rPr>
                <w:rFonts w:hint="eastAsia" w:ascii="仿宋" w:hAnsi="仿宋" w:eastAsia="仿宋" w:cs="仿宋"/>
                <w:b/>
                <w:sz w:val="24"/>
                <w:highlight w:val="none"/>
              </w:rPr>
              <w:t>派遣人员的工作质量和效率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401</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left"/>
              <w:rPr>
                <w:rFonts w:ascii="仿宋" w:hAnsi="仿宋" w:eastAsia="仿宋" w:cs="仿宋"/>
                <w:sz w:val="24"/>
                <w:highlight w:val="none"/>
              </w:rPr>
            </w:pPr>
            <w:r>
              <w:rPr>
                <w:rFonts w:hint="eastAsia" w:ascii="仿宋" w:hAnsi="仿宋" w:eastAsia="仿宋" w:cs="仿宋"/>
                <w:sz w:val="24"/>
                <w:highlight w:val="none"/>
              </w:rPr>
              <w:t>用人部门有投诉被派遣人员工作质量有所下降，欠缺工作积极性的（每人次扣2分）</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五</w:t>
            </w:r>
          </w:p>
        </w:tc>
        <w:tc>
          <w:tcPr>
            <w:tcW w:w="9097" w:type="dxa"/>
            <w:gridSpan w:val="4"/>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b/>
                <w:sz w:val="24"/>
                <w:highlight w:val="none"/>
              </w:rPr>
            </w:pPr>
            <w:r>
              <w:rPr>
                <w:rFonts w:hint="eastAsia" w:ascii="仿宋" w:hAnsi="仿宋" w:eastAsia="仿宋" w:cs="仿宋"/>
                <w:b/>
                <w:sz w:val="24"/>
                <w:highlight w:val="none"/>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501</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left"/>
              <w:rPr>
                <w:rFonts w:ascii="仿宋" w:hAnsi="仿宋" w:eastAsia="仿宋" w:cs="仿宋"/>
                <w:sz w:val="24"/>
                <w:highlight w:val="none"/>
              </w:rPr>
            </w:pPr>
            <w:r>
              <w:rPr>
                <w:rFonts w:hint="eastAsia" w:ascii="仿宋" w:hAnsi="仿宋" w:eastAsia="仿宋" w:cs="仿宋"/>
                <w:sz w:val="24"/>
                <w:highlight w:val="none"/>
              </w:rPr>
              <w:t>被派遣工作人员违反用人单位的规章制度的（每人次扣5分）</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b/>
                <w:sz w:val="24"/>
                <w:highlight w:val="none"/>
              </w:rPr>
            </w:pPr>
            <w:r>
              <w:rPr>
                <w:rFonts w:hint="eastAsia" w:ascii="仿宋" w:hAnsi="仿宋" w:eastAsia="仿宋" w:cs="仿宋"/>
                <w:b/>
                <w:sz w:val="24"/>
                <w:highlight w:val="none"/>
              </w:rPr>
              <w:t>　</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六</w:t>
            </w:r>
          </w:p>
        </w:tc>
        <w:tc>
          <w:tcPr>
            <w:tcW w:w="9097" w:type="dxa"/>
            <w:gridSpan w:val="4"/>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b/>
                <w:sz w:val="24"/>
                <w:highlight w:val="none"/>
              </w:rPr>
            </w:pPr>
            <w:r>
              <w:rPr>
                <w:rFonts w:hint="eastAsia" w:ascii="仿宋" w:hAnsi="仿宋" w:eastAsia="仿宋" w:cs="仿宋"/>
                <w:b/>
                <w:sz w:val="24"/>
                <w:highlight w:val="none"/>
              </w:rPr>
              <w:t>兼职影响工作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601</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left"/>
              <w:rPr>
                <w:rFonts w:ascii="仿宋" w:hAnsi="仿宋" w:eastAsia="仿宋" w:cs="仿宋"/>
                <w:sz w:val="24"/>
                <w:highlight w:val="none"/>
              </w:rPr>
            </w:pPr>
            <w:r>
              <w:rPr>
                <w:rFonts w:hint="eastAsia" w:ascii="仿宋" w:hAnsi="仿宋" w:eastAsia="仿宋" w:cs="仿宋"/>
                <w:sz w:val="24"/>
                <w:highlight w:val="none"/>
              </w:rPr>
              <w:t>被派遣人员在外兼职，对完成船舶的工作任务造成严重影响，拒不改正的（每人次扣10分）</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七</w:t>
            </w:r>
          </w:p>
        </w:tc>
        <w:tc>
          <w:tcPr>
            <w:tcW w:w="9097" w:type="dxa"/>
            <w:gridSpan w:val="4"/>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b/>
                <w:sz w:val="24"/>
                <w:highlight w:val="none"/>
              </w:rPr>
              <w:t>管理不善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701</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left"/>
              <w:rPr>
                <w:rFonts w:ascii="仿宋" w:hAnsi="仿宋" w:eastAsia="仿宋" w:cs="仿宋"/>
                <w:sz w:val="24"/>
                <w:highlight w:val="none"/>
              </w:rPr>
            </w:pPr>
            <w:r>
              <w:rPr>
                <w:rFonts w:hint="eastAsia" w:ascii="仿宋" w:hAnsi="仿宋" w:eastAsia="仿宋" w:cs="仿宋"/>
                <w:sz w:val="24"/>
                <w:highlight w:val="none"/>
              </w:rPr>
              <w:t>未按时发放船员工资（每超期一天扣1分）</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702</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left"/>
              <w:rPr>
                <w:rFonts w:ascii="仿宋" w:hAnsi="仿宋" w:eastAsia="仿宋" w:cs="仿宋"/>
                <w:sz w:val="24"/>
                <w:highlight w:val="none"/>
              </w:rPr>
            </w:pPr>
            <w:r>
              <w:rPr>
                <w:rFonts w:hint="eastAsia" w:ascii="仿宋" w:hAnsi="仿宋" w:eastAsia="仿宋" w:cs="仿宋"/>
                <w:sz w:val="24"/>
                <w:highlight w:val="none"/>
              </w:rPr>
              <w:t>未按规定为船员缴纳社会保险费用、住房公积金等情况（每发生一次扣10分）</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八</w:t>
            </w:r>
          </w:p>
        </w:tc>
        <w:tc>
          <w:tcPr>
            <w:tcW w:w="9097" w:type="dxa"/>
            <w:gridSpan w:val="4"/>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b/>
                <w:sz w:val="24"/>
                <w:highlight w:val="none"/>
              </w:rPr>
              <w:t>改善落实情况及其他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sz w:val="24"/>
                <w:highlight w:val="none"/>
              </w:rPr>
            </w:pPr>
            <w:r>
              <w:rPr>
                <w:rFonts w:hint="eastAsia" w:ascii="仿宋" w:hAnsi="仿宋" w:eastAsia="仿宋" w:cs="仿宋"/>
                <w:sz w:val="24"/>
                <w:highlight w:val="none"/>
              </w:rPr>
              <w:t>801</w:t>
            </w:r>
          </w:p>
        </w:tc>
        <w:tc>
          <w:tcPr>
            <w:tcW w:w="6543"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left"/>
              <w:rPr>
                <w:rFonts w:ascii="仿宋" w:hAnsi="仿宋" w:eastAsia="仿宋" w:cs="仿宋"/>
                <w:sz w:val="24"/>
                <w:highlight w:val="none"/>
              </w:rPr>
            </w:pPr>
            <w:r>
              <w:rPr>
                <w:rFonts w:hint="eastAsia" w:ascii="仿宋" w:hAnsi="仿宋" w:eastAsia="仿宋" w:cs="仿宋"/>
                <w:sz w:val="24"/>
                <w:highlight w:val="none"/>
              </w:rPr>
              <w:t>在近三个月内投诉情况类同、相同工作中存在不良现象的，经查属实的（每发生一次扣5分）</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186" w:type="dxa"/>
            <w:gridSpan w:val="2"/>
            <w:tcBorders>
              <w:top w:val="single" w:color="auto" w:sz="4" w:space="0"/>
              <w:left w:val="single" w:color="auto" w:sz="4" w:space="0"/>
              <w:bottom w:val="single" w:color="auto" w:sz="4" w:space="0"/>
              <w:right w:val="single" w:color="auto" w:sz="4" w:space="0"/>
            </w:tcBorders>
            <w:vAlign w:val="center"/>
          </w:tcPr>
          <w:p>
            <w:pPr>
              <w:widowControl/>
              <w:spacing w:after="200" w:line="360" w:lineRule="auto"/>
              <w:jc w:val="center"/>
              <w:rPr>
                <w:rFonts w:ascii="仿宋" w:hAnsi="仿宋" w:eastAsia="仿宋" w:cs="仿宋"/>
                <w:b/>
                <w:sz w:val="24"/>
                <w:highlight w:val="none"/>
              </w:rPr>
            </w:pPr>
            <w:r>
              <w:rPr>
                <w:rFonts w:hint="eastAsia" w:ascii="仿宋" w:hAnsi="仿宋" w:eastAsia="仿宋" w:cs="仿宋"/>
                <w:b/>
                <w:sz w:val="24"/>
                <w:highlight w:val="none"/>
              </w:rPr>
              <w:t>合计:</w:t>
            </w: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9740" w:type="dxa"/>
            <w:gridSpan w:val="5"/>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hint="eastAsia"/>
                <w:highlight w:val="none"/>
              </w:rPr>
            </w:pPr>
            <w:r>
              <w:rPr>
                <w:rFonts w:hint="eastAsia"/>
                <w:highlight w:val="none"/>
                <w:lang w:val="en-US" w:eastAsia="zh-CN"/>
              </w:rPr>
              <w:t>甲方考核组意见</w:t>
            </w:r>
            <w:r>
              <w:rPr>
                <w:rFonts w:hint="eastAsia"/>
                <w:highlight w:val="none"/>
              </w:rPr>
              <w:t>：</w:t>
            </w:r>
          </w:p>
          <w:p>
            <w:pPr>
              <w:pStyle w:val="2"/>
              <w:rPr>
                <w:rFonts w:hint="eastAsia"/>
                <w:highlight w:val="none"/>
              </w:rPr>
            </w:pPr>
          </w:p>
          <w:p>
            <w:pPr>
              <w:pStyle w:val="3"/>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签字：</w:t>
            </w:r>
          </w:p>
          <w:p>
            <w:pPr>
              <w:pStyle w:val="3"/>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740" w:type="dxa"/>
            <w:gridSpan w:val="5"/>
            <w:tcBorders>
              <w:top w:val="single" w:color="auto" w:sz="4" w:space="0"/>
              <w:left w:val="single" w:color="auto" w:sz="4" w:space="0"/>
              <w:bottom w:val="single" w:color="auto" w:sz="4" w:space="0"/>
              <w:right w:val="single" w:color="auto" w:sz="4" w:space="0"/>
            </w:tcBorders>
            <w:vAlign w:val="center"/>
          </w:tcPr>
          <w:p>
            <w:pPr>
              <w:widowControl/>
              <w:spacing w:after="200" w:line="360" w:lineRule="auto"/>
              <w:rPr>
                <w:rFonts w:hint="eastAsia"/>
                <w:highlight w:val="none"/>
              </w:rPr>
            </w:pPr>
            <w:r>
              <w:rPr>
                <w:rFonts w:hint="eastAsia"/>
                <w:highlight w:val="none"/>
                <w:lang w:val="en-US" w:eastAsia="zh-CN"/>
              </w:rPr>
              <w:t>被</w:t>
            </w:r>
            <w:r>
              <w:rPr>
                <w:rFonts w:hint="eastAsia"/>
                <w:highlight w:val="none"/>
              </w:rPr>
              <w:t>考核单位</w:t>
            </w:r>
            <w:r>
              <w:rPr>
                <w:rFonts w:hint="eastAsia"/>
                <w:highlight w:val="none"/>
                <w:lang w:eastAsia="zh-CN"/>
              </w:rPr>
              <w:t>（</w:t>
            </w:r>
            <w:r>
              <w:rPr>
                <w:rFonts w:hint="eastAsia"/>
                <w:highlight w:val="none"/>
                <w:lang w:val="en-US" w:eastAsia="zh-CN"/>
              </w:rPr>
              <w:t>乙方</w:t>
            </w:r>
            <w:r>
              <w:rPr>
                <w:rFonts w:hint="eastAsia"/>
                <w:highlight w:val="none"/>
                <w:lang w:eastAsia="zh-CN"/>
              </w:rPr>
              <w:t>）</w:t>
            </w:r>
            <w:r>
              <w:rPr>
                <w:rFonts w:hint="eastAsia"/>
                <w:highlight w:val="none"/>
                <w:lang w:val="en-US" w:eastAsia="zh-CN"/>
              </w:rPr>
              <w:t>意见</w:t>
            </w:r>
            <w:r>
              <w:rPr>
                <w:rFonts w:hint="eastAsia"/>
                <w:highlight w:val="none"/>
              </w:rPr>
              <w:t>：</w:t>
            </w:r>
          </w:p>
          <w:p>
            <w:pPr>
              <w:pStyle w:val="3"/>
              <w:rPr>
                <w:rFonts w:hint="eastAsia" w:ascii="仿宋" w:hAnsi="仿宋" w:eastAsia="仿宋" w:cs="仿宋"/>
                <w:sz w:val="24"/>
                <w:highlight w:val="none"/>
              </w:rPr>
            </w:pPr>
          </w:p>
          <w:p>
            <w:pPr>
              <w:widowControl/>
              <w:spacing w:after="200" w:line="360" w:lineRule="auto"/>
              <w:rPr>
                <w:rFonts w:ascii="仿宋" w:hAnsi="仿宋" w:eastAsia="仿宋" w:cs="仿宋"/>
                <w:sz w:val="24"/>
                <w:highlight w:val="none"/>
              </w:rPr>
            </w:pPr>
            <w:r>
              <w:rPr>
                <w:rFonts w:hint="eastAsia" w:ascii="仿宋" w:hAnsi="仿宋" w:eastAsia="仿宋" w:cs="仿宋"/>
                <w:sz w:val="24"/>
                <w:highlight w:val="none"/>
                <w:lang w:val="en-US" w:eastAsia="zh-CN"/>
              </w:rPr>
              <w:t>签字：</w:t>
            </w:r>
          </w:p>
        </w:tc>
      </w:tr>
    </w:tbl>
    <w:p>
      <w:pPr>
        <w:widowControl/>
        <w:rPr>
          <w:rFonts w:hAnsi="宋体"/>
          <w:b/>
          <w:highlight w:val="none"/>
        </w:rPr>
      </w:pPr>
    </w:p>
    <w:p>
      <w:pPr>
        <w:pStyle w:val="2"/>
        <w:rPr>
          <w:highlight w:val="none"/>
        </w:rPr>
      </w:pPr>
    </w:p>
    <w:p>
      <w:pPr>
        <w:spacing w:beforeLines="100" w:afterLines="100" w:line="480" w:lineRule="exact"/>
        <w:ind w:firstLine="562" w:firstLineChars="200"/>
        <w:outlineLvl w:val="1"/>
        <w:rPr>
          <w:rFonts w:ascii="仿宋" w:hAnsi="仿宋" w:eastAsia="仿宋" w:cs="仿宋"/>
          <w:strike/>
          <w:sz w:val="24"/>
          <w:highlight w:val="none"/>
        </w:rPr>
      </w:pPr>
      <w:bookmarkStart w:id="24" w:name="_Toc24659"/>
      <w:r>
        <w:rPr>
          <w:rFonts w:hint="eastAsia" w:ascii="黑体" w:hAnsi="黑体" w:eastAsia="黑体" w:cs="黑体"/>
          <w:b/>
          <w:bCs/>
          <w:sz w:val="28"/>
          <w:szCs w:val="28"/>
          <w:highlight w:val="none"/>
          <w:lang w:val="zh-CN"/>
        </w:rPr>
        <w:t>（七）报价要求</w:t>
      </w:r>
    </w:p>
    <w:p>
      <w:pPr>
        <w:pStyle w:val="160"/>
        <w:tabs>
          <w:tab w:val="left" w:pos="714"/>
          <w:tab w:val="left" w:pos="2340"/>
        </w:tabs>
        <w:spacing w:line="360" w:lineRule="auto"/>
        <w:ind w:left="105" w:firstLine="480"/>
        <w:rPr>
          <w:rFonts w:ascii="仿宋" w:hAnsi="仿宋" w:eastAsia="仿宋" w:cs="仿宋"/>
          <w:kern w:val="2"/>
          <w:sz w:val="24"/>
          <w:szCs w:val="24"/>
          <w:highlight w:val="none"/>
        </w:rPr>
      </w:pPr>
      <w:r>
        <w:rPr>
          <w:rFonts w:hint="eastAsia" w:ascii="仿宋" w:hAnsi="仿宋" w:eastAsia="仿宋" w:cs="仿宋"/>
          <w:kern w:val="2"/>
          <w:sz w:val="24"/>
          <w:szCs w:val="24"/>
          <w:highlight w:val="none"/>
        </w:rPr>
        <w:t>供应商根据远洋调查船组和500吨以上近海调查船组的各职务要求，每个职务按每人每月标准进行报价，并结合实际管理成本报管理费系数</w:t>
      </w:r>
    </w:p>
    <w:tbl>
      <w:tblPr>
        <w:tblStyle w:val="50"/>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300"/>
        <w:gridCol w:w="840"/>
        <w:gridCol w:w="1091"/>
        <w:gridCol w:w="1960"/>
        <w:gridCol w:w="598"/>
        <w:gridCol w:w="1138"/>
        <w:gridCol w:w="1278"/>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740" w:type="dxa"/>
            <w:gridSpan w:val="9"/>
            <w:vAlign w:val="center"/>
          </w:tcPr>
          <w:p>
            <w:pPr>
              <w:pStyle w:val="3"/>
              <w:jc w:val="center"/>
              <w:rPr>
                <w:b/>
                <w:bCs/>
                <w:highlight w:val="none"/>
              </w:rPr>
            </w:pPr>
            <w:r>
              <w:rPr>
                <w:rFonts w:hint="eastAsia"/>
                <w:b/>
                <w:bCs/>
                <w:highlight w:val="none"/>
              </w:rPr>
              <w:t>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740" w:type="dxa"/>
            <w:gridSpan w:val="9"/>
            <w:vAlign w:val="center"/>
          </w:tcPr>
          <w:p>
            <w:pPr>
              <w:pStyle w:val="3"/>
              <w:rPr>
                <w:b/>
                <w:bCs/>
                <w:highlight w:val="none"/>
              </w:rPr>
            </w:pPr>
            <w:r>
              <w:rPr>
                <w:rFonts w:hint="eastAsia"/>
                <w:b/>
                <w:bCs/>
                <w:highlight w:val="none"/>
              </w:rPr>
              <w:t>一、船员成本费用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788" w:type="dxa"/>
            <w:gridSpan w:val="5"/>
            <w:vAlign w:val="center"/>
          </w:tcPr>
          <w:p>
            <w:pPr>
              <w:pStyle w:val="3"/>
              <w:jc w:val="center"/>
              <w:rPr>
                <w:b/>
                <w:bCs/>
                <w:highlight w:val="none"/>
              </w:rPr>
            </w:pPr>
            <w:r>
              <w:rPr>
                <w:rFonts w:hint="eastAsia"/>
                <w:b/>
                <w:bCs/>
                <w:highlight w:val="none"/>
              </w:rPr>
              <w:t>远洋调查船组</w:t>
            </w:r>
          </w:p>
        </w:tc>
        <w:tc>
          <w:tcPr>
            <w:tcW w:w="4952" w:type="dxa"/>
            <w:gridSpan w:val="4"/>
            <w:vAlign w:val="center"/>
          </w:tcPr>
          <w:p>
            <w:pPr>
              <w:pStyle w:val="3"/>
              <w:jc w:val="center"/>
              <w:rPr>
                <w:b/>
                <w:bCs/>
                <w:highlight w:val="none"/>
              </w:rPr>
            </w:pPr>
            <w:r>
              <w:rPr>
                <w:rFonts w:hint="eastAsia"/>
                <w:b/>
                <w:bCs/>
                <w:highlight w:val="none"/>
              </w:rPr>
              <w:t>500吨级以上调查船组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97" w:type="dxa"/>
            <w:vAlign w:val="center"/>
          </w:tcPr>
          <w:p>
            <w:pPr>
              <w:pStyle w:val="3"/>
              <w:jc w:val="center"/>
              <w:rPr>
                <w:b/>
                <w:bCs/>
                <w:highlight w:val="none"/>
              </w:rPr>
            </w:pPr>
            <w:r>
              <w:rPr>
                <w:rFonts w:hint="eastAsia"/>
                <w:b/>
                <w:bCs/>
                <w:highlight w:val="none"/>
              </w:rPr>
              <w:t>序号</w:t>
            </w:r>
          </w:p>
        </w:tc>
        <w:tc>
          <w:tcPr>
            <w:tcW w:w="1140" w:type="dxa"/>
            <w:gridSpan w:val="2"/>
            <w:vAlign w:val="center"/>
          </w:tcPr>
          <w:p>
            <w:pPr>
              <w:pStyle w:val="3"/>
              <w:jc w:val="center"/>
              <w:rPr>
                <w:b/>
                <w:bCs/>
                <w:highlight w:val="none"/>
              </w:rPr>
            </w:pPr>
            <w:r>
              <w:rPr>
                <w:rFonts w:hint="eastAsia"/>
                <w:b/>
                <w:bCs/>
                <w:highlight w:val="none"/>
              </w:rPr>
              <w:t>职务</w:t>
            </w:r>
          </w:p>
        </w:tc>
        <w:tc>
          <w:tcPr>
            <w:tcW w:w="1091" w:type="dxa"/>
            <w:vAlign w:val="center"/>
          </w:tcPr>
          <w:p>
            <w:pPr>
              <w:pStyle w:val="3"/>
              <w:jc w:val="center"/>
              <w:rPr>
                <w:b/>
                <w:bCs/>
                <w:highlight w:val="none"/>
              </w:rPr>
            </w:pPr>
            <w:r>
              <w:rPr>
                <w:rFonts w:hint="eastAsia"/>
                <w:b/>
                <w:bCs/>
                <w:highlight w:val="none"/>
              </w:rPr>
              <w:t>每船配员标准</w:t>
            </w:r>
          </w:p>
          <w:p>
            <w:pPr>
              <w:pStyle w:val="3"/>
              <w:jc w:val="center"/>
              <w:rPr>
                <w:b/>
                <w:bCs/>
                <w:highlight w:val="none"/>
              </w:rPr>
            </w:pPr>
            <w:r>
              <w:rPr>
                <w:rFonts w:hint="eastAsia"/>
                <w:b/>
                <w:bCs/>
                <w:highlight w:val="none"/>
              </w:rPr>
              <w:t>（人）</w:t>
            </w:r>
          </w:p>
        </w:tc>
        <w:tc>
          <w:tcPr>
            <w:tcW w:w="1960" w:type="dxa"/>
            <w:vAlign w:val="center"/>
          </w:tcPr>
          <w:p>
            <w:pPr>
              <w:pStyle w:val="3"/>
              <w:jc w:val="center"/>
              <w:rPr>
                <w:b/>
                <w:bCs/>
                <w:highlight w:val="none"/>
              </w:rPr>
            </w:pPr>
            <w:r>
              <w:rPr>
                <w:rFonts w:hint="eastAsia"/>
                <w:b/>
                <w:bCs/>
                <w:highlight w:val="none"/>
              </w:rPr>
              <w:t>船员成本费用</w:t>
            </w:r>
          </w:p>
          <w:p>
            <w:pPr>
              <w:pStyle w:val="3"/>
              <w:jc w:val="center"/>
              <w:rPr>
                <w:b/>
                <w:bCs/>
                <w:highlight w:val="none"/>
              </w:rPr>
            </w:pPr>
            <w:r>
              <w:rPr>
                <w:rFonts w:hint="eastAsia"/>
                <w:b/>
                <w:bCs/>
                <w:highlight w:val="none"/>
              </w:rPr>
              <w:t>单项报价</w:t>
            </w:r>
          </w:p>
          <w:p>
            <w:pPr>
              <w:pStyle w:val="3"/>
              <w:jc w:val="center"/>
              <w:rPr>
                <w:b/>
                <w:bCs/>
                <w:highlight w:val="none"/>
              </w:rPr>
            </w:pPr>
            <w:r>
              <w:rPr>
                <w:rFonts w:hint="eastAsia"/>
                <w:b/>
                <w:bCs/>
                <w:highlight w:val="none"/>
              </w:rPr>
              <w:t>（元/每人月）</w:t>
            </w:r>
          </w:p>
        </w:tc>
        <w:tc>
          <w:tcPr>
            <w:tcW w:w="598" w:type="dxa"/>
            <w:vAlign w:val="center"/>
          </w:tcPr>
          <w:p>
            <w:pPr>
              <w:pStyle w:val="3"/>
              <w:jc w:val="center"/>
              <w:rPr>
                <w:b/>
                <w:bCs/>
                <w:highlight w:val="none"/>
              </w:rPr>
            </w:pPr>
            <w:r>
              <w:rPr>
                <w:rFonts w:hint="eastAsia"/>
                <w:b/>
                <w:bCs/>
                <w:highlight w:val="none"/>
              </w:rPr>
              <w:t>序号</w:t>
            </w:r>
          </w:p>
        </w:tc>
        <w:tc>
          <w:tcPr>
            <w:tcW w:w="1138" w:type="dxa"/>
            <w:vAlign w:val="center"/>
          </w:tcPr>
          <w:p>
            <w:pPr>
              <w:pStyle w:val="3"/>
              <w:jc w:val="center"/>
              <w:rPr>
                <w:b/>
                <w:bCs/>
                <w:highlight w:val="none"/>
              </w:rPr>
            </w:pPr>
            <w:r>
              <w:rPr>
                <w:rFonts w:hint="eastAsia"/>
                <w:b/>
                <w:bCs/>
                <w:highlight w:val="none"/>
              </w:rPr>
              <w:t>职务</w:t>
            </w:r>
          </w:p>
        </w:tc>
        <w:tc>
          <w:tcPr>
            <w:tcW w:w="1278" w:type="dxa"/>
            <w:vAlign w:val="center"/>
          </w:tcPr>
          <w:p>
            <w:pPr>
              <w:pStyle w:val="3"/>
              <w:jc w:val="center"/>
              <w:rPr>
                <w:b/>
                <w:bCs/>
                <w:highlight w:val="none"/>
              </w:rPr>
            </w:pPr>
            <w:r>
              <w:rPr>
                <w:rFonts w:hint="eastAsia"/>
                <w:b/>
                <w:bCs/>
                <w:highlight w:val="none"/>
              </w:rPr>
              <w:t>每船配员标准（人）</w:t>
            </w:r>
          </w:p>
        </w:tc>
        <w:tc>
          <w:tcPr>
            <w:tcW w:w="1938" w:type="dxa"/>
            <w:vAlign w:val="center"/>
          </w:tcPr>
          <w:p>
            <w:pPr>
              <w:pStyle w:val="3"/>
              <w:jc w:val="center"/>
              <w:rPr>
                <w:b/>
                <w:bCs/>
                <w:highlight w:val="none"/>
              </w:rPr>
            </w:pPr>
            <w:r>
              <w:rPr>
                <w:rFonts w:hint="eastAsia"/>
                <w:b/>
                <w:bCs/>
                <w:highlight w:val="none"/>
              </w:rPr>
              <w:t>船员成本费用</w:t>
            </w:r>
          </w:p>
          <w:p>
            <w:pPr>
              <w:pStyle w:val="3"/>
              <w:jc w:val="center"/>
              <w:rPr>
                <w:b/>
                <w:bCs/>
                <w:highlight w:val="none"/>
              </w:rPr>
            </w:pPr>
            <w:r>
              <w:rPr>
                <w:rFonts w:hint="eastAsia"/>
                <w:b/>
                <w:bCs/>
                <w:highlight w:val="none"/>
              </w:rPr>
              <w:t>单项报价</w:t>
            </w:r>
          </w:p>
          <w:p>
            <w:pPr>
              <w:pStyle w:val="3"/>
              <w:jc w:val="center"/>
              <w:rPr>
                <w:b/>
                <w:bCs/>
                <w:highlight w:val="none"/>
              </w:rPr>
            </w:pPr>
            <w:r>
              <w:rPr>
                <w:rFonts w:hint="eastAsia"/>
                <w:b/>
                <w:bCs/>
                <w:highlight w:val="none"/>
              </w:rPr>
              <w:t>（元/每人月）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7"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140"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船长</w:t>
            </w:r>
          </w:p>
        </w:tc>
        <w:tc>
          <w:tcPr>
            <w:tcW w:w="109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60" w:type="dxa"/>
            <w:vAlign w:val="center"/>
          </w:tcPr>
          <w:p>
            <w:pPr>
              <w:jc w:val="center"/>
              <w:rPr>
                <w:rFonts w:ascii="仿宋_GB2312" w:hAnsi="仿宋_GB2312" w:eastAsia="仿宋_GB2312" w:cs="仿宋_GB2312"/>
                <w:iCs/>
                <w:sz w:val="24"/>
                <w:highlight w:val="none"/>
              </w:rPr>
            </w:pPr>
          </w:p>
        </w:tc>
        <w:tc>
          <w:tcPr>
            <w:tcW w:w="59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13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船长</w:t>
            </w:r>
          </w:p>
        </w:tc>
        <w:tc>
          <w:tcPr>
            <w:tcW w:w="127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38"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7"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2</w:t>
            </w:r>
          </w:p>
        </w:tc>
        <w:tc>
          <w:tcPr>
            <w:tcW w:w="1140"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大副</w:t>
            </w:r>
          </w:p>
        </w:tc>
        <w:tc>
          <w:tcPr>
            <w:tcW w:w="109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60" w:type="dxa"/>
            <w:vAlign w:val="center"/>
          </w:tcPr>
          <w:p>
            <w:pPr>
              <w:jc w:val="center"/>
              <w:rPr>
                <w:rFonts w:ascii="仿宋_GB2312" w:hAnsi="仿宋_GB2312" w:eastAsia="仿宋_GB2312" w:cs="仿宋_GB2312"/>
                <w:iCs/>
                <w:sz w:val="24"/>
                <w:highlight w:val="none"/>
              </w:rPr>
            </w:pPr>
          </w:p>
        </w:tc>
        <w:tc>
          <w:tcPr>
            <w:tcW w:w="59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2</w:t>
            </w:r>
          </w:p>
        </w:tc>
        <w:tc>
          <w:tcPr>
            <w:tcW w:w="113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大副</w:t>
            </w:r>
          </w:p>
        </w:tc>
        <w:tc>
          <w:tcPr>
            <w:tcW w:w="127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38"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7"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3</w:t>
            </w:r>
          </w:p>
        </w:tc>
        <w:tc>
          <w:tcPr>
            <w:tcW w:w="1140"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二副</w:t>
            </w:r>
          </w:p>
        </w:tc>
        <w:tc>
          <w:tcPr>
            <w:tcW w:w="109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60" w:type="dxa"/>
            <w:vAlign w:val="center"/>
          </w:tcPr>
          <w:p>
            <w:pPr>
              <w:jc w:val="center"/>
              <w:rPr>
                <w:rFonts w:ascii="仿宋_GB2312" w:hAnsi="仿宋_GB2312" w:eastAsia="仿宋_GB2312" w:cs="仿宋_GB2312"/>
                <w:iCs/>
                <w:sz w:val="24"/>
                <w:highlight w:val="none"/>
              </w:rPr>
            </w:pPr>
          </w:p>
        </w:tc>
        <w:tc>
          <w:tcPr>
            <w:tcW w:w="59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3</w:t>
            </w:r>
          </w:p>
        </w:tc>
        <w:tc>
          <w:tcPr>
            <w:tcW w:w="113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二副</w:t>
            </w:r>
          </w:p>
        </w:tc>
        <w:tc>
          <w:tcPr>
            <w:tcW w:w="127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38"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7"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4</w:t>
            </w:r>
          </w:p>
        </w:tc>
        <w:tc>
          <w:tcPr>
            <w:tcW w:w="1140"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三副</w:t>
            </w:r>
          </w:p>
        </w:tc>
        <w:tc>
          <w:tcPr>
            <w:tcW w:w="109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60" w:type="dxa"/>
            <w:vAlign w:val="center"/>
          </w:tcPr>
          <w:p>
            <w:pPr>
              <w:jc w:val="center"/>
              <w:rPr>
                <w:rFonts w:ascii="仿宋_GB2312" w:hAnsi="仿宋_GB2312" w:eastAsia="仿宋_GB2312" w:cs="仿宋_GB2312"/>
                <w:iCs/>
                <w:sz w:val="24"/>
                <w:highlight w:val="none"/>
              </w:rPr>
            </w:pPr>
          </w:p>
        </w:tc>
        <w:tc>
          <w:tcPr>
            <w:tcW w:w="59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4</w:t>
            </w:r>
          </w:p>
        </w:tc>
        <w:tc>
          <w:tcPr>
            <w:tcW w:w="113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三副</w:t>
            </w:r>
          </w:p>
        </w:tc>
        <w:tc>
          <w:tcPr>
            <w:tcW w:w="127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38"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7"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5</w:t>
            </w:r>
          </w:p>
        </w:tc>
        <w:tc>
          <w:tcPr>
            <w:tcW w:w="1140"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轮机长</w:t>
            </w:r>
          </w:p>
        </w:tc>
        <w:tc>
          <w:tcPr>
            <w:tcW w:w="109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60" w:type="dxa"/>
            <w:vAlign w:val="center"/>
          </w:tcPr>
          <w:p>
            <w:pPr>
              <w:jc w:val="center"/>
              <w:rPr>
                <w:rFonts w:ascii="仿宋_GB2312" w:hAnsi="仿宋_GB2312" w:eastAsia="仿宋_GB2312" w:cs="仿宋_GB2312"/>
                <w:iCs/>
                <w:sz w:val="24"/>
                <w:highlight w:val="none"/>
              </w:rPr>
            </w:pPr>
          </w:p>
        </w:tc>
        <w:tc>
          <w:tcPr>
            <w:tcW w:w="59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5</w:t>
            </w:r>
          </w:p>
        </w:tc>
        <w:tc>
          <w:tcPr>
            <w:tcW w:w="113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轮机长</w:t>
            </w:r>
          </w:p>
        </w:tc>
        <w:tc>
          <w:tcPr>
            <w:tcW w:w="127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38"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7"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6</w:t>
            </w:r>
          </w:p>
        </w:tc>
        <w:tc>
          <w:tcPr>
            <w:tcW w:w="1140"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大管轮</w:t>
            </w:r>
          </w:p>
        </w:tc>
        <w:tc>
          <w:tcPr>
            <w:tcW w:w="109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60" w:type="dxa"/>
            <w:vAlign w:val="center"/>
          </w:tcPr>
          <w:p>
            <w:pPr>
              <w:jc w:val="center"/>
              <w:rPr>
                <w:rFonts w:ascii="仿宋_GB2312" w:hAnsi="仿宋_GB2312" w:eastAsia="仿宋_GB2312" w:cs="仿宋_GB2312"/>
                <w:iCs/>
                <w:sz w:val="24"/>
                <w:highlight w:val="none"/>
              </w:rPr>
            </w:pPr>
          </w:p>
        </w:tc>
        <w:tc>
          <w:tcPr>
            <w:tcW w:w="59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6</w:t>
            </w:r>
          </w:p>
        </w:tc>
        <w:tc>
          <w:tcPr>
            <w:tcW w:w="113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大管轮</w:t>
            </w:r>
          </w:p>
        </w:tc>
        <w:tc>
          <w:tcPr>
            <w:tcW w:w="127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38"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7"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7</w:t>
            </w:r>
          </w:p>
        </w:tc>
        <w:tc>
          <w:tcPr>
            <w:tcW w:w="1140"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二管轮</w:t>
            </w:r>
          </w:p>
        </w:tc>
        <w:tc>
          <w:tcPr>
            <w:tcW w:w="109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60" w:type="dxa"/>
            <w:vAlign w:val="center"/>
          </w:tcPr>
          <w:p>
            <w:pPr>
              <w:jc w:val="center"/>
              <w:rPr>
                <w:rFonts w:ascii="仿宋_GB2312" w:hAnsi="仿宋_GB2312" w:eastAsia="仿宋_GB2312" w:cs="仿宋_GB2312"/>
                <w:iCs/>
                <w:sz w:val="24"/>
                <w:highlight w:val="none"/>
              </w:rPr>
            </w:pPr>
          </w:p>
        </w:tc>
        <w:tc>
          <w:tcPr>
            <w:tcW w:w="59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7</w:t>
            </w:r>
          </w:p>
        </w:tc>
        <w:tc>
          <w:tcPr>
            <w:tcW w:w="113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二管轮</w:t>
            </w:r>
          </w:p>
        </w:tc>
        <w:tc>
          <w:tcPr>
            <w:tcW w:w="127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38"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7"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8</w:t>
            </w:r>
          </w:p>
        </w:tc>
        <w:tc>
          <w:tcPr>
            <w:tcW w:w="1140"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三管轮</w:t>
            </w:r>
          </w:p>
        </w:tc>
        <w:tc>
          <w:tcPr>
            <w:tcW w:w="109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60" w:type="dxa"/>
            <w:vAlign w:val="center"/>
          </w:tcPr>
          <w:p>
            <w:pPr>
              <w:jc w:val="center"/>
              <w:rPr>
                <w:rFonts w:ascii="仿宋_GB2312" w:hAnsi="仿宋_GB2312" w:eastAsia="仿宋_GB2312" w:cs="仿宋_GB2312"/>
                <w:iCs/>
                <w:sz w:val="24"/>
                <w:highlight w:val="none"/>
              </w:rPr>
            </w:pPr>
          </w:p>
        </w:tc>
        <w:tc>
          <w:tcPr>
            <w:tcW w:w="59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8</w:t>
            </w:r>
          </w:p>
        </w:tc>
        <w:tc>
          <w:tcPr>
            <w:tcW w:w="113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三管轮</w:t>
            </w:r>
          </w:p>
        </w:tc>
        <w:tc>
          <w:tcPr>
            <w:tcW w:w="127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38"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7"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9</w:t>
            </w:r>
          </w:p>
        </w:tc>
        <w:tc>
          <w:tcPr>
            <w:tcW w:w="1140"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电机员</w:t>
            </w:r>
          </w:p>
        </w:tc>
        <w:tc>
          <w:tcPr>
            <w:tcW w:w="109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60" w:type="dxa"/>
            <w:vAlign w:val="center"/>
          </w:tcPr>
          <w:p>
            <w:pPr>
              <w:jc w:val="center"/>
              <w:rPr>
                <w:rFonts w:ascii="仿宋_GB2312" w:hAnsi="仿宋_GB2312" w:eastAsia="仿宋_GB2312" w:cs="仿宋_GB2312"/>
                <w:iCs/>
                <w:sz w:val="24"/>
                <w:highlight w:val="none"/>
              </w:rPr>
            </w:pPr>
          </w:p>
        </w:tc>
        <w:tc>
          <w:tcPr>
            <w:tcW w:w="59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9</w:t>
            </w:r>
          </w:p>
        </w:tc>
        <w:tc>
          <w:tcPr>
            <w:tcW w:w="113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水手</w:t>
            </w:r>
          </w:p>
        </w:tc>
        <w:tc>
          <w:tcPr>
            <w:tcW w:w="127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3</w:t>
            </w:r>
          </w:p>
        </w:tc>
        <w:tc>
          <w:tcPr>
            <w:tcW w:w="1938"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7"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10</w:t>
            </w:r>
          </w:p>
        </w:tc>
        <w:tc>
          <w:tcPr>
            <w:tcW w:w="1140"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水手长</w:t>
            </w:r>
          </w:p>
        </w:tc>
        <w:tc>
          <w:tcPr>
            <w:tcW w:w="109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60" w:type="dxa"/>
            <w:vAlign w:val="center"/>
          </w:tcPr>
          <w:p>
            <w:pPr>
              <w:jc w:val="center"/>
              <w:rPr>
                <w:rFonts w:ascii="仿宋_GB2312" w:hAnsi="仿宋_GB2312" w:eastAsia="仿宋_GB2312" w:cs="仿宋_GB2312"/>
                <w:iCs/>
                <w:sz w:val="24"/>
                <w:highlight w:val="none"/>
              </w:rPr>
            </w:pPr>
          </w:p>
        </w:tc>
        <w:tc>
          <w:tcPr>
            <w:tcW w:w="59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10</w:t>
            </w:r>
          </w:p>
        </w:tc>
        <w:tc>
          <w:tcPr>
            <w:tcW w:w="113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机工</w:t>
            </w:r>
          </w:p>
        </w:tc>
        <w:tc>
          <w:tcPr>
            <w:tcW w:w="127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3</w:t>
            </w:r>
          </w:p>
        </w:tc>
        <w:tc>
          <w:tcPr>
            <w:tcW w:w="1938"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7"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11</w:t>
            </w:r>
          </w:p>
        </w:tc>
        <w:tc>
          <w:tcPr>
            <w:tcW w:w="1140"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水手</w:t>
            </w:r>
          </w:p>
        </w:tc>
        <w:tc>
          <w:tcPr>
            <w:tcW w:w="109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4</w:t>
            </w:r>
          </w:p>
        </w:tc>
        <w:tc>
          <w:tcPr>
            <w:tcW w:w="1960" w:type="dxa"/>
            <w:vAlign w:val="center"/>
          </w:tcPr>
          <w:p>
            <w:pPr>
              <w:jc w:val="center"/>
              <w:rPr>
                <w:rFonts w:ascii="仿宋_GB2312" w:hAnsi="仿宋_GB2312" w:eastAsia="仿宋_GB2312" w:cs="仿宋_GB2312"/>
                <w:iCs/>
                <w:sz w:val="24"/>
                <w:highlight w:val="none"/>
              </w:rPr>
            </w:pPr>
          </w:p>
        </w:tc>
        <w:tc>
          <w:tcPr>
            <w:tcW w:w="59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11</w:t>
            </w:r>
          </w:p>
        </w:tc>
        <w:tc>
          <w:tcPr>
            <w:tcW w:w="113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大厨</w:t>
            </w:r>
          </w:p>
        </w:tc>
        <w:tc>
          <w:tcPr>
            <w:tcW w:w="127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38"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7"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12</w:t>
            </w:r>
          </w:p>
        </w:tc>
        <w:tc>
          <w:tcPr>
            <w:tcW w:w="1140"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机工长</w:t>
            </w:r>
          </w:p>
        </w:tc>
        <w:tc>
          <w:tcPr>
            <w:tcW w:w="1091" w:type="dxa"/>
            <w:vAlign w:val="center"/>
          </w:tcPr>
          <w:p>
            <w:pPr>
              <w:jc w:val="center"/>
              <w:rPr>
                <w:rFonts w:ascii="仿宋_GB2312" w:hAnsi="仿宋_GB2312" w:eastAsia="仿宋_GB2312" w:cs="仿宋_GB2312"/>
                <w:iCs/>
                <w:sz w:val="24"/>
                <w:highlight w:val="none"/>
              </w:rPr>
            </w:pPr>
            <w:r>
              <w:rPr>
                <w:rFonts w:ascii="仿宋_GB2312" w:hAnsi="仿宋_GB2312" w:eastAsia="仿宋_GB2312" w:cs="仿宋_GB2312"/>
                <w:iCs/>
                <w:sz w:val="24"/>
                <w:highlight w:val="none"/>
              </w:rPr>
              <w:t>1</w:t>
            </w:r>
          </w:p>
        </w:tc>
        <w:tc>
          <w:tcPr>
            <w:tcW w:w="1960" w:type="dxa"/>
            <w:vAlign w:val="center"/>
          </w:tcPr>
          <w:p>
            <w:pPr>
              <w:jc w:val="center"/>
              <w:rPr>
                <w:rFonts w:ascii="仿宋_GB2312" w:hAnsi="仿宋_GB2312" w:eastAsia="仿宋_GB2312" w:cs="仿宋_GB2312"/>
                <w:iCs/>
                <w:sz w:val="24"/>
                <w:highlight w:val="none"/>
              </w:rPr>
            </w:pPr>
          </w:p>
        </w:tc>
        <w:tc>
          <w:tcPr>
            <w:tcW w:w="59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12</w:t>
            </w:r>
          </w:p>
        </w:tc>
        <w:tc>
          <w:tcPr>
            <w:tcW w:w="113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厨工</w:t>
            </w:r>
          </w:p>
        </w:tc>
        <w:tc>
          <w:tcPr>
            <w:tcW w:w="127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38"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7"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1</w:t>
            </w:r>
            <w:r>
              <w:rPr>
                <w:rFonts w:ascii="仿宋_GB2312" w:hAnsi="仿宋_GB2312" w:eastAsia="仿宋_GB2312" w:cs="仿宋_GB2312"/>
                <w:iCs/>
                <w:szCs w:val="21"/>
                <w:highlight w:val="none"/>
              </w:rPr>
              <w:t>3</w:t>
            </w:r>
          </w:p>
        </w:tc>
        <w:tc>
          <w:tcPr>
            <w:tcW w:w="1140"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机工</w:t>
            </w:r>
          </w:p>
        </w:tc>
        <w:tc>
          <w:tcPr>
            <w:tcW w:w="109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4</w:t>
            </w:r>
          </w:p>
        </w:tc>
        <w:tc>
          <w:tcPr>
            <w:tcW w:w="1960" w:type="dxa"/>
            <w:vAlign w:val="center"/>
          </w:tcPr>
          <w:p>
            <w:pPr>
              <w:jc w:val="center"/>
              <w:rPr>
                <w:rFonts w:ascii="仿宋_GB2312" w:hAnsi="仿宋_GB2312" w:eastAsia="仿宋_GB2312" w:cs="仿宋_GB2312"/>
                <w:iCs/>
                <w:sz w:val="24"/>
                <w:highlight w:val="none"/>
              </w:rPr>
            </w:pPr>
          </w:p>
        </w:tc>
        <w:tc>
          <w:tcPr>
            <w:tcW w:w="59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13</w:t>
            </w:r>
          </w:p>
        </w:tc>
        <w:tc>
          <w:tcPr>
            <w:tcW w:w="113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服务员</w:t>
            </w:r>
          </w:p>
        </w:tc>
        <w:tc>
          <w:tcPr>
            <w:tcW w:w="127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38"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7"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1</w:t>
            </w:r>
            <w:r>
              <w:rPr>
                <w:rFonts w:ascii="仿宋_GB2312" w:hAnsi="仿宋_GB2312" w:eastAsia="仿宋_GB2312" w:cs="仿宋_GB2312"/>
                <w:iCs/>
                <w:szCs w:val="21"/>
                <w:highlight w:val="none"/>
              </w:rPr>
              <w:t>4</w:t>
            </w:r>
          </w:p>
        </w:tc>
        <w:tc>
          <w:tcPr>
            <w:tcW w:w="1140"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船医</w:t>
            </w:r>
          </w:p>
        </w:tc>
        <w:tc>
          <w:tcPr>
            <w:tcW w:w="109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60" w:type="dxa"/>
            <w:vAlign w:val="center"/>
          </w:tcPr>
          <w:p>
            <w:pPr>
              <w:jc w:val="center"/>
              <w:rPr>
                <w:rFonts w:ascii="仿宋_GB2312" w:hAnsi="仿宋_GB2312" w:eastAsia="仿宋_GB2312" w:cs="仿宋_GB2312"/>
                <w:iCs/>
                <w:sz w:val="24"/>
                <w:highlight w:val="none"/>
              </w:rPr>
            </w:pPr>
          </w:p>
        </w:tc>
        <w:tc>
          <w:tcPr>
            <w:tcW w:w="4952" w:type="dxa"/>
            <w:gridSpan w:val="4"/>
            <w:vMerge w:val="restart"/>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7"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1</w:t>
            </w:r>
            <w:r>
              <w:rPr>
                <w:rFonts w:ascii="仿宋_GB2312" w:hAnsi="仿宋_GB2312" w:eastAsia="仿宋_GB2312" w:cs="仿宋_GB2312"/>
                <w:iCs/>
                <w:szCs w:val="21"/>
                <w:highlight w:val="none"/>
              </w:rPr>
              <w:t>5</w:t>
            </w:r>
          </w:p>
        </w:tc>
        <w:tc>
          <w:tcPr>
            <w:tcW w:w="1140"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大厨</w:t>
            </w:r>
          </w:p>
        </w:tc>
        <w:tc>
          <w:tcPr>
            <w:tcW w:w="109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60" w:type="dxa"/>
            <w:vAlign w:val="center"/>
          </w:tcPr>
          <w:p>
            <w:pPr>
              <w:jc w:val="center"/>
              <w:rPr>
                <w:rFonts w:ascii="仿宋_GB2312" w:hAnsi="仿宋_GB2312" w:eastAsia="仿宋_GB2312" w:cs="仿宋_GB2312"/>
                <w:iCs/>
                <w:sz w:val="24"/>
                <w:highlight w:val="none"/>
              </w:rPr>
            </w:pPr>
          </w:p>
        </w:tc>
        <w:tc>
          <w:tcPr>
            <w:tcW w:w="4952" w:type="dxa"/>
            <w:gridSpan w:val="4"/>
            <w:vMerge w:val="continue"/>
            <w:tcBorders>
              <w:tl2br w:val="single" w:color="auto" w:sz="4" w:space="0"/>
            </w:tcBorders>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7"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1</w:t>
            </w:r>
            <w:r>
              <w:rPr>
                <w:rFonts w:ascii="仿宋_GB2312" w:hAnsi="仿宋_GB2312" w:eastAsia="仿宋_GB2312" w:cs="仿宋_GB2312"/>
                <w:iCs/>
                <w:szCs w:val="21"/>
                <w:highlight w:val="none"/>
              </w:rPr>
              <w:t>6</w:t>
            </w:r>
          </w:p>
        </w:tc>
        <w:tc>
          <w:tcPr>
            <w:tcW w:w="1140"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厨工</w:t>
            </w:r>
          </w:p>
        </w:tc>
        <w:tc>
          <w:tcPr>
            <w:tcW w:w="109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2</w:t>
            </w:r>
          </w:p>
        </w:tc>
        <w:tc>
          <w:tcPr>
            <w:tcW w:w="1960" w:type="dxa"/>
            <w:vAlign w:val="center"/>
          </w:tcPr>
          <w:p>
            <w:pPr>
              <w:jc w:val="center"/>
              <w:rPr>
                <w:rFonts w:ascii="仿宋_GB2312" w:hAnsi="仿宋_GB2312" w:eastAsia="仿宋_GB2312" w:cs="仿宋_GB2312"/>
                <w:iCs/>
                <w:sz w:val="24"/>
                <w:highlight w:val="none"/>
              </w:rPr>
            </w:pPr>
          </w:p>
        </w:tc>
        <w:tc>
          <w:tcPr>
            <w:tcW w:w="4952" w:type="dxa"/>
            <w:gridSpan w:val="4"/>
            <w:vMerge w:val="continue"/>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97"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1</w:t>
            </w:r>
            <w:r>
              <w:rPr>
                <w:rFonts w:ascii="仿宋_GB2312" w:hAnsi="仿宋_GB2312" w:eastAsia="仿宋_GB2312" w:cs="仿宋_GB2312"/>
                <w:iCs/>
                <w:szCs w:val="21"/>
                <w:highlight w:val="none"/>
              </w:rPr>
              <w:t>7</w:t>
            </w:r>
          </w:p>
        </w:tc>
        <w:tc>
          <w:tcPr>
            <w:tcW w:w="1140"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服务员</w:t>
            </w:r>
          </w:p>
        </w:tc>
        <w:tc>
          <w:tcPr>
            <w:tcW w:w="109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2</w:t>
            </w:r>
          </w:p>
        </w:tc>
        <w:tc>
          <w:tcPr>
            <w:tcW w:w="1960" w:type="dxa"/>
            <w:vAlign w:val="center"/>
          </w:tcPr>
          <w:p>
            <w:pPr>
              <w:jc w:val="center"/>
              <w:rPr>
                <w:rFonts w:ascii="仿宋_GB2312" w:hAnsi="仿宋_GB2312" w:eastAsia="仿宋_GB2312" w:cs="仿宋_GB2312"/>
                <w:iCs/>
                <w:sz w:val="24"/>
                <w:highlight w:val="none"/>
              </w:rPr>
            </w:pPr>
          </w:p>
        </w:tc>
        <w:tc>
          <w:tcPr>
            <w:tcW w:w="4952" w:type="dxa"/>
            <w:gridSpan w:val="4"/>
            <w:vMerge w:val="continue"/>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37" w:type="dxa"/>
            <w:gridSpan w:val="3"/>
            <w:vAlign w:val="center"/>
          </w:tcPr>
          <w:p>
            <w:pPr>
              <w:jc w:val="center"/>
              <w:rPr>
                <w:rFonts w:ascii="仿宋_GB2312" w:hAnsi="仿宋_GB2312" w:eastAsia="仿宋_GB2312" w:cs="仿宋_GB2312"/>
                <w:iCs/>
                <w:szCs w:val="21"/>
                <w:highlight w:val="none"/>
              </w:rPr>
            </w:pPr>
            <w:r>
              <w:rPr>
                <w:rFonts w:hint="eastAsia" w:ascii="仿宋_GB2312" w:hAnsi="仿宋_GB2312" w:eastAsia="仿宋_GB2312" w:cs="仿宋_GB2312"/>
                <w:iCs/>
                <w:szCs w:val="21"/>
                <w:highlight w:val="none"/>
              </w:rPr>
              <w:t>小计</w:t>
            </w:r>
          </w:p>
        </w:tc>
        <w:tc>
          <w:tcPr>
            <w:tcW w:w="1091" w:type="dxa"/>
            <w:vAlign w:val="center"/>
          </w:tcPr>
          <w:p>
            <w:pPr>
              <w:jc w:val="center"/>
              <w:rPr>
                <w:rFonts w:ascii="仿宋_GB2312" w:hAnsi="仿宋_GB2312" w:eastAsia="仿宋_GB2312" w:cs="仿宋_GB2312"/>
                <w:iCs/>
                <w:sz w:val="24"/>
                <w:highlight w:val="none"/>
              </w:rPr>
            </w:pPr>
          </w:p>
        </w:tc>
        <w:tc>
          <w:tcPr>
            <w:tcW w:w="1960" w:type="dxa"/>
            <w:vAlign w:val="center"/>
          </w:tcPr>
          <w:p>
            <w:pPr>
              <w:jc w:val="center"/>
              <w:rPr>
                <w:rFonts w:ascii="仿宋_GB2312" w:hAnsi="仿宋_GB2312" w:eastAsia="仿宋_GB2312" w:cs="仿宋_GB2312"/>
                <w:iCs/>
                <w:sz w:val="24"/>
                <w:highlight w:val="none"/>
              </w:rPr>
            </w:pPr>
          </w:p>
        </w:tc>
        <w:tc>
          <w:tcPr>
            <w:tcW w:w="1736"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小计</w:t>
            </w:r>
          </w:p>
        </w:tc>
        <w:tc>
          <w:tcPr>
            <w:tcW w:w="1278" w:type="dxa"/>
            <w:vAlign w:val="center"/>
          </w:tcPr>
          <w:p>
            <w:pPr>
              <w:jc w:val="center"/>
              <w:rPr>
                <w:rFonts w:ascii="仿宋_GB2312" w:hAnsi="仿宋_GB2312" w:eastAsia="仿宋_GB2312" w:cs="仿宋_GB2312"/>
                <w:iCs/>
                <w:sz w:val="24"/>
                <w:highlight w:val="none"/>
              </w:rPr>
            </w:pPr>
          </w:p>
        </w:tc>
        <w:tc>
          <w:tcPr>
            <w:tcW w:w="1938"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28" w:type="dxa"/>
            <w:gridSpan w:val="4"/>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合计</w:t>
            </w:r>
          </w:p>
        </w:tc>
        <w:tc>
          <w:tcPr>
            <w:tcW w:w="6912" w:type="dxa"/>
            <w:gridSpan w:val="5"/>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740" w:type="dxa"/>
            <w:gridSpan w:val="9"/>
            <w:vAlign w:val="center"/>
          </w:tcPr>
          <w:p>
            <w:pPr>
              <w:rPr>
                <w:rFonts w:ascii="仿宋_GB2312" w:hAnsi="仿宋_GB2312" w:eastAsia="仿宋_GB2312" w:cs="仿宋_GB2312"/>
                <w:iCs/>
                <w:sz w:val="24"/>
                <w:highlight w:val="none"/>
              </w:rPr>
            </w:pPr>
            <w:r>
              <w:rPr>
                <w:rFonts w:hint="eastAsia" w:ascii="仿宋" w:hAnsi="仿宋" w:eastAsia="仿宋" w:cs="仿宋"/>
                <w:b/>
                <w:sz w:val="24"/>
                <w:highlight w:val="none"/>
              </w:rPr>
              <w:t>二、管理费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788" w:type="dxa"/>
            <w:gridSpan w:val="5"/>
            <w:vAlign w:val="center"/>
          </w:tcPr>
          <w:p>
            <w:pPr>
              <w:jc w:val="center"/>
              <w:rPr>
                <w:rFonts w:ascii="仿宋_GB2312" w:hAnsi="仿宋_GB2312" w:eastAsia="仿宋_GB2312" w:cs="仿宋_GB2312"/>
                <w:iCs/>
                <w:sz w:val="24"/>
                <w:highlight w:val="none"/>
              </w:rPr>
            </w:pPr>
            <w:r>
              <w:rPr>
                <w:rFonts w:hint="eastAsia" w:ascii="仿宋" w:hAnsi="仿宋" w:eastAsia="仿宋" w:cs="仿宋"/>
                <w:b/>
                <w:sz w:val="24"/>
                <w:highlight w:val="none"/>
              </w:rPr>
              <w:t>管理费系数（%）</w:t>
            </w:r>
          </w:p>
        </w:tc>
        <w:tc>
          <w:tcPr>
            <w:tcW w:w="4952" w:type="dxa"/>
            <w:gridSpan w:val="4"/>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gridSpan w:val="2"/>
            <w:vAlign w:val="center"/>
          </w:tcPr>
          <w:p>
            <w:pPr>
              <w:spacing w:line="240" w:lineRule="atLeast"/>
              <w:jc w:val="center"/>
              <w:rPr>
                <w:rFonts w:ascii="仿宋_GB2312" w:hAnsi="仿宋_GB2312" w:eastAsia="仿宋_GB2312" w:cs="仿宋_GB2312"/>
                <w:iCs/>
                <w:sz w:val="24"/>
                <w:highlight w:val="none"/>
              </w:rPr>
            </w:pPr>
            <w:r>
              <w:rPr>
                <w:rFonts w:hint="eastAsia" w:ascii="仿宋" w:hAnsi="仿宋" w:eastAsia="仿宋" w:cs="仿宋"/>
                <w:b/>
                <w:sz w:val="24"/>
                <w:highlight w:val="none"/>
              </w:rPr>
              <w:t>说明</w:t>
            </w:r>
          </w:p>
        </w:tc>
        <w:tc>
          <w:tcPr>
            <w:tcW w:w="8843" w:type="dxa"/>
            <w:gridSpan w:val="7"/>
            <w:vAlign w:val="center"/>
          </w:tcPr>
          <w:p>
            <w:pPr>
              <w:numPr>
                <w:ilvl w:val="0"/>
                <w:numId w:val="17"/>
              </w:numPr>
              <w:autoSpaceDE/>
              <w:autoSpaceDN/>
              <w:adjustRightInd/>
              <w:spacing w:line="240" w:lineRule="atLeast"/>
              <w:rPr>
                <w:rFonts w:ascii="仿宋" w:hAnsi="仿宋" w:eastAsia="仿宋" w:cs="仿宋"/>
                <w:b/>
                <w:bCs/>
                <w:sz w:val="24"/>
                <w:highlight w:val="none"/>
              </w:rPr>
            </w:pPr>
            <w:r>
              <w:rPr>
                <w:rFonts w:hint="eastAsia" w:ascii="仿宋" w:hAnsi="仿宋" w:eastAsia="仿宋" w:cs="仿宋"/>
                <w:b/>
                <w:bCs/>
                <w:sz w:val="24"/>
                <w:highlight w:val="none"/>
              </w:rPr>
              <w:t>本项目管理费报价不能高于实际发生船员成本费用总额的15%。</w:t>
            </w:r>
          </w:p>
          <w:p>
            <w:pPr>
              <w:numPr>
                <w:ilvl w:val="0"/>
                <w:numId w:val="17"/>
              </w:numPr>
              <w:autoSpaceDE/>
              <w:autoSpaceDN/>
              <w:adjustRightInd/>
              <w:spacing w:line="240" w:lineRule="atLeast"/>
              <w:rPr>
                <w:rFonts w:ascii="仿宋" w:hAnsi="仿宋" w:eastAsia="仿宋" w:cs="仿宋"/>
                <w:b/>
                <w:bCs/>
                <w:sz w:val="24"/>
                <w:highlight w:val="none"/>
              </w:rPr>
            </w:pPr>
            <w:r>
              <w:rPr>
                <w:rFonts w:hint="eastAsia" w:ascii="仿宋" w:hAnsi="仿宋" w:eastAsia="仿宋" w:cs="仿宋"/>
                <w:b/>
                <w:bCs/>
                <w:sz w:val="24"/>
                <w:highlight w:val="none"/>
              </w:rPr>
              <w:t>管理费=实际发生的船员成本费用×管理费</w:t>
            </w:r>
            <w:r>
              <w:rPr>
                <w:rFonts w:hint="eastAsia" w:ascii="仿宋" w:hAnsi="仿宋" w:eastAsia="仿宋" w:cs="仿宋"/>
                <w:b/>
                <w:sz w:val="24"/>
                <w:highlight w:val="none"/>
              </w:rPr>
              <w:t>系数</w:t>
            </w:r>
            <w:r>
              <w:rPr>
                <w:rFonts w:hint="eastAsia" w:ascii="仿宋" w:hAnsi="仿宋" w:eastAsia="仿宋" w:cs="仿宋"/>
                <w:b/>
                <w:bCs/>
                <w:sz w:val="24"/>
                <w:highlight w:val="none"/>
              </w:rPr>
              <w:t>。</w:t>
            </w:r>
          </w:p>
          <w:p>
            <w:pPr>
              <w:numPr>
                <w:ilvl w:val="0"/>
                <w:numId w:val="17"/>
              </w:numPr>
              <w:autoSpaceDE/>
              <w:autoSpaceDN/>
              <w:adjustRightInd/>
              <w:spacing w:line="240" w:lineRule="atLeast"/>
              <w:rPr>
                <w:rFonts w:ascii="仿宋" w:hAnsi="仿宋" w:eastAsia="仿宋" w:cs="仿宋"/>
                <w:b/>
                <w:bCs/>
                <w:sz w:val="24"/>
                <w:highlight w:val="none"/>
              </w:rPr>
            </w:pPr>
            <w:r>
              <w:rPr>
                <w:rFonts w:hint="eastAsia" w:ascii="仿宋" w:hAnsi="仿宋" w:eastAsia="仿宋" w:cs="仿宋"/>
                <w:b/>
                <w:bCs/>
                <w:sz w:val="24"/>
                <w:highlight w:val="none"/>
              </w:rPr>
              <w:t>本项目报价以船员成本费用单项报价及管理费</w:t>
            </w:r>
            <w:r>
              <w:rPr>
                <w:rFonts w:hint="eastAsia" w:ascii="仿宋" w:hAnsi="仿宋" w:eastAsia="仿宋" w:cs="仿宋"/>
                <w:b/>
                <w:sz w:val="24"/>
                <w:highlight w:val="none"/>
              </w:rPr>
              <w:t>系数</w:t>
            </w:r>
            <w:r>
              <w:rPr>
                <w:rFonts w:hint="eastAsia" w:ascii="仿宋" w:hAnsi="仿宋" w:eastAsia="仿宋" w:cs="仿宋"/>
                <w:b/>
                <w:bCs/>
                <w:sz w:val="24"/>
                <w:highlight w:val="none"/>
              </w:rPr>
              <w:t>计算为准，即本项目为单价包干项目。</w:t>
            </w:r>
          </w:p>
          <w:p>
            <w:pPr>
              <w:numPr>
                <w:ilvl w:val="0"/>
                <w:numId w:val="17"/>
              </w:numPr>
              <w:autoSpaceDE/>
              <w:autoSpaceDN/>
              <w:adjustRightInd/>
              <w:spacing w:line="240" w:lineRule="atLeast"/>
              <w:rPr>
                <w:rFonts w:ascii="仿宋" w:hAnsi="仿宋" w:eastAsia="仿宋" w:cs="仿宋"/>
                <w:b/>
                <w:bCs/>
                <w:sz w:val="24"/>
                <w:highlight w:val="none"/>
              </w:rPr>
            </w:pPr>
            <w:r>
              <w:rPr>
                <w:rFonts w:hint="eastAsia" w:ascii="仿宋" w:hAnsi="仿宋" w:eastAsia="仿宋" w:cs="仿宋"/>
                <w:b/>
                <w:bCs/>
                <w:sz w:val="24"/>
                <w:highlight w:val="none"/>
              </w:rPr>
              <w:t>本项目执行总金额最高不超过最高限价，即人民币1623.97万元。</w:t>
            </w:r>
          </w:p>
          <w:p>
            <w:pPr>
              <w:numPr>
                <w:ilvl w:val="0"/>
                <w:numId w:val="17"/>
              </w:numPr>
              <w:autoSpaceDE/>
              <w:autoSpaceDN/>
              <w:adjustRightInd/>
              <w:spacing w:line="240" w:lineRule="atLeast"/>
              <w:rPr>
                <w:rFonts w:ascii="仿宋" w:hAnsi="仿宋" w:eastAsia="仿宋" w:cs="仿宋"/>
                <w:b/>
                <w:bCs/>
                <w:sz w:val="24"/>
                <w:highlight w:val="none"/>
              </w:rPr>
            </w:pPr>
            <w:r>
              <w:rPr>
                <w:rFonts w:hint="eastAsia" w:ascii="仿宋" w:hAnsi="仿宋" w:eastAsia="仿宋" w:cs="仿宋"/>
                <w:b/>
                <w:bCs/>
                <w:sz w:val="24"/>
                <w:highlight w:val="none"/>
              </w:rPr>
              <w:t>本项目执行金额达到最高限价时，合同自动终止；或本项目执行时间到2023年12月31日时，无论执行金额是否达到最高限价，合同均自动终止。</w:t>
            </w:r>
          </w:p>
        </w:tc>
      </w:tr>
    </w:tbl>
    <w:p>
      <w:pPr>
        <w:pStyle w:val="160"/>
        <w:tabs>
          <w:tab w:val="left" w:pos="714"/>
          <w:tab w:val="left" w:pos="2340"/>
        </w:tabs>
        <w:spacing w:line="360" w:lineRule="auto"/>
        <w:rPr>
          <w:rFonts w:ascii="仿宋" w:hAnsi="仿宋" w:eastAsia="仿宋" w:cs="仿宋"/>
          <w:kern w:val="2"/>
          <w:sz w:val="24"/>
          <w:szCs w:val="24"/>
          <w:highlight w:val="none"/>
        </w:rPr>
      </w:pPr>
    </w:p>
    <w:p>
      <w:pPr>
        <w:pStyle w:val="2"/>
        <w:rPr>
          <w:highlight w:val="none"/>
        </w:rPr>
      </w:pPr>
    </w:p>
    <w:p>
      <w:pPr>
        <w:spacing w:beforeLines="100" w:afterLines="100" w:line="480" w:lineRule="exact"/>
        <w:ind w:firstLine="562" w:firstLineChars="200"/>
        <w:outlineLvl w:val="1"/>
        <w:rPr>
          <w:rFonts w:ascii="黑体" w:hAnsi="黑体" w:eastAsia="黑体" w:cs="黑体"/>
          <w:b/>
          <w:bCs/>
          <w:sz w:val="28"/>
          <w:szCs w:val="28"/>
          <w:highlight w:val="none"/>
          <w:lang w:val="zh-CN"/>
        </w:rPr>
      </w:pPr>
      <w:r>
        <w:rPr>
          <w:rFonts w:hint="eastAsia" w:ascii="黑体" w:hAnsi="黑体" w:eastAsia="黑体" w:cs="黑体"/>
          <w:b/>
          <w:bCs/>
          <w:sz w:val="28"/>
          <w:szCs w:val="28"/>
          <w:highlight w:val="none"/>
          <w:lang w:val="zh-CN"/>
        </w:rPr>
        <w:t>（</w:t>
      </w:r>
      <w:r>
        <w:rPr>
          <w:rFonts w:hint="eastAsia" w:ascii="黑体" w:hAnsi="黑体" w:eastAsia="黑体" w:cs="黑体"/>
          <w:b/>
          <w:bCs/>
          <w:sz w:val="28"/>
          <w:szCs w:val="28"/>
          <w:highlight w:val="none"/>
        </w:rPr>
        <w:t>八）</w:t>
      </w:r>
      <w:r>
        <w:rPr>
          <w:rFonts w:hint="eastAsia" w:ascii="黑体" w:hAnsi="黑体" w:eastAsia="黑体" w:cs="黑体"/>
          <w:b/>
          <w:bCs/>
          <w:sz w:val="28"/>
          <w:szCs w:val="28"/>
          <w:highlight w:val="none"/>
          <w:lang w:val="zh-CN"/>
        </w:rPr>
        <w:t>商务</w:t>
      </w:r>
      <w:r>
        <w:rPr>
          <w:rFonts w:hint="eastAsia" w:ascii="黑体" w:hAnsi="黑体" w:eastAsia="黑体" w:cs="黑体"/>
          <w:b/>
          <w:bCs/>
          <w:sz w:val="28"/>
          <w:szCs w:val="28"/>
          <w:highlight w:val="none"/>
        </w:rPr>
        <w:t>要求</w:t>
      </w:r>
    </w:p>
    <w:p>
      <w:pPr>
        <w:tabs>
          <w:tab w:val="left" w:pos="709"/>
        </w:tabs>
        <w:spacing w:beforeLines="50" w:afterLines="50" w:line="360" w:lineRule="auto"/>
        <w:outlineLvl w:val="2"/>
        <w:rPr>
          <w:rFonts w:ascii="仿宋" w:hAnsi="仿宋" w:eastAsia="仿宋" w:cs="仿宋"/>
          <w:b/>
          <w:bCs/>
          <w:sz w:val="28"/>
          <w:szCs w:val="28"/>
          <w:highlight w:val="none"/>
          <w:lang w:val="zh-CN"/>
        </w:rPr>
      </w:pPr>
      <w:r>
        <w:rPr>
          <w:rFonts w:hint="eastAsia" w:ascii="仿宋" w:hAnsi="仿宋" w:eastAsia="仿宋" w:cs="仿宋"/>
          <w:b/>
          <w:bCs/>
          <w:sz w:val="28"/>
          <w:szCs w:val="28"/>
          <w:highlight w:val="none"/>
        </w:rPr>
        <w:t>1.</w:t>
      </w:r>
      <w:r>
        <w:rPr>
          <w:rFonts w:hint="eastAsia" w:ascii="仿宋" w:hAnsi="仿宋" w:eastAsia="仿宋" w:cs="仿宋"/>
          <w:b/>
          <w:bCs/>
          <w:sz w:val="28"/>
          <w:szCs w:val="28"/>
          <w:highlight w:val="none"/>
          <w:lang w:val="zh-CN"/>
        </w:rPr>
        <w:t>其他要求</w:t>
      </w:r>
    </w:p>
    <w:p>
      <w:pPr>
        <w:pStyle w:val="160"/>
        <w:tabs>
          <w:tab w:val="left" w:pos="714"/>
          <w:tab w:val="left" w:pos="2340"/>
        </w:tabs>
        <w:spacing w:line="360" w:lineRule="auto"/>
        <w:ind w:left="105"/>
        <w:rPr>
          <w:rFonts w:ascii="仿宋" w:hAnsi="仿宋" w:eastAsia="仿宋" w:cs="仿宋"/>
          <w:kern w:val="2"/>
          <w:sz w:val="24"/>
          <w:szCs w:val="24"/>
          <w:highlight w:val="none"/>
        </w:rPr>
      </w:pPr>
      <w:r>
        <w:rPr>
          <w:rFonts w:hint="eastAsia" w:ascii="仿宋" w:hAnsi="仿宋" w:eastAsia="仿宋" w:cs="仿宋"/>
          <w:kern w:val="2"/>
          <w:sz w:val="24"/>
          <w:szCs w:val="24"/>
          <w:highlight w:val="none"/>
        </w:rPr>
        <w:t>1.1 中标人应提供所有员工的个人档案资料，经采购人确认后上岗。</w:t>
      </w:r>
    </w:p>
    <w:p>
      <w:pPr>
        <w:pStyle w:val="160"/>
        <w:tabs>
          <w:tab w:val="left" w:pos="714"/>
          <w:tab w:val="left" w:pos="2340"/>
        </w:tabs>
        <w:spacing w:line="360" w:lineRule="auto"/>
        <w:ind w:left="105"/>
        <w:rPr>
          <w:rFonts w:ascii="仿宋" w:hAnsi="仿宋" w:eastAsia="仿宋" w:cs="仿宋"/>
          <w:kern w:val="2"/>
          <w:sz w:val="24"/>
          <w:szCs w:val="24"/>
          <w:highlight w:val="none"/>
        </w:rPr>
      </w:pPr>
      <w:r>
        <w:rPr>
          <w:rFonts w:hint="eastAsia" w:ascii="仿宋" w:hAnsi="仿宋" w:eastAsia="仿宋" w:cs="仿宋"/>
          <w:kern w:val="2"/>
          <w:sz w:val="24"/>
          <w:szCs w:val="24"/>
          <w:highlight w:val="none"/>
        </w:rPr>
        <w:t>1.2 服务期内发生各种事故：包括安全、交通、防火和劳资纠纷等事件均由中标人承担相应责任。</w:t>
      </w:r>
    </w:p>
    <w:p>
      <w:pPr>
        <w:pStyle w:val="160"/>
        <w:tabs>
          <w:tab w:val="left" w:pos="714"/>
          <w:tab w:val="left" w:pos="2340"/>
        </w:tabs>
        <w:spacing w:line="360" w:lineRule="auto"/>
        <w:ind w:left="105"/>
        <w:rPr>
          <w:rFonts w:ascii="仿宋" w:hAnsi="仿宋" w:eastAsia="仿宋" w:cs="仿宋"/>
          <w:kern w:val="2"/>
          <w:sz w:val="24"/>
          <w:szCs w:val="24"/>
          <w:highlight w:val="none"/>
        </w:rPr>
      </w:pPr>
      <w:r>
        <w:rPr>
          <w:rFonts w:hint="eastAsia" w:ascii="仿宋" w:hAnsi="仿宋" w:eastAsia="仿宋" w:cs="仿宋"/>
          <w:kern w:val="2"/>
          <w:sz w:val="24"/>
          <w:szCs w:val="24"/>
          <w:highlight w:val="none"/>
        </w:rPr>
        <w:t>1.3 如因中标人引起的劳资纠纷问题，影响正常工作的，采购人有权另行聘请人员确保正常工作，所产生的费用由中标人承担。</w:t>
      </w:r>
    </w:p>
    <w:p>
      <w:pPr>
        <w:pStyle w:val="160"/>
        <w:tabs>
          <w:tab w:val="left" w:pos="714"/>
          <w:tab w:val="left" w:pos="2340"/>
        </w:tabs>
        <w:spacing w:line="360" w:lineRule="auto"/>
        <w:ind w:left="105"/>
        <w:rPr>
          <w:rFonts w:ascii="仿宋" w:hAnsi="仿宋" w:eastAsia="仿宋" w:cs="仿宋"/>
          <w:kern w:val="2"/>
          <w:sz w:val="24"/>
          <w:szCs w:val="24"/>
          <w:highlight w:val="none"/>
        </w:rPr>
      </w:pPr>
      <w:r>
        <w:rPr>
          <w:rFonts w:hint="eastAsia" w:ascii="仿宋" w:hAnsi="仿宋" w:eastAsia="仿宋" w:cs="仿宋"/>
          <w:kern w:val="2"/>
          <w:sz w:val="24"/>
          <w:szCs w:val="24"/>
          <w:highlight w:val="none"/>
        </w:rPr>
        <w:t>1.4 如采购人对中标人提供的人员不满意要求更换时，中标人必须及时且无条件的为采购人更换合格的人员。</w:t>
      </w:r>
    </w:p>
    <w:p>
      <w:pPr>
        <w:pStyle w:val="160"/>
        <w:tabs>
          <w:tab w:val="left" w:pos="714"/>
          <w:tab w:val="left" w:pos="2340"/>
        </w:tabs>
        <w:spacing w:line="360" w:lineRule="auto"/>
        <w:ind w:left="105"/>
        <w:rPr>
          <w:rFonts w:ascii="仿宋" w:hAnsi="仿宋" w:eastAsia="仿宋" w:cs="仿宋"/>
          <w:kern w:val="2"/>
          <w:sz w:val="24"/>
          <w:szCs w:val="24"/>
          <w:highlight w:val="none"/>
        </w:rPr>
      </w:pPr>
      <w:r>
        <w:rPr>
          <w:rFonts w:hint="eastAsia" w:ascii="仿宋" w:hAnsi="仿宋" w:eastAsia="仿宋" w:cs="仿宋"/>
          <w:kern w:val="2"/>
          <w:sz w:val="24"/>
          <w:szCs w:val="24"/>
          <w:highlight w:val="none"/>
        </w:rPr>
        <w:t>1.5 服务期内，采购人对中标人的工作质量、履约情况、社保购买情况、工作配合度等进行综合考核，并作为中标人履约合同的重要依据，该依据和合同具有同等法律效力。</w:t>
      </w:r>
    </w:p>
    <w:p>
      <w:pPr>
        <w:pStyle w:val="160"/>
        <w:tabs>
          <w:tab w:val="left" w:pos="714"/>
          <w:tab w:val="left" w:pos="2340"/>
        </w:tabs>
        <w:spacing w:line="360" w:lineRule="auto"/>
        <w:ind w:left="105"/>
        <w:rPr>
          <w:rFonts w:ascii="仿宋" w:hAnsi="仿宋" w:eastAsia="仿宋" w:cs="仿宋"/>
          <w:kern w:val="2"/>
          <w:sz w:val="24"/>
          <w:szCs w:val="24"/>
          <w:highlight w:val="none"/>
        </w:rPr>
      </w:pPr>
      <w:r>
        <w:rPr>
          <w:rFonts w:hint="eastAsia" w:ascii="仿宋" w:hAnsi="仿宋" w:eastAsia="仿宋" w:cs="仿宋"/>
          <w:kern w:val="2"/>
          <w:sz w:val="24"/>
          <w:szCs w:val="24"/>
          <w:highlight w:val="none"/>
        </w:rPr>
        <w:t>1.6 船员的工作由中标人按照采购人的要求进行分配、管理，对船员的奖惩、撤换或辞退等须经采购人同意认可。</w:t>
      </w:r>
    </w:p>
    <w:p>
      <w:pPr>
        <w:pStyle w:val="160"/>
        <w:tabs>
          <w:tab w:val="left" w:pos="714"/>
          <w:tab w:val="left" w:pos="2340"/>
        </w:tabs>
        <w:spacing w:line="360" w:lineRule="auto"/>
        <w:ind w:left="105"/>
        <w:rPr>
          <w:rFonts w:ascii="仿宋" w:hAnsi="仿宋" w:eastAsia="仿宋" w:cs="仿宋"/>
          <w:kern w:val="2"/>
          <w:sz w:val="24"/>
          <w:szCs w:val="24"/>
          <w:highlight w:val="none"/>
        </w:rPr>
      </w:pPr>
      <w:r>
        <w:rPr>
          <w:rFonts w:hint="eastAsia" w:ascii="仿宋" w:hAnsi="仿宋" w:eastAsia="仿宋" w:cs="仿宋"/>
          <w:kern w:val="2"/>
          <w:sz w:val="24"/>
          <w:szCs w:val="24"/>
          <w:highlight w:val="none"/>
        </w:rPr>
        <w:t>1.7 采购人有根据自身需要变更服务需求及数量的权利，如因国务院、部委或地方政府的政策调整、机构改革、采购人上级管理单位的规定或要求发生变化、管理权限变更和管理模式发生变化以及其他不可抗力因素导致采购人无法继续与中标人进行合作或合作范围及内容有所变化，或是其它任何原因导致采购人的船员服务需求（总人数或任何岗位人数）发生变化，经采购人书面通知中标人，则双方的合作按照采购人的书面通知做相应调整或提前终止（解除）合同，中标人对此无异议，不存在采购人违约及费用赔偿等问题。</w:t>
      </w:r>
    </w:p>
    <w:p>
      <w:pPr>
        <w:tabs>
          <w:tab w:val="left" w:pos="709"/>
        </w:tabs>
        <w:spacing w:beforeLines="50" w:afterLines="50" w:line="360" w:lineRule="auto"/>
        <w:outlineLvl w:val="2"/>
        <w:rPr>
          <w:rFonts w:ascii="仿宋" w:hAnsi="仿宋" w:eastAsia="仿宋" w:cs="仿宋"/>
          <w:b/>
          <w:bCs/>
          <w:sz w:val="28"/>
          <w:szCs w:val="28"/>
          <w:highlight w:val="none"/>
          <w:lang w:val="zh-CN"/>
        </w:rPr>
      </w:pPr>
      <w:r>
        <w:rPr>
          <w:rFonts w:hint="eastAsia" w:ascii="仿宋" w:hAnsi="仿宋" w:eastAsia="仿宋" w:cs="仿宋"/>
          <w:b/>
          <w:bCs/>
          <w:sz w:val="28"/>
          <w:szCs w:val="28"/>
          <w:highlight w:val="none"/>
        </w:rPr>
        <w:t>2.</w:t>
      </w:r>
      <w:r>
        <w:rPr>
          <w:rFonts w:hint="eastAsia" w:ascii="仿宋" w:hAnsi="仿宋" w:eastAsia="仿宋" w:cs="仿宋"/>
          <w:b/>
          <w:bCs/>
          <w:sz w:val="28"/>
          <w:szCs w:val="28"/>
          <w:highlight w:val="none"/>
          <w:lang w:val="zh-CN"/>
        </w:rPr>
        <w:t>违约责任</w:t>
      </w:r>
    </w:p>
    <w:p>
      <w:pPr>
        <w:pStyle w:val="160"/>
        <w:tabs>
          <w:tab w:val="left" w:pos="714"/>
          <w:tab w:val="left" w:pos="2340"/>
        </w:tabs>
        <w:spacing w:line="360" w:lineRule="auto"/>
        <w:ind w:left="105"/>
        <w:rPr>
          <w:rFonts w:ascii="仿宋" w:hAnsi="仿宋" w:eastAsia="仿宋" w:cs="仿宋"/>
          <w:kern w:val="2"/>
          <w:sz w:val="24"/>
          <w:szCs w:val="24"/>
          <w:highlight w:val="none"/>
        </w:rPr>
      </w:pPr>
      <w:r>
        <w:rPr>
          <w:rFonts w:hint="eastAsia" w:ascii="仿宋" w:hAnsi="仿宋" w:eastAsia="仿宋" w:cs="仿宋"/>
          <w:kern w:val="2"/>
          <w:sz w:val="24"/>
          <w:szCs w:val="24"/>
          <w:highlight w:val="none"/>
        </w:rPr>
        <w:t>2.1  中标人不得将承包项目发包或转包，否则，视为中标人违约，采购人有权解除合同并将相关情况上报同级政府采购监督管理部门和有关部门。</w:t>
      </w:r>
    </w:p>
    <w:p>
      <w:pPr>
        <w:pStyle w:val="160"/>
        <w:tabs>
          <w:tab w:val="left" w:pos="714"/>
          <w:tab w:val="left" w:pos="2340"/>
        </w:tabs>
        <w:spacing w:line="360" w:lineRule="auto"/>
        <w:ind w:left="105"/>
        <w:rPr>
          <w:rFonts w:ascii="仿宋" w:hAnsi="仿宋" w:eastAsia="仿宋" w:cs="仿宋"/>
          <w:kern w:val="2"/>
          <w:sz w:val="24"/>
          <w:szCs w:val="24"/>
          <w:highlight w:val="none"/>
        </w:rPr>
      </w:pPr>
      <w:r>
        <w:rPr>
          <w:rFonts w:hint="eastAsia" w:ascii="仿宋" w:hAnsi="仿宋" w:eastAsia="仿宋" w:cs="仿宋"/>
          <w:kern w:val="2"/>
          <w:sz w:val="24"/>
          <w:szCs w:val="24"/>
          <w:highlight w:val="none"/>
        </w:rPr>
        <w:t>2.2  中标人随意更换船员影响采购人工作的，视为中标人违约，采购人有权解除合同并将相关情况上报同级政府采购监督管理部门和有关部门。</w:t>
      </w:r>
    </w:p>
    <w:p>
      <w:pPr>
        <w:pStyle w:val="160"/>
        <w:tabs>
          <w:tab w:val="left" w:pos="714"/>
          <w:tab w:val="left" w:pos="2340"/>
        </w:tabs>
        <w:spacing w:line="360" w:lineRule="auto"/>
        <w:ind w:left="105"/>
        <w:rPr>
          <w:rFonts w:ascii="仿宋" w:hAnsi="仿宋" w:eastAsia="仿宋" w:cs="仿宋"/>
          <w:kern w:val="2"/>
          <w:sz w:val="24"/>
          <w:szCs w:val="24"/>
          <w:highlight w:val="none"/>
        </w:rPr>
      </w:pPr>
      <w:r>
        <w:rPr>
          <w:rFonts w:hint="eastAsia" w:ascii="仿宋" w:hAnsi="仿宋" w:eastAsia="仿宋" w:cs="仿宋"/>
          <w:kern w:val="2"/>
          <w:sz w:val="24"/>
          <w:szCs w:val="24"/>
          <w:highlight w:val="none"/>
        </w:rPr>
        <w:t>2.3 中标人不得拖欠其船员工资、不按规定为船员缴纳社会保险费用、住房公积金等有关薪酬，否则，视为中标人违约，采购人有权扣除相应管理费，且有权解除合同并将相关情况上报同级政府采购监督管理部门和有关部门。</w:t>
      </w:r>
    </w:p>
    <w:p>
      <w:pPr>
        <w:pStyle w:val="160"/>
        <w:tabs>
          <w:tab w:val="left" w:pos="714"/>
          <w:tab w:val="left" w:pos="2340"/>
        </w:tabs>
        <w:spacing w:line="360" w:lineRule="auto"/>
        <w:ind w:left="105"/>
        <w:rPr>
          <w:rFonts w:ascii="仿宋" w:hAnsi="仿宋" w:eastAsia="仿宋" w:cs="仿宋"/>
          <w:kern w:val="2"/>
          <w:sz w:val="24"/>
          <w:szCs w:val="24"/>
          <w:highlight w:val="none"/>
        </w:rPr>
      </w:pPr>
      <w:r>
        <w:rPr>
          <w:rFonts w:hint="eastAsia" w:ascii="仿宋" w:hAnsi="仿宋" w:eastAsia="仿宋" w:cs="仿宋"/>
          <w:kern w:val="2"/>
          <w:sz w:val="24"/>
          <w:szCs w:val="24"/>
          <w:highlight w:val="none"/>
        </w:rPr>
        <w:t>2.4  中标人没有依约为采购人船舶配备足量的适格船员以致影响采购人船舶的正常作业时，视为中标人违约，采购人有权扣除相应管理费，且有权解除合同并将相关情况上报同级政府采购监督管理部门和有关部门。</w:t>
      </w:r>
    </w:p>
    <w:p>
      <w:pPr>
        <w:pStyle w:val="160"/>
        <w:tabs>
          <w:tab w:val="left" w:pos="714"/>
          <w:tab w:val="left" w:pos="2340"/>
        </w:tabs>
        <w:spacing w:line="360" w:lineRule="auto"/>
        <w:ind w:left="105"/>
        <w:rPr>
          <w:rFonts w:ascii="仿宋" w:hAnsi="仿宋" w:eastAsia="仿宋" w:cs="仿宋"/>
          <w:kern w:val="2"/>
          <w:sz w:val="24"/>
          <w:szCs w:val="24"/>
          <w:highlight w:val="none"/>
        </w:rPr>
      </w:pPr>
      <w:r>
        <w:rPr>
          <w:rFonts w:hint="eastAsia" w:ascii="仿宋" w:hAnsi="仿宋" w:eastAsia="仿宋" w:cs="仿宋"/>
          <w:kern w:val="2"/>
          <w:sz w:val="24"/>
          <w:szCs w:val="24"/>
          <w:highlight w:val="none"/>
        </w:rPr>
        <w:t>2.5  由于中标人或中标人船员工作失误的原因，造成采购人的经济损失，所产生的损失及后果由中标人承担。</w:t>
      </w:r>
    </w:p>
    <w:p>
      <w:pPr>
        <w:pStyle w:val="160"/>
        <w:tabs>
          <w:tab w:val="left" w:pos="714"/>
          <w:tab w:val="left" w:pos="2340"/>
        </w:tabs>
        <w:spacing w:line="360" w:lineRule="auto"/>
        <w:ind w:left="105"/>
        <w:rPr>
          <w:rFonts w:ascii="仿宋" w:hAnsi="仿宋" w:eastAsia="仿宋" w:cs="仿宋"/>
          <w:kern w:val="2"/>
          <w:sz w:val="24"/>
          <w:szCs w:val="24"/>
          <w:highlight w:val="none"/>
        </w:rPr>
      </w:pPr>
      <w:r>
        <w:rPr>
          <w:rFonts w:hint="eastAsia" w:ascii="仿宋" w:hAnsi="仿宋" w:eastAsia="仿宋" w:cs="仿宋"/>
          <w:kern w:val="2"/>
          <w:sz w:val="24"/>
          <w:szCs w:val="24"/>
          <w:highlight w:val="none"/>
        </w:rPr>
        <w:t>2.6  服务期内，如采购人发生机构改革或财政拨款无法到位等政策原因造成费用不能及时支付时，中标人不追究采购人责任。</w:t>
      </w:r>
    </w:p>
    <w:p>
      <w:pPr>
        <w:pStyle w:val="160"/>
        <w:tabs>
          <w:tab w:val="left" w:pos="714"/>
          <w:tab w:val="left" w:pos="2340"/>
        </w:tabs>
        <w:spacing w:line="360" w:lineRule="auto"/>
        <w:ind w:left="105"/>
        <w:rPr>
          <w:rFonts w:ascii="仿宋" w:hAnsi="仿宋" w:eastAsia="仿宋" w:cs="仿宋"/>
          <w:kern w:val="2"/>
          <w:sz w:val="24"/>
          <w:szCs w:val="24"/>
          <w:highlight w:val="none"/>
        </w:rPr>
      </w:pPr>
      <w:r>
        <w:rPr>
          <w:rFonts w:hint="eastAsia" w:ascii="仿宋" w:hAnsi="仿宋" w:eastAsia="仿宋" w:cs="仿宋"/>
          <w:kern w:val="2"/>
          <w:sz w:val="24"/>
          <w:szCs w:val="24"/>
          <w:highlight w:val="none"/>
        </w:rPr>
        <w:t>2.7  中标人有义务告知船员须遵守本合同、本项目招标文件及投标文件中规定的船员要求，应教育船员遵守采购人的规章制度，中标人船员违反本合同、本项目招标文件及投标文件中规定的船员要求，违反采购人的规章制度，造成采购人经济损失的，视为中标人违约。</w:t>
      </w:r>
    </w:p>
    <w:p>
      <w:pPr>
        <w:tabs>
          <w:tab w:val="left" w:pos="709"/>
        </w:tabs>
        <w:spacing w:beforeLines="50" w:afterLines="50"/>
        <w:outlineLvl w:val="2"/>
        <w:rPr>
          <w:rFonts w:ascii="仿宋" w:hAnsi="仿宋" w:eastAsia="仿宋" w:cs="仿宋"/>
          <w:sz w:val="24"/>
          <w:highlight w:val="none"/>
        </w:rPr>
      </w:pPr>
      <w:r>
        <w:rPr>
          <w:rFonts w:hint="eastAsia" w:ascii="仿宋" w:hAnsi="仿宋" w:eastAsia="仿宋" w:cs="仿宋"/>
          <w:b/>
          <w:bCs/>
          <w:sz w:val="28"/>
          <w:szCs w:val="28"/>
          <w:highlight w:val="none"/>
        </w:rPr>
        <w:t>3.</w:t>
      </w:r>
      <w:r>
        <w:rPr>
          <w:rFonts w:hint="eastAsia" w:ascii="仿宋" w:hAnsi="仿宋" w:eastAsia="仿宋" w:cs="仿宋"/>
          <w:b/>
          <w:bCs/>
          <w:sz w:val="28"/>
          <w:szCs w:val="28"/>
          <w:highlight w:val="none"/>
          <w:lang w:val="zh-CN"/>
        </w:rPr>
        <w:t>付款方式</w:t>
      </w:r>
    </w:p>
    <w:p>
      <w:pPr>
        <w:pStyle w:val="160"/>
        <w:tabs>
          <w:tab w:val="left" w:pos="714"/>
          <w:tab w:val="left" w:pos="2340"/>
        </w:tabs>
        <w:spacing w:line="360" w:lineRule="auto"/>
        <w:ind w:left="105"/>
        <w:rPr>
          <w:rFonts w:ascii="仿宋" w:hAnsi="仿宋" w:eastAsia="仿宋" w:cs="仿宋"/>
          <w:kern w:val="2"/>
          <w:sz w:val="24"/>
          <w:szCs w:val="24"/>
          <w:highlight w:val="none"/>
        </w:rPr>
      </w:pPr>
      <w:r>
        <w:rPr>
          <w:rFonts w:hint="eastAsia" w:ascii="仿宋" w:hAnsi="仿宋" w:eastAsia="仿宋" w:cs="仿宋"/>
          <w:kern w:val="2"/>
          <w:sz w:val="24"/>
          <w:szCs w:val="24"/>
          <w:highlight w:val="none"/>
        </w:rPr>
        <w:t>3.1 结算票据：</w:t>
      </w:r>
    </w:p>
    <w:p>
      <w:pPr>
        <w:pStyle w:val="160"/>
        <w:tabs>
          <w:tab w:val="left" w:pos="714"/>
          <w:tab w:val="left" w:pos="2340"/>
        </w:tabs>
        <w:spacing w:line="360" w:lineRule="auto"/>
        <w:ind w:left="105"/>
        <w:rPr>
          <w:rFonts w:ascii="仿宋" w:hAnsi="仿宋" w:eastAsia="仿宋" w:cs="仿宋"/>
          <w:kern w:val="2"/>
          <w:sz w:val="24"/>
          <w:szCs w:val="24"/>
          <w:highlight w:val="none"/>
        </w:rPr>
      </w:pPr>
      <w:r>
        <w:rPr>
          <w:rFonts w:hint="eastAsia" w:ascii="仿宋" w:hAnsi="仿宋" w:eastAsia="仿宋" w:cs="仿宋"/>
          <w:kern w:val="2"/>
          <w:sz w:val="24"/>
          <w:szCs w:val="24"/>
          <w:highlight w:val="none"/>
        </w:rPr>
        <w:t>（1）中标人收取采购人的服务费用（含税费）应向采购人提供等额正式发票；</w:t>
      </w:r>
    </w:p>
    <w:p>
      <w:pPr>
        <w:pStyle w:val="160"/>
        <w:tabs>
          <w:tab w:val="left" w:pos="714"/>
          <w:tab w:val="left" w:pos="2340"/>
        </w:tabs>
        <w:spacing w:line="360" w:lineRule="auto"/>
        <w:ind w:left="105"/>
        <w:rPr>
          <w:rFonts w:ascii="仿宋" w:hAnsi="仿宋" w:eastAsia="仿宋" w:cs="仿宋"/>
          <w:kern w:val="2"/>
          <w:sz w:val="24"/>
          <w:szCs w:val="24"/>
          <w:highlight w:val="none"/>
        </w:rPr>
      </w:pPr>
      <w:r>
        <w:rPr>
          <w:rFonts w:hint="eastAsia" w:ascii="仿宋" w:hAnsi="仿宋" w:eastAsia="仿宋" w:cs="仿宋"/>
          <w:kern w:val="2"/>
          <w:sz w:val="24"/>
          <w:szCs w:val="24"/>
          <w:highlight w:val="none"/>
        </w:rPr>
        <w:t>（2）中标人发放的船员工资，应向采购人提供工资发放凭据；</w:t>
      </w:r>
    </w:p>
    <w:p>
      <w:pPr>
        <w:pStyle w:val="160"/>
        <w:tabs>
          <w:tab w:val="left" w:pos="714"/>
          <w:tab w:val="left" w:pos="2340"/>
        </w:tabs>
        <w:spacing w:line="360" w:lineRule="auto"/>
        <w:ind w:left="105"/>
        <w:rPr>
          <w:rFonts w:ascii="仿宋" w:hAnsi="仿宋" w:eastAsia="仿宋" w:cs="仿宋"/>
          <w:kern w:val="2"/>
          <w:sz w:val="24"/>
          <w:szCs w:val="24"/>
          <w:highlight w:val="none"/>
        </w:rPr>
      </w:pPr>
      <w:r>
        <w:rPr>
          <w:rFonts w:hint="eastAsia" w:ascii="仿宋" w:hAnsi="仿宋" w:eastAsia="仿宋" w:cs="仿宋"/>
          <w:kern w:val="2"/>
          <w:sz w:val="24"/>
          <w:szCs w:val="24"/>
          <w:highlight w:val="none"/>
        </w:rPr>
        <w:t>（3）中标人代扣的船员社保费、公积金以及其他费用，应向采购人提供代扣代缴存的凭据。</w:t>
      </w:r>
    </w:p>
    <w:p>
      <w:pPr>
        <w:pStyle w:val="160"/>
        <w:tabs>
          <w:tab w:val="left" w:pos="714"/>
          <w:tab w:val="left" w:pos="2340"/>
        </w:tabs>
        <w:spacing w:line="360" w:lineRule="auto"/>
        <w:ind w:left="105"/>
        <w:rPr>
          <w:rFonts w:ascii="仿宋" w:hAnsi="仿宋" w:eastAsia="仿宋" w:cs="仿宋"/>
          <w:kern w:val="2"/>
          <w:sz w:val="24"/>
          <w:szCs w:val="24"/>
          <w:highlight w:val="none"/>
        </w:rPr>
      </w:pPr>
      <w:r>
        <w:rPr>
          <w:rFonts w:hint="eastAsia" w:ascii="仿宋" w:hAnsi="仿宋" w:eastAsia="仿宋" w:cs="仿宋"/>
          <w:kern w:val="2"/>
          <w:sz w:val="24"/>
          <w:szCs w:val="24"/>
          <w:highlight w:val="none"/>
        </w:rPr>
        <w:t>3.2支付方式</w:t>
      </w:r>
    </w:p>
    <w:p>
      <w:pPr>
        <w:pStyle w:val="160"/>
        <w:tabs>
          <w:tab w:val="left" w:pos="714"/>
          <w:tab w:val="left" w:pos="2340"/>
        </w:tabs>
        <w:spacing w:line="360" w:lineRule="auto"/>
        <w:ind w:left="105"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中标人根据采购人确认的考核方案每月5日前完成上月船员考核（包括</w:t>
      </w:r>
      <w:r>
        <w:rPr>
          <w:rFonts w:hint="eastAsia" w:ascii="仿宋" w:hAnsi="仿宋" w:eastAsia="仿宋" w:cs="仿宋"/>
          <w:sz w:val="24"/>
          <w:szCs w:val="24"/>
          <w:highlight w:val="none"/>
        </w:rPr>
        <w:t>船舶实际配员</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船员</w:t>
      </w:r>
      <w:r>
        <w:rPr>
          <w:rFonts w:hint="eastAsia" w:ascii="仿宋" w:hAnsi="仿宋" w:eastAsia="仿宋" w:cs="仿宋"/>
          <w:sz w:val="24"/>
          <w:szCs w:val="24"/>
          <w:highlight w:val="none"/>
          <w:lang w:val="en-US" w:eastAsia="zh-CN"/>
        </w:rPr>
        <w:t>考勤），</w:t>
      </w:r>
      <w:r>
        <w:rPr>
          <w:rFonts w:hint="eastAsia" w:ascii="仿宋" w:hAnsi="仿宋" w:eastAsia="仿宋" w:cs="仿宋"/>
          <w:sz w:val="24"/>
          <w:szCs w:val="24"/>
          <w:highlight w:val="none"/>
        </w:rPr>
        <w:t>每月1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日前</w:t>
      </w:r>
      <w:r>
        <w:rPr>
          <w:rFonts w:hint="eastAsia" w:ascii="仿宋" w:hAnsi="仿宋" w:eastAsia="仿宋" w:cs="仿宋"/>
          <w:sz w:val="24"/>
          <w:szCs w:val="24"/>
          <w:highlight w:val="none"/>
          <w:lang w:val="en-US" w:eastAsia="zh-CN"/>
        </w:rPr>
        <w:t>根据考核结果和合同要求编制</w:t>
      </w:r>
      <w:r>
        <w:rPr>
          <w:rFonts w:hint="eastAsia" w:ascii="仿宋" w:hAnsi="仿宋" w:eastAsia="仿宋" w:cs="仿宋"/>
          <w:sz w:val="24"/>
          <w:szCs w:val="24"/>
          <w:highlight w:val="none"/>
        </w:rPr>
        <w:t>上月《船员工资费用明细表》，</w:t>
      </w:r>
      <w:r>
        <w:rPr>
          <w:rFonts w:hint="eastAsia" w:ascii="仿宋" w:hAnsi="仿宋" w:eastAsia="仿宋" w:cs="仿宋"/>
          <w:sz w:val="24"/>
          <w:szCs w:val="24"/>
          <w:highlight w:val="none"/>
          <w:lang w:val="en-US" w:eastAsia="zh-CN"/>
        </w:rPr>
        <w:t>并</w:t>
      </w:r>
      <w:r>
        <w:rPr>
          <w:rFonts w:hint="eastAsia" w:ascii="仿宋" w:hAnsi="仿宋" w:eastAsia="仿宋" w:cs="仿宋"/>
          <w:sz w:val="24"/>
          <w:szCs w:val="24"/>
          <w:highlight w:val="none"/>
        </w:rPr>
        <w:t>提交</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审核</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审核</w:t>
      </w:r>
      <w:r>
        <w:rPr>
          <w:rFonts w:hint="eastAsia" w:ascii="仿宋" w:hAnsi="仿宋" w:eastAsia="仿宋" w:cs="仿宋"/>
          <w:sz w:val="24"/>
          <w:szCs w:val="24"/>
          <w:highlight w:val="none"/>
        </w:rPr>
        <w:t>无异议后，</w:t>
      </w:r>
      <w:r>
        <w:rPr>
          <w:rFonts w:hint="eastAsia" w:ascii="仿宋" w:hAnsi="仿宋" w:eastAsia="仿宋" w:cs="仿宋"/>
          <w:sz w:val="24"/>
          <w:szCs w:val="24"/>
          <w:highlight w:val="none"/>
          <w:lang w:val="en-US" w:eastAsia="zh-CN"/>
        </w:rPr>
        <w:t>中标人</w:t>
      </w:r>
      <w:r>
        <w:rPr>
          <w:rFonts w:hint="eastAsia" w:ascii="仿宋" w:hAnsi="仿宋" w:eastAsia="仿宋" w:cs="仿宋"/>
          <w:sz w:val="24"/>
          <w:szCs w:val="24"/>
          <w:highlight w:val="none"/>
        </w:rPr>
        <w:t>按明细表在3个</w:t>
      </w:r>
      <w:r>
        <w:rPr>
          <w:rFonts w:hint="eastAsia" w:ascii="仿宋" w:hAnsi="仿宋" w:eastAsia="仿宋" w:cs="仿宋"/>
          <w:sz w:val="24"/>
          <w:szCs w:val="24"/>
          <w:highlight w:val="none"/>
          <w:lang w:val="en-US" w:eastAsia="zh-CN"/>
        </w:rPr>
        <w:t>工作</w:t>
      </w:r>
      <w:r>
        <w:rPr>
          <w:rFonts w:hint="eastAsia" w:ascii="仿宋" w:hAnsi="仿宋" w:eastAsia="仿宋" w:cs="仿宋"/>
          <w:sz w:val="24"/>
          <w:szCs w:val="24"/>
          <w:highlight w:val="none"/>
        </w:rPr>
        <w:t>日内发放</w:t>
      </w:r>
      <w:r>
        <w:rPr>
          <w:rFonts w:hint="eastAsia" w:ascii="仿宋" w:hAnsi="仿宋" w:eastAsia="仿宋" w:cs="仿宋"/>
          <w:sz w:val="24"/>
          <w:szCs w:val="24"/>
          <w:highlight w:val="none"/>
          <w:lang w:val="en-US" w:eastAsia="zh-CN"/>
        </w:rPr>
        <w:t>上月</w:t>
      </w:r>
      <w:r>
        <w:rPr>
          <w:rFonts w:hint="eastAsia" w:ascii="仿宋" w:hAnsi="仿宋" w:eastAsia="仿宋" w:cs="仿宋"/>
          <w:sz w:val="24"/>
          <w:szCs w:val="24"/>
          <w:highlight w:val="none"/>
        </w:rPr>
        <w:t>船员工资。工资发放后</w:t>
      </w:r>
      <w:r>
        <w:rPr>
          <w:rFonts w:hint="eastAsia" w:ascii="仿宋" w:hAnsi="仿宋" w:eastAsia="仿宋" w:cs="仿宋"/>
          <w:sz w:val="24"/>
          <w:szCs w:val="24"/>
          <w:highlight w:val="none"/>
          <w:lang w:val="en-US" w:eastAsia="zh-CN"/>
        </w:rPr>
        <w:t>中标人</w:t>
      </w:r>
      <w:r>
        <w:rPr>
          <w:rFonts w:hint="eastAsia" w:ascii="仿宋" w:hAnsi="仿宋" w:eastAsia="仿宋" w:cs="仿宋"/>
          <w:sz w:val="24"/>
          <w:szCs w:val="24"/>
          <w:highlight w:val="none"/>
        </w:rPr>
        <w:t>按</w:t>
      </w:r>
      <w:r>
        <w:rPr>
          <w:rFonts w:hint="eastAsia" w:ascii="仿宋" w:hAnsi="仿宋" w:eastAsia="仿宋" w:cs="仿宋"/>
          <w:sz w:val="24"/>
          <w:szCs w:val="24"/>
          <w:highlight w:val="none"/>
          <w:lang w:val="en-US" w:eastAsia="zh-CN"/>
        </w:rPr>
        <w:t>上述</w:t>
      </w:r>
      <w:r>
        <w:rPr>
          <w:rFonts w:hint="eastAsia" w:ascii="仿宋" w:hAnsi="仿宋" w:eastAsia="仿宋" w:cs="仿宋"/>
          <w:sz w:val="24"/>
          <w:szCs w:val="24"/>
          <w:highlight w:val="none"/>
        </w:rPr>
        <w:t xml:space="preserve"> </w:t>
      </w:r>
      <w:r>
        <w:rPr>
          <w:rFonts w:hint="eastAsia" w:ascii="仿宋" w:hAnsi="仿宋" w:eastAsia="仿宋" w:cs="仿宋"/>
          <w:b/>
          <w:bCs/>
          <w:sz w:val="24"/>
          <w:szCs w:val="24"/>
          <w:highlight w:val="none"/>
          <w:lang w:val="en-US" w:eastAsia="zh-CN"/>
        </w:rPr>
        <w:t>3.1</w:t>
      </w:r>
      <w:r>
        <w:rPr>
          <w:rFonts w:hint="eastAsia" w:ascii="仿宋" w:hAnsi="仿宋" w:eastAsia="仿宋" w:cs="仿宋"/>
          <w:b/>
          <w:bCs/>
          <w:sz w:val="24"/>
          <w:szCs w:val="24"/>
          <w:highlight w:val="none"/>
        </w:rPr>
        <w:t>、结算票据</w:t>
      </w:r>
      <w:r>
        <w:rPr>
          <w:rFonts w:hint="eastAsia" w:ascii="仿宋" w:hAnsi="仿宋" w:eastAsia="仿宋" w:cs="仿宋"/>
          <w:sz w:val="24"/>
          <w:szCs w:val="24"/>
          <w:highlight w:val="none"/>
        </w:rPr>
        <w:t xml:space="preserve"> 将工资发放凭据、发票等结算票据提供</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于收到结算票据后5个工作日内将费用汇入</w:t>
      </w:r>
      <w:r>
        <w:rPr>
          <w:rFonts w:hint="eastAsia" w:ascii="仿宋" w:hAnsi="仿宋" w:eastAsia="仿宋" w:cs="仿宋"/>
          <w:sz w:val="24"/>
          <w:szCs w:val="24"/>
          <w:highlight w:val="none"/>
          <w:lang w:val="en-US" w:eastAsia="zh-CN"/>
        </w:rPr>
        <w:t>中标人</w:t>
      </w:r>
      <w:r>
        <w:rPr>
          <w:rFonts w:hint="eastAsia" w:ascii="仿宋" w:hAnsi="仿宋" w:eastAsia="仿宋" w:cs="仿宋"/>
          <w:sz w:val="24"/>
          <w:szCs w:val="24"/>
          <w:highlight w:val="none"/>
        </w:rPr>
        <w:t>指定账号。（上述时间节点如遇节假日则相应顺延）</w:t>
      </w:r>
    </w:p>
    <w:p>
      <w:pPr>
        <w:pStyle w:val="160"/>
        <w:tabs>
          <w:tab w:val="left" w:pos="714"/>
          <w:tab w:val="left" w:pos="2340"/>
        </w:tabs>
        <w:spacing w:line="360" w:lineRule="auto"/>
        <w:ind w:left="105"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船员工资费用明细表应包括以下项目： </w:t>
      </w:r>
    </w:p>
    <w:p>
      <w:pPr>
        <w:pStyle w:val="160"/>
        <w:tabs>
          <w:tab w:val="left" w:pos="714"/>
          <w:tab w:val="left" w:pos="2340"/>
        </w:tabs>
        <w:spacing w:line="360" w:lineRule="auto"/>
        <w:ind w:left="420" w:leftChars="200"/>
        <w:rPr>
          <w:rFonts w:ascii="仿宋" w:hAnsi="仿宋" w:eastAsia="仿宋" w:cs="仿宋"/>
          <w:sz w:val="24"/>
          <w:szCs w:val="24"/>
          <w:highlight w:val="none"/>
        </w:rPr>
      </w:pPr>
      <w:r>
        <w:rPr>
          <w:rFonts w:hint="eastAsia" w:ascii="仿宋" w:hAnsi="仿宋" w:eastAsia="仿宋" w:cs="仿宋"/>
          <w:sz w:val="24"/>
          <w:szCs w:val="24"/>
          <w:highlight w:val="none"/>
        </w:rPr>
        <w:t xml:space="preserve">（1）船员基本工资； </w:t>
      </w:r>
    </w:p>
    <w:p>
      <w:pPr>
        <w:pStyle w:val="160"/>
        <w:tabs>
          <w:tab w:val="left" w:pos="714"/>
          <w:tab w:val="left" w:pos="2340"/>
        </w:tabs>
        <w:spacing w:line="360" w:lineRule="auto"/>
        <w:ind w:left="420" w:leftChars="200"/>
        <w:rPr>
          <w:rFonts w:ascii="仿宋" w:hAnsi="仿宋" w:eastAsia="仿宋" w:cs="仿宋"/>
          <w:sz w:val="24"/>
          <w:szCs w:val="24"/>
          <w:highlight w:val="none"/>
        </w:rPr>
      </w:pPr>
      <w:r>
        <w:rPr>
          <w:rFonts w:hint="eastAsia" w:ascii="仿宋" w:hAnsi="仿宋" w:eastAsia="仿宋" w:cs="仿宋"/>
          <w:sz w:val="24"/>
          <w:szCs w:val="24"/>
          <w:highlight w:val="none"/>
        </w:rPr>
        <w:t xml:space="preserve">（2）船员岗位绩效工资；  </w:t>
      </w:r>
    </w:p>
    <w:p>
      <w:pPr>
        <w:pStyle w:val="160"/>
        <w:tabs>
          <w:tab w:val="left" w:pos="714"/>
          <w:tab w:val="left" w:pos="2340"/>
        </w:tabs>
        <w:spacing w:line="360" w:lineRule="auto"/>
        <w:ind w:left="420" w:leftChars="200"/>
        <w:rPr>
          <w:rFonts w:ascii="仿宋" w:hAnsi="仿宋" w:eastAsia="仿宋" w:cs="仿宋"/>
          <w:sz w:val="24"/>
          <w:szCs w:val="24"/>
          <w:highlight w:val="none"/>
        </w:rPr>
      </w:pPr>
      <w:r>
        <w:rPr>
          <w:rFonts w:hint="eastAsia" w:ascii="仿宋" w:hAnsi="仿宋" w:eastAsia="仿宋" w:cs="仿宋"/>
          <w:sz w:val="24"/>
          <w:szCs w:val="24"/>
          <w:highlight w:val="none"/>
        </w:rPr>
        <w:t xml:space="preserve">（3）社会保险费； </w:t>
      </w:r>
    </w:p>
    <w:p>
      <w:pPr>
        <w:pStyle w:val="160"/>
        <w:tabs>
          <w:tab w:val="left" w:pos="714"/>
          <w:tab w:val="left" w:pos="2340"/>
        </w:tabs>
        <w:spacing w:line="360" w:lineRule="auto"/>
        <w:ind w:left="420" w:leftChars="200"/>
        <w:rPr>
          <w:rFonts w:ascii="仿宋" w:hAnsi="仿宋" w:eastAsia="仿宋" w:cs="仿宋"/>
          <w:sz w:val="24"/>
          <w:szCs w:val="24"/>
          <w:highlight w:val="none"/>
        </w:rPr>
      </w:pPr>
      <w:r>
        <w:rPr>
          <w:rFonts w:hint="eastAsia" w:ascii="仿宋" w:hAnsi="仿宋" w:eastAsia="仿宋" w:cs="仿宋"/>
          <w:sz w:val="24"/>
          <w:szCs w:val="24"/>
          <w:highlight w:val="none"/>
        </w:rPr>
        <w:t xml:space="preserve">（4）商业保险费； </w:t>
      </w:r>
    </w:p>
    <w:p>
      <w:pPr>
        <w:pStyle w:val="160"/>
        <w:tabs>
          <w:tab w:val="left" w:pos="714"/>
          <w:tab w:val="left" w:pos="2340"/>
        </w:tabs>
        <w:spacing w:line="360" w:lineRule="auto"/>
        <w:ind w:left="420" w:leftChars="200"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（5）船员管理费。</w:t>
      </w:r>
    </w:p>
    <w:p>
      <w:pPr>
        <w:pStyle w:val="160"/>
        <w:tabs>
          <w:tab w:val="left" w:pos="714"/>
          <w:tab w:val="left" w:pos="2340"/>
        </w:tabs>
        <w:spacing w:line="360" w:lineRule="auto"/>
        <w:ind w:left="105"/>
        <w:rPr>
          <w:rFonts w:ascii="仿宋" w:hAnsi="仿宋" w:eastAsia="仿宋" w:cs="仿宋"/>
          <w:kern w:val="2"/>
          <w:sz w:val="24"/>
          <w:szCs w:val="24"/>
          <w:highlight w:val="none"/>
        </w:rPr>
      </w:pPr>
      <w:r>
        <w:rPr>
          <w:rFonts w:hint="eastAsia" w:ascii="仿宋" w:hAnsi="仿宋" w:eastAsia="仿宋" w:cs="仿宋"/>
          <w:kern w:val="2"/>
          <w:sz w:val="24"/>
          <w:szCs w:val="24"/>
          <w:highlight w:val="none"/>
        </w:rPr>
        <w:t>3.3 因采购人使用的是财政资金，前款规定的采购人付款时间为采购人向政府财政支付部门提出办理财政支付申请手续的时间（不含政府财政支付部门审核拨付的时间）。</w:t>
      </w:r>
    </w:p>
    <w:p>
      <w:pPr>
        <w:pStyle w:val="160"/>
        <w:tabs>
          <w:tab w:val="left" w:pos="714"/>
          <w:tab w:val="left" w:pos="2340"/>
        </w:tabs>
        <w:spacing w:line="360" w:lineRule="auto"/>
        <w:ind w:left="105"/>
        <w:rPr>
          <w:rFonts w:ascii="仿宋" w:hAnsi="仿宋" w:eastAsia="仿宋" w:cs="仿宋"/>
          <w:kern w:val="2"/>
          <w:sz w:val="24"/>
          <w:szCs w:val="24"/>
          <w:highlight w:val="none"/>
        </w:rPr>
      </w:pPr>
      <w:r>
        <w:rPr>
          <w:rFonts w:hint="eastAsia" w:ascii="仿宋" w:hAnsi="仿宋" w:eastAsia="仿宋" w:cs="仿宋"/>
          <w:kern w:val="2"/>
          <w:sz w:val="24"/>
          <w:szCs w:val="24"/>
          <w:highlight w:val="none"/>
        </w:rPr>
        <w:t xml:space="preserve">3.4 </w:t>
      </w:r>
      <w:r>
        <w:rPr>
          <w:rFonts w:hint="eastAsia" w:ascii="仿宋" w:hAnsi="仿宋" w:eastAsia="仿宋" w:cs="仿宋"/>
          <w:kern w:val="2"/>
          <w:sz w:val="24"/>
          <w:szCs w:val="24"/>
          <w:highlight w:val="none"/>
          <w:lang w:val="en-US" w:eastAsia="zh-CN"/>
        </w:rPr>
        <w:t>中标人应当按合同约定及时发放</w:t>
      </w:r>
      <w:r>
        <w:rPr>
          <w:rFonts w:hint="eastAsia" w:ascii="仿宋" w:hAnsi="仿宋" w:eastAsia="仿宋" w:cs="仿宋"/>
          <w:kern w:val="2"/>
          <w:sz w:val="24"/>
          <w:szCs w:val="24"/>
          <w:highlight w:val="none"/>
        </w:rPr>
        <w:t>船员工资。如因财政拨款等客观因素造成采购人延期结算费用的，中标人承诺保证船员工资正常发放，以保障采购人船舶正常运转和采购人工作的正常开展（提供承诺函）。</w:t>
      </w:r>
    </w:p>
    <w:p>
      <w:pPr>
        <w:pStyle w:val="160"/>
        <w:tabs>
          <w:tab w:val="left" w:pos="714"/>
          <w:tab w:val="left" w:pos="2340"/>
        </w:tabs>
        <w:spacing w:line="360" w:lineRule="auto"/>
        <w:ind w:left="105"/>
        <w:rPr>
          <w:rFonts w:ascii="仿宋" w:hAnsi="仿宋" w:eastAsia="仿宋" w:cs="仿宋"/>
          <w:kern w:val="2"/>
          <w:sz w:val="24"/>
          <w:szCs w:val="24"/>
          <w:highlight w:val="none"/>
        </w:rPr>
      </w:pPr>
      <w:r>
        <w:rPr>
          <w:rFonts w:hint="eastAsia" w:ascii="仿宋" w:hAnsi="仿宋" w:eastAsia="仿宋" w:cs="仿宋"/>
          <w:kern w:val="2"/>
          <w:sz w:val="24"/>
          <w:szCs w:val="24"/>
          <w:highlight w:val="none"/>
        </w:rPr>
        <w:t>注：如在项目服务实施过程中采购人实际需求量未达到招标需求量的，按照采购人实际需求量执行。</w:t>
      </w:r>
    </w:p>
    <w:bookmarkEnd w:id="24"/>
    <w:p>
      <w:pPr>
        <w:rPr>
          <w:highlight w:val="none"/>
          <w:lang w:val="zh-CN"/>
        </w:rPr>
      </w:pPr>
    </w:p>
    <w:p>
      <w:pPr>
        <w:spacing w:line="360" w:lineRule="auto"/>
        <w:jc w:val="center"/>
        <w:outlineLvl w:val="1"/>
        <w:rPr>
          <w:rFonts w:hAnsi="宋体" w:cs="宋体"/>
          <w:b/>
          <w:kern w:val="44"/>
          <w:sz w:val="32"/>
          <w:highlight w:val="none"/>
          <w:lang w:val="zh-CN"/>
        </w:rPr>
      </w:pPr>
    </w:p>
    <w:p>
      <w:pPr>
        <w:spacing w:line="360" w:lineRule="auto"/>
        <w:jc w:val="center"/>
        <w:outlineLvl w:val="1"/>
        <w:rPr>
          <w:rFonts w:hAnsi="宋体" w:cs="宋体"/>
          <w:b/>
          <w:kern w:val="44"/>
          <w:sz w:val="32"/>
          <w:highlight w:val="none"/>
          <w:lang w:val="zh-CN"/>
        </w:rPr>
      </w:pPr>
    </w:p>
    <w:p>
      <w:pPr>
        <w:spacing w:line="360" w:lineRule="auto"/>
        <w:jc w:val="center"/>
        <w:outlineLvl w:val="1"/>
        <w:rPr>
          <w:rFonts w:hAnsi="宋体" w:cs="宋体"/>
          <w:b/>
          <w:kern w:val="44"/>
          <w:sz w:val="32"/>
          <w:highlight w:val="none"/>
          <w:lang w:val="zh-CN"/>
        </w:rPr>
      </w:pPr>
    </w:p>
    <w:p>
      <w:pPr>
        <w:spacing w:line="360" w:lineRule="auto"/>
        <w:jc w:val="center"/>
        <w:outlineLvl w:val="1"/>
        <w:rPr>
          <w:rFonts w:hAnsi="宋体" w:cs="宋体"/>
          <w:b/>
          <w:kern w:val="44"/>
          <w:sz w:val="32"/>
          <w:highlight w:val="none"/>
          <w:lang w:val="zh-CN"/>
        </w:rPr>
      </w:pPr>
    </w:p>
    <w:p>
      <w:pPr>
        <w:spacing w:line="360" w:lineRule="auto"/>
        <w:jc w:val="center"/>
        <w:outlineLvl w:val="1"/>
        <w:rPr>
          <w:rFonts w:hAnsi="宋体" w:cs="宋体"/>
          <w:b/>
          <w:kern w:val="44"/>
          <w:sz w:val="32"/>
          <w:highlight w:val="none"/>
          <w:lang w:val="zh-CN"/>
        </w:rPr>
      </w:pPr>
    </w:p>
    <w:p>
      <w:pPr>
        <w:spacing w:line="360" w:lineRule="auto"/>
        <w:jc w:val="center"/>
        <w:outlineLvl w:val="1"/>
        <w:rPr>
          <w:rFonts w:hAnsi="宋体" w:cs="宋体"/>
          <w:b/>
          <w:kern w:val="44"/>
          <w:sz w:val="32"/>
          <w:highlight w:val="none"/>
          <w:lang w:val="zh-CN"/>
        </w:rPr>
      </w:pPr>
    </w:p>
    <w:p>
      <w:pPr>
        <w:spacing w:line="360" w:lineRule="auto"/>
        <w:jc w:val="center"/>
        <w:outlineLvl w:val="1"/>
        <w:rPr>
          <w:rFonts w:hAnsi="宋体" w:cs="宋体"/>
          <w:b/>
          <w:kern w:val="44"/>
          <w:sz w:val="32"/>
          <w:highlight w:val="none"/>
          <w:lang w:val="zh-CN"/>
        </w:rPr>
      </w:pPr>
    </w:p>
    <w:p>
      <w:pPr>
        <w:spacing w:line="360" w:lineRule="auto"/>
        <w:jc w:val="center"/>
        <w:outlineLvl w:val="1"/>
        <w:rPr>
          <w:rFonts w:hAnsi="宋体" w:cs="宋体"/>
          <w:b/>
          <w:kern w:val="44"/>
          <w:sz w:val="32"/>
          <w:highlight w:val="none"/>
          <w:lang w:val="zh-CN"/>
        </w:rPr>
      </w:pPr>
    </w:p>
    <w:p>
      <w:pPr>
        <w:spacing w:line="360" w:lineRule="auto"/>
        <w:jc w:val="center"/>
        <w:outlineLvl w:val="1"/>
        <w:rPr>
          <w:rFonts w:hAnsi="宋体" w:cs="宋体"/>
          <w:b/>
          <w:kern w:val="44"/>
          <w:sz w:val="32"/>
          <w:highlight w:val="none"/>
          <w:lang w:val="zh-CN"/>
        </w:rPr>
      </w:pPr>
    </w:p>
    <w:p>
      <w:pPr>
        <w:spacing w:line="360" w:lineRule="auto"/>
        <w:jc w:val="center"/>
        <w:outlineLvl w:val="1"/>
        <w:rPr>
          <w:rFonts w:hAnsi="宋体" w:cs="宋体"/>
          <w:b/>
          <w:kern w:val="44"/>
          <w:sz w:val="32"/>
          <w:highlight w:val="none"/>
          <w:lang w:val="zh-CN"/>
        </w:rPr>
      </w:pPr>
    </w:p>
    <w:p>
      <w:pPr>
        <w:spacing w:line="360" w:lineRule="auto"/>
        <w:jc w:val="center"/>
        <w:outlineLvl w:val="1"/>
        <w:rPr>
          <w:rFonts w:hAnsi="宋体" w:cs="宋体"/>
          <w:b/>
          <w:kern w:val="44"/>
          <w:sz w:val="32"/>
          <w:highlight w:val="none"/>
          <w:lang w:val="zh-CN"/>
        </w:rPr>
      </w:pPr>
    </w:p>
    <w:p>
      <w:pPr>
        <w:spacing w:line="360" w:lineRule="auto"/>
        <w:jc w:val="center"/>
        <w:outlineLvl w:val="1"/>
        <w:rPr>
          <w:rFonts w:hAnsi="宋体" w:cs="宋体"/>
          <w:b/>
          <w:kern w:val="44"/>
          <w:sz w:val="32"/>
          <w:highlight w:val="none"/>
          <w:lang w:val="zh-CN"/>
        </w:rPr>
      </w:pPr>
    </w:p>
    <w:p>
      <w:pPr>
        <w:spacing w:line="360" w:lineRule="auto"/>
        <w:jc w:val="center"/>
        <w:outlineLvl w:val="1"/>
        <w:rPr>
          <w:rFonts w:hAnsi="宋体" w:cs="宋体"/>
          <w:b/>
          <w:kern w:val="44"/>
          <w:sz w:val="32"/>
          <w:highlight w:val="none"/>
          <w:lang w:val="zh-CN"/>
        </w:rPr>
      </w:pPr>
    </w:p>
    <w:p>
      <w:pPr>
        <w:spacing w:line="360" w:lineRule="auto"/>
        <w:jc w:val="center"/>
        <w:outlineLvl w:val="1"/>
        <w:rPr>
          <w:rFonts w:hAnsi="宋体" w:cs="宋体"/>
          <w:b/>
          <w:kern w:val="44"/>
          <w:sz w:val="32"/>
          <w:highlight w:val="none"/>
          <w:lang w:val="zh-CN"/>
        </w:rPr>
      </w:pPr>
    </w:p>
    <w:p>
      <w:pPr>
        <w:spacing w:line="360" w:lineRule="auto"/>
        <w:jc w:val="center"/>
        <w:outlineLvl w:val="1"/>
        <w:rPr>
          <w:rFonts w:hAnsi="宋体" w:cs="宋体"/>
          <w:b/>
          <w:kern w:val="44"/>
          <w:sz w:val="32"/>
          <w:highlight w:val="none"/>
          <w:lang w:val="zh-CN"/>
        </w:rPr>
      </w:pPr>
    </w:p>
    <w:p>
      <w:pPr>
        <w:spacing w:line="360" w:lineRule="auto"/>
        <w:jc w:val="center"/>
        <w:outlineLvl w:val="1"/>
        <w:rPr>
          <w:rFonts w:hAnsi="宋体" w:cs="宋体"/>
          <w:b/>
          <w:kern w:val="44"/>
          <w:sz w:val="32"/>
          <w:highlight w:val="none"/>
          <w:lang w:val="zh-CN"/>
        </w:rPr>
      </w:pPr>
    </w:p>
    <w:p>
      <w:pPr>
        <w:spacing w:line="360" w:lineRule="auto"/>
        <w:jc w:val="center"/>
        <w:outlineLvl w:val="1"/>
        <w:rPr>
          <w:rFonts w:hAnsi="宋体" w:cs="宋体"/>
          <w:b/>
          <w:kern w:val="44"/>
          <w:sz w:val="32"/>
          <w:highlight w:val="none"/>
          <w:lang w:val="zh-CN"/>
        </w:rPr>
      </w:pPr>
    </w:p>
    <w:p>
      <w:pPr>
        <w:spacing w:line="360" w:lineRule="auto"/>
        <w:jc w:val="center"/>
        <w:outlineLvl w:val="1"/>
        <w:rPr>
          <w:rFonts w:hAnsi="宋体" w:cs="宋体"/>
          <w:b/>
          <w:kern w:val="44"/>
          <w:sz w:val="32"/>
          <w:highlight w:val="none"/>
          <w:lang w:val="zh-CN"/>
        </w:rPr>
      </w:pPr>
    </w:p>
    <w:p>
      <w:pPr>
        <w:spacing w:line="360" w:lineRule="auto"/>
        <w:jc w:val="center"/>
        <w:outlineLvl w:val="1"/>
        <w:rPr>
          <w:rFonts w:hAnsi="宋体" w:cs="宋体"/>
          <w:b/>
          <w:kern w:val="44"/>
          <w:sz w:val="32"/>
          <w:highlight w:val="none"/>
          <w:lang w:val="zh-CN"/>
        </w:rPr>
      </w:pPr>
    </w:p>
    <w:p>
      <w:pPr>
        <w:spacing w:line="360" w:lineRule="auto"/>
        <w:jc w:val="center"/>
        <w:outlineLvl w:val="1"/>
        <w:rPr>
          <w:rFonts w:hAnsi="宋体" w:cs="宋体"/>
          <w:b/>
          <w:kern w:val="44"/>
          <w:sz w:val="32"/>
          <w:highlight w:val="none"/>
          <w:lang w:val="zh-CN"/>
        </w:rPr>
      </w:pPr>
      <w:r>
        <w:rPr>
          <w:rFonts w:hint="eastAsia" w:hAnsi="宋体" w:cs="宋体"/>
          <w:b/>
          <w:kern w:val="44"/>
          <w:sz w:val="32"/>
          <w:highlight w:val="none"/>
          <w:lang w:val="zh-CN"/>
        </w:rPr>
        <w:t>第五篇  投标文件格式</w:t>
      </w:r>
    </w:p>
    <w:p>
      <w:pPr>
        <w:pStyle w:val="5"/>
        <w:jc w:val="center"/>
        <w:rPr>
          <w:rFonts w:hAnsi="宋体" w:cs="宋体"/>
          <w:b/>
          <w:bCs/>
          <w:sz w:val="28"/>
          <w:szCs w:val="28"/>
          <w:highlight w:val="none"/>
          <w:lang w:val="zh-CN"/>
        </w:rPr>
      </w:pPr>
      <w:r>
        <w:rPr>
          <w:rFonts w:hint="eastAsia" w:hAnsi="宋体" w:cs="宋体"/>
          <w:b/>
          <w:sz w:val="28"/>
          <w:szCs w:val="28"/>
          <w:highlight w:val="none"/>
        </w:rPr>
        <w:t>目  录</w:t>
      </w:r>
    </w:p>
    <w:p>
      <w:pPr>
        <w:spacing w:line="312" w:lineRule="auto"/>
        <w:ind w:firstLine="527" w:firstLineChars="250"/>
        <w:rPr>
          <w:rFonts w:hAnsi="宋体" w:cs="宋体"/>
          <w:b/>
          <w:bCs/>
          <w:szCs w:val="21"/>
          <w:highlight w:val="none"/>
          <w:lang w:val="zh-CN"/>
        </w:rPr>
      </w:pPr>
      <w:r>
        <w:rPr>
          <w:rFonts w:hint="eastAsia" w:hAnsi="宋体" w:cs="宋体"/>
          <w:b/>
          <w:bCs/>
          <w:szCs w:val="21"/>
          <w:highlight w:val="none"/>
          <w:lang w:val="zh-CN"/>
        </w:rPr>
        <w:t>一、自查表</w:t>
      </w:r>
    </w:p>
    <w:p>
      <w:pPr>
        <w:spacing w:line="312" w:lineRule="auto"/>
        <w:ind w:firstLine="527" w:firstLineChars="250"/>
        <w:rPr>
          <w:rFonts w:hAnsi="宋体" w:cs="宋体"/>
          <w:kern w:val="2"/>
          <w:szCs w:val="21"/>
          <w:highlight w:val="none"/>
        </w:rPr>
      </w:pPr>
      <w:r>
        <w:rPr>
          <w:rFonts w:hint="eastAsia" w:hAnsi="宋体" w:cs="宋体"/>
          <w:b/>
          <w:bCs/>
          <w:szCs w:val="21"/>
          <w:highlight w:val="none"/>
          <w:lang w:val="zh-CN"/>
        </w:rPr>
        <w:t>二、</w:t>
      </w:r>
      <w:r>
        <w:rPr>
          <w:rFonts w:hint="eastAsia" w:hAnsi="宋体" w:cs="宋体"/>
          <w:b/>
          <w:bCs/>
          <w:kern w:val="2"/>
          <w:szCs w:val="21"/>
          <w:highlight w:val="none"/>
          <w:lang w:val="zh-CN"/>
        </w:rPr>
        <w:t>商务部分文件</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1.投标函(格式见附表2.1)</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2.资格声明书(格式见附表2.2)</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3.法定代表人证明书(格式见附表2.3)</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4.法定代表人授权书（若投标人代表非法定代表人时适用）(格式见附表2.4)</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5.投标人的相关资格证明资料复印件（加盖投标人法人公章），其中包括：</w:t>
      </w:r>
    </w:p>
    <w:p>
      <w:pPr>
        <w:snapToGrid w:val="0"/>
        <w:spacing w:line="360" w:lineRule="auto"/>
        <w:ind w:left="1575" w:leftChars="600" w:hanging="315" w:hangingChars="150"/>
        <w:rPr>
          <w:rFonts w:hAnsi="宋体" w:cs="宋体"/>
          <w:szCs w:val="21"/>
          <w:highlight w:val="none"/>
        </w:rPr>
      </w:pPr>
      <w:r>
        <w:rPr>
          <w:rFonts w:hint="eastAsia" w:hAnsi="宋体" w:cs="宋体"/>
          <w:szCs w:val="21"/>
          <w:highlight w:val="none"/>
        </w:rPr>
        <w:t>A.证明投标人的资格性的证明文件，详见《投标须知前附表》8条款内容及招标公告中供应商资格条件要求；(格式见附表2.5)</w:t>
      </w:r>
    </w:p>
    <w:p>
      <w:pPr>
        <w:snapToGrid w:val="0"/>
        <w:spacing w:line="360" w:lineRule="auto"/>
        <w:ind w:left="1575" w:leftChars="600" w:hanging="315" w:hangingChars="150"/>
        <w:rPr>
          <w:rFonts w:hAnsi="宋体" w:cs="宋体"/>
          <w:szCs w:val="21"/>
          <w:highlight w:val="none"/>
        </w:rPr>
      </w:pPr>
      <w:r>
        <w:rPr>
          <w:rFonts w:hint="eastAsia" w:hAnsi="宋体" w:cs="宋体"/>
          <w:szCs w:val="21"/>
          <w:highlight w:val="none"/>
        </w:rPr>
        <w:t>B.其他资格证明资料，（《第四篇 用户需求书》的有关要求，或《评分标准和细则》“评分因素”中商务评分内容的证明文件）；</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6.投标人的所投产品资格证明资料复印件（加盖投标人法人公章）</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7.投标人基本情况表(见附表2.6)</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8.2020年投标人财务状况表（见附表2.7）</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9.中标服务费承诺书(见附表2.8)</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10.项目管理架构 (见附表2.9)</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11.供货渠道与合作机构情况表 (见附表2.10)</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 xml:space="preserve">12.商务条款响应表格式(见附表2.11) </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 xml:space="preserve"> 12.1 实质性商务条款（“★”项）响应表</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 xml:space="preserve"> 12.2 一般商务条款响应表</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13.各项声明函（落实政府采购政策时所需） (见附表2.12) （如有）</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 xml:space="preserve"> 13.1 中小企业声明函格式</w:t>
      </w:r>
      <w:bookmarkStart w:id="25" w:name="_Hlk495872756"/>
      <w:r>
        <w:rPr>
          <w:rFonts w:hint="eastAsia" w:hAnsi="宋体" w:cs="宋体"/>
          <w:szCs w:val="21"/>
          <w:highlight w:val="none"/>
        </w:rPr>
        <w:t>(见附表2.12-1)</w:t>
      </w:r>
      <w:bookmarkEnd w:id="25"/>
      <w:r>
        <w:rPr>
          <w:rFonts w:hint="eastAsia" w:hAnsi="宋体" w:cs="宋体"/>
          <w:szCs w:val="21"/>
          <w:highlight w:val="none"/>
        </w:rPr>
        <w:t>（如有）</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 xml:space="preserve"> 13.2 监狱企业的证明文件格(见附表2.12-2)（如有）</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 xml:space="preserve"> 13.3 残疾人福利性单位的声明函及证明文件</w:t>
      </w:r>
      <w:bookmarkStart w:id="26" w:name="_Hlk495872848"/>
      <w:r>
        <w:rPr>
          <w:rFonts w:hint="eastAsia" w:hAnsi="宋体" w:cs="宋体"/>
          <w:szCs w:val="21"/>
          <w:highlight w:val="none"/>
        </w:rPr>
        <w:t>(见附表2.12-3)</w:t>
      </w:r>
      <w:bookmarkEnd w:id="26"/>
      <w:r>
        <w:rPr>
          <w:rFonts w:hint="eastAsia" w:hAnsi="宋体" w:cs="宋体"/>
          <w:szCs w:val="21"/>
          <w:highlight w:val="none"/>
        </w:rPr>
        <w:t>（如有）</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 xml:space="preserve"> 13.4 节能产品或环境保护标志产品</w:t>
      </w:r>
      <w:bookmarkStart w:id="27" w:name="_Hlk495872906"/>
      <w:r>
        <w:rPr>
          <w:rFonts w:hint="eastAsia" w:hAnsi="宋体" w:cs="宋体"/>
          <w:szCs w:val="21"/>
          <w:highlight w:val="none"/>
        </w:rPr>
        <w:t>(见附表2.12-4)</w:t>
      </w:r>
      <w:bookmarkEnd w:id="27"/>
      <w:r>
        <w:rPr>
          <w:rFonts w:hint="eastAsia" w:hAnsi="宋体" w:cs="宋体"/>
          <w:szCs w:val="21"/>
          <w:highlight w:val="none"/>
        </w:rPr>
        <w:t>（如有）</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14. 投标人认为完成本项目所需的其他证明文件(见附表2.13)</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15.公平竞争承诺书</w:t>
      </w:r>
      <w:bookmarkStart w:id="28" w:name="_Hlk495872921"/>
      <w:r>
        <w:rPr>
          <w:rFonts w:hint="eastAsia" w:hAnsi="宋体" w:cs="宋体"/>
          <w:szCs w:val="21"/>
          <w:highlight w:val="none"/>
        </w:rPr>
        <w:t>(见附表2.14)</w:t>
      </w:r>
      <w:bookmarkEnd w:id="28"/>
    </w:p>
    <w:p>
      <w:pPr>
        <w:spacing w:line="360" w:lineRule="auto"/>
        <w:ind w:firstLine="527" w:firstLineChars="250"/>
        <w:rPr>
          <w:rFonts w:hAnsi="宋体" w:cs="宋体"/>
          <w:kern w:val="2"/>
          <w:szCs w:val="21"/>
          <w:highlight w:val="none"/>
        </w:rPr>
      </w:pPr>
      <w:r>
        <w:rPr>
          <w:rFonts w:hint="eastAsia" w:hAnsi="宋体" w:cs="宋体"/>
          <w:b/>
          <w:bCs/>
          <w:szCs w:val="21"/>
          <w:highlight w:val="none"/>
          <w:lang w:val="zh-CN"/>
        </w:rPr>
        <w:t>三、</w:t>
      </w:r>
      <w:r>
        <w:rPr>
          <w:rFonts w:hint="eastAsia" w:hAnsi="宋体" w:cs="宋体"/>
          <w:b/>
          <w:bCs/>
          <w:kern w:val="2"/>
          <w:szCs w:val="21"/>
          <w:highlight w:val="none"/>
          <w:lang w:val="zh-CN"/>
        </w:rPr>
        <w:t>技术部分文件</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1.服务总体方案 (见附表3.1)</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2. 临时突击性工作及突发事件应急保障措施 (见附表3.</w:t>
      </w:r>
      <w:r>
        <w:rPr>
          <w:rFonts w:hAnsi="宋体" w:cs="宋体"/>
          <w:szCs w:val="21"/>
          <w:highlight w:val="none"/>
        </w:rPr>
        <w:t>2</w:t>
      </w:r>
      <w:r>
        <w:rPr>
          <w:rFonts w:hint="eastAsia" w:hAnsi="宋体" w:cs="宋体"/>
          <w:szCs w:val="21"/>
          <w:highlight w:val="none"/>
        </w:rPr>
        <w:t>)</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3. 整体船舶管理服务方案 (见附表3.</w:t>
      </w:r>
      <w:r>
        <w:rPr>
          <w:rFonts w:hAnsi="宋体" w:cs="宋体"/>
          <w:szCs w:val="21"/>
          <w:highlight w:val="none"/>
        </w:rPr>
        <w:t>3</w:t>
      </w:r>
      <w:r>
        <w:rPr>
          <w:rFonts w:hint="eastAsia" w:hAnsi="宋体" w:cs="宋体"/>
          <w:szCs w:val="21"/>
          <w:highlight w:val="none"/>
        </w:rPr>
        <w:t>)</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4. 人文关怀和激励保障措施 (见附表3.</w:t>
      </w:r>
      <w:r>
        <w:rPr>
          <w:rFonts w:hAnsi="宋体" w:cs="宋体"/>
          <w:szCs w:val="21"/>
          <w:highlight w:val="none"/>
        </w:rPr>
        <w:t>4</w:t>
      </w:r>
      <w:r>
        <w:rPr>
          <w:rFonts w:hint="eastAsia" w:hAnsi="宋体" w:cs="宋体"/>
          <w:szCs w:val="21"/>
          <w:highlight w:val="none"/>
        </w:rPr>
        <w:t>)</w:t>
      </w:r>
    </w:p>
    <w:p>
      <w:pPr>
        <w:snapToGrid w:val="0"/>
        <w:spacing w:line="360" w:lineRule="auto"/>
        <w:ind w:left="953" w:leftChars="454" w:firstLine="105" w:firstLineChars="50"/>
        <w:rPr>
          <w:rFonts w:hAnsi="宋体" w:cs="宋体"/>
          <w:szCs w:val="21"/>
          <w:highlight w:val="none"/>
        </w:rPr>
      </w:pPr>
      <w:r>
        <w:rPr>
          <w:rFonts w:hAnsi="宋体" w:cs="宋体"/>
          <w:szCs w:val="21"/>
          <w:highlight w:val="none"/>
        </w:rPr>
        <w:t xml:space="preserve">5. </w:t>
      </w:r>
      <w:r>
        <w:rPr>
          <w:rFonts w:hint="eastAsia" w:hAnsi="宋体" w:cs="宋体"/>
          <w:szCs w:val="21"/>
          <w:highlight w:val="none"/>
        </w:rPr>
        <w:t>船员待遇保障水平(见附表3.5)</w:t>
      </w:r>
    </w:p>
    <w:p>
      <w:pPr>
        <w:snapToGrid w:val="0"/>
        <w:spacing w:line="360" w:lineRule="auto"/>
        <w:ind w:left="953" w:leftChars="454" w:firstLine="105" w:firstLineChars="50"/>
        <w:rPr>
          <w:rFonts w:hAnsi="宋体" w:cs="宋体"/>
          <w:szCs w:val="21"/>
          <w:highlight w:val="none"/>
        </w:rPr>
      </w:pPr>
      <w:r>
        <w:rPr>
          <w:rFonts w:hAnsi="宋体" w:cs="宋体"/>
          <w:szCs w:val="21"/>
          <w:highlight w:val="none"/>
        </w:rPr>
        <w:t>6</w:t>
      </w:r>
      <w:r>
        <w:rPr>
          <w:rFonts w:hint="eastAsia" w:hAnsi="宋体" w:cs="宋体"/>
          <w:szCs w:val="21"/>
          <w:highlight w:val="none"/>
        </w:rPr>
        <w:t>.技术规格偏离表 (见附表3.5)</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5.1 （1）实质性响应技术条款（“★”项）响应表格式</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5.2 （2）一般技术条款（包含“▲”项）响应表格式</w:t>
      </w:r>
    </w:p>
    <w:p>
      <w:pPr>
        <w:spacing w:line="360" w:lineRule="auto"/>
        <w:ind w:firstLine="527" w:firstLineChars="250"/>
        <w:rPr>
          <w:rFonts w:hAnsi="宋体" w:cs="宋体"/>
          <w:kern w:val="2"/>
          <w:szCs w:val="21"/>
          <w:highlight w:val="none"/>
        </w:rPr>
      </w:pPr>
      <w:r>
        <w:rPr>
          <w:rFonts w:hint="eastAsia" w:hAnsi="宋体" w:cs="宋体"/>
          <w:b/>
          <w:bCs/>
          <w:szCs w:val="21"/>
          <w:highlight w:val="none"/>
          <w:lang w:val="zh-CN"/>
        </w:rPr>
        <w:t>四、价格</w:t>
      </w:r>
      <w:r>
        <w:rPr>
          <w:rFonts w:hint="eastAsia" w:hAnsi="宋体" w:cs="宋体"/>
          <w:b/>
          <w:bCs/>
          <w:kern w:val="2"/>
          <w:szCs w:val="21"/>
          <w:highlight w:val="none"/>
          <w:lang w:val="zh-CN"/>
        </w:rPr>
        <w:t>部分文件</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1.投标报价总表(见附表4.1)</w:t>
      </w:r>
    </w:p>
    <w:p>
      <w:pPr>
        <w:snapToGrid w:val="0"/>
        <w:spacing w:line="360" w:lineRule="auto"/>
        <w:ind w:left="953" w:leftChars="454" w:firstLine="105" w:firstLineChars="50"/>
        <w:rPr>
          <w:rFonts w:hAnsi="宋体" w:cs="宋体"/>
          <w:szCs w:val="21"/>
          <w:highlight w:val="none"/>
        </w:rPr>
      </w:pPr>
      <w:r>
        <w:rPr>
          <w:rFonts w:hint="eastAsia" w:hAnsi="宋体" w:cs="宋体"/>
          <w:szCs w:val="21"/>
          <w:highlight w:val="none"/>
        </w:rPr>
        <w:t>2.分项报价明细表(见附表4.2)</w:t>
      </w:r>
    </w:p>
    <w:p>
      <w:pPr>
        <w:spacing w:line="360" w:lineRule="auto"/>
        <w:ind w:firstLine="211" w:firstLineChars="100"/>
        <w:jc w:val="both"/>
        <w:rPr>
          <w:rFonts w:hAnsi="宋体" w:cs="宋体"/>
          <w:b/>
          <w:bCs/>
          <w:kern w:val="2"/>
          <w:szCs w:val="21"/>
          <w:highlight w:val="none"/>
          <w:lang w:val="zh-CN"/>
        </w:rPr>
      </w:pPr>
      <w:r>
        <w:rPr>
          <w:rFonts w:hint="eastAsia" w:hAnsi="宋体" w:cs="宋体"/>
          <w:b/>
          <w:bCs/>
          <w:kern w:val="2"/>
          <w:szCs w:val="21"/>
          <w:highlight w:val="none"/>
          <w:lang w:val="zh-CN"/>
        </w:rPr>
        <w:t>唱标信封另单独封装，按以下顺序装订：</w:t>
      </w:r>
    </w:p>
    <w:p>
      <w:pPr>
        <w:spacing w:line="360" w:lineRule="auto"/>
        <w:ind w:left="1026" w:leftChars="355" w:hanging="281" w:hangingChars="134"/>
        <w:rPr>
          <w:rFonts w:hAnsi="宋体" w:cs="宋体"/>
          <w:szCs w:val="21"/>
          <w:highlight w:val="none"/>
          <w:lang w:val="zh-CN"/>
        </w:rPr>
      </w:pPr>
      <w:r>
        <w:rPr>
          <w:rFonts w:hint="eastAsia" w:hAnsi="宋体" w:cs="宋体"/>
          <w:szCs w:val="21"/>
          <w:highlight w:val="none"/>
          <w:lang w:val="zh-CN"/>
        </w:rPr>
        <w:t>1) 投标函（从投标文件正本中复印，加盖投标人法人公章）；</w:t>
      </w:r>
    </w:p>
    <w:p>
      <w:pPr>
        <w:spacing w:line="360" w:lineRule="auto"/>
        <w:ind w:left="1026" w:leftChars="355" w:hanging="281" w:hangingChars="134"/>
        <w:rPr>
          <w:rFonts w:hAnsi="宋体" w:cs="宋体"/>
          <w:szCs w:val="21"/>
          <w:highlight w:val="none"/>
          <w:lang w:val="zh-CN"/>
        </w:rPr>
      </w:pPr>
      <w:r>
        <w:rPr>
          <w:rFonts w:hint="eastAsia" w:hAnsi="宋体" w:cs="宋体"/>
          <w:szCs w:val="21"/>
          <w:highlight w:val="none"/>
          <w:lang w:val="zh-CN"/>
        </w:rPr>
        <w:t>2）投标报价总表（从投标文件正本中复印，加盖投标人法人公章）；</w:t>
      </w:r>
    </w:p>
    <w:p>
      <w:pPr>
        <w:spacing w:line="360" w:lineRule="auto"/>
        <w:ind w:left="1026" w:leftChars="355" w:hanging="281" w:hangingChars="134"/>
        <w:rPr>
          <w:rFonts w:hAnsi="宋体" w:cs="宋体"/>
          <w:szCs w:val="21"/>
          <w:highlight w:val="none"/>
          <w:lang w:val="zh-CN"/>
        </w:rPr>
      </w:pPr>
      <w:r>
        <w:rPr>
          <w:rFonts w:hint="eastAsia" w:hAnsi="宋体" w:cs="宋体"/>
          <w:szCs w:val="21"/>
          <w:highlight w:val="none"/>
          <w:lang w:val="zh-CN"/>
        </w:rPr>
        <w:t>3）法定代表人证明书及法定代表人授权书（复印件）（原件单独递交无须密封，在递交投标文件时单独递交）；</w:t>
      </w:r>
    </w:p>
    <w:p>
      <w:pPr>
        <w:spacing w:line="360" w:lineRule="auto"/>
        <w:ind w:left="1026" w:leftChars="355" w:hanging="281" w:hangingChars="134"/>
        <w:rPr>
          <w:rFonts w:hAnsi="宋体" w:cs="宋体"/>
          <w:szCs w:val="21"/>
          <w:highlight w:val="none"/>
          <w:lang w:val="zh-CN"/>
        </w:rPr>
      </w:pPr>
      <w:r>
        <w:rPr>
          <w:rFonts w:hint="eastAsia" w:hAnsi="宋体" w:cs="宋体"/>
          <w:szCs w:val="21"/>
          <w:highlight w:val="none"/>
          <w:lang w:val="zh-CN"/>
        </w:rPr>
        <w:t>4）电子文件（含投标文件经济文件、商务技术文件, 电子投标文件采用CD－R光盘或U盘装载，其中经济部分需用MS office的excel格式提供。）</w:t>
      </w:r>
    </w:p>
    <w:p>
      <w:pPr>
        <w:spacing w:line="360" w:lineRule="auto"/>
        <w:ind w:left="1026" w:leftChars="355" w:hanging="281" w:hangingChars="134"/>
        <w:rPr>
          <w:rFonts w:hAnsi="宋体" w:cs="宋体"/>
          <w:szCs w:val="21"/>
          <w:highlight w:val="none"/>
          <w:lang w:val="zh-CN"/>
        </w:rPr>
      </w:pPr>
    </w:p>
    <w:p>
      <w:pPr>
        <w:spacing w:line="360" w:lineRule="auto"/>
        <w:ind w:left="1026" w:leftChars="355" w:hanging="281" w:hangingChars="134"/>
        <w:rPr>
          <w:rFonts w:hAnsi="宋体" w:cs="宋体"/>
          <w:szCs w:val="21"/>
          <w:highlight w:val="none"/>
          <w:lang w:val="zh-CN"/>
        </w:rPr>
      </w:pPr>
    </w:p>
    <w:p>
      <w:pPr>
        <w:spacing w:line="360" w:lineRule="auto"/>
        <w:ind w:left="1026" w:leftChars="355" w:hanging="281" w:hangingChars="134"/>
        <w:rPr>
          <w:rFonts w:hAnsi="宋体" w:cs="宋体"/>
          <w:szCs w:val="21"/>
          <w:highlight w:val="none"/>
          <w:lang w:val="zh-CN"/>
        </w:rPr>
      </w:pPr>
    </w:p>
    <w:p>
      <w:pPr>
        <w:spacing w:line="360" w:lineRule="auto"/>
        <w:ind w:left="1026" w:leftChars="355" w:hanging="281" w:hangingChars="134"/>
        <w:rPr>
          <w:rFonts w:hAnsi="宋体" w:cs="宋体"/>
          <w:szCs w:val="21"/>
          <w:highlight w:val="none"/>
          <w:lang w:val="zh-CN"/>
        </w:rPr>
      </w:pPr>
    </w:p>
    <w:p>
      <w:pPr>
        <w:spacing w:line="360" w:lineRule="auto"/>
        <w:ind w:left="1026" w:leftChars="355" w:hanging="281" w:hangingChars="134"/>
        <w:rPr>
          <w:rFonts w:hAnsi="宋体" w:cs="宋体"/>
          <w:szCs w:val="21"/>
          <w:highlight w:val="none"/>
          <w:lang w:val="zh-CN"/>
        </w:rPr>
      </w:pPr>
    </w:p>
    <w:p>
      <w:pPr>
        <w:spacing w:line="360" w:lineRule="auto"/>
        <w:ind w:left="1026" w:leftChars="355" w:hanging="281" w:hangingChars="134"/>
        <w:rPr>
          <w:rFonts w:hAnsi="宋体" w:cs="宋体"/>
          <w:szCs w:val="21"/>
          <w:highlight w:val="none"/>
          <w:lang w:val="zh-CN"/>
        </w:rPr>
      </w:pPr>
    </w:p>
    <w:p>
      <w:pPr>
        <w:spacing w:line="360" w:lineRule="auto"/>
        <w:ind w:left="1026" w:leftChars="355" w:hanging="281" w:hangingChars="134"/>
        <w:rPr>
          <w:rFonts w:hAnsi="宋体" w:cs="宋体"/>
          <w:szCs w:val="21"/>
          <w:highlight w:val="none"/>
          <w:lang w:val="zh-CN"/>
        </w:rPr>
      </w:pPr>
    </w:p>
    <w:p>
      <w:pPr>
        <w:spacing w:line="360" w:lineRule="auto"/>
        <w:ind w:left="1026" w:leftChars="355" w:hanging="281" w:hangingChars="134"/>
        <w:rPr>
          <w:rFonts w:hAnsi="宋体" w:cs="宋体"/>
          <w:szCs w:val="21"/>
          <w:highlight w:val="none"/>
          <w:lang w:val="zh-CN"/>
        </w:rPr>
      </w:pPr>
    </w:p>
    <w:p>
      <w:pPr>
        <w:spacing w:line="360" w:lineRule="auto"/>
        <w:ind w:left="1026" w:leftChars="355" w:hanging="281" w:hangingChars="134"/>
        <w:rPr>
          <w:rFonts w:hAnsi="宋体" w:cs="宋体"/>
          <w:szCs w:val="21"/>
          <w:highlight w:val="none"/>
          <w:lang w:val="zh-CN"/>
        </w:rPr>
      </w:pPr>
    </w:p>
    <w:p>
      <w:pPr>
        <w:spacing w:line="360" w:lineRule="auto"/>
        <w:ind w:left="1026" w:leftChars="355" w:hanging="281" w:hangingChars="134"/>
        <w:rPr>
          <w:rFonts w:hAnsi="宋体" w:cs="宋体"/>
          <w:szCs w:val="21"/>
          <w:highlight w:val="none"/>
          <w:lang w:val="zh-CN"/>
        </w:rPr>
      </w:pPr>
    </w:p>
    <w:p>
      <w:pPr>
        <w:spacing w:line="360" w:lineRule="auto"/>
        <w:ind w:left="1026" w:leftChars="355" w:hanging="281" w:hangingChars="134"/>
        <w:rPr>
          <w:rFonts w:hAnsi="宋体" w:cs="宋体"/>
          <w:szCs w:val="21"/>
          <w:highlight w:val="none"/>
          <w:lang w:val="zh-CN"/>
        </w:rPr>
      </w:pPr>
    </w:p>
    <w:p>
      <w:pPr>
        <w:spacing w:line="360" w:lineRule="auto"/>
        <w:ind w:left="1026" w:leftChars="355" w:hanging="281" w:hangingChars="134"/>
        <w:rPr>
          <w:rFonts w:hAnsi="宋体" w:cs="宋体"/>
          <w:szCs w:val="21"/>
          <w:highlight w:val="none"/>
          <w:lang w:val="zh-CN"/>
        </w:rPr>
      </w:pPr>
    </w:p>
    <w:p>
      <w:pPr>
        <w:spacing w:line="360" w:lineRule="auto"/>
        <w:ind w:left="1026" w:leftChars="355" w:hanging="281" w:hangingChars="134"/>
        <w:rPr>
          <w:rFonts w:hAnsi="宋体" w:cs="宋体"/>
          <w:szCs w:val="21"/>
          <w:highlight w:val="none"/>
          <w:lang w:val="zh-CN"/>
        </w:rPr>
      </w:pPr>
    </w:p>
    <w:p>
      <w:pPr>
        <w:spacing w:line="360" w:lineRule="auto"/>
        <w:ind w:left="1026" w:leftChars="355" w:hanging="281" w:hangingChars="134"/>
        <w:rPr>
          <w:rFonts w:hAnsi="宋体" w:cs="宋体"/>
          <w:szCs w:val="21"/>
          <w:highlight w:val="none"/>
          <w:lang w:val="zh-CN"/>
        </w:rPr>
      </w:pPr>
    </w:p>
    <w:p>
      <w:pPr>
        <w:spacing w:line="360" w:lineRule="auto"/>
        <w:ind w:left="1026" w:leftChars="355" w:hanging="281" w:hangingChars="134"/>
        <w:rPr>
          <w:rFonts w:hAnsi="宋体" w:cs="宋体"/>
          <w:szCs w:val="21"/>
          <w:highlight w:val="none"/>
          <w:lang w:val="zh-CN"/>
        </w:rPr>
      </w:pPr>
    </w:p>
    <w:p>
      <w:pPr>
        <w:rPr>
          <w:highlight w:val="none"/>
        </w:rPr>
      </w:pPr>
    </w:p>
    <w:p>
      <w:pPr>
        <w:spacing w:line="360" w:lineRule="auto"/>
        <w:ind w:left="1026" w:leftChars="355" w:hanging="281" w:hangingChars="134"/>
        <w:rPr>
          <w:rFonts w:hAnsi="宋体" w:cs="宋体"/>
          <w:szCs w:val="21"/>
          <w:highlight w:val="none"/>
          <w:lang w:val="zh-CN"/>
        </w:rPr>
      </w:pPr>
    </w:p>
    <w:p>
      <w:pPr>
        <w:spacing w:line="360" w:lineRule="auto"/>
        <w:ind w:left="1026" w:leftChars="355" w:hanging="281" w:hangingChars="134"/>
        <w:rPr>
          <w:rFonts w:hAnsi="宋体" w:cs="宋体"/>
          <w:szCs w:val="21"/>
          <w:highlight w:val="none"/>
          <w:lang w:val="zh-CN"/>
        </w:rPr>
      </w:pPr>
    </w:p>
    <w:p>
      <w:pPr>
        <w:spacing w:line="360" w:lineRule="auto"/>
        <w:rPr>
          <w:rFonts w:hAnsi="宋体" w:cs="宋体"/>
          <w:szCs w:val="21"/>
          <w:highlight w:val="none"/>
          <w:lang w:val="zh-CN"/>
        </w:rPr>
      </w:pPr>
    </w:p>
    <w:p>
      <w:pPr>
        <w:spacing w:line="360" w:lineRule="auto"/>
        <w:rPr>
          <w:rFonts w:hAnsi="宋体"/>
          <w:highlight w:val="none"/>
          <w:lang w:val="zh-CN"/>
        </w:rPr>
      </w:pPr>
      <w:r>
        <w:rPr>
          <w:rFonts w:hint="eastAsia" w:hAnsi="宋体"/>
          <w:highlight w:val="none"/>
          <w:lang w:val="zh-CN"/>
        </w:rPr>
        <w:t>附件：投标文件封面格式：                                         （正/副本）</w:t>
      </w:r>
    </w:p>
    <w:p>
      <w:pPr>
        <w:ind w:right="-26"/>
        <w:jc w:val="center"/>
        <w:rPr>
          <w:b/>
          <w:sz w:val="56"/>
          <w:szCs w:val="52"/>
          <w:highlight w:val="none"/>
        </w:rPr>
      </w:pPr>
    </w:p>
    <w:p>
      <w:pPr>
        <w:tabs>
          <w:tab w:val="left" w:pos="420"/>
          <w:tab w:val="left" w:pos="6660"/>
        </w:tabs>
        <w:spacing w:line="1600" w:lineRule="atLeast"/>
        <w:jc w:val="center"/>
        <w:rPr>
          <w:b/>
          <w:sz w:val="56"/>
          <w:szCs w:val="52"/>
          <w:highlight w:val="none"/>
        </w:rPr>
      </w:pPr>
      <w:r>
        <w:rPr>
          <w:rFonts w:hint="eastAsia"/>
          <w:b/>
          <w:sz w:val="56"/>
          <w:szCs w:val="52"/>
          <w:highlight w:val="none"/>
        </w:rPr>
        <w:t>国家海洋局南海标准计量中心船员</w:t>
      </w:r>
    </w:p>
    <w:p>
      <w:pPr>
        <w:tabs>
          <w:tab w:val="left" w:pos="420"/>
          <w:tab w:val="left" w:pos="6660"/>
        </w:tabs>
        <w:spacing w:line="1600" w:lineRule="atLeast"/>
        <w:jc w:val="center"/>
        <w:rPr>
          <w:b/>
          <w:sz w:val="56"/>
          <w:szCs w:val="52"/>
          <w:highlight w:val="none"/>
        </w:rPr>
      </w:pPr>
      <w:r>
        <w:rPr>
          <w:rFonts w:hint="eastAsia"/>
          <w:b/>
          <w:sz w:val="56"/>
          <w:szCs w:val="52"/>
          <w:highlight w:val="none"/>
        </w:rPr>
        <w:t>服务采购项目</w:t>
      </w:r>
    </w:p>
    <w:p>
      <w:pPr>
        <w:tabs>
          <w:tab w:val="left" w:pos="420"/>
          <w:tab w:val="left" w:pos="6660"/>
        </w:tabs>
        <w:spacing w:line="1600" w:lineRule="atLeast"/>
        <w:jc w:val="center"/>
        <w:rPr>
          <w:rFonts w:hAnsi="宋体"/>
          <w:b/>
          <w:sz w:val="72"/>
          <w:szCs w:val="72"/>
          <w:highlight w:val="none"/>
        </w:rPr>
      </w:pPr>
      <w:r>
        <w:rPr>
          <w:rFonts w:hint="eastAsia" w:hAnsi="宋体"/>
          <w:b/>
          <w:sz w:val="72"/>
          <w:szCs w:val="72"/>
          <w:highlight w:val="none"/>
        </w:rPr>
        <w:t>投标文件</w:t>
      </w:r>
    </w:p>
    <w:p>
      <w:pPr>
        <w:ind w:right="-26"/>
        <w:rPr>
          <w:rFonts w:hAnsi="宋体"/>
          <w:b/>
          <w:bCs/>
          <w:kern w:val="2"/>
          <w:sz w:val="44"/>
          <w:szCs w:val="44"/>
          <w:highlight w:val="none"/>
          <w:lang w:val="zh-CN"/>
        </w:rPr>
      </w:pPr>
    </w:p>
    <w:p>
      <w:pPr>
        <w:spacing w:line="500" w:lineRule="exact"/>
        <w:jc w:val="center"/>
        <w:rPr>
          <w:rFonts w:hAnsi="宋体"/>
          <w:b/>
          <w:bCs/>
          <w:sz w:val="28"/>
          <w:szCs w:val="28"/>
          <w:highlight w:val="none"/>
        </w:rPr>
      </w:pPr>
      <w:r>
        <w:rPr>
          <w:rFonts w:hint="eastAsia" w:hAnsi="宋体"/>
          <w:b/>
          <w:bCs/>
          <w:sz w:val="28"/>
          <w:szCs w:val="28"/>
          <w:highlight w:val="none"/>
        </w:rPr>
        <w:t>采购编号：GDYD221545</w:t>
      </w:r>
      <w:r>
        <w:rPr>
          <w:highlight w:val="none"/>
        </w:rPr>
        <w:fldChar w:fldCharType="begin"/>
      </w:r>
      <w:r>
        <w:rPr>
          <w:highlight w:val="none"/>
        </w:rPr>
        <w:instrText xml:space="preserve"> DOCVARIABLE  采购编号  \* MERGEFORMAT </w:instrText>
      </w:r>
      <w:r>
        <w:rPr>
          <w:highlight w:val="none"/>
        </w:rPr>
        <w:fldChar w:fldCharType="end"/>
      </w:r>
    </w:p>
    <w:p>
      <w:pPr>
        <w:spacing w:line="360" w:lineRule="auto"/>
        <w:rPr>
          <w:rFonts w:hAnsi="宋体"/>
          <w:b/>
          <w:sz w:val="28"/>
          <w:szCs w:val="28"/>
          <w:highlight w:val="none"/>
        </w:rPr>
      </w:pPr>
    </w:p>
    <w:p>
      <w:pPr>
        <w:spacing w:line="360" w:lineRule="auto"/>
        <w:jc w:val="center"/>
        <w:rPr>
          <w:rFonts w:hAnsi="宋体"/>
          <w:b/>
          <w:sz w:val="28"/>
          <w:szCs w:val="28"/>
          <w:highlight w:val="none"/>
        </w:rPr>
      </w:pPr>
    </w:p>
    <w:p>
      <w:pPr>
        <w:spacing w:line="360" w:lineRule="auto"/>
        <w:rPr>
          <w:rFonts w:hAnsi="宋体"/>
          <w:b/>
          <w:sz w:val="28"/>
          <w:szCs w:val="28"/>
          <w:highlight w:val="none"/>
        </w:rPr>
      </w:pPr>
    </w:p>
    <w:p>
      <w:pPr>
        <w:spacing w:line="360" w:lineRule="auto"/>
        <w:rPr>
          <w:rFonts w:hAnsi="宋体"/>
          <w:b/>
          <w:sz w:val="28"/>
          <w:szCs w:val="28"/>
          <w:highlight w:val="none"/>
        </w:rPr>
      </w:pPr>
    </w:p>
    <w:p>
      <w:pPr>
        <w:spacing w:line="360" w:lineRule="auto"/>
        <w:jc w:val="center"/>
        <w:rPr>
          <w:rFonts w:hAnsi="宋体"/>
          <w:b/>
          <w:bCs/>
          <w:sz w:val="28"/>
          <w:szCs w:val="28"/>
          <w:highlight w:val="none"/>
        </w:rPr>
      </w:pPr>
    </w:p>
    <w:p>
      <w:pPr>
        <w:spacing w:line="360" w:lineRule="auto"/>
        <w:ind w:firstLine="703" w:firstLineChars="250"/>
        <w:rPr>
          <w:rFonts w:hAnsi="宋体"/>
          <w:b/>
          <w:bCs/>
          <w:sz w:val="28"/>
          <w:szCs w:val="28"/>
          <w:highlight w:val="none"/>
        </w:rPr>
      </w:pPr>
      <w:r>
        <w:rPr>
          <w:rFonts w:hint="eastAsia" w:hAnsi="宋体"/>
          <w:b/>
          <w:bCs/>
          <w:sz w:val="28"/>
          <w:szCs w:val="28"/>
          <w:highlight w:val="none"/>
        </w:rPr>
        <w:t>投标人：</w:t>
      </w:r>
    </w:p>
    <w:p>
      <w:pPr>
        <w:spacing w:line="360" w:lineRule="auto"/>
        <w:ind w:firstLine="703" w:firstLineChars="250"/>
        <w:rPr>
          <w:rFonts w:hAnsi="宋体"/>
          <w:b/>
          <w:bCs/>
          <w:sz w:val="28"/>
          <w:szCs w:val="28"/>
          <w:highlight w:val="none"/>
        </w:rPr>
      </w:pPr>
      <w:r>
        <w:rPr>
          <w:rFonts w:hint="eastAsia" w:hAnsi="宋体"/>
          <w:b/>
          <w:bCs/>
          <w:sz w:val="28"/>
          <w:szCs w:val="28"/>
          <w:highlight w:val="none"/>
        </w:rPr>
        <w:t>投标人地址：</w:t>
      </w:r>
    </w:p>
    <w:p>
      <w:pPr>
        <w:spacing w:line="360" w:lineRule="auto"/>
        <w:ind w:firstLine="703" w:firstLineChars="250"/>
        <w:rPr>
          <w:rFonts w:hAnsi="宋体"/>
          <w:b/>
          <w:bCs/>
          <w:sz w:val="28"/>
          <w:szCs w:val="28"/>
          <w:highlight w:val="none"/>
        </w:rPr>
      </w:pPr>
      <w:r>
        <w:rPr>
          <w:rFonts w:hint="eastAsia" w:hAnsi="宋体"/>
          <w:b/>
          <w:bCs/>
          <w:sz w:val="28"/>
          <w:szCs w:val="28"/>
          <w:highlight w:val="none"/>
        </w:rPr>
        <w:t>联系人：</w:t>
      </w:r>
    </w:p>
    <w:p>
      <w:pPr>
        <w:spacing w:line="360" w:lineRule="auto"/>
        <w:ind w:firstLine="703" w:firstLineChars="250"/>
        <w:rPr>
          <w:rFonts w:hAnsi="宋体"/>
          <w:b/>
          <w:bCs/>
          <w:sz w:val="28"/>
          <w:szCs w:val="28"/>
          <w:highlight w:val="none"/>
        </w:rPr>
      </w:pPr>
      <w:r>
        <w:rPr>
          <w:rFonts w:hint="eastAsia" w:hAnsi="宋体"/>
          <w:b/>
          <w:bCs/>
          <w:sz w:val="28"/>
          <w:szCs w:val="28"/>
          <w:highlight w:val="none"/>
        </w:rPr>
        <w:t>联系电话：</w:t>
      </w:r>
    </w:p>
    <w:p>
      <w:pPr>
        <w:spacing w:line="360" w:lineRule="auto"/>
        <w:ind w:firstLine="703" w:firstLineChars="250"/>
        <w:rPr>
          <w:rFonts w:hAnsi="宋体"/>
          <w:b/>
          <w:bCs/>
          <w:sz w:val="28"/>
          <w:szCs w:val="28"/>
          <w:highlight w:val="none"/>
        </w:rPr>
      </w:pPr>
      <w:r>
        <w:rPr>
          <w:rFonts w:hint="eastAsia" w:hAnsi="宋体"/>
          <w:b/>
          <w:bCs/>
          <w:sz w:val="28"/>
          <w:szCs w:val="28"/>
          <w:highlight w:val="none"/>
        </w:rPr>
        <w:t>电子邮箱：</w:t>
      </w:r>
    </w:p>
    <w:p>
      <w:pPr>
        <w:spacing w:line="360" w:lineRule="auto"/>
        <w:ind w:firstLine="703" w:firstLineChars="250"/>
        <w:rPr>
          <w:rFonts w:hAnsi="宋体"/>
          <w:b/>
          <w:bCs/>
          <w:sz w:val="28"/>
          <w:szCs w:val="28"/>
          <w:highlight w:val="none"/>
        </w:rPr>
      </w:pPr>
      <w:r>
        <w:rPr>
          <w:rFonts w:hint="eastAsia" w:hAnsi="宋体"/>
          <w:b/>
          <w:bCs/>
          <w:sz w:val="28"/>
          <w:szCs w:val="28"/>
          <w:highlight w:val="none"/>
        </w:rPr>
        <w:t>投标日期：20</w:t>
      </w:r>
      <w:r>
        <w:rPr>
          <w:rFonts w:hAnsi="宋体"/>
          <w:b/>
          <w:bCs/>
          <w:sz w:val="28"/>
          <w:szCs w:val="28"/>
          <w:highlight w:val="none"/>
        </w:rPr>
        <w:t>2</w:t>
      </w:r>
      <w:r>
        <w:rPr>
          <w:rFonts w:hint="eastAsia" w:hAnsi="宋体"/>
          <w:b/>
          <w:bCs/>
          <w:sz w:val="28"/>
          <w:szCs w:val="28"/>
          <w:highlight w:val="none"/>
        </w:rPr>
        <w:t>1年 月</w:t>
      </w:r>
    </w:p>
    <w:p>
      <w:pPr>
        <w:spacing w:line="360" w:lineRule="auto"/>
        <w:ind w:left="1026" w:leftChars="355" w:hanging="281" w:hangingChars="134"/>
        <w:rPr>
          <w:rFonts w:hAnsi="宋体" w:cs="宋体"/>
          <w:szCs w:val="21"/>
          <w:highlight w:val="none"/>
          <w:lang w:val="zh-CN"/>
        </w:rPr>
      </w:pPr>
    </w:p>
    <w:p>
      <w:pPr>
        <w:pStyle w:val="4"/>
        <w:spacing w:before="120" w:line="480" w:lineRule="exact"/>
        <w:jc w:val="center"/>
        <w:rPr>
          <w:rFonts w:hAnsi="宋体" w:cs="宋体"/>
          <w:b/>
          <w:sz w:val="32"/>
          <w:szCs w:val="32"/>
          <w:highlight w:val="none"/>
        </w:rPr>
      </w:pPr>
      <w:r>
        <w:rPr>
          <w:rFonts w:hint="eastAsia" w:hAnsi="宋体" w:cs="宋体"/>
          <w:szCs w:val="21"/>
          <w:highlight w:val="none"/>
          <w:lang w:val="zh-CN"/>
        </w:rPr>
        <w:br w:type="page"/>
      </w:r>
      <w:r>
        <w:rPr>
          <w:rFonts w:hint="eastAsia" w:hAnsi="宋体" w:cs="宋体"/>
          <w:b/>
          <w:sz w:val="32"/>
          <w:szCs w:val="32"/>
          <w:highlight w:val="none"/>
        </w:rPr>
        <w:t>一、自查表</w:t>
      </w:r>
    </w:p>
    <w:p>
      <w:pPr>
        <w:pStyle w:val="4"/>
        <w:spacing w:before="120" w:line="480" w:lineRule="exact"/>
        <w:jc w:val="center"/>
        <w:rPr>
          <w:rFonts w:hAnsi="宋体" w:cs="宋体"/>
          <w:b/>
          <w:sz w:val="32"/>
          <w:szCs w:val="32"/>
          <w:highlight w:val="none"/>
        </w:rPr>
      </w:pPr>
      <w:r>
        <w:rPr>
          <w:rFonts w:hint="eastAsia" w:hAnsi="宋体" w:cs="宋体"/>
          <w:b/>
          <w:sz w:val="32"/>
          <w:szCs w:val="32"/>
          <w:highlight w:val="none"/>
        </w:rPr>
        <w:t>1.资格性/符合性自查表</w:t>
      </w:r>
    </w:p>
    <w:tbl>
      <w:tblPr>
        <w:tblStyle w:val="49"/>
        <w:tblW w:w="9781" w:type="dxa"/>
        <w:tblInd w:w="5" w:type="dxa"/>
        <w:tblLayout w:type="fixed"/>
        <w:tblCellMar>
          <w:top w:w="0" w:type="dxa"/>
          <w:left w:w="0" w:type="dxa"/>
          <w:bottom w:w="0" w:type="dxa"/>
          <w:right w:w="0" w:type="dxa"/>
        </w:tblCellMar>
      </w:tblPr>
      <w:tblGrid>
        <w:gridCol w:w="709"/>
        <w:gridCol w:w="1559"/>
        <w:gridCol w:w="5245"/>
        <w:gridCol w:w="1134"/>
        <w:gridCol w:w="1134"/>
      </w:tblGrid>
      <w:tr>
        <w:tblPrEx>
          <w:tblCellMar>
            <w:top w:w="0" w:type="dxa"/>
            <w:left w:w="0" w:type="dxa"/>
            <w:bottom w:w="0" w:type="dxa"/>
            <w:right w:w="0" w:type="dxa"/>
          </w:tblCellMar>
        </w:tblPrEx>
        <w:trPr>
          <w:trHeight w:val="522" w:hRule="atLeast"/>
        </w:trPr>
        <w:tc>
          <w:tcPr>
            <w:tcW w:w="2268" w:type="dxa"/>
            <w:gridSpan w:val="2"/>
            <w:tcBorders>
              <w:top w:val="single" w:color="auto" w:sz="4" w:space="0"/>
              <w:left w:val="single" w:color="auto" w:sz="4" w:space="0"/>
              <w:bottom w:val="single" w:color="auto" w:sz="4" w:space="0"/>
              <w:right w:val="single" w:color="auto" w:sz="4" w:space="0"/>
            </w:tcBorders>
            <w:vAlign w:val="center"/>
          </w:tcPr>
          <w:p>
            <w:pPr>
              <w:ind w:left="-171"/>
              <w:jc w:val="center"/>
              <w:rPr>
                <w:rFonts w:hAnsi="宋体" w:cs="宋体"/>
                <w:b/>
                <w:bCs/>
                <w:szCs w:val="21"/>
                <w:highlight w:val="none"/>
              </w:rPr>
            </w:pPr>
            <w:r>
              <w:rPr>
                <w:rFonts w:hint="eastAsia" w:hAnsi="宋体" w:cs="宋体"/>
                <w:b/>
                <w:bCs/>
                <w:szCs w:val="21"/>
                <w:highlight w:val="none"/>
              </w:rPr>
              <w:t>评审内容</w:t>
            </w:r>
          </w:p>
        </w:tc>
        <w:tc>
          <w:tcPr>
            <w:tcW w:w="5245" w:type="dxa"/>
            <w:tcBorders>
              <w:top w:val="single" w:color="auto" w:sz="4" w:space="0"/>
              <w:left w:val="single" w:color="auto" w:sz="4" w:space="0"/>
              <w:bottom w:val="single" w:color="auto" w:sz="4" w:space="0"/>
              <w:right w:val="single" w:color="auto" w:sz="4" w:space="0"/>
            </w:tcBorders>
            <w:vAlign w:val="center"/>
          </w:tcPr>
          <w:p>
            <w:pPr>
              <w:ind w:left="-171"/>
              <w:jc w:val="center"/>
              <w:rPr>
                <w:rFonts w:hAnsi="宋体" w:cs="宋体"/>
                <w:b/>
                <w:bCs/>
                <w:szCs w:val="21"/>
                <w:highlight w:val="none"/>
              </w:rPr>
            </w:pPr>
            <w:r>
              <w:rPr>
                <w:rFonts w:hint="eastAsia" w:hAnsi="宋体" w:cs="宋体"/>
                <w:b/>
                <w:bCs/>
                <w:szCs w:val="21"/>
                <w:highlight w:val="none"/>
              </w:rPr>
              <w:t>采购文件要求</w:t>
            </w:r>
          </w:p>
        </w:tc>
        <w:tc>
          <w:tcPr>
            <w:tcW w:w="1134" w:type="dxa"/>
            <w:tcBorders>
              <w:top w:val="single" w:color="auto" w:sz="4" w:space="0"/>
              <w:left w:val="nil"/>
              <w:bottom w:val="single" w:color="auto" w:sz="4" w:space="0"/>
              <w:right w:val="single" w:color="auto" w:sz="4" w:space="0"/>
            </w:tcBorders>
            <w:vAlign w:val="center"/>
          </w:tcPr>
          <w:p>
            <w:pPr>
              <w:ind w:left="-171"/>
              <w:jc w:val="center"/>
              <w:rPr>
                <w:rFonts w:hAnsi="宋体" w:cs="宋体"/>
                <w:b/>
                <w:bCs/>
                <w:szCs w:val="21"/>
                <w:highlight w:val="none"/>
              </w:rPr>
            </w:pPr>
            <w:r>
              <w:rPr>
                <w:rFonts w:hint="eastAsia" w:hAnsi="宋体" w:cs="宋体"/>
                <w:b/>
                <w:bCs/>
                <w:szCs w:val="21"/>
                <w:highlight w:val="none"/>
              </w:rPr>
              <w:t>自查结论</w:t>
            </w:r>
          </w:p>
        </w:tc>
        <w:tc>
          <w:tcPr>
            <w:tcW w:w="1134" w:type="dxa"/>
            <w:tcBorders>
              <w:top w:val="single" w:color="auto" w:sz="4" w:space="0"/>
              <w:left w:val="single" w:color="auto" w:sz="4" w:space="0"/>
              <w:bottom w:val="single" w:color="000000" w:sz="4" w:space="0"/>
              <w:right w:val="single" w:color="auto" w:sz="4" w:space="0"/>
            </w:tcBorders>
            <w:vAlign w:val="center"/>
          </w:tcPr>
          <w:p>
            <w:pPr>
              <w:ind w:left="-171"/>
              <w:jc w:val="center"/>
              <w:rPr>
                <w:rFonts w:hAnsi="宋体" w:cs="宋体"/>
                <w:b/>
                <w:bCs/>
                <w:szCs w:val="21"/>
                <w:highlight w:val="none"/>
              </w:rPr>
            </w:pPr>
            <w:r>
              <w:rPr>
                <w:rFonts w:hint="eastAsia" w:hAnsi="宋体" w:cs="宋体"/>
                <w:b/>
                <w:bCs/>
                <w:szCs w:val="21"/>
                <w:highlight w:val="none"/>
              </w:rPr>
              <w:t>证明资料</w:t>
            </w:r>
          </w:p>
        </w:tc>
      </w:tr>
      <w:tr>
        <w:tblPrEx>
          <w:tblCellMar>
            <w:top w:w="0" w:type="dxa"/>
            <w:left w:w="0" w:type="dxa"/>
            <w:bottom w:w="0" w:type="dxa"/>
            <w:right w:w="0" w:type="dxa"/>
          </w:tblCellMar>
        </w:tblPrEx>
        <w:trPr>
          <w:trHeight w:val="510" w:hRule="atLeast"/>
        </w:trPr>
        <w:tc>
          <w:tcPr>
            <w:tcW w:w="709" w:type="dxa"/>
            <w:vMerge w:val="restart"/>
            <w:tcBorders>
              <w:top w:val="nil"/>
              <w:left w:val="single" w:color="auto" w:sz="4" w:space="0"/>
              <w:right w:val="single" w:color="auto" w:sz="4" w:space="0"/>
            </w:tcBorders>
            <w:vAlign w:val="center"/>
          </w:tcPr>
          <w:p>
            <w:pPr>
              <w:jc w:val="center"/>
              <w:rPr>
                <w:rFonts w:hAnsi="宋体" w:cs="宋体"/>
                <w:szCs w:val="21"/>
                <w:highlight w:val="none"/>
              </w:rPr>
            </w:pPr>
            <w:r>
              <w:rPr>
                <w:rFonts w:hint="eastAsia" w:hAnsi="宋体" w:cs="宋体"/>
                <w:szCs w:val="21"/>
                <w:highlight w:val="none"/>
              </w:rPr>
              <w:t>资格性检查</w:t>
            </w:r>
          </w:p>
        </w:tc>
        <w:tc>
          <w:tcPr>
            <w:tcW w:w="1559" w:type="dxa"/>
            <w:tcBorders>
              <w:top w:val="nil"/>
              <w:left w:val="nil"/>
              <w:bottom w:val="single" w:color="auto" w:sz="4" w:space="0"/>
              <w:right w:val="single" w:color="auto" w:sz="4" w:space="0"/>
            </w:tcBorders>
            <w:vAlign w:val="center"/>
          </w:tcPr>
          <w:p>
            <w:pPr>
              <w:ind w:left="40" w:leftChars="19"/>
              <w:jc w:val="center"/>
              <w:rPr>
                <w:rFonts w:hAnsi="宋体" w:cs="宋体"/>
                <w:szCs w:val="21"/>
                <w:highlight w:val="none"/>
              </w:rPr>
            </w:pPr>
            <w:r>
              <w:rPr>
                <w:rFonts w:hint="eastAsia" w:hAnsi="宋体" w:cs="宋体"/>
                <w:szCs w:val="21"/>
                <w:highlight w:val="none"/>
              </w:rPr>
              <w:t>投标函</w:t>
            </w:r>
          </w:p>
        </w:tc>
        <w:tc>
          <w:tcPr>
            <w:tcW w:w="5245" w:type="dxa"/>
            <w:tcBorders>
              <w:top w:val="nil"/>
              <w:left w:val="nil"/>
              <w:bottom w:val="single" w:color="auto" w:sz="4" w:space="0"/>
              <w:right w:val="single" w:color="auto" w:sz="4" w:space="0"/>
            </w:tcBorders>
            <w:vAlign w:val="center"/>
          </w:tcPr>
          <w:p>
            <w:pPr>
              <w:ind w:left="40" w:leftChars="19"/>
              <w:jc w:val="both"/>
              <w:rPr>
                <w:rFonts w:hAnsi="宋体" w:cs="宋体"/>
                <w:szCs w:val="21"/>
                <w:highlight w:val="none"/>
              </w:rPr>
            </w:pPr>
            <w:r>
              <w:rPr>
                <w:rFonts w:hint="eastAsia" w:hAnsi="宋体" w:cs="宋体"/>
                <w:szCs w:val="21"/>
                <w:highlight w:val="none"/>
              </w:rPr>
              <w:t>按对应格式文件填写、签署、盖章(原件)</w:t>
            </w:r>
          </w:p>
        </w:tc>
        <w:tc>
          <w:tcPr>
            <w:tcW w:w="1134" w:type="dxa"/>
            <w:tcBorders>
              <w:top w:val="nil"/>
              <w:left w:val="nil"/>
              <w:bottom w:val="single" w:color="auto" w:sz="4" w:space="0"/>
              <w:right w:val="single" w:color="auto" w:sz="4" w:space="0"/>
            </w:tcBorders>
            <w:vAlign w:val="center"/>
          </w:tcPr>
          <w:p>
            <w:pPr>
              <w:ind w:left="264" w:leftChars="59" w:hanging="140" w:hangingChars="67"/>
              <w:jc w:val="both"/>
              <w:rPr>
                <w:rFonts w:hAnsi="宋体" w:cs="宋体"/>
                <w:szCs w:val="21"/>
                <w:highlight w:val="none"/>
              </w:rPr>
            </w:pPr>
            <w:r>
              <w:rPr>
                <w:rFonts w:hint="eastAsia" w:hAnsi="宋体" w:cs="宋体"/>
                <w:szCs w:val="21"/>
                <w:highlight w:val="none"/>
              </w:rPr>
              <w:t>□通过</w:t>
            </w:r>
          </w:p>
          <w:p>
            <w:pPr>
              <w:ind w:left="264" w:leftChars="59" w:hanging="140" w:hangingChars="67"/>
              <w:jc w:val="both"/>
              <w:rPr>
                <w:rFonts w:hAnsi="宋体" w:cs="宋体"/>
                <w:szCs w:val="21"/>
                <w:highlight w:val="none"/>
              </w:rPr>
            </w:pPr>
            <w:r>
              <w:rPr>
                <w:rFonts w:hint="eastAsia" w:hAnsi="宋体" w:cs="宋体"/>
                <w:szCs w:val="21"/>
                <w:highlight w:val="none"/>
              </w:rPr>
              <w:t>□不通过</w:t>
            </w:r>
          </w:p>
        </w:tc>
        <w:tc>
          <w:tcPr>
            <w:tcW w:w="1134" w:type="dxa"/>
            <w:tcBorders>
              <w:top w:val="nil"/>
              <w:left w:val="nil"/>
              <w:bottom w:val="single" w:color="auto" w:sz="4" w:space="0"/>
              <w:right w:val="single" w:color="auto" w:sz="4" w:space="0"/>
            </w:tcBorders>
            <w:vAlign w:val="center"/>
          </w:tcPr>
          <w:p>
            <w:pPr>
              <w:ind w:left="124" w:leftChars="59"/>
              <w:rPr>
                <w:rFonts w:hAnsi="宋体" w:cs="宋体"/>
                <w:szCs w:val="21"/>
                <w:highlight w:val="none"/>
              </w:rPr>
            </w:pPr>
            <w:r>
              <w:rPr>
                <w:rFonts w:hint="eastAsia" w:hAnsi="宋体" w:cs="宋体"/>
                <w:szCs w:val="21"/>
                <w:highlight w:val="none"/>
              </w:rPr>
              <w:t>见投标文件第（）页</w:t>
            </w:r>
          </w:p>
        </w:tc>
      </w:tr>
      <w:tr>
        <w:tblPrEx>
          <w:tblCellMar>
            <w:top w:w="0" w:type="dxa"/>
            <w:left w:w="0" w:type="dxa"/>
            <w:bottom w:w="0" w:type="dxa"/>
            <w:right w:w="0" w:type="dxa"/>
          </w:tblCellMar>
        </w:tblPrEx>
        <w:trPr>
          <w:trHeight w:val="510" w:hRule="atLeast"/>
        </w:trPr>
        <w:tc>
          <w:tcPr>
            <w:tcW w:w="709" w:type="dxa"/>
            <w:vMerge w:val="continue"/>
            <w:tcBorders>
              <w:left w:val="single" w:color="auto" w:sz="4" w:space="0"/>
              <w:right w:val="single" w:color="auto" w:sz="4" w:space="0"/>
            </w:tcBorders>
            <w:vAlign w:val="center"/>
          </w:tcPr>
          <w:p>
            <w:pPr>
              <w:jc w:val="center"/>
              <w:rPr>
                <w:rFonts w:hAnsi="宋体" w:cs="宋体"/>
                <w:szCs w:val="21"/>
                <w:highlight w:val="none"/>
              </w:rPr>
            </w:pPr>
          </w:p>
        </w:tc>
        <w:tc>
          <w:tcPr>
            <w:tcW w:w="1559" w:type="dxa"/>
            <w:tcBorders>
              <w:top w:val="nil"/>
              <w:left w:val="nil"/>
              <w:bottom w:val="single" w:color="auto" w:sz="4" w:space="0"/>
              <w:right w:val="single" w:color="auto" w:sz="4" w:space="0"/>
            </w:tcBorders>
            <w:vAlign w:val="center"/>
          </w:tcPr>
          <w:p>
            <w:pPr>
              <w:ind w:left="40" w:leftChars="19"/>
              <w:jc w:val="center"/>
              <w:rPr>
                <w:rFonts w:hAnsi="宋体" w:cs="宋体"/>
                <w:szCs w:val="21"/>
                <w:highlight w:val="none"/>
              </w:rPr>
            </w:pPr>
            <w:r>
              <w:rPr>
                <w:rFonts w:hint="eastAsia" w:hAnsi="宋体" w:cs="宋体"/>
                <w:szCs w:val="21"/>
                <w:highlight w:val="none"/>
              </w:rPr>
              <w:t>法定代表人/负责人资格证明书及授权委托书</w:t>
            </w:r>
          </w:p>
        </w:tc>
        <w:tc>
          <w:tcPr>
            <w:tcW w:w="5245" w:type="dxa"/>
            <w:tcBorders>
              <w:top w:val="nil"/>
              <w:left w:val="nil"/>
              <w:bottom w:val="single" w:color="auto" w:sz="4" w:space="0"/>
              <w:right w:val="single" w:color="auto" w:sz="4" w:space="0"/>
            </w:tcBorders>
            <w:vAlign w:val="center"/>
          </w:tcPr>
          <w:p>
            <w:pPr>
              <w:ind w:left="40" w:leftChars="19"/>
              <w:jc w:val="both"/>
              <w:rPr>
                <w:rFonts w:hAnsi="宋体" w:cs="宋体"/>
                <w:szCs w:val="21"/>
                <w:highlight w:val="none"/>
              </w:rPr>
            </w:pPr>
            <w:r>
              <w:rPr>
                <w:rFonts w:hint="eastAsia" w:hAnsi="宋体" w:cs="宋体"/>
                <w:szCs w:val="21"/>
                <w:highlight w:val="none"/>
              </w:rPr>
              <w:t>按对应格式文件签署、盖章(原件)</w:t>
            </w:r>
          </w:p>
        </w:tc>
        <w:tc>
          <w:tcPr>
            <w:tcW w:w="1134" w:type="dxa"/>
            <w:tcBorders>
              <w:top w:val="nil"/>
              <w:left w:val="nil"/>
              <w:bottom w:val="single" w:color="auto" w:sz="4" w:space="0"/>
              <w:right w:val="single" w:color="auto" w:sz="4" w:space="0"/>
            </w:tcBorders>
            <w:vAlign w:val="center"/>
          </w:tcPr>
          <w:p>
            <w:pPr>
              <w:ind w:left="264" w:leftChars="59" w:hanging="140" w:hangingChars="67"/>
              <w:jc w:val="both"/>
              <w:rPr>
                <w:rFonts w:hAnsi="宋体" w:cs="宋体"/>
                <w:szCs w:val="21"/>
                <w:highlight w:val="none"/>
              </w:rPr>
            </w:pPr>
            <w:r>
              <w:rPr>
                <w:rFonts w:hint="eastAsia" w:hAnsi="宋体" w:cs="宋体"/>
                <w:szCs w:val="21"/>
                <w:highlight w:val="none"/>
              </w:rPr>
              <w:t>□通过</w:t>
            </w:r>
          </w:p>
          <w:p>
            <w:pPr>
              <w:ind w:left="264" w:leftChars="59" w:hanging="140" w:hangingChars="67"/>
              <w:jc w:val="both"/>
              <w:rPr>
                <w:rFonts w:hAnsi="宋体" w:cs="宋体"/>
                <w:szCs w:val="21"/>
                <w:highlight w:val="none"/>
              </w:rPr>
            </w:pPr>
            <w:r>
              <w:rPr>
                <w:rFonts w:hint="eastAsia" w:hAnsi="宋体" w:cs="宋体"/>
                <w:szCs w:val="21"/>
                <w:highlight w:val="none"/>
              </w:rPr>
              <w:t>□不通过</w:t>
            </w:r>
          </w:p>
        </w:tc>
        <w:tc>
          <w:tcPr>
            <w:tcW w:w="1134" w:type="dxa"/>
            <w:tcBorders>
              <w:top w:val="nil"/>
              <w:left w:val="nil"/>
              <w:bottom w:val="single" w:color="auto" w:sz="4" w:space="0"/>
              <w:right w:val="single" w:color="auto" w:sz="4" w:space="0"/>
            </w:tcBorders>
            <w:vAlign w:val="center"/>
          </w:tcPr>
          <w:p>
            <w:pPr>
              <w:ind w:left="124" w:leftChars="59"/>
              <w:rPr>
                <w:rFonts w:hAnsi="宋体" w:cs="宋体"/>
                <w:szCs w:val="21"/>
                <w:highlight w:val="none"/>
              </w:rPr>
            </w:pPr>
            <w:r>
              <w:rPr>
                <w:rFonts w:hint="eastAsia" w:hAnsi="宋体" w:cs="宋体"/>
                <w:szCs w:val="21"/>
                <w:highlight w:val="none"/>
              </w:rPr>
              <w:t>见投标文件第（）页</w:t>
            </w:r>
          </w:p>
        </w:tc>
      </w:tr>
      <w:tr>
        <w:tblPrEx>
          <w:tblCellMar>
            <w:top w:w="0" w:type="dxa"/>
            <w:left w:w="0" w:type="dxa"/>
            <w:bottom w:w="0" w:type="dxa"/>
            <w:right w:w="0" w:type="dxa"/>
          </w:tblCellMar>
        </w:tblPrEx>
        <w:trPr>
          <w:trHeight w:val="916" w:hRule="atLeast"/>
        </w:trPr>
        <w:tc>
          <w:tcPr>
            <w:tcW w:w="709" w:type="dxa"/>
            <w:vMerge w:val="continue"/>
            <w:tcBorders>
              <w:left w:val="single" w:color="auto" w:sz="4" w:space="0"/>
              <w:right w:val="single" w:color="auto" w:sz="4" w:space="0"/>
            </w:tcBorders>
            <w:vAlign w:val="center"/>
          </w:tcPr>
          <w:p>
            <w:pPr>
              <w:ind w:left="-171"/>
              <w:jc w:val="center"/>
              <w:rPr>
                <w:rFonts w:hAnsi="宋体" w:cs="宋体"/>
                <w:szCs w:val="21"/>
                <w:highlight w:val="none"/>
              </w:rPr>
            </w:pPr>
          </w:p>
        </w:tc>
        <w:tc>
          <w:tcPr>
            <w:tcW w:w="1559" w:type="dxa"/>
            <w:tcBorders>
              <w:top w:val="single" w:color="auto" w:sz="4" w:space="0"/>
              <w:left w:val="nil"/>
              <w:bottom w:val="single" w:color="auto" w:sz="4" w:space="0"/>
              <w:right w:val="single" w:color="auto" w:sz="4" w:space="0"/>
            </w:tcBorders>
            <w:vAlign w:val="center"/>
          </w:tcPr>
          <w:p>
            <w:pPr>
              <w:ind w:left="40" w:leftChars="19"/>
              <w:jc w:val="both"/>
              <w:rPr>
                <w:rFonts w:hAnsi="宋体" w:cs="宋体"/>
                <w:szCs w:val="21"/>
                <w:highlight w:val="none"/>
              </w:rPr>
            </w:pPr>
            <w:r>
              <w:rPr>
                <w:rFonts w:hint="eastAsia" w:hAnsi="宋体" w:cs="宋体"/>
                <w:szCs w:val="21"/>
                <w:highlight w:val="none"/>
              </w:rPr>
              <w:t>准入条件(关于资格的声明)</w:t>
            </w:r>
          </w:p>
        </w:tc>
        <w:tc>
          <w:tcPr>
            <w:tcW w:w="5245" w:type="dxa"/>
            <w:tcBorders>
              <w:top w:val="nil"/>
              <w:left w:val="nil"/>
              <w:bottom w:val="single" w:color="auto" w:sz="4" w:space="0"/>
              <w:right w:val="single" w:color="auto" w:sz="4" w:space="0"/>
            </w:tcBorders>
            <w:vAlign w:val="center"/>
          </w:tcPr>
          <w:p>
            <w:pPr>
              <w:ind w:left="40" w:leftChars="19"/>
              <w:jc w:val="both"/>
              <w:rPr>
                <w:rFonts w:hAnsi="宋体" w:cs="宋体"/>
                <w:szCs w:val="21"/>
                <w:highlight w:val="none"/>
              </w:rPr>
            </w:pPr>
            <w:r>
              <w:rPr>
                <w:rFonts w:hint="eastAsia" w:hAnsi="宋体" w:cs="宋体"/>
                <w:szCs w:val="21"/>
                <w:highlight w:val="none"/>
              </w:rPr>
              <w:t>能独立承担民事责任，具有从事本项目的经营范围和能力。提供《营业执照》</w:t>
            </w:r>
            <w:r>
              <w:rPr>
                <w:rFonts w:hint="eastAsia" w:hAnsi="宋体" w:cs="宋体"/>
                <w:bCs/>
                <w:szCs w:val="21"/>
                <w:highlight w:val="none"/>
              </w:rPr>
              <w:t>副本复印件</w:t>
            </w:r>
            <w:r>
              <w:rPr>
                <w:rFonts w:hint="eastAsia" w:hAnsi="宋体" w:cs="宋体"/>
                <w:szCs w:val="21"/>
                <w:highlight w:val="none"/>
              </w:rPr>
              <w:t>、</w:t>
            </w:r>
            <w:r>
              <w:rPr>
                <w:rFonts w:hint="eastAsia" w:hAnsi="宋体" w:cs="宋体"/>
                <w:bCs/>
                <w:szCs w:val="21"/>
                <w:highlight w:val="none"/>
              </w:rPr>
              <w:t>招标公告要求的资质资格证明复印件</w:t>
            </w:r>
            <w:r>
              <w:rPr>
                <w:rFonts w:hint="eastAsia" w:hAnsi="宋体" w:cs="宋体"/>
                <w:szCs w:val="21"/>
                <w:highlight w:val="none"/>
              </w:rPr>
              <w:t>加盖公章（见《投标须知前附表》）。</w:t>
            </w:r>
          </w:p>
        </w:tc>
        <w:tc>
          <w:tcPr>
            <w:tcW w:w="1134" w:type="dxa"/>
            <w:tcBorders>
              <w:top w:val="nil"/>
              <w:left w:val="nil"/>
              <w:bottom w:val="single" w:color="auto" w:sz="4" w:space="0"/>
              <w:right w:val="single" w:color="auto" w:sz="4" w:space="0"/>
            </w:tcBorders>
            <w:vAlign w:val="center"/>
          </w:tcPr>
          <w:p>
            <w:pPr>
              <w:ind w:left="264" w:leftChars="59" w:hanging="140" w:hangingChars="67"/>
              <w:jc w:val="both"/>
              <w:rPr>
                <w:rFonts w:hAnsi="宋体" w:cs="宋体"/>
                <w:szCs w:val="21"/>
                <w:highlight w:val="none"/>
              </w:rPr>
            </w:pPr>
            <w:r>
              <w:rPr>
                <w:rFonts w:hint="eastAsia" w:hAnsi="宋体" w:cs="宋体"/>
                <w:szCs w:val="21"/>
                <w:highlight w:val="none"/>
              </w:rPr>
              <w:t>□通过</w:t>
            </w:r>
          </w:p>
          <w:p>
            <w:pPr>
              <w:ind w:left="264" w:leftChars="59" w:hanging="140" w:hangingChars="67"/>
              <w:jc w:val="both"/>
              <w:rPr>
                <w:rFonts w:hAnsi="宋体" w:cs="宋体"/>
                <w:szCs w:val="21"/>
                <w:highlight w:val="none"/>
              </w:rPr>
            </w:pPr>
            <w:r>
              <w:rPr>
                <w:rFonts w:hint="eastAsia" w:hAnsi="宋体" w:cs="宋体"/>
                <w:szCs w:val="21"/>
                <w:highlight w:val="none"/>
              </w:rPr>
              <w:t>□不通过</w:t>
            </w:r>
          </w:p>
        </w:tc>
        <w:tc>
          <w:tcPr>
            <w:tcW w:w="1134" w:type="dxa"/>
            <w:tcBorders>
              <w:top w:val="nil"/>
              <w:left w:val="nil"/>
              <w:bottom w:val="single" w:color="auto" w:sz="4" w:space="0"/>
              <w:right w:val="single" w:color="auto" w:sz="4" w:space="0"/>
            </w:tcBorders>
            <w:vAlign w:val="center"/>
          </w:tcPr>
          <w:p>
            <w:pPr>
              <w:ind w:left="124" w:leftChars="59"/>
              <w:rPr>
                <w:rFonts w:hAnsi="宋体" w:cs="宋体"/>
                <w:szCs w:val="21"/>
                <w:highlight w:val="none"/>
              </w:rPr>
            </w:pPr>
            <w:r>
              <w:rPr>
                <w:rFonts w:hint="eastAsia" w:hAnsi="宋体" w:cs="宋体"/>
                <w:szCs w:val="21"/>
                <w:highlight w:val="none"/>
              </w:rPr>
              <w:t>见投标文件第（）页</w:t>
            </w:r>
          </w:p>
        </w:tc>
      </w:tr>
      <w:tr>
        <w:tblPrEx>
          <w:tblCellMar>
            <w:top w:w="0" w:type="dxa"/>
            <w:left w:w="0" w:type="dxa"/>
            <w:bottom w:w="0" w:type="dxa"/>
            <w:right w:w="0" w:type="dxa"/>
          </w:tblCellMar>
        </w:tblPrEx>
        <w:trPr>
          <w:trHeight w:val="731" w:hRule="atLeast"/>
        </w:trPr>
        <w:tc>
          <w:tcPr>
            <w:tcW w:w="709" w:type="dxa"/>
            <w:vMerge w:val="continue"/>
            <w:tcBorders>
              <w:left w:val="single" w:color="auto" w:sz="4" w:space="0"/>
              <w:right w:val="single" w:color="auto" w:sz="4" w:space="0"/>
            </w:tcBorders>
            <w:vAlign w:val="center"/>
          </w:tcPr>
          <w:p>
            <w:pPr>
              <w:ind w:left="-171"/>
              <w:jc w:val="center"/>
              <w:rPr>
                <w:rFonts w:hAnsi="宋体" w:cs="宋体"/>
                <w:szCs w:val="21"/>
                <w:highlight w:val="none"/>
              </w:rPr>
            </w:pPr>
          </w:p>
        </w:tc>
        <w:tc>
          <w:tcPr>
            <w:tcW w:w="1559" w:type="dxa"/>
            <w:vMerge w:val="restart"/>
            <w:tcBorders>
              <w:top w:val="single" w:color="auto" w:sz="4" w:space="0"/>
              <w:left w:val="nil"/>
              <w:right w:val="single" w:color="auto" w:sz="4" w:space="0"/>
            </w:tcBorders>
            <w:vAlign w:val="center"/>
          </w:tcPr>
          <w:p>
            <w:pPr>
              <w:ind w:left="40" w:leftChars="19"/>
              <w:jc w:val="center"/>
              <w:rPr>
                <w:rFonts w:hAnsi="宋体" w:cs="宋体"/>
                <w:szCs w:val="21"/>
                <w:highlight w:val="none"/>
              </w:rPr>
            </w:pPr>
            <w:r>
              <w:rPr>
                <w:rFonts w:hint="eastAsia" w:hAnsi="宋体" w:cs="宋体"/>
                <w:szCs w:val="21"/>
                <w:highlight w:val="none"/>
              </w:rPr>
              <w:t>其他要求</w:t>
            </w:r>
          </w:p>
        </w:tc>
        <w:tc>
          <w:tcPr>
            <w:tcW w:w="5245" w:type="dxa"/>
            <w:tcBorders>
              <w:top w:val="nil"/>
              <w:left w:val="nil"/>
              <w:bottom w:val="single" w:color="auto" w:sz="4" w:space="0"/>
              <w:right w:val="single" w:color="auto" w:sz="4" w:space="0"/>
            </w:tcBorders>
            <w:vAlign w:val="center"/>
          </w:tcPr>
          <w:p>
            <w:pPr>
              <w:spacing w:line="300" w:lineRule="auto"/>
              <w:jc w:val="both"/>
              <w:rPr>
                <w:rFonts w:hAnsi="宋体" w:cs="宋体"/>
                <w:kern w:val="2"/>
                <w:szCs w:val="21"/>
                <w:highlight w:val="none"/>
                <w:lang w:val="zh-CN"/>
              </w:rPr>
            </w:pPr>
            <w:r>
              <w:rPr>
                <w:rFonts w:hint="eastAsia" w:hAnsi="宋体" w:cs="宋体"/>
                <w:szCs w:val="21"/>
                <w:highlight w:val="none"/>
              </w:rPr>
              <w:t>按投标资料清单中规定提供“必须提交”的文件资料</w:t>
            </w:r>
          </w:p>
        </w:tc>
        <w:tc>
          <w:tcPr>
            <w:tcW w:w="1134" w:type="dxa"/>
            <w:tcBorders>
              <w:top w:val="nil"/>
              <w:left w:val="nil"/>
              <w:bottom w:val="single" w:color="auto" w:sz="4" w:space="0"/>
              <w:right w:val="single" w:color="auto" w:sz="4" w:space="0"/>
            </w:tcBorders>
            <w:vAlign w:val="center"/>
          </w:tcPr>
          <w:p>
            <w:pPr>
              <w:ind w:left="264" w:leftChars="59" w:hanging="140" w:hangingChars="67"/>
              <w:jc w:val="both"/>
              <w:rPr>
                <w:rFonts w:hAnsi="宋体" w:cs="宋体"/>
                <w:szCs w:val="21"/>
                <w:highlight w:val="none"/>
              </w:rPr>
            </w:pPr>
            <w:r>
              <w:rPr>
                <w:rFonts w:hint="eastAsia" w:hAnsi="宋体" w:cs="宋体"/>
                <w:szCs w:val="21"/>
                <w:highlight w:val="none"/>
              </w:rPr>
              <w:t>□通过</w:t>
            </w:r>
          </w:p>
          <w:p>
            <w:pPr>
              <w:ind w:left="264" w:leftChars="59" w:hanging="140" w:hangingChars="67"/>
              <w:jc w:val="both"/>
              <w:rPr>
                <w:rFonts w:hAnsi="宋体" w:cs="宋体"/>
                <w:szCs w:val="21"/>
                <w:highlight w:val="none"/>
              </w:rPr>
            </w:pPr>
            <w:r>
              <w:rPr>
                <w:rFonts w:hint="eastAsia" w:hAnsi="宋体" w:cs="宋体"/>
                <w:szCs w:val="21"/>
                <w:highlight w:val="none"/>
              </w:rPr>
              <w:t>□不通过</w:t>
            </w:r>
          </w:p>
        </w:tc>
        <w:tc>
          <w:tcPr>
            <w:tcW w:w="1134" w:type="dxa"/>
            <w:tcBorders>
              <w:top w:val="nil"/>
              <w:left w:val="nil"/>
              <w:bottom w:val="single" w:color="auto" w:sz="4" w:space="0"/>
              <w:right w:val="single" w:color="auto" w:sz="4" w:space="0"/>
            </w:tcBorders>
            <w:vAlign w:val="center"/>
          </w:tcPr>
          <w:p>
            <w:pPr>
              <w:ind w:left="124" w:leftChars="59"/>
              <w:rPr>
                <w:rFonts w:hAnsi="宋体" w:cs="宋体"/>
                <w:szCs w:val="21"/>
                <w:highlight w:val="none"/>
              </w:rPr>
            </w:pPr>
            <w:r>
              <w:rPr>
                <w:rFonts w:hint="eastAsia" w:hAnsi="宋体" w:cs="宋体"/>
                <w:szCs w:val="21"/>
                <w:highlight w:val="none"/>
              </w:rPr>
              <w:t>见投标文件第（）页</w:t>
            </w:r>
          </w:p>
        </w:tc>
      </w:tr>
      <w:tr>
        <w:tblPrEx>
          <w:tblCellMar>
            <w:top w:w="0" w:type="dxa"/>
            <w:left w:w="0" w:type="dxa"/>
            <w:bottom w:w="0" w:type="dxa"/>
            <w:right w:w="0" w:type="dxa"/>
          </w:tblCellMar>
        </w:tblPrEx>
        <w:trPr>
          <w:trHeight w:val="731" w:hRule="atLeast"/>
        </w:trPr>
        <w:tc>
          <w:tcPr>
            <w:tcW w:w="709" w:type="dxa"/>
            <w:vMerge w:val="continue"/>
            <w:tcBorders>
              <w:left w:val="single" w:color="auto" w:sz="4" w:space="0"/>
              <w:bottom w:val="single" w:color="auto" w:sz="4" w:space="0"/>
              <w:right w:val="single" w:color="auto" w:sz="4" w:space="0"/>
            </w:tcBorders>
            <w:vAlign w:val="center"/>
          </w:tcPr>
          <w:p>
            <w:pPr>
              <w:ind w:left="-171"/>
              <w:jc w:val="center"/>
              <w:rPr>
                <w:rFonts w:hAnsi="宋体" w:cs="宋体"/>
                <w:szCs w:val="21"/>
                <w:highlight w:val="none"/>
              </w:rPr>
            </w:pPr>
          </w:p>
        </w:tc>
        <w:tc>
          <w:tcPr>
            <w:tcW w:w="1559" w:type="dxa"/>
            <w:vMerge w:val="continue"/>
            <w:tcBorders>
              <w:left w:val="nil"/>
              <w:bottom w:val="single" w:color="auto" w:sz="4" w:space="0"/>
              <w:right w:val="single" w:color="auto" w:sz="4" w:space="0"/>
            </w:tcBorders>
            <w:vAlign w:val="center"/>
          </w:tcPr>
          <w:p>
            <w:pPr>
              <w:ind w:left="40" w:leftChars="19"/>
              <w:jc w:val="both"/>
              <w:rPr>
                <w:rFonts w:hAnsi="宋体" w:cs="宋体"/>
                <w:szCs w:val="21"/>
                <w:highlight w:val="none"/>
              </w:rPr>
            </w:pPr>
          </w:p>
        </w:tc>
        <w:tc>
          <w:tcPr>
            <w:tcW w:w="5245" w:type="dxa"/>
            <w:tcBorders>
              <w:top w:val="nil"/>
              <w:left w:val="nil"/>
              <w:bottom w:val="single" w:color="auto" w:sz="4" w:space="0"/>
              <w:right w:val="single" w:color="auto" w:sz="4" w:space="0"/>
            </w:tcBorders>
            <w:vAlign w:val="center"/>
          </w:tcPr>
          <w:p>
            <w:pPr>
              <w:tabs>
                <w:tab w:val="left" w:pos="2880"/>
              </w:tabs>
              <w:ind w:left="40" w:leftChars="19"/>
              <w:jc w:val="both"/>
              <w:rPr>
                <w:rFonts w:hAnsi="宋体" w:cs="宋体"/>
                <w:szCs w:val="21"/>
                <w:highlight w:val="none"/>
              </w:rPr>
            </w:pPr>
            <w:r>
              <w:rPr>
                <w:rFonts w:hint="eastAsia" w:hAnsi="宋体" w:cs="宋体"/>
                <w:szCs w:val="21"/>
                <w:highlight w:val="none"/>
              </w:rPr>
              <w:t>在参与政府采购活动中未有违法违纪行为并受过处罚</w:t>
            </w:r>
          </w:p>
        </w:tc>
        <w:tc>
          <w:tcPr>
            <w:tcW w:w="1134" w:type="dxa"/>
            <w:tcBorders>
              <w:top w:val="nil"/>
              <w:left w:val="nil"/>
              <w:bottom w:val="single" w:color="auto" w:sz="4" w:space="0"/>
              <w:right w:val="single" w:color="auto" w:sz="4" w:space="0"/>
            </w:tcBorders>
            <w:vAlign w:val="center"/>
          </w:tcPr>
          <w:p>
            <w:pPr>
              <w:ind w:left="264" w:leftChars="59" w:hanging="140" w:hangingChars="67"/>
              <w:jc w:val="both"/>
              <w:rPr>
                <w:rFonts w:hAnsi="宋体" w:cs="宋体"/>
                <w:szCs w:val="21"/>
                <w:highlight w:val="none"/>
              </w:rPr>
            </w:pPr>
            <w:r>
              <w:rPr>
                <w:rFonts w:hint="eastAsia" w:hAnsi="宋体" w:cs="宋体"/>
                <w:szCs w:val="21"/>
                <w:highlight w:val="none"/>
              </w:rPr>
              <w:t>□通过</w:t>
            </w:r>
          </w:p>
          <w:p>
            <w:pPr>
              <w:ind w:left="264" w:leftChars="59" w:hanging="140" w:hangingChars="67"/>
              <w:jc w:val="both"/>
              <w:rPr>
                <w:rFonts w:hAnsi="宋体" w:cs="宋体"/>
                <w:szCs w:val="21"/>
                <w:highlight w:val="none"/>
              </w:rPr>
            </w:pPr>
            <w:r>
              <w:rPr>
                <w:rFonts w:hint="eastAsia" w:hAnsi="宋体" w:cs="宋体"/>
                <w:szCs w:val="21"/>
                <w:highlight w:val="none"/>
              </w:rPr>
              <w:t>□不通过</w:t>
            </w:r>
          </w:p>
        </w:tc>
        <w:tc>
          <w:tcPr>
            <w:tcW w:w="1134" w:type="dxa"/>
            <w:tcBorders>
              <w:top w:val="nil"/>
              <w:left w:val="nil"/>
              <w:bottom w:val="single" w:color="auto" w:sz="4" w:space="0"/>
              <w:right w:val="single" w:color="auto" w:sz="4" w:space="0"/>
            </w:tcBorders>
            <w:vAlign w:val="center"/>
          </w:tcPr>
          <w:p>
            <w:pPr>
              <w:ind w:left="124" w:leftChars="59"/>
              <w:rPr>
                <w:rFonts w:hAnsi="宋体" w:cs="宋体"/>
                <w:szCs w:val="21"/>
                <w:highlight w:val="none"/>
              </w:rPr>
            </w:pPr>
            <w:r>
              <w:rPr>
                <w:rFonts w:hint="eastAsia" w:hAnsi="宋体" w:cs="宋体"/>
                <w:szCs w:val="21"/>
                <w:highlight w:val="none"/>
              </w:rPr>
              <w:t>见投标文件第（）页</w:t>
            </w:r>
          </w:p>
        </w:tc>
      </w:tr>
      <w:tr>
        <w:tblPrEx>
          <w:tblCellMar>
            <w:top w:w="0" w:type="dxa"/>
            <w:left w:w="0" w:type="dxa"/>
            <w:bottom w:w="0" w:type="dxa"/>
            <w:right w:w="0" w:type="dxa"/>
          </w:tblCellMar>
        </w:tblPrEx>
        <w:trPr>
          <w:trHeight w:val="1033" w:hRule="atLeast"/>
        </w:trPr>
        <w:tc>
          <w:tcPr>
            <w:tcW w:w="709" w:type="dxa"/>
            <w:vMerge w:val="restart"/>
            <w:tcBorders>
              <w:top w:val="nil"/>
              <w:left w:val="single" w:color="auto" w:sz="4" w:space="0"/>
              <w:bottom w:val="single" w:color="000000" w:sz="4" w:space="0"/>
              <w:right w:val="single" w:color="auto" w:sz="4" w:space="0"/>
            </w:tcBorders>
            <w:vAlign w:val="center"/>
          </w:tcPr>
          <w:p>
            <w:pPr>
              <w:jc w:val="center"/>
              <w:rPr>
                <w:rFonts w:hAnsi="宋体" w:cs="宋体"/>
                <w:szCs w:val="21"/>
                <w:highlight w:val="none"/>
              </w:rPr>
            </w:pPr>
            <w:r>
              <w:rPr>
                <w:rFonts w:hint="eastAsia" w:hAnsi="宋体" w:cs="宋体"/>
                <w:szCs w:val="21"/>
                <w:highlight w:val="none"/>
              </w:rPr>
              <w:t>符合性审查</w:t>
            </w:r>
          </w:p>
        </w:tc>
        <w:tc>
          <w:tcPr>
            <w:tcW w:w="1559" w:type="dxa"/>
            <w:tcBorders>
              <w:top w:val="nil"/>
              <w:left w:val="single" w:color="auto" w:sz="4" w:space="0"/>
              <w:bottom w:val="single" w:color="auto" w:sz="4" w:space="0"/>
              <w:right w:val="single" w:color="auto" w:sz="4" w:space="0"/>
            </w:tcBorders>
            <w:vAlign w:val="center"/>
          </w:tcPr>
          <w:p>
            <w:pPr>
              <w:ind w:left="-171"/>
              <w:jc w:val="center"/>
              <w:rPr>
                <w:rFonts w:hAnsi="宋体" w:cs="宋体"/>
                <w:szCs w:val="21"/>
                <w:highlight w:val="none"/>
              </w:rPr>
            </w:pPr>
            <w:r>
              <w:rPr>
                <w:rFonts w:hint="eastAsia" w:hAnsi="宋体" w:cs="宋体"/>
                <w:szCs w:val="21"/>
                <w:highlight w:val="none"/>
              </w:rPr>
              <w:t>报价人的</w:t>
            </w:r>
          </w:p>
          <w:p>
            <w:pPr>
              <w:ind w:left="-171"/>
              <w:jc w:val="center"/>
              <w:rPr>
                <w:rFonts w:hAnsi="宋体" w:cs="宋体"/>
                <w:szCs w:val="21"/>
                <w:highlight w:val="none"/>
              </w:rPr>
            </w:pPr>
            <w:r>
              <w:rPr>
                <w:rFonts w:hint="eastAsia" w:hAnsi="宋体" w:cs="宋体"/>
                <w:szCs w:val="21"/>
                <w:highlight w:val="none"/>
              </w:rPr>
              <w:t>合格性</w:t>
            </w:r>
          </w:p>
        </w:tc>
        <w:tc>
          <w:tcPr>
            <w:tcW w:w="5245" w:type="dxa"/>
            <w:tcBorders>
              <w:top w:val="single" w:color="auto" w:sz="4" w:space="0"/>
              <w:left w:val="nil"/>
              <w:bottom w:val="single" w:color="auto" w:sz="4" w:space="0"/>
              <w:right w:val="single" w:color="auto" w:sz="4" w:space="0"/>
            </w:tcBorders>
            <w:vAlign w:val="center"/>
          </w:tcPr>
          <w:p>
            <w:pPr>
              <w:jc w:val="both"/>
              <w:rPr>
                <w:rFonts w:hAnsi="宋体" w:cs="宋体"/>
                <w:szCs w:val="21"/>
                <w:highlight w:val="none"/>
              </w:rPr>
            </w:pPr>
            <w:r>
              <w:rPr>
                <w:rFonts w:hint="eastAsia" w:hAnsi="宋体" w:cs="宋体"/>
                <w:szCs w:val="21"/>
                <w:highlight w:val="none"/>
              </w:rPr>
              <w:t>在经营范围内报价</w:t>
            </w:r>
          </w:p>
        </w:tc>
        <w:tc>
          <w:tcPr>
            <w:tcW w:w="1134" w:type="dxa"/>
            <w:tcBorders>
              <w:top w:val="single" w:color="auto" w:sz="4" w:space="0"/>
              <w:left w:val="nil"/>
              <w:bottom w:val="single" w:color="auto" w:sz="4" w:space="0"/>
              <w:right w:val="single" w:color="auto" w:sz="4" w:space="0"/>
            </w:tcBorders>
            <w:vAlign w:val="center"/>
          </w:tcPr>
          <w:p>
            <w:pPr>
              <w:ind w:left="264" w:leftChars="59" w:hanging="140" w:hangingChars="67"/>
              <w:jc w:val="both"/>
              <w:rPr>
                <w:rFonts w:hAnsi="宋体" w:cs="宋体"/>
                <w:szCs w:val="21"/>
                <w:highlight w:val="none"/>
              </w:rPr>
            </w:pPr>
            <w:r>
              <w:rPr>
                <w:rFonts w:hint="eastAsia" w:hAnsi="宋体" w:cs="宋体"/>
                <w:szCs w:val="21"/>
                <w:highlight w:val="none"/>
              </w:rPr>
              <w:t>□通过</w:t>
            </w:r>
          </w:p>
          <w:p>
            <w:pPr>
              <w:ind w:left="264" w:leftChars="59" w:hanging="140" w:hangingChars="67"/>
              <w:jc w:val="both"/>
              <w:rPr>
                <w:rFonts w:hAnsi="宋体" w:cs="宋体"/>
                <w:szCs w:val="21"/>
                <w:highlight w:val="none"/>
              </w:rPr>
            </w:pPr>
            <w:r>
              <w:rPr>
                <w:rFonts w:hint="eastAsia" w:hAnsi="宋体" w:cs="宋体"/>
                <w:szCs w:val="21"/>
                <w:highlight w:val="none"/>
              </w:rPr>
              <w:t>□不通过</w:t>
            </w:r>
          </w:p>
        </w:tc>
        <w:tc>
          <w:tcPr>
            <w:tcW w:w="1134" w:type="dxa"/>
            <w:tcBorders>
              <w:top w:val="single" w:color="auto" w:sz="4" w:space="0"/>
              <w:left w:val="nil"/>
              <w:bottom w:val="single" w:color="auto" w:sz="4" w:space="0"/>
              <w:right w:val="single" w:color="auto" w:sz="4" w:space="0"/>
            </w:tcBorders>
            <w:vAlign w:val="center"/>
          </w:tcPr>
          <w:p>
            <w:pPr>
              <w:ind w:left="124" w:leftChars="59"/>
              <w:rPr>
                <w:rFonts w:hAnsi="宋体" w:cs="宋体"/>
                <w:szCs w:val="21"/>
                <w:highlight w:val="none"/>
              </w:rPr>
            </w:pPr>
            <w:r>
              <w:rPr>
                <w:rFonts w:hint="eastAsia" w:hAnsi="宋体" w:cs="宋体"/>
                <w:szCs w:val="21"/>
                <w:highlight w:val="none"/>
              </w:rPr>
              <w:t>见投标文件第（）页</w:t>
            </w:r>
          </w:p>
        </w:tc>
      </w:tr>
      <w:tr>
        <w:tblPrEx>
          <w:tblCellMar>
            <w:top w:w="0" w:type="dxa"/>
            <w:left w:w="0" w:type="dxa"/>
            <w:bottom w:w="0" w:type="dxa"/>
            <w:right w:w="0" w:type="dxa"/>
          </w:tblCellMar>
        </w:tblPrEx>
        <w:trPr>
          <w:trHeight w:val="319" w:hRule="atLeast"/>
        </w:trPr>
        <w:tc>
          <w:tcPr>
            <w:tcW w:w="709" w:type="dxa"/>
            <w:vMerge w:val="continue"/>
            <w:tcBorders>
              <w:top w:val="nil"/>
              <w:left w:val="single" w:color="auto" w:sz="4" w:space="0"/>
              <w:bottom w:val="single" w:color="000000" w:sz="4" w:space="0"/>
              <w:right w:val="single" w:color="auto" w:sz="4" w:space="0"/>
            </w:tcBorders>
            <w:vAlign w:val="center"/>
          </w:tcPr>
          <w:p>
            <w:pPr>
              <w:ind w:left="-171"/>
              <w:jc w:val="center"/>
              <w:rPr>
                <w:rFonts w:hAnsi="宋体" w:cs="宋体"/>
                <w:szCs w:val="21"/>
                <w:highlight w:val="none"/>
              </w:rPr>
            </w:pPr>
          </w:p>
        </w:tc>
        <w:tc>
          <w:tcPr>
            <w:tcW w:w="1559" w:type="dxa"/>
            <w:tcBorders>
              <w:top w:val="single" w:color="auto" w:sz="4" w:space="0"/>
              <w:left w:val="nil"/>
              <w:bottom w:val="single" w:color="auto" w:sz="4" w:space="0"/>
              <w:right w:val="single" w:color="auto" w:sz="4" w:space="0"/>
            </w:tcBorders>
            <w:vAlign w:val="center"/>
          </w:tcPr>
          <w:p>
            <w:pPr>
              <w:ind w:left="-171"/>
              <w:jc w:val="center"/>
              <w:rPr>
                <w:rFonts w:hAnsi="宋体" w:cs="宋体"/>
                <w:szCs w:val="21"/>
                <w:highlight w:val="none"/>
              </w:rPr>
            </w:pPr>
            <w:r>
              <w:rPr>
                <w:rFonts w:hint="eastAsia" w:hAnsi="宋体" w:cs="宋体"/>
                <w:szCs w:val="21"/>
                <w:highlight w:val="none"/>
              </w:rPr>
              <w:t>商务要求</w:t>
            </w:r>
          </w:p>
        </w:tc>
        <w:tc>
          <w:tcPr>
            <w:tcW w:w="5245" w:type="dxa"/>
            <w:tcBorders>
              <w:top w:val="nil"/>
              <w:left w:val="nil"/>
              <w:bottom w:val="single" w:color="auto" w:sz="4" w:space="0"/>
              <w:right w:val="single" w:color="auto" w:sz="4" w:space="0"/>
            </w:tcBorders>
            <w:vAlign w:val="center"/>
          </w:tcPr>
          <w:p>
            <w:pPr>
              <w:tabs>
                <w:tab w:val="left" w:pos="2880"/>
              </w:tabs>
              <w:ind w:left="40" w:leftChars="19"/>
              <w:jc w:val="both"/>
              <w:rPr>
                <w:rFonts w:hAnsi="宋体" w:cs="宋体"/>
                <w:szCs w:val="21"/>
                <w:highlight w:val="none"/>
              </w:rPr>
            </w:pPr>
            <w:r>
              <w:rPr>
                <w:rFonts w:hint="eastAsia" w:hAnsi="宋体" w:cs="宋体"/>
                <w:szCs w:val="21"/>
                <w:highlight w:val="none"/>
              </w:rPr>
              <w:t>实质性响应招标文件中“★”号参数的商务要求</w:t>
            </w:r>
          </w:p>
        </w:tc>
        <w:tc>
          <w:tcPr>
            <w:tcW w:w="1134" w:type="dxa"/>
            <w:tcBorders>
              <w:top w:val="nil"/>
              <w:left w:val="nil"/>
              <w:bottom w:val="single" w:color="auto" w:sz="4" w:space="0"/>
              <w:right w:val="single" w:color="auto" w:sz="4" w:space="0"/>
            </w:tcBorders>
            <w:vAlign w:val="center"/>
          </w:tcPr>
          <w:p>
            <w:pPr>
              <w:ind w:left="264" w:leftChars="59" w:hanging="140" w:hangingChars="67"/>
              <w:jc w:val="both"/>
              <w:rPr>
                <w:rFonts w:hAnsi="宋体" w:cs="宋体"/>
                <w:szCs w:val="21"/>
                <w:highlight w:val="none"/>
              </w:rPr>
            </w:pPr>
            <w:r>
              <w:rPr>
                <w:rFonts w:hint="eastAsia" w:hAnsi="宋体" w:cs="宋体"/>
                <w:szCs w:val="21"/>
                <w:highlight w:val="none"/>
              </w:rPr>
              <w:t>□通过</w:t>
            </w:r>
          </w:p>
          <w:p>
            <w:pPr>
              <w:ind w:left="264" w:leftChars="59" w:hanging="140" w:hangingChars="67"/>
              <w:jc w:val="both"/>
              <w:rPr>
                <w:rFonts w:hAnsi="宋体" w:cs="宋体"/>
                <w:szCs w:val="21"/>
                <w:highlight w:val="none"/>
              </w:rPr>
            </w:pPr>
            <w:r>
              <w:rPr>
                <w:rFonts w:hint="eastAsia" w:hAnsi="宋体" w:cs="宋体"/>
                <w:szCs w:val="21"/>
                <w:highlight w:val="none"/>
              </w:rPr>
              <w:t>□不通过</w:t>
            </w:r>
          </w:p>
        </w:tc>
        <w:tc>
          <w:tcPr>
            <w:tcW w:w="1134" w:type="dxa"/>
            <w:tcBorders>
              <w:top w:val="nil"/>
              <w:left w:val="nil"/>
              <w:bottom w:val="single" w:color="auto" w:sz="4" w:space="0"/>
              <w:right w:val="single" w:color="auto" w:sz="4" w:space="0"/>
            </w:tcBorders>
            <w:vAlign w:val="center"/>
          </w:tcPr>
          <w:p>
            <w:pPr>
              <w:ind w:left="124" w:leftChars="59"/>
              <w:rPr>
                <w:rFonts w:hAnsi="宋体" w:cs="宋体"/>
                <w:szCs w:val="21"/>
                <w:highlight w:val="none"/>
              </w:rPr>
            </w:pPr>
            <w:r>
              <w:rPr>
                <w:rFonts w:hint="eastAsia" w:hAnsi="宋体" w:cs="宋体"/>
                <w:szCs w:val="21"/>
                <w:highlight w:val="none"/>
              </w:rPr>
              <w:t>见投标文件第（）页</w:t>
            </w:r>
          </w:p>
        </w:tc>
      </w:tr>
      <w:tr>
        <w:tblPrEx>
          <w:tblCellMar>
            <w:top w:w="0" w:type="dxa"/>
            <w:left w:w="0" w:type="dxa"/>
            <w:bottom w:w="0" w:type="dxa"/>
            <w:right w:w="0" w:type="dxa"/>
          </w:tblCellMar>
        </w:tblPrEx>
        <w:trPr>
          <w:trHeight w:val="450" w:hRule="atLeast"/>
        </w:trPr>
        <w:tc>
          <w:tcPr>
            <w:tcW w:w="709" w:type="dxa"/>
            <w:vMerge w:val="continue"/>
            <w:tcBorders>
              <w:top w:val="nil"/>
              <w:left w:val="single" w:color="auto" w:sz="4" w:space="0"/>
              <w:bottom w:val="single" w:color="000000" w:sz="4" w:space="0"/>
              <w:right w:val="single" w:color="auto" w:sz="4" w:space="0"/>
            </w:tcBorders>
            <w:vAlign w:val="center"/>
          </w:tcPr>
          <w:p>
            <w:pPr>
              <w:ind w:left="-171"/>
              <w:jc w:val="center"/>
              <w:rPr>
                <w:rFonts w:hAnsi="宋体" w:cs="宋体"/>
                <w:szCs w:val="21"/>
                <w:highlight w:val="none"/>
              </w:rPr>
            </w:pPr>
          </w:p>
        </w:tc>
        <w:tc>
          <w:tcPr>
            <w:tcW w:w="1559" w:type="dxa"/>
            <w:tcBorders>
              <w:top w:val="single" w:color="auto" w:sz="4" w:space="0"/>
              <w:left w:val="nil"/>
              <w:bottom w:val="single" w:color="auto" w:sz="4" w:space="0"/>
              <w:right w:val="single" w:color="auto" w:sz="4" w:space="0"/>
            </w:tcBorders>
            <w:vAlign w:val="center"/>
          </w:tcPr>
          <w:p>
            <w:pPr>
              <w:ind w:left="-171"/>
              <w:jc w:val="center"/>
              <w:rPr>
                <w:rFonts w:hAnsi="宋体" w:cs="宋体"/>
                <w:szCs w:val="21"/>
                <w:highlight w:val="none"/>
              </w:rPr>
            </w:pPr>
            <w:r>
              <w:rPr>
                <w:rFonts w:hint="eastAsia" w:hAnsi="宋体" w:cs="宋体"/>
                <w:szCs w:val="21"/>
                <w:highlight w:val="none"/>
              </w:rPr>
              <w:t>技术要求</w:t>
            </w:r>
          </w:p>
        </w:tc>
        <w:tc>
          <w:tcPr>
            <w:tcW w:w="5245" w:type="dxa"/>
            <w:tcBorders>
              <w:top w:val="nil"/>
              <w:left w:val="nil"/>
              <w:bottom w:val="single" w:color="auto" w:sz="4" w:space="0"/>
              <w:right w:val="single" w:color="auto" w:sz="4" w:space="0"/>
            </w:tcBorders>
            <w:vAlign w:val="center"/>
          </w:tcPr>
          <w:p>
            <w:pPr>
              <w:tabs>
                <w:tab w:val="left" w:pos="2880"/>
              </w:tabs>
              <w:ind w:left="40" w:leftChars="19"/>
              <w:jc w:val="both"/>
              <w:rPr>
                <w:rFonts w:hAnsi="宋体" w:cs="宋体"/>
                <w:szCs w:val="21"/>
                <w:highlight w:val="none"/>
              </w:rPr>
            </w:pPr>
            <w:r>
              <w:rPr>
                <w:rFonts w:hint="eastAsia" w:hAnsi="宋体" w:cs="宋体"/>
                <w:szCs w:val="21"/>
                <w:highlight w:val="none"/>
              </w:rPr>
              <w:t>实质性响应招标文件中“★”号参数的技术要求</w:t>
            </w:r>
          </w:p>
        </w:tc>
        <w:tc>
          <w:tcPr>
            <w:tcW w:w="1134" w:type="dxa"/>
            <w:tcBorders>
              <w:top w:val="nil"/>
              <w:left w:val="nil"/>
              <w:bottom w:val="single" w:color="auto" w:sz="4" w:space="0"/>
              <w:right w:val="single" w:color="auto" w:sz="4" w:space="0"/>
            </w:tcBorders>
            <w:vAlign w:val="center"/>
          </w:tcPr>
          <w:p>
            <w:pPr>
              <w:ind w:left="264" w:leftChars="59" w:hanging="140" w:hangingChars="67"/>
              <w:jc w:val="both"/>
              <w:rPr>
                <w:rFonts w:hAnsi="宋体" w:cs="宋体"/>
                <w:szCs w:val="21"/>
                <w:highlight w:val="none"/>
              </w:rPr>
            </w:pPr>
            <w:r>
              <w:rPr>
                <w:rFonts w:hint="eastAsia" w:hAnsi="宋体" w:cs="宋体"/>
                <w:szCs w:val="21"/>
                <w:highlight w:val="none"/>
              </w:rPr>
              <w:t>□通过</w:t>
            </w:r>
          </w:p>
          <w:p>
            <w:pPr>
              <w:ind w:left="264" w:leftChars="59" w:hanging="140" w:hangingChars="67"/>
              <w:jc w:val="both"/>
              <w:rPr>
                <w:rFonts w:hAnsi="宋体" w:cs="宋体"/>
                <w:szCs w:val="21"/>
                <w:highlight w:val="none"/>
              </w:rPr>
            </w:pPr>
            <w:r>
              <w:rPr>
                <w:rFonts w:hint="eastAsia" w:hAnsi="宋体" w:cs="宋体"/>
                <w:szCs w:val="21"/>
                <w:highlight w:val="none"/>
              </w:rPr>
              <w:t>□不通过</w:t>
            </w:r>
          </w:p>
        </w:tc>
        <w:tc>
          <w:tcPr>
            <w:tcW w:w="1134" w:type="dxa"/>
            <w:tcBorders>
              <w:top w:val="nil"/>
              <w:left w:val="nil"/>
              <w:bottom w:val="single" w:color="auto" w:sz="4" w:space="0"/>
              <w:right w:val="single" w:color="auto" w:sz="4" w:space="0"/>
            </w:tcBorders>
            <w:vAlign w:val="center"/>
          </w:tcPr>
          <w:p>
            <w:pPr>
              <w:ind w:left="124" w:leftChars="59"/>
              <w:rPr>
                <w:rFonts w:hAnsi="宋体" w:cs="宋体"/>
                <w:szCs w:val="21"/>
                <w:highlight w:val="none"/>
              </w:rPr>
            </w:pPr>
            <w:r>
              <w:rPr>
                <w:rFonts w:hint="eastAsia" w:hAnsi="宋体" w:cs="宋体"/>
                <w:szCs w:val="21"/>
                <w:highlight w:val="none"/>
              </w:rPr>
              <w:t>见投标文件第（）页</w:t>
            </w:r>
          </w:p>
        </w:tc>
      </w:tr>
      <w:tr>
        <w:tblPrEx>
          <w:tblCellMar>
            <w:top w:w="0" w:type="dxa"/>
            <w:left w:w="0" w:type="dxa"/>
            <w:bottom w:w="0" w:type="dxa"/>
            <w:right w:w="0" w:type="dxa"/>
          </w:tblCellMar>
        </w:tblPrEx>
        <w:trPr>
          <w:trHeight w:val="450" w:hRule="atLeast"/>
        </w:trPr>
        <w:tc>
          <w:tcPr>
            <w:tcW w:w="709" w:type="dxa"/>
            <w:vMerge w:val="continue"/>
            <w:tcBorders>
              <w:top w:val="nil"/>
              <w:left w:val="single" w:color="auto" w:sz="4" w:space="0"/>
              <w:bottom w:val="single" w:color="000000" w:sz="4" w:space="0"/>
              <w:right w:val="single" w:color="auto" w:sz="4" w:space="0"/>
            </w:tcBorders>
            <w:vAlign w:val="center"/>
          </w:tcPr>
          <w:p>
            <w:pPr>
              <w:ind w:left="-171"/>
              <w:jc w:val="center"/>
              <w:rPr>
                <w:rFonts w:hAnsi="宋体" w:cs="宋体"/>
                <w:szCs w:val="21"/>
                <w:highlight w:val="none"/>
              </w:rPr>
            </w:pPr>
          </w:p>
        </w:tc>
        <w:tc>
          <w:tcPr>
            <w:tcW w:w="1559" w:type="dxa"/>
            <w:tcBorders>
              <w:top w:val="nil"/>
              <w:left w:val="nil"/>
              <w:bottom w:val="single" w:color="auto" w:sz="4" w:space="0"/>
              <w:right w:val="single" w:color="auto" w:sz="4" w:space="0"/>
            </w:tcBorders>
            <w:vAlign w:val="center"/>
          </w:tcPr>
          <w:p>
            <w:pPr>
              <w:ind w:left="-171"/>
              <w:jc w:val="center"/>
              <w:rPr>
                <w:rFonts w:hAnsi="宋体" w:cs="宋体"/>
                <w:szCs w:val="21"/>
                <w:highlight w:val="none"/>
              </w:rPr>
            </w:pPr>
            <w:r>
              <w:rPr>
                <w:rFonts w:hint="eastAsia" w:hAnsi="宋体" w:cs="宋体"/>
                <w:szCs w:val="21"/>
                <w:highlight w:val="none"/>
              </w:rPr>
              <w:t>报价要求</w:t>
            </w:r>
          </w:p>
        </w:tc>
        <w:tc>
          <w:tcPr>
            <w:tcW w:w="5245" w:type="dxa"/>
            <w:tcBorders>
              <w:top w:val="nil"/>
              <w:left w:val="nil"/>
              <w:bottom w:val="single" w:color="auto" w:sz="4" w:space="0"/>
              <w:right w:val="single" w:color="auto" w:sz="4" w:space="0"/>
            </w:tcBorders>
            <w:vAlign w:val="center"/>
          </w:tcPr>
          <w:p>
            <w:pPr>
              <w:tabs>
                <w:tab w:val="left" w:pos="2880"/>
              </w:tabs>
              <w:ind w:left="40" w:leftChars="19"/>
              <w:jc w:val="both"/>
              <w:rPr>
                <w:rFonts w:hAnsi="宋体" w:cs="宋体"/>
                <w:szCs w:val="21"/>
                <w:highlight w:val="none"/>
              </w:rPr>
            </w:pPr>
            <w:r>
              <w:rPr>
                <w:rFonts w:hint="eastAsia" w:hAnsi="宋体" w:cs="宋体"/>
                <w:szCs w:val="21"/>
                <w:highlight w:val="none"/>
              </w:rPr>
              <w:t>报价方案是唯一确定</w:t>
            </w:r>
          </w:p>
        </w:tc>
        <w:tc>
          <w:tcPr>
            <w:tcW w:w="1134" w:type="dxa"/>
            <w:tcBorders>
              <w:top w:val="nil"/>
              <w:left w:val="nil"/>
              <w:bottom w:val="single" w:color="auto" w:sz="4" w:space="0"/>
              <w:right w:val="single" w:color="auto" w:sz="4" w:space="0"/>
            </w:tcBorders>
            <w:vAlign w:val="center"/>
          </w:tcPr>
          <w:p>
            <w:pPr>
              <w:ind w:left="264" w:leftChars="59" w:hanging="140" w:hangingChars="67"/>
              <w:jc w:val="both"/>
              <w:rPr>
                <w:rFonts w:hAnsi="宋体" w:cs="宋体"/>
                <w:szCs w:val="21"/>
                <w:highlight w:val="none"/>
              </w:rPr>
            </w:pPr>
            <w:r>
              <w:rPr>
                <w:rFonts w:hint="eastAsia" w:hAnsi="宋体" w:cs="宋体"/>
                <w:szCs w:val="21"/>
                <w:highlight w:val="none"/>
              </w:rPr>
              <w:t>□通过</w:t>
            </w:r>
          </w:p>
          <w:p>
            <w:pPr>
              <w:ind w:left="264" w:leftChars="59" w:hanging="140" w:hangingChars="67"/>
              <w:jc w:val="both"/>
              <w:rPr>
                <w:rFonts w:hAnsi="宋体" w:cs="宋体"/>
                <w:szCs w:val="21"/>
                <w:highlight w:val="none"/>
              </w:rPr>
            </w:pPr>
            <w:r>
              <w:rPr>
                <w:rFonts w:hint="eastAsia" w:hAnsi="宋体" w:cs="宋体"/>
                <w:szCs w:val="21"/>
                <w:highlight w:val="none"/>
              </w:rPr>
              <w:t>□不通过</w:t>
            </w:r>
          </w:p>
        </w:tc>
        <w:tc>
          <w:tcPr>
            <w:tcW w:w="1134" w:type="dxa"/>
            <w:tcBorders>
              <w:top w:val="nil"/>
              <w:left w:val="nil"/>
              <w:bottom w:val="single" w:color="auto" w:sz="4" w:space="0"/>
              <w:right w:val="single" w:color="auto" w:sz="4" w:space="0"/>
            </w:tcBorders>
            <w:vAlign w:val="center"/>
          </w:tcPr>
          <w:p>
            <w:pPr>
              <w:ind w:left="124" w:leftChars="59"/>
              <w:rPr>
                <w:rFonts w:hAnsi="宋体" w:cs="宋体"/>
                <w:szCs w:val="21"/>
                <w:highlight w:val="none"/>
              </w:rPr>
            </w:pPr>
            <w:r>
              <w:rPr>
                <w:rFonts w:hint="eastAsia" w:hAnsi="宋体" w:cs="宋体"/>
                <w:szCs w:val="21"/>
                <w:highlight w:val="none"/>
              </w:rPr>
              <w:t>见投标文件第（）页</w:t>
            </w:r>
          </w:p>
        </w:tc>
      </w:tr>
      <w:tr>
        <w:tblPrEx>
          <w:tblCellMar>
            <w:top w:w="0" w:type="dxa"/>
            <w:left w:w="0" w:type="dxa"/>
            <w:bottom w:w="0" w:type="dxa"/>
            <w:right w:w="0" w:type="dxa"/>
          </w:tblCellMar>
        </w:tblPrEx>
        <w:trPr>
          <w:trHeight w:val="450" w:hRule="atLeast"/>
        </w:trPr>
        <w:tc>
          <w:tcPr>
            <w:tcW w:w="709" w:type="dxa"/>
            <w:vMerge w:val="continue"/>
            <w:tcBorders>
              <w:top w:val="nil"/>
              <w:left w:val="single" w:color="auto" w:sz="4" w:space="0"/>
              <w:bottom w:val="single" w:color="000000" w:sz="4" w:space="0"/>
              <w:right w:val="single" w:color="auto" w:sz="4" w:space="0"/>
            </w:tcBorders>
            <w:vAlign w:val="center"/>
          </w:tcPr>
          <w:p>
            <w:pPr>
              <w:ind w:left="-171"/>
              <w:jc w:val="center"/>
              <w:rPr>
                <w:rFonts w:hAnsi="宋体" w:cs="宋体"/>
                <w:szCs w:val="21"/>
                <w:highlight w:val="none"/>
              </w:rPr>
            </w:pPr>
          </w:p>
        </w:tc>
        <w:tc>
          <w:tcPr>
            <w:tcW w:w="1559" w:type="dxa"/>
            <w:tcBorders>
              <w:top w:val="nil"/>
              <w:left w:val="nil"/>
              <w:bottom w:val="single" w:color="auto" w:sz="4" w:space="0"/>
              <w:right w:val="single" w:color="auto" w:sz="4" w:space="0"/>
            </w:tcBorders>
            <w:vAlign w:val="center"/>
          </w:tcPr>
          <w:p>
            <w:pPr>
              <w:ind w:left="-171"/>
              <w:jc w:val="center"/>
              <w:rPr>
                <w:rFonts w:hAnsi="宋体" w:cs="宋体"/>
                <w:szCs w:val="21"/>
                <w:highlight w:val="none"/>
              </w:rPr>
            </w:pPr>
            <w:r>
              <w:rPr>
                <w:rFonts w:hint="eastAsia" w:hAnsi="宋体" w:cs="宋体"/>
                <w:szCs w:val="21"/>
                <w:highlight w:val="none"/>
              </w:rPr>
              <w:t>其它</w:t>
            </w:r>
          </w:p>
        </w:tc>
        <w:tc>
          <w:tcPr>
            <w:tcW w:w="5245" w:type="dxa"/>
            <w:tcBorders>
              <w:top w:val="nil"/>
              <w:left w:val="nil"/>
              <w:bottom w:val="single" w:color="auto" w:sz="4" w:space="0"/>
              <w:right w:val="single" w:color="auto" w:sz="4" w:space="0"/>
            </w:tcBorders>
            <w:vAlign w:val="center"/>
          </w:tcPr>
          <w:p>
            <w:pPr>
              <w:tabs>
                <w:tab w:val="left" w:pos="2880"/>
              </w:tabs>
              <w:ind w:left="40" w:leftChars="19"/>
              <w:jc w:val="both"/>
              <w:rPr>
                <w:rFonts w:hAnsi="宋体" w:cs="宋体"/>
                <w:szCs w:val="21"/>
                <w:highlight w:val="none"/>
              </w:rPr>
            </w:pPr>
            <w:r>
              <w:rPr>
                <w:rFonts w:hint="eastAsia" w:hAnsi="宋体" w:cs="宋体"/>
                <w:szCs w:val="21"/>
                <w:highlight w:val="none"/>
              </w:rPr>
              <w:t>实质性响应招标文件中规定的其它情况</w:t>
            </w:r>
          </w:p>
        </w:tc>
        <w:tc>
          <w:tcPr>
            <w:tcW w:w="1134" w:type="dxa"/>
            <w:tcBorders>
              <w:top w:val="nil"/>
              <w:left w:val="nil"/>
              <w:bottom w:val="single" w:color="auto" w:sz="4" w:space="0"/>
              <w:right w:val="single" w:color="auto" w:sz="4" w:space="0"/>
            </w:tcBorders>
            <w:vAlign w:val="center"/>
          </w:tcPr>
          <w:p>
            <w:pPr>
              <w:ind w:left="264" w:leftChars="59" w:hanging="140" w:hangingChars="67"/>
              <w:jc w:val="both"/>
              <w:rPr>
                <w:rFonts w:hAnsi="宋体" w:cs="宋体"/>
                <w:szCs w:val="21"/>
                <w:highlight w:val="none"/>
              </w:rPr>
            </w:pPr>
            <w:r>
              <w:rPr>
                <w:rFonts w:hint="eastAsia" w:hAnsi="宋体" w:cs="宋体"/>
                <w:szCs w:val="21"/>
                <w:highlight w:val="none"/>
              </w:rPr>
              <w:t>□通过</w:t>
            </w:r>
          </w:p>
          <w:p>
            <w:pPr>
              <w:ind w:left="264" w:leftChars="59" w:hanging="140" w:hangingChars="67"/>
              <w:jc w:val="both"/>
              <w:rPr>
                <w:rFonts w:hAnsi="宋体" w:cs="宋体"/>
                <w:szCs w:val="21"/>
                <w:highlight w:val="none"/>
              </w:rPr>
            </w:pPr>
            <w:r>
              <w:rPr>
                <w:rFonts w:hint="eastAsia" w:hAnsi="宋体" w:cs="宋体"/>
                <w:szCs w:val="21"/>
                <w:highlight w:val="none"/>
              </w:rPr>
              <w:t>□不通过</w:t>
            </w:r>
          </w:p>
        </w:tc>
        <w:tc>
          <w:tcPr>
            <w:tcW w:w="1134" w:type="dxa"/>
            <w:tcBorders>
              <w:top w:val="nil"/>
              <w:left w:val="nil"/>
              <w:bottom w:val="single" w:color="auto" w:sz="4" w:space="0"/>
              <w:right w:val="single" w:color="auto" w:sz="4" w:space="0"/>
            </w:tcBorders>
            <w:vAlign w:val="center"/>
          </w:tcPr>
          <w:p>
            <w:pPr>
              <w:ind w:left="124" w:leftChars="59"/>
              <w:rPr>
                <w:rFonts w:hAnsi="宋体" w:cs="宋体"/>
                <w:szCs w:val="21"/>
                <w:highlight w:val="none"/>
              </w:rPr>
            </w:pPr>
            <w:r>
              <w:rPr>
                <w:rFonts w:hint="eastAsia" w:hAnsi="宋体" w:cs="宋体"/>
                <w:szCs w:val="21"/>
                <w:highlight w:val="none"/>
              </w:rPr>
              <w:t>见投标文件第（）页</w:t>
            </w:r>
          </w:p>
        </w:tc>
      </w:tr>
    </w:tbl>
    <w:p>
      <w:pPr>
        <w:rPr>
          <w:rFonts w:hAnsi="宋体" w:cs="宋体"/>
          <w:highlight w:val="none"/>
        </w:rPr>
      </w:pPr>
    </w:p>
    <w:p>
      <w:pPr>
        <w:pStyle w:val="21"/>
        <w:spacing w:line="360" w:lineRule="exact"/>
        <w:ind w:left="422" w:hanging="422" w:hangingChars="200"/>
        <w:jc w:val="both"/>
        <w:rPr>
          <w:rFonts w:hAnsi="宋体" w:cs="宋体"/>
          <w:color w:val="auto"/>
          <w:sz w:val="21"/>
          <w:szCs w:val="21"/>
          <w:highlight w:val="none"/>
        </w:rPr>
      </w:pPr>
      <w:r>
        <w:rPr>
          <w:rFonts w:hint="eastAsia" w:hAnsi="宋体" w:cs="宋体"/>
          <w:color w:val="auto"/>
          <w:sz w:val="21"/>
          <w:szCs w:val="21"/>
          <w:highlight w:val="none"/>
        </w:rPr>
        <w:t>注：以上材料将作为投标人合格性和有效性审核的重要内容之一，投标人必须严格按照其内容及序列要求在投标文件中对应如实提供，对缺漏和不符合项将会直接导致无效投标！在对应的□打“√”。</w:t>
      </w:r>
    </w:p>
    <w:p>
      <w:pPr>
        <w:snapToGrid w:val="0"/>
        <w:spacing w:line="300" w:lineRule="auto"/>
        <w:rPr>
          <w:rFonts w:hAnsi="宋体" w:cs="宋体"/>
          <w:szCs w:val="21"/>
          <w:highlight w:val="none"/>
        </w:rPr>
      </w:pPr>
    </w:p>
    <w:p>
      <w:pPr>
        <w:snapToGrid w:val="0"/>
        <w:spacing w:line="300" w:lineRule="auto"/>
        <w:rPr>
          <w:rFonts w:hAnsi="宋体" w:cs="宋体"/>
          <w:szCs w:val="21"/>
          <w:highlight w:val="none"/>
          <w:u w:val="single"/>
        </w:rPr>
      </w:pPr>
      <w:r>
        <w:rPr>
          <w:rFonts w:hint="eastAsia" w:hAnsi="宋体" w:cs="宋体"/>
          <w:szCs w:val="21"/>
          <w:highlight w:val="none"/>
        </w:rPr>
        <w:t>投标人法定代表人（或法定代表人授权代表）亲笔签字：</w:t>
      </w:r>
    </w:p>
    <w:p>
      <w:pPr>
        <w:snapToGrid w:val="0"/>
        <w:spacing w:line="300" w:lineRule="auto"/>
        <w:rPr>
          <w:rFonts w:hAnsi="宋体" w:cs="宋体"/>
          <w:szCs w:val="21"/>
          <w:highlight w:val="none"/>
          <w:u w:val="single"/>
        </w:rPr>
      </w:pPr>
      <w:r>
        <w:rPr>
          <w:rFonts w:hint="eastAsia" w:hAnsi="宋体" w:cs="宋体"/>
          <w:szCs w:val="21"/>
          <w:highlight w:val="none"/>
        </w:rPr>
        <w:t>投标人名称（加盖法人公章）：</w:t>
      </w:r>
    </w:p>
    <w:p>
      <w:pPr>
        <w:snapToGrid w:val="0"/>
        <w:spacing w:line="300" w:lineRule="auto"/>
        <w:rPr>
          <w:rFonts w:hAnsi="宋体" w:cs="宋体"/>
          <w:szCs w:val="21"/>
          <w:highlight w:val="none"/>
        </w:rPr>
      </w:pPr>
      <w:r>
        <w:rPr>
          <w:rFonts w:hint="eastAsia" w:hAnsi="宋体" w:cs="宋体"/>
          <w:szCs w:val="21"/>
          <w:highlight w:val="none"/>
        </w:rPr>
        <w:t>日期：   年   月   日</w:t>
      </w:r>
    </w:p>
    <w:p>
      <w:pPr>
        <w:pStyle w:val="21"/>
        <w:spacing w:line="360" w:lineRule="exact"/>
        <w:rPr>
          <w:rFonts w:hAnsi="宋体" w:cs="宋体"/>
          <w:color w:val="auto"/>
          <w:sz w:val="21"/>
          <w:highlight w:val="none"/>
        </w:rPr>
      </w:pPr>
    </w:p>
    <w:p>
      <w:pPr>
        <w:pStyle w:val="21"/>
        <w:spacing w:line="360" w:lineRule="exact"/>
        <w:jc w:val="left"/>
        <w:rPr>
          <w:rFonts w:hAnsi="宋体" w:cs="宋体"/>
          <w:color w:val="auto"/>
          <w:sz w:val="21"/>
          <w:highlight w:val="none"/>
        </w:rPr>
      </w:pPr>
    </w:p>
    <w:p>
      <w:pPr>
        <w:pStyle w:val="21"/>
        <w:spacing w:line="360" w:lineRule="exact"/>
        <w:jc w:val="left"/>
        <w:rPr>
          <w:rFonts w:hAnsi="宋体" w:cs="宋体"/>
          <w:color w:val="auto"/>
          <w:sz w:val="21"/>
          <w:highlight w:val="none"/>
        </w:rPr>
      </w:pPr>
    </w:p>
    <w:p>
      <w:pPr>
        <w:pStyle w:val="21"/>
        <w:spacing w:line="360" w:lineRule="exact"/>
        <w:jc w:val="left"/>
        <w:rPr>
          <w:rFonts w:hAnsi="宋体" w:cs="宋体"/>
          <w:color w:val="auto"/>
          <w:sz w:val="21"/>
          <w:highlight w:val="none"/>
        </w:rPr>
      </w:pPr>
    </w:p>
    <w:p>
      <w:pPr>
        <w:pStyle w:val="21"/>
        <w:spacing w:line="360" w:lineRule="exact"/>
        <w:jc w:val="left"/>
        <w:rPr>
          <w:rFonts w:hAnsi="宋体" w:cs="宋体"/>
          <w:color w:val="auto"/>
          <w:sz w:val="21"/>
          <w:highlight w:val="none"/>
        </w:rPr>
      </w:pPr>
    </w:p>
    <w:p>
      <w:pPr>
        <w:pStyle w:val="21"/>
        <w:spacing w:line="360" w:lineRule="exact"/>
        <w:jc w:val="left"/>
        <w:rPr>
          <w:rFonts w:hAnsi="宋体" w:cs="宋体"/>
          <w:color w:val="auto"/>
          <w:sz w:val="21"/>
          <w:highlight w:val="none"/>
        </w:rPr>
      </w:pPr>
    </w:p>
    <w:p>
      <w:pPr>
        <w:pStyle w:val="21"/>
        <w:spacing w:line="360" w:lineRule="exact"/>
        <w:jc w:val="left"/>
        <w:rPr>
          <w:rFonts w:hAnsi="宋体" w:cs="宋体"/>
          <w:color w:val="auto"/>
          <w:sz w:val="21"/>
          <w:highlight w:val="none"/>
        </w:rPr>
      </w:pPr>
    </w:p>
    <w:p>
      <w:pPr>
        <w:pStyle w:val="4"/>
        <w:spacing w:before="120" w:line="480" w:lineRule="exact"/>
        <w:jc w:val="center"/>
        <w:rPr>
          <w:rFonts w:hAnsi="宋体" w:cs="宋体"/>
          <w:b/>
          <w:sz w:val="32"/>
          <w:szCs w:val="32"/>
          <w:highlight w:val="none"/>
        </w:rPr>
      </w:pPr>
      <w:r>
        <w:rPr>
          <w:rFonts w:hint="eastAsia" w:hAnsi="宋体" w:cs="宋体"/>
          <w:b/>
          <w:sz w:val="32"/>
          <w:szCs w:val="32"/>
          <w:highlight w:val="none"/>
        </w:rPr>
        <w:t>2.商务响应评分标准自查表</w:t>
      </w:r>
    </w:p>
    <w:p>
      <w:pPr>
        <w:pStyle w:val="4"/>
        <w:spacing w:before="120" w:line="480" w:lineRule="exact"/>
        <w:jc w:val="center"/>
        <w:rPr>
          <w:rFonts w:hAnsi="宋体"/>
          <w:b/>
          <w:sz w:val="21"/>
          <w:szCs w:val="21"/>
          <w:highlight w:val="none"/>
        </w:rPr>
      </w:pPr>
      <w:r>
        <w:rPr>
          <w:rFonts w:hint="eastAsia" w:hAnsi="宋体"/>
          <w:b/>
          <w:sz w:val="21"/>
          <w:szCs w:val="21"/>
          <w:highlight w:val="none"/>
        </w:rPr>
        <w:t>商务响应评分标准自查表</w:t>
      </w:r>
    </w:p>
    <w:p>
      <w:pPr>
        <w:rPr>
          <w:highlight w:val="none"/>
        </w:rPr>
      </w:pPr>
    </w:p>
    <w:tbl>
      <w:tblPr>
        <w:tblStyle w:val="49"/>
        <w:tblW w:w="9210"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0"/>
        <w:gridCol w:w="4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200" w:type="dxa"/>
            <w:vAlign w:val="center"/>
          </w:tcPr>
          <w:p>
            <w:pPr>
              <w:pStyle w:val="149"/>
              <w:keepNext w:val="0"/>
              <w:adjustRightInd/>
              <w:spacing w:before="0" w:after="0" w:line="240" w:lineRule="auto"/>
              <w:textAlignment w:val="auto"/>
              <w:rPr>
                <w:rFonts w:ascii="宋体" w:hAnsi="宋体" w:cs="宋体"/>
                <w:b/>
                <w:bCs/>
                <w:snapToGrid/>
                <w:spacing w:val="0"/>
                <w:kern w:val="2"/>
                <w:szCs w:val="21"/>
                <w:highlight w:val="none"/>
              </w:rPr>
            </w:pPr>
            <w:r>
              <w:rPr>
                <w:rFonts w:hint="eastAsia" w:ascii="宋体" w:hAnsi="宋体" w:cs="宋体"/>
                <w:b/>
                <w:bCs/>
                <w:snapToGrid/>
                <w:spacing w:val="0"/>
                <w:kern w:val="2"/>
                <w:szCs w:val="21"/>
                <w:highlight w:val="none"/>
              </w:rPr>
              <w:t>评审细则</w:t>
            </w:r>
          </w:p>
        </w:tc>
        <w:tc>
          <w:tcPr>
            <w:tcW w:w="4010" w:type="dxa"/>
            <w:vAlign w:val="center"/>
          </w:tcPr>
          <w:p>
            <w:pPr>
              <w:pStyle w:val="149"/>
              <w:keepNext w:val="0"/>
              <w:adjustRightInd/>
              <w:spacing w:before="0" w:after="0" w:line="240" w:lineRule="auto"/>
              <w:textAlignment w:val="auto"/>
              <w:rPr>
                <w:rFonts w:ascii="宋体" w:hAnsi="宋体" w:cs="宋体"/>
                <w:b/>
                <w:bCs/>
                <w:snapToGrid/>
                <w:spacing w:val="0"/>
                <w:kern w:val="2"/>
                <w:szCs w:val="21"/>
                <w:highlight w:val="none"/>
              </w:rPr>
            </w:pPr>
            <w:r>
              <w:rPr>
                <w:rFonts w:hint="eastAsia" w:ascii="宋体" w:hAnsi="宋体" w:cs="宋体"/>
                <w:b/>
                <w:bCs/>
                <w:snapToGrid/>
                <w:spacing w:val="0"/>
                <w:kern w:val="2"/>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00" w:type="dxa"/>
            <w:vAlign w:val="center"/>
          </w:tcPr>
          <w:p>
            <w:pPr>
              <w:pStyle w:val="37"/>
              <w:rPr>
                <w:rFonts w:ascii="宋体" w:hAnsi="宋体" w:cs="宋体"/>
                <w:b/>
                <w:bCs/>
                <w:iCs/>
                <w:szCs w:val="21"/>
                <w:highlight w:val="none"/>
              </w:rPr>
            </w:pPr>
            <w:r>
              <w:rPr>
                <w:rFonts w:hint="eastAsia" w:ascii="宋体" w:hAnsi="宋体" w:cs="宋体"/>
                <w:b/>
                <w:bCs/>
                <w:iCs/>
                <w:szCs w:val="21"/>
                <w:highlight w:val="none"/>
              </w:rPr>
              <w:t>............</w:t>
            </w:r>
          </w:p>
        </w:tc>
        <w:tc>
          <w:tcPr>
            <w:tcW w:w="4010" w:type="dxa"/>
            <w:vAlign w:val="center"/>
          </w:tcPr>
          <w:p>
            <w:pPr>
              <w:pStyle w:val="37"/>
              <w:jc w:val="center"/>
              <w:rPr>
                <w:rFonts w:ascii="宋体" w:hAnsi="宋体" w:cs="宋体"/>
                <w:b/>
                <w:bCs/>
                <w:szCs w:val="21"/>
                <w:highlight w:val="none"/>
              </w:rPr>
            </w:pPr>
            <w:r>
              <w:rPr>
                <w:rFonts w:hint="eastAsia" w:ascii="宋体" w:hAnsi="宋体" w:cs="宋体"/>
                <w:b/>
                <w:bCs/>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00" w:type="dxa"/>
            <w:vAlign w:val="center"/>
          </w:tcPr>
          <w:p>
            <w:pPr>
              <w:pStyle w:val="37"/>
              <w:rPr>
                <w:rFonts w:ascii="宋体" w:hAnsi="宋体" w:cs="宋体"/>
                <w:b/>
                <w:bCs/>
                <w:iCs/>
                <w:szCs w:val="21"/>
                <w:highlight w:val="none"/>
              </w:rPr>
            </w:pPr>
            <w:r>
              <w:rPr>
                <w:rFonts w:hint="eastAsia" w:ascii="宋体" w:hAnsi="宋体" w:cs="宋体"/>
                <w:b/>
                <w:bCs/>
                <w:iCs/>
                <w:szCs w:val="21"/>
                <w:highlight w:val="none"/>
              </w:rPr>
              <w:t>............</w:t>
            </w:r>
          </w:p>
        </w:tc>
        <w:tc>
          <w:tcPr>
            <w:tcW w:w="4010" w:type="dxa"/>
            <w:vAlign w:val="center"/>
          </w:tcPr>
          <w:p>
            <w:pPr>
              <w:pStyle w:val="37"/>
              <w:jc w:val="center"/>
              <w:rPr>
                <w:rFonts w:ascii="宋体" w:hAnsi="宋体" w:cs="宋体"/>
                <w:b/>
                <w:bCs/>
                <w:szCs w:val="21"/>
                <w:highlight w:val="none"/>
              </w:rPr>
            </w:pPr>
            <w:r>
              <w:rPr>
                <w:rFonts w:hint="eastAsia" w:ascii="宋体" w:hAnsi="宋体" w:cs="宋体"/>
                <w:b/>
                <w:bCs/>
                <w:szCs w:val="21"/>
                <w:highlight w:val="none"/>
              </w:rPr>
              <w:t>第（）页</w:t>
            </w:r>
          </w:p>
        </w:tc>
      </w:tr>
    </w:tbl>
    <w:p>
      <w:pPr>
        <w:snapToGrid w:val="0"/>
        <w:spacing w:line="360" w:lineRule="auto"/>
        <w:rPr>
          <w:rFonts w:hAnsi="宋体" w:cs="宋体"/>
          <w:szCs w:val="21"/>
          <w:highlight w:val="none"/>
        </w:rPr>
      </w:pPr>
      <w:r>
        <w:rPr>
          <w:rFonts w:hint="eastAsia" w:hAnsi="宋体" w:cs="宋体"/>
          <w:szCs w:val="21"/>
          <w:highlight w:val="none"/>
        </w:rPr>
        <w:t>【备注】如因投标人在投标文件中的页码标注错误而导致评审专家漏看，所产生的一切后果由投标人自行负责。</w:t>
      </w:r>
    </w:p>
    <w:p>
      <w:pPr>
        <w:snapToGrid w:val="0"/>
        <w:spacing w:line="360" w:lineRule="auto"/>
        <w:rPr>
          <w:rFonts w:hAnsi="宋体" w:cs="宋体"/>
          <w:szCs w:val="21"/>
          <w:highlight w:val="none"/>
          <w:u w:val="single"/>
        </w:rPr>
      </w:pPr>
      <w:r>
        <w:rPr>
          <w:rFonts w:hint="eastAsia" w:hAnsi="宋体" w:cs="宋体"/>
          <w:szCs w:val="21"/>
          <w:highlight w:val="none"/>
        </w:rPr>
        <w:t>投标人法定代表人（或法定代表人授权代表）签字：</w:t>
      </w:r>
    </w:p>
    <w:p>
      <w:pPr>
        <w:snapToGrid w:val="0"/>
        <w:spacing w:line="360" w:lineRule="auto"/>
        <w:rPr>
          <w:rFonts w:hAnsi="宋体" w:cs="宋体"/>
          <w:szCs w:val="21"/>
          <w:highlight w:val="none"/>
          <w:u w:val="single"/>
        </w:rPr>
      </w:pPr>
      <w:r>
        <w:rPr>
          <w:rFonts w:hint="eastAsia" w:hAnsi="宋体" w:cs="宋体"/>
          <w:szCs w:val="21"/>
          <w:highlight w:val="none"/>
        </w:rPr>
        <w:t>投标人名称（签章）：</w:t>
      </w:r>
    </w:p>
    <w:p>
      <w:pPr>
        <w:snapToGrid w:val="0"/>
        <w:spacing w:line="360" w:lineRule="auto"/>
        <w:rPr>
          <w:rFonts w:hAnsi="宋体" w:cs="宋体"/>
          <w:szCs w:val="21"/>
          <w:highlight w:val="none"/>
        </w:rPr>
      </w:pPr>
      <w:r>
        <w:rPr>
          <w:rFonts w:hint="eastAsia" w:hAnsi="宋体" w:cs="宋体"/>
          <w:szCs w:val="21"/>
          <w:highlight w:val="none"/>
        </w:rPr>
        <w:t>日期：   年   月   日</w:t>
      </w:r>
    </w:p>
    <w:p>
      <w:pPr>
        <w:snapToGrid w:val="0"/>
        <w:spacing w:line="300" w:lineRule="auto"/>
        <w:rPr>
          <w:rFonts w:hAnsi="宋体" w:cs="宋体"/>
          <w:szCs w:val="21"/>
          <w:highlight w:val="none"/>
        </w:rPr>
      </w:pPr>
    </w:p>
    <w:p>
      <w:pPr>
        <w:snapToGrid w:val="0"/>
        <w:spacing w:line="360" w:lineRule="auto"/>
        <w:jc w:val="center"/>
        <w:rPr>
          <w:rFonts w:hAnsi="宋体" w:cs="宋体"/>
          <w:b/>
          <w:sz w:val="30"/>
          <w:szCs w:val="30"/>
          <w:highlight w:val="none"/>
        </w:rPr>
      </w:pPr>
    </w:p>
    <w:p>
      <w:pPr>
        <w:pStyle w:val="4"/>
        <w:spacing w:before="120" w:line="480" w:lineRule="exact"/>
        <w:jc w:val="center"/>
        <w:rPr>
          <w:rFonts w:hAnsi="宋体" w:cs="宋体"/>
          <w:b/>
          <w:sz w:val="32"/>
          <w:szCs w:val="32"/>
          <w:highlight w:val="none"/>
        </w:rPr>
      </w:pPr>
      <w:r>
        <w:rPr>
          <w:rFonts w:hint="eastAsia" w:hAnsi="宋体" w:cs="宋体"/>
          <w:b/>
          <w:sz w:val="32"/>
          <w:szCs w:val="32"/>
          <w:highlight w:val="none"/>
        </w:rPr>
        <w:t>3.技术响应评分标准自查表</w:t>
      </w:r>
    </w:p>
    <w:p>
      <w:pPr>
        <w:pStyle w:val="4"/>
        <w:spacing w:before="120" w:line="480" w:lineRule="exact"/>
        <w:jc w:val="center"/>
        <w:rPr>
          <w:rFonts w:hAnsi="宋体"/>
          <w:b/>
          <w:sz w:val="21"/>
          <w:szCs w:val="21"/>
          <w:highlight w:val="none"/>
        </w:rPr>
      </w:pPr>
      <w:r>
        <w:rPr>
          <w:rFonts w:hint="eastAsia" w:hAnsi="宋体"/>
          <w:b/>
          <w:sz w:val="21"/>
          <w:szCs w:val="21"/>
          <w:highlight w:val="none"/>
        </w:rPr>
        <w:t>技术响应评分标准自查表</w:t>
      </w:r>
    </w:p>
    <w:tbl>
      <w:tblPr>
        <w:tblStyle w:val="49"/>
        <w:tblW w:w="9210"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0"/>
        <w:gridCol w:w="4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200" w:type="dxa"/>
            <w:vAlign w:val="center"/>
          </w:tcPr>
          <w:p>
            <w:pPr>
              <w:pStyle w:val="149"/>
              <w:keepNext w:val="0"/>
              <w:adjustRightInd/>
              <w:spacing w:before="0" w:after="0" w:line="240" w:lineRule="auto"/>
              <w:textAlignment w:val="auto"/>
              <w:rPr>
                <w:rFonts w:ascii="宋体" w:hAnsi="宋体" w:cs="宋体"/>
                <w:bCs/>
                <w:snapToGrid/>
                <w:spacing w:val="0"/>
                <w:kern w:val="2"/>
                <w:szCs w:val="21"/>
                <w:highlight w:val="none"/>
              </w:rPr>
            </w:pPr>
            <w:r>
              <w:rPr>
                <w:rFonts w:hint="eastAsia" w:ascii="宋体" w:hAnsi="宋体" w:cs="宋体"/>
                <w:bCs/>
                <w:snapToGrid/>
                <w:spacing w:val="0"/>
                <w:kern w:val="2"/>
                <w:szCs w:val="21"/>
                <w:highlight w:val="none"/>
              </w:rPr>
              <w:t>评审细则</w:t>
            </w:r>
          </w:p>
        </w:tc>
        <w:tc>
          <w:tcPr>
            <w:tcW w:w="4010" w:type="dxa"/>
            <w:vAlign w:val="center"/>
          </w:tcPr>
          <w:p>
            <w:pPr>
              <w:pStyle w:val="149"/>
              <w:keepNext w:val="0"/>
              <w:adjustRightInd/>
              <w:spacing w:before="0" w:after="0" w:line="240" w:lineRule="auto"/>
              <w:textAlignment w:val="auto"/>
              <w:rPr>
                <w:rFonts w:ascii="宋体" w:hAnsi="宋体" w:cs="宋体"/>
                <w:bCs/>
                <w:snapToGrid/>
                <w:spacing w:val="0"/>
                <w:kern w:val="2"/>
                <w:szCs w:val="21"/>
                <w:highlight w:val="none"/>
              </w:rPr>
            </w:pPr>
            <w:r>
              <w:rPr>
                <w:rFonts w:hint="eastAsia" w:ascii="宋体" w:hAnsi="宋体" w:cs="宋体"/>
                <w:bCs/>
                <w:snapToGrid/>
                <w:spacing w:val="0"/>
                <w:kern w:val="2"/>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00" w:type="dxa"/>
            <w:vAlign w:val="center"/>
          </w:tcPr>
          <w:p>
            <w:pPr>
              <w:rPr>
                <w:rFonts w:hAnsi="宋体" w:cs="宋体"/>
                <w:bCs/>
                <w:iCs/>
                <w:szCs w:val="21"/>
                <w:highlight w:val="none"/>
              </w:rPr>
            </w:pPr>
            <w:r>
              <w:rPr>
                <w:rFonts w:hint="eastAsia" w:hAnsi="宋体" w:cs="宋体"/>
                <w:b/>
                <w:bCs/>
                <w:iCs/>
                <w:szCs w:val="21"/>
                <w:highlight w:val="none"/>
              </w:rPr>
              <w:t>............</w:t>
            </w:r>
          </w:p>
        </w:tc>
        <w:tc>
          <w:tcPr>
            <w:tcW w:w="4010" w:type="dxa"/>
            <w:vAlign w:val="center"/>
          </w:tcPr>
          <w:p>
            <w:pPr>
              <w:pStyle w:val="37"/>
              <w:jc w:val="center"/>
              <w:rPr>
                <w:rFonts w:ascii="宋体" w:hAnsi="宋体" w:cs="宋体"/>
                <w:bCs/>
                <w:szCs w:val="21"/>
                <w:highlight w:val="none"/>
              </w:rPr>
            </w:pPr>
            <w:r>
              <w:rPr>
                <w:rFonts w:hint="eastAsia" w:ascii="宋体" w:hAnsi="宋体" w:cs="宋体"/>
                <w:bCs/>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00" w:type="dxa"/>
            <w:vAlign w:val="center"/>
          </w:tcPr>
          <w:p>
            <w:pPr>
              <w:rPr>
                <w:rFonts w:hAnsi="宋体" w:cs="宋体"/>
                <w:bCs/>
                <w:szCs w:val="21"/>
                <w:highlight w:val="none"/>
              </w:rPr>
            </w:pPr>
            <w:r>
              <w:rPr>
                <w:rFonts w:hint="eastAsia" w:hAnsi="宋体" w:cs="宋体"/>
                <w:b/>
                <w:bCs/>
                <w:iCs/>
                <w:szCs w:val="21"/>
                <w:highlight w:val="none"/>
              </w:rPr>
              <w:t>............</w:t>
            </w:r>
          </w:p>
        </w:tc>
        <w:tc>
          <w:tcPr>
            <w:tcW w:w="4010" w:type="dxa"/>
            <w:vAlign w:val="center"/>
          </w:tcPr>
          <w:p>
            <w:pPr>
              <w:pStyle w:val="37"/>
              <w:jc w:val="center"/>
              <w:rPr>
                <w:rFonts w:ascii="宋体" w:hAnsi="宋体" w:cs="宋体"/>
                <w:bCs/>
                <w:szCs w:val="21"/>
                <w:highlight w:val="none"/>
              </w:rPr>
            </w:pPr>
            <w:r>
              <w:rPr>
                <w:rFonts w:hint="eastAsia" w:ascii="宋体" w:hAnsi="宋体" w:cs="宋体"/>
                <w:bCs/>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00" w:type="dxa"/>
            <w:vAlign w:val="center"/>
          </w:tcPr>
          <w:p>
            <w:pPr>
              <w:rPr>
                <w:rFonts w:hAnsi="宋体" w:cs="宋体"/>
                <w:bCs/>
                <w:szCs w:val="21"/>
                <w:highlight w:val="none"/>
              </w:rPr>
            </w:pPr>
            <w:r>
              <w:rPr>
                <w:rFonts w:hint="eastAsia" w:hAnsi="宋体" w:cs="宋体"/>
                <w:b/>
                <w:bCs/>
                <w:iCs/>
                <w:szCs w:val="21"/>
                <w:highlight w:val="none"/>
              </w:rPr>
              <w:t>............</w:t>
            </w:r>
          </w:p>
        </w:tc>
        <w:tc>
          <w:tcPr>
            <w:tcW w:w="4010" w:type="dxa"/>
            <w:vAlign w:val="center"/>
          </w:tcPr>
          <w:p>
            <w:pPr>
              <w:pStyle w:val="37"/>
              <w:jc w:val="center"/>
              <w:rPr>
                <w:rFonts w:ascii="宋体" w:hAnsi="宋体" w:cs="宋体"/>
                <w:bCs/>
                <w:szCs w:val="21"/>
                <w:highlight w:val="none"/>
              </w:rPr>
            </w:pPr>
            <w:r>
              <w:rPr>
                <w:rFonts w:hint="eastAsia" w:ascii="宋体" w:hAnsi="宋体" w:cs="宋体"/>
                <w:bCs/>
                <w:szCs w:val="21"/>
                <w:highlight w:val="none"/>
              </w:rPr>
              <w:t>第（）页</w:t>
            </w:r>
          </w:p>
        </w:tc>
      </w:tr>
    </w:tbl>
    <w:p>
      <w:pPr>
        <w:snapToGrid w:val="0"/>
        <w:spacing w:line="360" w:lineRule="auto"/>
        <w:rPr>
          <w:rFonts w:hAnsi="宋体"/>
          <w:szCs w:val="21"/>
          <w:highlight w:val="none"/>
        </w:rPr>
      </w:pPr>
      <w:r>
        <w:rPr>
          <w:rFonts w:hint="eastAsia" w:hAnsi="宋体"/>
          <w:szCs w:val="21"/>
          <w:highlight w:val="none"/>
        </w:rPr>
        <w:t>【备注】如因投标人在投标文件中的页码标注错误而导致评审专家漏看，所产生的一切后果由投标人自行负责。</w:t>
      </w:r>
    </w:p>
    <w:p>
      <w:pPr>
        <w:snapToGrid w:val="0"/>
        <w:spacing w:line="360" w:lineRule="auto"/>
        <w:rPr>
          <w:rFonts w:hAnsi="宋体"/>
          <w:szCs w:val="21"/>
          <w:highlight w:val="none"/>
          <w:u w:val="single"/>
        </w:rPr>
      </w:pPr>
      <w:r>
        <w:rPr>
          <w:rFonts w:hint="eastAsia" w:hAnsi="宋体"/>
          <w:szCs w:val="21"/>
          <w:highlight w:val="none"/>
        </w:rPr>
        <w:t>投标人法定代表人（或法定代表人授权代表）签字：</w:t>
      </w:r>
    </w:p>
    <w:p>
      <w:pPr>
        <w:snapToGrid w:val="0"/>
        <w:spacing w:line="360" w:lineRule="auto"/>
        <w:rPr>
          <w:rFonts w:hAnsi="宋体"/>
          <w:szCs w:val="21"/>
          <w:highlight w:val="none"/>
          <w:u w:val="single"/>
        </w:rPr>
      </w:pPr>
      <w:r>
        <w:rPr>
          <w:rFonts w:hint="eastAsia" w:hAnsi="宋体"/>
          <w:szCs w:val="21"/>
          <w:highlight w:val="none"/>
        </w:rPr>
        <w:t>投标人名称（签章）：</w:t>
      </w:r>
    </w:p>
    <w:p>
      <w:pPr>
        <w:snapToGrid w:val="0"/>
        <w:spacing w:line="360" w:lineRule="auto"/>
        <w:rPr>
          <w:rFonts w:hAnsi="宋体"/>
          <w:szCs w:val="21"/>
          <w:highlight w:val="none"/>
        </w:rPr>
      </w:pPr>
      <w:r>
        <w:rPr>
          <w:rFonts w:hint="eastAsia" w:hAnsi="宋体"/>
          <w:szCs w:val="21"/>
          <w:highlight w:val="none"/>
        </w:rPr>
        <w:t>日期：年月日</w:t>
      </w:r>
    </w:p>
    <w:p>
      <w:pPr>
        <w:pStyle w:val="21"/>
        <w:spacing w:line="360" w:lineRule="exact"/>
        <w:rPr>
          <w:rFonts w:hAnsi="宋体"/>
          <w:color w:val="auto"/>
          <w:sz w:val="21"/>
          <w:szCs w:val="21"/>
          <w:highlight w:val="none"/>
          <w:lang w:val="en-US"/>
        </w:rPr>
      </w:pPr>
    </w:p>
    <w:p>
      <w:pPr>
        <w:pStyle w:val="21"/>
        <w:spacing w:line="360" w:lineRule="exact"/>
        <w:jc w:val="left"/>
        <w:rPr>
          <w:rFonts w:hAnsi="宋体"/>
          <w:color w:val="auto"/>
          <w:sz w:val="21"/>
          <w:szCs w:val="21"/>
          <w:highlight w:val="none"/>
          <w:lang w:val="en-US"/>
        </w:rPr>
      </w:pPr>
    </w:p>
    <w:p>
      <w:pPr>
        <w:pStyle w:val="21"/>
        <w:spacing w:line="360" w:lineRule="exact"/>
        <w:jc w:val="left"/>
        <w:rPr>
          <w:rFonts w:hAnsi="宋体"/>
          <w:color w:val="auto"/>
          <w:sz w:val="21"/>
          <w:szCs w:val="21"/>
          <w:highlight w:val="none"/>
        </w:rPr>
      </w:pPr>
    </w:p>
    <w:p>
      <w:pPr>
        <w:snapToGrid w:val="0"/>
        <w:spacing w:line="360" w:lineRule="auto"/>
        <w:rPr>
          <w:rFonts w:hAnsi="宋体"/>
          <w:szCs w:val="21"/>
          <w:highlight w:val="none"/>
        </w:rPr>
      </w:pPr>
    </w:p>
    <w:p>
      <w:pPr>
        <w:pStyle w:val="21"/>
        <w:spacing w:line="360" w:lineRule="exact"/>
        <w:jc w:val="left"/>
        <w:rPr>
          <w:rFonts w:hAnsi="宋体" w:cs="宋体"/>
          <w:color w:val="auto"/>
          <w:sz w:val="21"/>
          <w:highlight w:val="none"/>
          <w:lang w:val="en-US"/>
        </w:rPr>
      </w:pPr>
    </w:p>
    <w:p>
      <w:pPr>
        <w:pStyle w:val="21"/>
        <w:spacing w:line="360" w:lineRule="exact"/>
        <w:jc w:val="left"/>
        <w:rPr>
          <w:rFonts w:hAnsi="宋体" w:cs="宋体"/>
          <w:color w:val="auto"/>
          <w:sz w:val="21"/>
          <w:highlight w:val="none"/>
          <w:lang w:val="en-US"/>
        </w:rPr>
      </w:pPr>
    </w:p>
    <w:p>
      <w:pPr>
        <w:pStyle w:val="21"/>
        <w:spacing w:line="360" w:lineRule="exact"/>
        <w:jc w:val="left"/>
        <w:rPr>
          <w:rFonts w:hAnsi="宋体" w:cs="宋体"/>
          <w:color w:val="auto"/>
          <w:sz w:val="21"/>
          <w:highlight w:val="none"/>
          <w:lang w:val="en-US"/>
        </w:rPr>
      </w:pPr>
    </w:p>
    <w:p>
      <w:pPr>
        <w:pStyle w:val="21"/>
        <w:spacing w:line="360" w:lineRule="exact"/>
        <w:jc w:val="left"/>
        <w:rPr>
          <w:rFonts w:hAnsi="宋体" w:cs="宋体"/>
          <w:color w:val="auto"/>
          <w:sz w:val="21"/>
          <w:highlight w:val="none"/>
          <w:lang w:val="en-US"/>
        </w:rPr>
      </w:pPr>
    </w:p>
    <w:p>
      <w:pPr>
        <w:snapToGrid w:val="0"/>
        <w:rPr>
          <w:rFonts w:hAnsi="宋体"/>
          <w:szCs w:val="21"/>
          <w:highlight w:val="none"/>
        </w:rPr>
        <w:sectPr>
          <w:headerReference r:id="rId3" w:type="default"/>
          <w:footerReference r:id="rId4" w:type="default"/>
          <w:footerReference r:id="rId5" w:type="even"/>
          <w:type w:val="nextColumn"/>
          <w:pgSz w:w="11906" w:h="16838"/>
          <w:pgMar w:top="1089" w:right="1191" w:bottom="1089" w:left="1191" w:header="567" w:footer="550" w:gutter="0"/>
          <w:pgBorders>
            <w:top w:val="none" w:sz="0" w:space="0"/>
            <w:left w:val="none" w:sz="0" w:space="0"/>
            <w:bottom w:val="none" w:sz="0" w:space="0"/>
            <w:right w:val="none" w:sz="0" w:space="0"/>
          </w:pgBorders>
          <w:pgNumType w:start="0"/>
          <w:cols w:space="720" w:num="1"/>
          <w:titlePg/>
          <w:docGrid w:type="lines" w:linePitch="312" w:charSpace="0"/>
        </w:sectPr>
      </w:pPr>
    </w:p>
    <w:p>
      <w:pPr>
        <w:pStyle w:val="4"/>
        <w:spacing w:before="120" w:line="480" w:lineRule="exact"/>
        <w:jc w:val="center"/>
        <w:rPr>
          <w:rFonts w:hAnsi="宋体" w:cs="宋体"/>
          <w:b/>
          <w:sz w:val="32"/>
          <w:szCs w:val="32"/>
          <w:highlight w:val="none"/>
        </w:rPr>
      </w:pPr>
      <w:r>
        <w:rPr>
          <w:rFonts w:hint="eastAsia" w:hAnsi="宋体" w:cs="宋体"/>
          <w:b/>
          <w:sz w:val="32"/>
          <w:szCs w:val="32"/>
          <w:highlight w:val="none"/>
        </w:rPr>
        <w:t>二、商务部分文件</w:t>
      </w:r>
    </w:p>
    <w:p>
      <w:pPr>
        <w:pStyle w:val="4"/>
        <w:rPr>
          <w:rFonts w:hAnsi="宋体" w:cs="宋体"/>
          <w:b/>
          <w:szCs w:val="20"/>
          <w:highlight w:val="none"/>
        </w:rPr>
      </w:pPr>
      <w:bookmarkStart w:id="29" w:name="_Hlt10519541"/>
      <w:bookmarkEnd w:id="29"/>
      <w:bookmarkStart w:id="30" w:name="_Hlt10456257"/>
      <w:r>
        <w:rPr>
          <w:rFonts w:hint="eastAsia" w:hAnsi="宋体" w:cs="宋体"/>
          <w:b/>
          <w:szCs w:val="20"/>
          <w:highlight w:val="none"/>
        </w:rPr>
        <w:t>附表2.1 投标函格式</w:t>
      </w:r>
    </w:p>
    <w:bookmarkEnd w:id="30"/>
    <w:p>
      <w:pPr>
        <w:spacing w:line="480" w:lineRule="exact"/>
        <w:jc w:val="center"/>
        <w:rPr>
          <w:rFonts w:hAnsi="宋体" w:cs="宋体"/>
          <w:b/>
          <w:sz w:val="32"/>
          <w:szCs w:val="32"/>
          <w:highlight w:val="none"/>
        </w:rPr>
      </w:pPr>
      <w:r>
        <w:rPr>
          <w:rFonts w:hint="eastAsia" w:hAnsi="宋体" w:cs="宋体"/>
          <w:b/>
          <w:sz w:val="32"/>
          <w:szCs w:val="32"/>
          <w:highlight w:val="none"/>
        </w:rPr>
        <w:t>投标函</w:t>
      </w:r>
    </w:p>
    <w:p>
      <w:pPr>
        <w:spacing w:line="480" w:lineRule="exact"/>
        <w:rPr>
          <w:rFonts w:hAnsi="宋体" w:cs="宋体"/>
          <w:b/>
          <w:szCs w:val="21"/>
          <w:highlight w:val="none"/>
        </w:rPr>
      </w:pPr>
      <w:r>
        <w:rPr>
          <w:rFonts w:hint="eastAsia" w:hAnsi="宋体" w:cs="宋体"/>
          <w:b/>
          <w:szCs w:val="21"/>
          <w:highlight w:val="none"/>
        </w:rPr>
        <w:t>致：</w:t>
      </w:r>
      <w:r>
        <w:rPr>
          <w:rFonts w:hint="eastAsia" w:hAnsi="宋体" w:cs="宋体"/>
          <w:b/>
          <w:szCs w:val="21"/>
          <w:highlight w:val="none"/>
          <w:u w:val="single"/>
        </w:rPr>
        <w:t>国家海洋局南海标准计量中心/（广东远东招标代理有限公司）</w:t>
      </w:r>
    </w:p>
    <w:p>
      <w:pPr>
        <w:spacing w:line="400" w:lineRule="exact"/>
        <w:ind w:firstLine="420"/>
        <w:jc w:val="both"/>
        <w:rPr>
          <w:rFonts w:hAnsi="宋体" w:cs="宋体"/>
          <w:kern w:val="2"/>
          <w:szCs w:val="21"/>
          <w:highlight w:val="none"/>
          <w:lang w:val="zh-CN"/>
        </w:rPr>
      </w:pPr>
      <w:r>
        <w:rPr>
          <w:rFonts w:hint="eastAsia" w:hAnsi="宋体" w:cs="宋体"/>
          <w:kern w:val="2"/>
          <w:szCs w:val="21"/>
          <w:highlight w:val="none"/>
          <w:lang w:val="zh-CN"/>
        </w:rPr>
        <w:t>根据贵方“</w:t>
      </w:r>
      <w:r>
        <w:rPr>
          <w:rFonts w:hint="eastAsia" w:hAnsi="宋体" w:cs="宋体"/>
          <w:szCs w:val="21"/>
          <w:highlight w:val="none"/>
        </w:rPr>
        <w:t>国家海洋局南海标准计量中心2023年船员服务采购项目</w:t>
      </w:r>
      <w:r>
        <w:rPr>
          <w:rFonts w:hint="eastAsia" w:hAnsi="宋体" w:cs="宋体"/>
          <w:kern w:val="2"/>
          <w:szCs w:val="21"/>
          <w:highlight w:val="none"/>
          <w:lang w:val="zh-CN"/>
        </w:rPr>
        <w:t>”</w:t>
      </w:r>
      <w:r>
        <w:rPr>
          <w:rFonts w:hint="eastAsia" w:hAnsi="宋体" w:cs="宋体"/>
          <w:szCs w:val="32"/>
          <w:highlight w:val="none"/>
        </w:rPr>
        <w:t>(</w:t>
      </w:r>
      <w:r>
        <w:rPr>
          <w:rFonts w:hint="eastAsia" w:hAnsi="宋体" w:cs="宋体"/>
          <w:kern w:val="2"/>
          <w:szCs w:val="21"/>
          <w:highlight w:val="none"/>
          <w:lang w:val="zh-CN"/>
        </w:rPr>
        <w:t>采购编号：GDYD221545)的投标邀请，我方（投标人名称）作为投标人正式授权</w:t>
      </w:r>
      <w:r>
        <w:rPr>
          <w:rFonts w:hint="eastAsia" w:hAnsi="宋体" w:cs="宋体"/>
          <w:kern w:val="2"/>
          <w:szCs w:val="21"/>
          <w:highlight w:val="none"/>
          <w:u w:val="single"/>
          <w:lang w:val="zh-CN"/>
        </w:rPr>
        <w:t>　（</w:t>
      </w:r>
      <w:r>
        <w:rPr>
          <w:rFonts w:hint="eastAsia" w:hAnsi="宋体" w:cs="宋体"/>
          <w:kern w:val="2"/>
          <w:szCs w:val="21"/>
          <w:highlight w:val="none"/>
          <w:lang w:val="zh-CN"/>
        </w:rPr>
        <w:t>授权代表全名，职务）代表我方进行有关本次投标的一切事宜。</w:t>
      </w:r>
    </w:p>
    <w:p>
      <w:pPr>
        <w:spacing w:line="400" w:lineRule="exact"/>
        <w:ind w:firstLine="420"/>
        <w:jc w:val="both"/>
        <w:rPr>
          <w:rFonts w:hAnsi="宋体" w:cs="宋体"/>
          <w:kern w:val="2"/>
          <w:szCs w:val="21"/>
          <w:highlight w:val="none"/>
          <w:lang w:val="zh-CN"/>
        </w:rPr>
      </w:pPr>
      <w:r>
        <w:rPr>
          <w:rFonts w:hint="eastAsia" w:hAnsi="宋体" w:cs="宋体"/>
          <w:kern w:val="2"/>
          <w:szCs w:val="21"/>
          <w:highlight w:val="none"/>
          <w:lang w:val="zh-CN"/>
        </w:rPr>
        <w:t>在此提交的投标文件，已按招标文件的要求密封封装。包括但不限于如下内容：</w:t>
      </w:r>
    </w:p>
    <w:p>
      <w:pPr>
        <w:spacing w:line="400" w:lineRule="exact"/>
        <w:ind w:left="718"/>
        <w:jc w:val="both"/>
        <w:rPr>
          <w:rFonts w:hAnsi="宋体" w:cs="宋体"/>
          <w:kern w:val="2"/>
          <w:szCs w:val="21"/>
          <w:highlight w:val="none"/>
          <w:lang w:val="zh-CN"/>
        </w:rPr>
      </w:pPr>
      <w:r>
        <w:rPr>
          <w:rFonts w:hint="eastAsia" w:hAnsi="宋体" w:cs="宋体"/>
          <w:kern w:val="2"/>
          <w:szCs w:val="21"/>
          <w:highlight w:val="none"/>
          <w:lang w:val="zh-CN"/>
        </w:rPr>
        <w:t>（1）唱标信封【1份】（按招标文件要求的内容编制，含电子文件【</w:t>
      </w:r>
      <w:r>
        <w:rPr>
          <w:rFonts w:hint="eastAsia" w:hAnsi="宋体" w:cs="宋体"/>
          <w:kern w:val="2"/>
          <w:szCs w:val="21"/>
          <w:highlight w:val="none"/>
          <w:u w:val="single"/>
          <w:lang w:val="zh-CN"/>
        </w:rPr>
        <w:t xml:space="preserve"> 1</w:t>
      </w:r>
      <w:r>
        <w:rPr>
          <w:rFonts w:hint="eastAsia" w:hAnsi="宋体" w:cs="宋体"/>
          <w:kern w:val="2"/>
          <w:szCs w:val="21"/>
          <w:highlight w:val="none"/>
          <w:lang w:val="zh-CN"/>
        </w:rPr>
        <w:t>份】）；</w:t>
      </w:r>
    </w:p>
    <w:p>
      <w:pPr>
        <w:spacing w:line="400" w:lineRule="exact"/>
        <w:ind w:left="718"/>
        <w:jc w:val="both"/>
        <w:rPr>
          <w:rFonts w:hAnsi="宋体" w:cs="宋体"/>
          <w:kern w:val="2"/>
          <w:szCs w:val="21"/>
          <w:highlight w:val="none"/>
          <w:lang w:val="zh-CN"/>
        </w:rPr>
      </w:pPr>
      <w:r>
        <w:rPr>
          <w:rFonts w:hint="eastAsia" w:hAnsi="宋体" w:cs="宋体"/>
          <w:kern w:val="2"/>
          <w:szCs w:val="21"/>
          <w:highlight w:val="none"/>
          <w:lang w:val="zh-CN"/>
        </w:rPr>
        <w:t>（2）投标文件【含自检表、经济文件和商务技术文件，正本</w:t>
      </w:r>
      <w:r>
        <w:rPr>
          <w:rFonts w:hint="eastAsia" w:hAnsi="宋体" w:cs="宋体"/>
          <w:kern w:val="2"/>
          <w:szCs w:val="21"/>
          <w:highlight w:val="none"/>
          <w:u w:val="single"/>
          <w:lang w:val="zh-CN"/>
        </w:rPr>
        <w:t>1</w:t>
      </w:r>
      <w:r>
        <w:rPr>
          <w:rFonts w:hint="eastAsia" w:hAnsi="宋体" w:cs="宋体"/>
          <w:kern w:val="2"/>
          <w:szCs w:val="21"/>
          <w:highlight w:val="none"/>
          <w:lang w:val="zh-CN"/>
        </w:rPr>
        <w:t>份，副本</w:t>
      </w:r>
      <w:r>
        <w:rPr>
          <w:rFonts w:hint="eastAsia" w:hAnsi="宋体" w:cs="宋体"/>
          <w:kern w:val="2"/>
          <w:szCs w:val="21"/>
          <w:highlight w:val="none"/>
          <w:u w:val="single"/>
        </w:rPr>
        <w:t>6</w:t>
      </w:r>
      <w:r>
        <w:rPr>
          <w:rFonts w:hint="eastAsia" w:hAnsi="宋体" w:cs="宋体"/>
          <w:kern w:val="2"/>
          <w:szCs w:val="21"/>
          <w:highlight w:val="none"/>
          <w:lang w:val="zh-CN"/>
        </w:rPr>
        <w:t>份】。</w:t>
      </w:r>
    </w:p>
    <w:p>
      <w:pPr>
        <w:spacing w:line="400" w:lineRule="exact"/>
        <w:ind w:firstLine="420"/>
        <w:jc w:val="both"/>
        <w:rPr>
          <w:rFonts w:hAnsi="宋体" w:cs="宋体"/>
          <w:kern w:val="2"/>
          <w:szCs w:val="21"/>
          <w:highlight w:val="none"/>
          <w:lang w:val="zh-CN"/>
        </w:rPr>
      </w:pPr>
      <w:r>
        <w:rPr>
          <w:rFonts w:hint="eastAsia" w:hAnsi="宋体" w:cs="宋体"/>
          <w:kern w:val="2"/>
          <w:szCs w:val="21"/>
          <w:highlight w:val="none"/>
          <w:lang w:val="zh-CN"/>
        </w:rPr>
        <w:t>我方己完全明白招标文件的所有条款要求，并重申以下几点：</w:t>
      </w:r>
    </w:p>
    <w:p>
      <w:pPr>
        <w:spacing w:line="400" w:lineRule="exact"/>
        <w:ind w:left="359"/>
        <w:jc w:val="both"/>
        <w:rPr>
          <w:rFonts w:hAnsi="宋体" w:cs="宋体"/>
          <w:kern w:val="2"/>
          <w:szCs w:val="21"/>
          <w:highlight w:val="none"/>
          <w:lang w:val="zh-CN"/>
        </w:rPr>
      </w:pPr>
      <w:r>
        <w:rPr>
          <w:rFonts w:hint="eastAsia" w:hAnsi="宋体" w:cs="宋体"/>
          <w:kern w:val="2"/>
          <w:szCs w:val="21"/>
          <w:highlight w:val="none"/>
          <w:lang w:val="zh-CN"/>
        </w:rPr>
        <w:t>（—）我方决定参加采购编号为GDYD221545项目的投标；</w:t>
      </w:r>
    </w:p>
    <w:p>
      <w:pPr>
        <w:spacing w:line="400" w:lineRule="exact"/>
        <w:ind w:left="359"/>
        <w:jc w:val="both"/>
        <w:rPr>
          <w:rFonts w:hAnsi="宋体" w:cs="宋体"/>
          <w:kern w:val="2"/>
          <w:szCs w:val="21"/>
          <w:highlight w:val="none"/>
          <w:lang w:val="zh-CN"/>
        </w:rPr>
      </w:pPr>
      <w:r>
        <w:rPr>
          <w:rFonts w:hint="eastAsia" w:hAnsi="宋体" w:cs="宋体"/>
          <w:kern w:val="2"/>
          <w:szCs w:val="21"/>
          <w:highlight w:val="none"/>
          <w:lang w:val="zh-CN"/>
        </w:rPr>
        <w:t>（二）本项目的投标报价（详见投标报价表）；</w:t>
      </w:r>
    </w:p>
    <w:p>
      <w:pPr>
        <w:spacing w:line="400" w:lineRule="exact"/>
        <w:ind w:left="945" w:leftChars="150" w:hanging="630" w:hangingChars="300"/>
        <w:jc w:val="both"/>
        <w:rPr>
          <w:rFonts w:hAnsi="宋体" w:cs="宋体"/>
          <w:kern w:val="2"/>
          <w:szCs w:val="21"/>
          <w:highlight w:val="none"/>
          <w:lang w:val="zh-CN"/>
        </w:rPr>
      </w:pPr>
      <w:r>
        <w:rPr>
          <w:rFonts w:hint="eastAsia" w:hAnsi="宋体" w:cs="宋体"/>
          <w:kern w:val="2"/>
          <w:szCs w:val="21"/>
          <w:highlight w:val="none"/>
          <w:lang w:val="zh-CN"/>
        </w:rPr>
        <w:t>（三）本投标文件的有效期自递交投标文件截止日后</w:t>
      </w:r>
      <w:r>
        <w:rPr>
          <w:rFonts w:hint="eastAsia" w:hAnsi="宋体" w:cs="宋体"/>
          <w:kern w:val="2"/>
          <w:szCs w:val="21"/>
          <w:highlight w:val="none"/>
          <w:u w:val="single"/>
          <w:lang w:val="zh-CN"/>
        </w:rPr>
        <w:t>90</w:t>
      </w:r>
      <w:r>
        <w:rPr>
          <w:rFonts w:hint="eastAsia" w:hAnsi="宋体" w:cs="宋体"/>
          <w:kern w:val="2"/>
          <w:szCs w:val="21"/>
          <w:highlight w:val="none"/>
          <w:lang w:val="zh-CN"/>
        </w:rPr>
        <w:t>天有效，如中标，有效期延至合同终止日为止；</w:t>
      </w:r>
    </w:p>
    <w:p>
      <w:pPr>
        <w:spacing w:line="400" w:lineRule="exact"/>
        <w:ind w:left="945" w:leftChars="150" w:hanging="630" w:hangingChars="300"/>
        <w:jc w:val="both"/>
        <w:rPr>
          <w:rFonts w:hAnsi="宋体" w:cs="宋体"/>
          <w:kern w:val="2"/>
          <w:szCs w:val="21"/>
          <w:highlight w:val="none"/>
          <w:lang w:val="zh-CN"/>
        </w:rPr>
      </w:pPr>
      <w:r>
        <w:rPr>
          <w:rFonts w:hint="eastAsia" w:hAnsi="宋体" w:cs="宋体"/>
          <w:kern w:val="2"/>
          <w:szCs w:val="21"/>
          <w:highlight w:val="none"/>
          <w:lang w:val="zh-CN"/>
        </w:rPr>
        <w:t>（四）我方已详细</w:t>
      </w:r>
      <w:r>
        <w:rPr>
          <w:rFonts w:hint="eastAsia" w:hAnsi="宋体" w:cs="宋体"/>
          <w:szCs w:val="21"/>
          <w:highlight w:val="none"/>
        </w:rPr>
        <w:t>阅读并</w:t>
      </w:r>
      <w:r>
        <w:rPr>
          <w:rFonts w:hint="eastAsia" w:hAnsi="宋体" w:cs="宋体"/>
          <w:kern w:val="2"/>
          <w:szCs w:val="21"/>
          <w:highlight w:val="none"/>
          <w:lang w:val="zh-CN"/>
        </w:rPr>
        <w:t>研究了招标文件的所有内容包括修正文、</w:t>
      </w:r>
      <w:r>
        <w:rPr>
          <w:rFonts w:hint="eastAsia" w:hAnsi="宋体" w:cs="宋体"/>
          <w:szCs w:val="21"/>
          <w:highlight w:val="none"/>
        </w:rPr>
        <w:t>答疑纪要、澄清补充通知</w:t>
      </w:r>
      <w:r>
        <w:rPr>
          <w:rFonts w:hint="eastAsia" w:hAnsi="宋体" w:cs="宋体"/>
          <w:kern w:val="2"/>
          <w:szCs w:val="21"/>
          <w:highlight w:val="none"/>
          <w:lang w:val="zh-CN"/>
        </w:rPr>
        <w:t>（如有）和所有已提供的参考资料以及有关附件，</w:t>
      </w:r>
      <w:r>
        <w:rPr>
          <w:rFonts w:hint="eastAsia" w:hAnsi="宋体" w:cs="宋体"/>
          <w:szCs w:val="21"/>
          <w:highlight w:val="none"/>
        </w:rPr>
        <w:t>我们完全清晰理解招标文件的要求，不存在任何含糊不清和误解之处，</w:t>
      </w:r>
      <w:r>
        <w:rPr>
          <w:rFonts w:hint="eastAsia" w:hAnsi="宋体" w:cs="宋体"/>
          <w:kern w:val="2"/>
          <w:szCs w:val="21"/>
          <w:highlight w:val="none"/>
          <w:lang w:val="zh-CN"/>
        </w:rPr>
        <w:t>我方</w:t>
      </w:r>
      <w:r>
        <w:rPr>
          <w:rFonts w:hint="eastAsia" w:hAnsi="宋体" w:cs="宋体"/>
          <w:szCs w:val="21"/>
          <w:highlight w:val="none"/>
        </w:rPr>
        <w:t>同意</w:t>
      </w:r>
      <w:r>
        <w:rPr>
          <w:rFonts w:hint="eastAsia" w:hAnsi="宋体" w:cs="宋体"/>
          <w:kern w:val="2"/>
          <w:szCs w:val="21"/>
          <w:highlight w:val="none"/>
          <w:lang w:val="zh-CN"/>
        </w:rPr>
        <w:t>放弃在此方面提出含糊意见或误解的一切权力；</w:t>
      </w:r>
    </w:p>
    <w:p>
      <w:pPr>
        <w:spacing w:line="400" w:lineRule="exact"/>
        <w:ind w:left="945" w:leftChars="150" w:hanging="630" w:hangingChars="300"/>
        <w:jc w:val="both"/>
        <w:rPr>
          <w:rFonts w:hAnsi="宋体" w:cs="宋体"/>
          <w:kern w:val="2"/>
          <w:szCs w:val="21"/>
          <w:highlight w:val="none"/>
          <w:lang w:val="zh-CN"/>
        </w:rPr>
      </w:pPr>
      <w:r>
        <w:rPr>
          <w:rFonts w:hint="eastAsia" w:hAnsi="宋体" w:cs="宋体"/>
          <w:kern w:val="2"/>
          <w:szCs w:val="21"/>
          <w:highlight w:val="none"/>
          <w:lang w:val="zh-CN"/>
        </w:rPr>
        <w:t>（五）我方明白并愿意在规定的递交投标文件截止时间和日期之后，投标有效期之内不得撤回投标；</w:t>
      </w:r>
    </w:p>
    <w:p>
      <w:pPr>
        <w:spacing w:line="400" w:lineRule="exact"/>
        <w:ind w:left="359"/>
        <w:jc w:val="both"/>
        <w:rPr>
          <w:rFonts w:hAnsi="宋体" w:cs="宋体"/>
          <w:kern w:val="2"/>
          <w:szCs w:val="21"/>
          <w:highlight w:val="none"/>
          <w:lang w:val="zh-CN"/>
        </w:rPr>
      </w:pPr>
      <w:r>
        <w:rPr>
          <w:rFonts w:hint="eastAsia" w:hAnsi="宋体" w:cs="宋体"/>
          <w:kern w:val="2"/>
          <w:szCs w:val="21"/>
          <w:highlight w:val="none"/>
          <w:lang w:val="zh-CN"/>
        </w:rPr>
        <w:t>（六）我方同意按照贵方可能提出的要求而提供与投标有关的任何其它数据或信息；</w:t>
      </w:r>
    </w:p>
    <w:p>
      <w:pPr>
        <w:spacing w:line="400" w:lineRule="exact"/>
        <w:ind w:left="945" w:leftChars="150" w:hanging="630" w:hangingChars="300"/>
        <w:jc w:val="both"/>
        <w:rPr>
          <w:rFonts w:hAnsi="宋体" w:cs="宋体"/>
          <w:kern w:val="2"/>
          <w:szCs w:val="21"/>
          <w:highlight w:val="none"/>
          <w:lang w:val="zh-CN"/>
        </w:rPr>
      </w:pPr>
      <w:r>
        <w:rPr>
          <w:rFonts w:hint="eastAsia" w:hAnsi="宋体" w:cs="宋体"/>
          <w:kern w:val="2"/>
          <w:szCs w:val="21"/>
          <w:highlight w:val="none"/>
          <w:lang w:val="zh-CN"/>
        </w:rPr>
        <w:t>（七）我方完全服从和尊重评标委员会所作的评定结果，我方理解贵方不一定接受最低报价或任何贵方可能收到的报价；</w:t>
      </w:r>
    </w:p>
    <w:p>
      <w:pPr>
        <w:spacing w:line="400" w:lineRule="exact"/>
        <w:ind w:left="945" w:leftChars="150" w:hanging="630" w:hangingChars="300"/>
        <w:jc w:val="both"/>
        <w:rPr>
          <w:rFonts w:hAnsi="宋体" w:cs="宋体"/>
          <w:kern w:val="2"/>
          <w:szCs w:val="21"/>
          <w:highlight w:val="none"/>
          <w:u w:val="single"/>
          <w:lang w:val="zh-CN"/>
        </w:rPr>
      </w:pPr>
      <w:r>
        <w:rPr>
          <w:rFonts w:hint="eastAsia" w:hAnsi="宋体" w:cs="宋体"/>
          <w:kern w:val="2"/>
          <w:szCs w:val="21"/>
          <w:highlight w:val="none"/>
          <w:lang w:val="zh-CN"/>
        </w:rPr>
        <w:t>（八）我方如果中标，将保证履行招标文件以及</w:t>
      </w:r>
      <w:r>
        <w:rPr>
          <w:rFonts w:hint="eastAsia" w:hAnsi="宋体" w:cs="宋体"/>
          <w:szCs w:val="21"/>
          <w:highlight w:val="none"/>
        </w:rPr>
        <w:t>答疑纪要、澄清补充通知等</w:t>
      </w:r>
      <w:r>
        <w:rPr>
          <w:rFonts w:hint="eastAsia" w:hAnsi="宋体" w:cs="宋体"/>
          <w:kern w:val="2"/>
          <w:szCs w:val="21"/>
          <w:highlight w:val="none"/>
          <w:lang w:val="zh-CN"/>
        </w:rPr>
        <w:t>招标文件修改书（如有）中的全部责任和义务，按质、按量、按期完成《合同书》中的全部任务；</w:t>
      </w:r>
      <w:r>
        <w:rPr>
          <w:rFonts w:hint="eastAsia" w:hAnsi="宋体" w:cs="宋体"/>
          <w:szCs w:val="21"/>
          <w:highlight w:val="none"/>
        </w:rPr>
        <w:t>其中投标服务期为： 。</w:t>
      </w:r>
    </w:p>
    <w:p>
      <w:pPr>
        <w:spacing w:line="400" w:lineRule="exact"/>
        <w:ind w:left="359"/>
        <w:jc w:val="both"/>
        <w:rPr>
          <w:rFonts w:hAnsi="宋体" w:cs="宋体"/>
          <w:kern w:val="2"/>
          <w:szCs w:val="21"/>
          <w:highlight w:val="none"/>
          <w:u w:val="single"/>
          <w:lang w:val="zh-CN"/>
        </w:rPr>
      </w:pPr>
      <w:r>
        <w:rPr>
          <w:rFonts w:hint="eastAsia" w:hAnsi="宋体" w:cs="宋体"/>
          <w:kern w:val="2"/>
          <w:szCs w:val="21"/>
          <w:highlight w:val="none"/>
          <w:lang w:val="zh-CN"/>
        </w:rPr>
        <w:t>（九）所有与本投标有关的函件请发往下列地址：</w:t>
      </w:r>
    </w:p>
    <w:p>
      <w:pPr>
        <w:spacing w:line="400" w:lineRule="exact"/>
        <w:jc w:val="both"/>
        <w:rPr>
          <w:rFonts w:hAnsi="宋体" w:cs="宋体"/>
          <w:kern w:val="2"/>
          <w:szCs w:val="21"/>
          <w:highlight w:val="none"/>
          <w:u w:val="single"/>
          <w:lang w:val="zh-CN"/>
        </w:rPr>
      </w:pPr>
      <w:r>
        <w:rPr>
          <w:rFonts w:hint="eastAsia" w:hAnsi="宋体" w:cs="宋体"/>
          <w:kern w:val="2"/>
          <w:szCs w:val="21"/>
          <w:highlight w:val="none"/>
          <w:lang w:val="zh-CN"/>
        </w:rPr>
        <w:t>地  　址：</w:t>
      </w:r>
      <w:r>
        <w:rPr>
          <w:rFonts w:hint="eastAsia" w:hAnsi="宋体" w:cs="宋体"/>
          <w:kern w:val="2"/>
          <w:szCs w:val="21"/>
          <w:highlight w:val="none"/>
          <w:u w:val="single"/>
          <w:lang w:val="zh-CN"/>
        </w:rPr>
        <w:t>　　　　　　　　　　　</w:t>
      </w:r>
      <w:r>
        <w:rPr>
          <w:rFonts w:hint="eastAsia" w:hAnsi="宋体" w:cs="宋体"/>
          <w:kern w:val="2"/>
          <w:szCs w:val="21"/>
          <w:highlight w:val="none"/>
          <w:lang w:val="zh-CN"/>
        </w:rPr>
        <w:tab/>
      </w:r>
      <w:r>
        <w:rPr>
          <w:rFonts w:hint="eastAsia" w:hAnsi="宋体" w:cs="宋体"/>
          <w:kern w:val="2"/>
          <w:szCs w:val="21"/>
          <w:highlight w:val="none"/>
          <w:lang w:val="zh-CN"/>
        </w:rPr>
        <w:tab/>
      </w:r>
      <w:r>
        <w:rPr>
          <w:rFonts w:hint="eastAsia" w:hAnsi="宋体" w:cs="宋体"/>
          <w:kern w:val="2"/>
          <w:szCs w:val="21"/>
          <w:highlight w:val="none"/>
          <w:lang w:val="zh-CN"/>
        </w:rPr>
        <w:t>邮政编码：</w:t>
      </w:r>
      <w:r>
        <w:rPr>
          <w:rFonts w:hint="eastAsia" w:hAnsi="宋体" w:cs="宋体"/>
          <w:kern w:val="2"/>
          <w:szCs w:val="21"/>
          <w:highlight w:val="none"/>
          <w:u w:val="single"/>
          <w:lang w:val="zh-CN"/>
        </w:rPr>
        <w:t xml:space="preserve">　　　　　　　　　　 </w:t>
      </w:r>
    </w:p>
    <w:p>
      <w:pPr>
        <w:spacing w:line="400" w:lineRule="exact"/>
        <w:jc w:val="both"/>
        <w:rPr>
          <w:rFonts w:hAnsi="宋体" w:cs="宋体"/>
          <w:kern w:val="2"/>
          <w:szCs w:val="21"/>
          <w:highlight w:val="none"/>
          <w:lang w:val="zh-CN"/>
        </w:rPr>
      </w:pPr>
      <w:r>
        <w:rPr>
          <w:rFonts w:hint="eastAsia" w:hAnsi="宋体" w:cs="宋体"/>
          <w:kern w:val="2"/>
          <w:szCs w:val="21"/>
          <w:highlight w:val="none"/>
          <w:lang w:val="zh-CN"/>
        </w:rPr>
        <w:t>电　　话：</w:t>
      </w:r>
      <w:r>
        <w:rPr>
          <w:rFonts w:hint="eastAsia" w:hAnsi="宋体" w:cs="宋体"/>
          <w:kern w:val="2"/>
          <w:szCs w:val="21"/>
          <w:highlight w:val="none"/>
          <w:u w:val="single"/>
          <w:lang w:val="zh-CN"/>
        </w:rPr>
        <w:t>　　　　　　　　　　　</w:t>
      </w:r>
      <w:r>
        <w:rPr>
          <w:rFonts w:hint="eastAsia" w:hAnsi="宋体" w:cs="宋体"/>
          <w:kern w:val="2"/>
          <w:szCs w:val="21"/>
          <w:highlight w:val="none"/>
          <w:lang w:val="zh-CN"/>
        </w:rPr>
        <w:tab/>
      </w:r>
      <w:r>
        <w:rPr>
          <w:rFonts w:hint="eastAsia" w:hAnsi="宋体" w:cs="宋体"/>
          <w:kern w:val="2"/>
          <w:szCs w:val="21"/>
          <w:highlight w:val="none"/>
          <w:lang w:val="zh-CN"/>
        </w:rPr>
        <w:tab/>
      </w:r>
      <w:r>
        <w:rPr>
          <w:rFonts w:hint="eastAsia" w:hAnsi="宋体" w:cs="宋体"/>
          <w:kern w:val="2"/>
          <w:szCs w:val="21"/>
          <w:highlight w:val="none"/>
          <w:lang w:val="zh-CN"/>
        </w:rPr>
        <w:t>代表姓名：</w:t>
      </w:r>
      <w:r>
        <w:rPr>
          <w:rFonts w:hint="eastAsia" w:hAnsi="宋体" w:cs="宋体"/>
          <w:kern w:val="2"/>
          <w:szCs w:val="21"/>
          <w:highlight w:val="none"/>
          <w:u w:val="single"/>
          <w:lang w:val="zh-CN"/>
        </w:rPr>
        <w:t>　　　　　　　　　　</w:t>
      </w:r>
    </w:p>
    <w:p>
      <w:pPr>
        <w:spacing w:line="400" w:lineRule="exact"/>
        <w:jc w:val="both"/>
        <w:rPr>
          <w:rFonts w:hAnsi="宋体" w:cs="宋体"/>
          <w:kern w:val="2"/>
          <w:szCs w:val="21"/>
          <w:highlight w:val="none"/>
          <w:lang w:val="zh-CN"/>
        </w:rPr>
      </w:pPr>
      <w:r>
        <w:rPr>
          <w:rFonts w:hint="eastAsia" w:hAnsi="宋体" w:cs="宋体"/>
          <w:kern w:val="2"/>
          <w:szCs w:val="21"/>
          <w:highlight w:val="none"/>
          <w:lang w:val="zh-CN"/>
        </w:rPr>
        <w:t>传　　真：</w:t>
      </w:r>
      <w:r>
        <w:rPr>
          <w:rFonts w:hint="eastAsia" w:hAnsi="宋体" w:cs="宋体"/>
          <w:kern w:val="2"/>
          <w:szCs w:val="21"/>
          <w:highlight w:val="none"/>
          <w:u w:val="single"/>
          <w:lang w:val="zh-CN"/>
        </w:rPr>
        <w:t>　　　　　　　　　　　</w:t>
      </w:r>
      <w:r>
        <w:rPr>
          <w:rFonts w:hint="eastAsia" w:hAnsi="宋体" w:cs="宋体"/>
          <w:kern w:val="2"/>
          <w:szCs w:val="21"/>
          <w:highlight w:val="none"/>
          <w:lang w:val="zh-CN"/>
        </w:rPr>
        <w:t xml:space="preserve">         职　　务：</w:t>
      </w:r>
      <w:r>
        <w:rPr>
          <w:rFonts w:hint="eastAsia" w:hAnsi="宋体" w:cs="宋体"/>
          <w:kern w:val="2"/>
          <w:szCs w:val="21"/>
          <w:highlight w:val="none"/>
          <w:u w:val="single"/>
          <w:lang w:val="zh-CN"/>
        </w:rPr>
        <w:t xml:space="preserve">　　　　　　　　　　 </w:t>
      </w:r>
    </w:p>
    <w:p>
      <w:pPr>
        <w:snapToGrid w:val="0"/>
        <w:spacing w:line="400" w:lineRule="exact"/>
        <w:rPr>
          <w:rFonts w:hAnsi="宋体" w:cs="宋体"/>
          <w:szCs w:val="21"/>
          <w:highlight w:val="none"/>
          <w:u w:val="single"/>
        </w:rPr>
      </w:pPr>
      <w:r>
        <w:rPr>
          <w:rFonts w:hint="eastAsia" w:hAnsi="宋体" w:cs="宋体"/>
          <w:szCs w:val="21"/>
          <w:highlight w:val="none"/>
        </w:rPr>
        <w:t>开户银行：         帐    号：</w:t>
      </w:r>
    </w:p>
    <w:p>
      <w:pPr>
        <w:spacing w:line="400" w:lineRule="exact"/>
        <w:jc w:val="both"/>
        <w:rPr>
          <w:rFonts w:hAnsi="宋体" w:cs="宋体"/>
          <w:kern w:val="2"/>
          <w:szCs w:val="21"/>
          <w:highlight w:val="none"/>
        </w:rPr>
      </w:pPr>
    </w:p>
    <w:p>
      <w:pPr>
        <w:snapToGrid w:val="0"/>
        <w:spacing w:line="300" w:lineRule="auto"/>
        <w:rPr>
          <w:rFonts w:hAnsi="宋体" w:cs="宋体"/>
          <w:szCs w:val="21"/>
          <w:highlight w:val="none"/>
          <w:u w:val="single"/>
        </w:rPr>
      </w:pPr>
      <w:r>
        <w:rPr>
          <w:rFonts w:hint="eastAsia" w:hAnsi="宋体" w:cs="宋体"/>
          <w:szCs w:val="21"/>
          <w:highlight w:val="none"/>
        </w:rPr>
        <w:t>投标人法定代表人（或法定代表人授权代表）亲笔签字：</w:t>
      </w:r>
    </w:p>
    <w:p>
      <w:pPr>
        <w:snapToGrid w:val="0"/>
        <w:spacing w:line="300" w:lineRule="auto"/>
        <w:rPr>
          <w:rFonts w:hAnsi="宋体" w:cs="宋体"/>
          <w:szCs w:val="21"/>
          <w:highlight w:val="none"/>
          <w:u w:val="single"/>
        </w:rPr>
      </w:pPr>
      <w:r>
        <w:rPr>
          <w:rFonts w:hint="eastAsia" w:hAnsi="宋体" w:cs="宋体"/>
          <w:szCs w:val="21"/>
          <w:highlight w:val="none"/>
        </w:rPr>
        <w:t>投标人名称（加盖法人公章）：</w:t>
      </w:r>
    </w:p>
    <w:p>
      <w:pPr>
        <w:snapToGrid w:val="0"/>
        <w:spacing w:line="300" w:lineRule="auto"/>
        <w:rPr>
          <w:rFonts w:hAnsi="宋体" w:cs="宋体"/>
          <w:szCs w:val="21"/>
          <w:highlight w:val="none"/>
        </w:rPr>
      </w:pPr>
      <w:r>
        <w:rPr>
          <w:rFonts w:hint="eastAsia" w:hAnsi="宋体" w:cs="宋体"/>
          <w:szCs w:val="21"/>
          <w:highlight w:val="none"/>
        </w:rPr>
        <w:t>日期：   年   月   日</w:t>
      </w:r>
    </w:p>
    <w:p>
      <w:pPr>
        <w:pStyle w:val="4"/>
        <w:spacing w:after="120" w:line="480" w:lineRule="exact"/>
        <w:rPr>
          <w:rFonts w:hAnsi="宋体" w:cs="宋体"/>
          <w:b/>
          <w:szCs w:val="20"/>
          <w:highlight w:val="none"/>
        </w:rPr>
      </w:pPr>
      <w:r>
        <w:rPr>
          <w:rFonts w:hint="eastAsia" w:hAnsi="宋体" w:cs="宋体"/>
          <w:b/>
          <w:szCs w:val="20"/>
          <w:highlight w:val="none"/>
        </w:rPr>
        <w:br w:type="page"/>
      </w:r>
      <w:r>
        <w:rPr>
          <w:rFonts w:hint="eastAsia" w:hAnsi="宋体" w:cs="宋体"/>
          <w:b/>
          <w:szCs w:val="20"/>
          <w:highlight w:val="none"/>
        </w:rPr>
        <w:t>附表2.2 投标人资格声明书格式</w:t>
      </w:r>
    </w:p>
    <w:p>
      <w:pPr>
        <w:pStyle w:val="2"/>
        <w:spacing w:line="480" w:lineRule="exact"/>
        <w:jc w:val="center"/>
        <w:rPr>
          <w:rFonts w:hAnsi="宋体" w:cs="宋体"/>
          <w:b/>
          <w:bCs/>
          <w:sz w:val="32"/>
          <w:szCs w:val="32"/>
          <w:highlight w:val="none"/>
        </w:rPr>
      </w:pPr>
      <w:r>
        <w:rPr>
          <w:rFonts w:hint="eastAsia" w:hAnsi="宋体" w:cs="宋体"/>
          <w:b/>
          <w:bCs/>
          <w:sz w:val="32"/>
          <w:szCs w:val="32"/>
          <w:highlight w:val="none"/>
        </w:rPr>
        <w:t>资格声明书</w:t>
      </w:r>
    </w:p>
    <w:p>
      <w:pPr>
        <w:pStyle w:val="2"/>
        <w:spacing w:line="480" w:lineRule="exact"/>
        <w:rPr>
          <w:rFonts w:hAnsi="宋体" w:cs="宋体"/>
          <w:highlight w:val="none"/>
        </w:rPr>
      </w:pPr>
      <w:r>
        <w:rPr>
          <w:rFonts w:hint="eastAsia" w:hAnsi="宋体" w:cs="宋体"/>
          <w:b/>
          <w:highlight w:val="none"/>
        </w:rPr>
        <w:t>致：</w:t>
      </w:r>
      <w:r>
        <w:rPr>
          <w:rFonts w:hint="eastAsia" w:hAnsi="宋体" w:cs="宋体"/>
          <w:b/>
          <w:highlight w:val="none"/>
          <w:u w:val="single"/>
        </w:rPr>
        <w:t xml:space="preserve"> 国家海洋局南海标准计量中心/ 广东远东招标代理有限公司 </w:t>
      </w:r>
    </w:p>
    <w:p>
      <w:pPr>
        <w:pStyle w:val="2"/>
        <w:spacing w:line="360" w:lineRule="auto"/>
        <w:ind w:firstLine="420"/>
        <w:rPr>
          <w:rFonts w:hAnsi="宋体" w:cs="宋体"/>
          <w:szCs w:val="21"/>
          <w:highlight w:val="none"/>
        </w:rPr>
      </w:pPr>
      <w:bookmarkStart w:id="31" w:name="_Hlt10549792"/>
      <w:bookmarkEnd w:id="31"/>
      <w:bookmarkStart w:id="32" w:name="_Toc10548701"/>
      <w:r>
        <w:rPr>
          <w:rFonts w:hint="eastAsia" w:hAnsi="宋体" w:cs="宋体"/>
          <w:szCs w:val="21"/>
          <w:highlight w:val="none"/>
        </w:rPr>
        <w:t>为响应你方组织的“国家海洋局南海标准计量中心2023年船员服务采购项目”的招标[采购编号为：GDYD221545]，我方愿参与投标并作出如下声明：</w:t>
      </w:r>
    </w:p>
    <w:p>
      <w:pPr>
        <w:pStyle w:val="2"/>
        <w:spacing w:line="360" w:lineRule="auto"/>
        <w:ind w:firstLine="420"/>
        <w:rPr>
          <w:rFonts w:hAnsi="宋体" w:cs="宋体"/>
          <w:szCs w:val="21"/>
          <w:highlight w:val="none"/>
        </w:rPr>
      </w:pPr>
      <w:r>
        <w:rPr>
          <w:rFonts w:hint="eastAsia" w:hAnsi="宋体" w:cs="宋体"/>
          <w:szCs w:val="21"/>
          <w:highlight w:val="none"/>
        </w:rPr>
        <w:t>一、我方作为</w:t>
      </w:r>
      <w:r>
        <w:rPr>
          <w:rFonts w:hint="eastAsia" w:hAnsi="宋体" w:cs="宋体"/>
          <w:szCs w:val="21"/>
          <w:highlight w:val="none"/>
          <w:u w:val="single"/>
        </w:rPr>
        <w:t xml:space="preserve">   （投标人名称）   </w:t>
      </w:r>
      <w:r>
        <w:rPr>
          <w:rFonts w:hint="eastAsia" w:hAnsi="宋体" w:cs="宋体"/>
          <w:szCs w:val="21"/>
          <w:highlight w:val="none"/>
        </w:rPr>
        <w:t>是在法律、财务和运作上独立于采购人、采购代理机构的投标人，提交所有文件和全部说明是真实的和正确的。</w:t>
      </w:r>
    </w:p>
    <w:p>
      <w:pPr>
        <w:pStyle w:val="2"/>
        <w:spacing w:line="360" w:lineRule="auto"/>
        <w:ind w:firstLine="420"/>
        <w:rPr>
          <w:rFonts w:hAnsi="宋体" w:cs="宋体"/>
          <w:szCs w:val="21"/>
          <w:highlight w:val="none"/>
        </w:rPr>
      </w:pPr>
      <w:r>
        <w:rPr>
          <w:rFonts w:hint="eastAsia" w:hAnsi="宋体" w:cs="宋体"/>
          <w:szCs w:val="21"/>
          <w:highlight w:val="none"/>
        </w:rPr>
        <w:t>二、本公司（企业）具备《中华人民共和国政府采购法》第二十二条规定的条件：</w:t>
      </w:r>
    </w:p>
    <w:p>
      <w:pPr>
        <w:pStyle w:val="2"/>
        <w:spacing w:line="360" w:lineRule="auto"/>
        <w:ind w:firstLine="420"/>
        <w:rPr>
          <w:rFonts w:hAnsi="宋体" w:cs="宋体"/>
          <w:szCs w:val="21"/>
          <w:highlight w:val="none"/>
        </w:rPr>
      </w:pPr>
      <w:r>
        <w:rPr>
          <w:rFonts w:hint="eastAsia" w:hAnsi="宋体" w:cs="宋体"/>
          <w:szCs w:val="21"/>
          <w:highlight w:val="none"/>
        </w:rPr>
        <w:t>（一）具有独立承担民事责任的能力；</w:t>
      </w:r>
    </w:p>
    <w:p>
      <w:pPr>
        <w:pStyle w:val="2"/>
        <w:spacing w:line="360" w:lineRule="auto"/>
        <w:ind w:firstLine="420"/>
        <w:rPr>
          <w:rFonts w:hAnsi="宋体" w:cs="宋体"/>
          <w:szCs w:val="21"/>
          <w:highlight w:val="none"/>
        </w:rPr>
      </w:pPr>
      <w:r>
        <w:rPr>
          <w:rFonts w:hint="eastAsia" w:hAnsi="宋体" w:cs="宋体"/>
          <w:szCs w:val="21"/>
          <w:highlight w:val="none"/>
        </w:rPr>
        <w:t>（二）具有良好的商业信誉和健全的财务会计制度；</w:t>
      </w:r>
    </w:p>
    <w:p>
      <w:pPr>
        <w:pStyle w:val="2"/>
        <w:spacing w:line="360" w:lineRule="auto"/>
        <w:ind w:firstLine="420"/>
        <w:rPr>
          <w:rFonts w:hAnsi="宋体" w:cs="宋体"/>
          <w:szCs w:val="21"/>
          <w:highlight w:val="none"/>
        </w:rPr>
      </w:pPr>
      <w:r>
        <w:rPr>
          <w:rFonts w:hint="eastAsia" w:hAnsi="宋体" w:cs="宋体"/>
          <w:szCs w:val="21"/>
          <w:highlight w:val="none"/>
        </w:rPr>
        <w:t>（三）具有履行合同所必需的设备和专业技术能力；</w:t>
      </w:r>
    </w:p>
    <w:p>
      <w:pPr>
        <w:pStyle w:val="2"/>
        <w:spacing w:line="360" w:lineRule="auto"/>
        <w:ind w:firstLine="420"/>
        <w:rPr>
          <w:rFonts w:hAnsi="宋体" w:cs="宋体"/>
          <w:szCs w:val="21"/>
          <w:highlight w:val="none"/>
        </w:rPr>
      </w:pPr>
      <w:r>
        <w:rPr>
          <w:rFonts w:hint="eastAsia" w:hAnsi="宋体" w:cs="宋体"/>
          <w:szCs w:val="21"/>
          <w:highlight w:val="none"/>
        </w:rPr>
        <w:t>（四）有依法缴纳税收和社会保障资金的良好记录；</w:t>
      </w:r>
    </w:p>
    <w:p>
      <w:pPr>
        <w:pStyle w:val="2"/>
        <w:spacing w:line="360" w:lineRule="auto"/>
        <w:ind w:firstLine="420"/>
        <w:rPr>
          <w:rFonts w:hAnsi="宋体" w:cs="宋体"/>
          <w:szCs w:val="21"/>
          <w:highlight w:val="none"/>
        </w:rPr>
      </w:pPr>
      <w:r>
        <w:rPr>
          <w:rFonts w:hint="eastAsia" w:hAnsi="宋体" w:cs="宋体"/>
          <w:szCs w:val="21"/>
          <w:highlight w:val="none"/>
        </w:rPr>
        <w:t>（五）参加政府采购活动前三年内，在经营活动中没有重大违法记录；</w:t>
      </w:r>
    </w:p>
    <w:p>
      <w:pPr>
        <w:pStyle w:val="2"/>
        <w:spacing w:line="360" w:lineRule="auto"/>
        <w:ind w:firstLine="420"/>
        <w:rPr>
          <w:rFonts w:hAnsi="宋体" w:cs="宋体"/>
          <w:szCs w:val="21"/>
          <w:highlight w:val="none"/>
        </w:rPr>
      </w:pPr>
      <w:r>
        <w:rPr>
          <w:rFonts w:hint="eastAsia" w:hAnsi="宋体" w:cs="宋体"/>
          <w:szCs w:val="21"/>
          <w:highlight w:val="none"/>
        </w:rPr>
        <w:t>（六）法律、行政法规规定的其他条件。</w:t>
      </w:r>
    </w:p>
    <w:p>
      <w:pPr>
        <w:pStyle w:val="2"/>
        <w:spacing w:line="360" w:lineRule="auto"/>
        <w:ind w:firstLine="420"/>
        <w:rPr>
          <w:rFonts w:hAnsi="宋体" w:cs="宋体"/>
          <w:szCs w:val="21"/>
          <w:highlight w:val="none"/>
        </w:rPr>
      </w:pPr>
      <w:r>
        <w:rPr>
          <w:rFonts w:hint="eastAsia" w:hAnsi="宋体" w:cs="宋体"/>
          <w:szCs w:val="21"/>
          <w:highlight w:val="none"/>
        </w:rPr>
        <w:t>三、本公司（企业）的单位负责人与所参投的本采购项目的其他投标人的单位负责人不为同一人且与其他投标人之间不存在直接控股、管理关系。</w:t>
      </w:r>
    </w:p>
    <w:p>
      <w:pPr>
        <w:pStyle w:val="2"/>
        <w:spacing w:line="360" w:lineRule="auto"/>
        <w:ind w:firstLine="420"/>
        <w:rPr>
          <w:rFonts w:hAnsi="宋体" w:cs="宋体"/>
          <w:szCs w:val="21"/>
          <w:highlight w:val="none"/>
        </w:rPr>
      </w:pPr>
      <w:r>
        <w:rPr>
          <w:rFonts w:hint="eastAsia" w:hAnsi="宋体" w:cs="宋体"/>
          <w:szCs w:val="21"/>
          <w:highlight w:val="none"/>
        </w:rPr>
        <w:t>四、根据《中华人民共和国政府采购法实施条例》的规定，本公司（企业）如为本采购项目提供整体设计、规范编制或者项目管理、监理、检测等服务的供应商，不得再参加该采购项目的其他采购活动。否则，由此所造成的损失、不良后果及法律责任，一律由我公司（企业）承担。</w:t>
      </w:r>
    </w:p>
    <w:p>
      <w:pPr>
        <w:pStyle w:val="2"/>
        <w:spacing w:line="360" w:lineRule="auto"/>
        <w:ind w:firstLine="420"/>
        <w:rPr>
          <w:rFonts w:hAnsi="宋体" w:cs="宋体"/>
          <w:szCs w:val="21"/>
          <w:highlight w:val="none"/>
        </w:rPr>
      </w:pPr>
      <w:r>
        <w:rPr>
          <w:rFonts w:hint="eastAsia" w:hAnsi="宋体" w:cs="宋体"/>
          <w:szCs w:val="21"/>
          <w:highlight w:val="none"/>
        </w:rPr>
        <w:t>五、本公司（企业）承诺在本次招标采购活动中，如有违法、违规、弄虚作假行为，所造成的损失、不良后果及法律责任，一律由我公司（企业）承担。</w:t>
      </w:r>
    </w:p>
    <w:p>
      <w:pPr>
        <w:pStyle w:val="2"/>
        <w:spacing w:line="360" w:lineRule="auto"/>
        <w:ind w:firstLine="420"/>
        <w:rPr>
          <w:rFonts w:hAnsi="宋体" w:cs="宋体"/>
          <w:szCs w:val="21"/>
          <w:highlight w:val="none"/>
        </w:rPr>
      </w:pPr>
      <w:r>
        <w:rPr>
          <w:rFonts w:hint="eastAsia" w:hAnsi="宋体" w:cs="宋体"/>
          <w:szCs w:val="21"/>
          <w:highlight w:val="none"/>
        </w:rPr>
        <w:t>六、我方理解你方可能还要求提供更进一步的资格资料，并愿意应你方的要求提交。</w:t>
      </w:r>
    </w:p>
    <w:p>
      <w:pPr>
        <w:pStyle w:val="2"/>
        <w:spacing w:line="360" w:lineRule="auto"/>
        <w:rPr>
          <w:rFonts w:hAnsi="宋体" w:cs="宋体"/>
          <w:szCs w:val="21"/>
          <w:highlight w:val="none"/>
        </w:rPr>
      </w:pPr>
      <w:r>
        <w:rPr>
          <w:rFonts w:hint="eastAsia" w:hAnsi="宋体" w:cs="宋体"/>
          <w:szCs w:val="21"/>
          <w:highlight w:val="none"/>
        </w:rPr>
        <w:t>投标人：（</w:t>
      </w:r>
      <w:r>
        <w:rPr>
          <w:rFonts w:hint="eastAsia" w:hAnsi="宋体" w:cs="宋体"/>
          <w:szCs w:val="21"/>
          <w:highlight w:val="none"/>
          <w:lang w:val="zh-CN"/>
        </w:rPr>
        <w:t>加盖法人公章</w:t>
      </w:r>
      <w:r>
        <w:rPr>
          <w:rFonts w:hint="eastAsia" w:hAnsi="宋体" w:cs="宋体"/>
          <w:szCs w:val="21"/>
          <w:highlight w:val="none"/>
        </w:rPr>
        <w:t>）</w:t>
      </w:r>
    </w:p>
    <w:p>
      <w:pPr>
        <w:pStyle w:val="2"/>
        <w:spacing w:line="360" w:lineRule="auto"/>
        <w:rPr>
          <w:rFonts w:hAnsi="宋体" w:cs="宋体"/>
          <w:szCs w:val="21"/>
          <w:highlight w:val="none"/>
        </w:rPr>
      </w:pPr>
      <w:r>
        <w:rPr>
          <w:rFonts w:hint="eastAsia" w:hAnsi="宋体" w:cs="宋体"/>
          <w:szCs w:val="21"/>
          <w:highlight w:val="none"/>
        </w:rPr>
        <w:t>法 定 地 址：</w:t>
      </w:r>
    </w:p>
    <w:p>
      <w:pPr>
        <w:pStyle w:val="2"/>
        <w:spacing w:line="360" w:lineRule="auto"/>
        <w:rPr>
          <w:rFonts w:hAnsi="宋体" w:cs="宋体"/>
          <w:szCs w:val="21"/>
          <w:highlight w:val="none"/>
        </w:rPr>
      </w:pPr>
      <w:r>
        <w:rPr>
          <w:rFonts w:hint="eastAsia" w:hAnsi="宋体" w:cs="宋体"/>
          <w:szCs w:val="21"/>
          <w:highlight w:val="none"/>
        </w:rPr>
        <w:t>邮       编：.</w:t>
      </w:r>
    </w:p>
    <w:p>
      <w:pPr>
        <w:pStyle w:val="2"/>
        <w:spacing w:line="360" w:lineRule="auto"/>
        <w:rPr>
          <w:rFonts w:hAnsi="宋体" w:cs="宋体"/>
          <w:szCs w:val="21"/>
          <w:highlight w:val="none"/>
        </w:rPr>
      </w:pPr>
      <w:r>
        <w:rPr>
          <w:rFonts w:hint="eastAsia" w:hAnsi="宋体" w:cs="宋体"/>
          <w:szCs w:val="21"/>
          <w:highlight w:val="none"/>
        </w:rPr>
        <w:t>授权代表（亲笔签字）： 签字人姓名（印刷体）.</w:t>
      </w:r>
    </w:p>
    <w:p>
      <w:pPr>
        <w:pStyle w:val="2"/>
        <w:spacing w:line="360" w:lineRule="auto"/>
        <w:rPr>
          <w:rFonts w:hAnsi="宋体" w:cs="宋体"/>
          <w:szCs w:val="21"/>
          <w:highlight w:val="none"/>
        </w:rPr>
      </w:pPr>
      <w:r>
        <w:rPr>
          <w:rFonts w:hint="eastAsia" w:hAnsi="宋体" w:cs="宋体"/>
          <w:szCs w:val="21"/>
          <w:highlight w:val="none"/>
        </w:rPr>
        <w:t>电       话：</w:t>
      </w:r>
    </w:p>
    <w:p>
      <w:pPr>
        <w:pStyle w:val="2"/>
        <w:spacing w:line="360" w:lineRule="auto"/>
        <w:rPr>
          <w:rFonts w:hAnsi="宋体" w:cs="宋体"/>
          <w:szCs w:val="21"/>
          <w:highlight w:val="none"/>
        </w:rPr>
      </w:pPr>
      <w:r>
        <w:rPr>
          <w:rFonts w:hint="eastAsia" w:hAnsi="宋体" w:cs="宋体"/>
          <w:szCs w:val="21"/>
          <w:highlight w:val="none"/>
        </w:rPr>
        <w:t>传       真：.</w:t>
      </w:r>
    </w:p>
    <w:p>
      <w:pPr>
        <w:pStyle w:val="4"/>
        <w:spacing w:after="120" w:line="480" w:lineRule="exact"/>
        <w:rPr>
          <w:rFonts w:hAnsi="宋体" w:cs="宋体"/>
          <w:b/>
          <w:szCs w:val="20"/>
          <w:highlight w:val="none"/>
        </w:rPr>
      </w:pPr>
      <w:r>
        <w:rPr>
          <w:rFonts w:hint="eastAsia" w:hAnsi="宋体" w:cs="宋体"/>
          <w:b/>
          <w:szCs w:val="20"/>
          <w:highlight w:val="none"/>
        </w:rPr>
        <w:br w:type="page"/>
      </w:r>
      <w:r>
        <w:rPr>
          <w:rFonts w:hint="eastAsia" w:hAnsi="宋体" w:cs="宋体"/>
          <w:b/>
          <w:szCs w:val="20"/>
          <w:highlight w:val="none"/>
        </w:rPr>
        <w:t>附表2.3 法定代表人证明书格式</w:t>
      </w:r>
    </w:p>
    <w:p>
      <w:pPr>
        <w:spacing w:line="480" w:lineRule="exact"/>
        <w:jc w:val="center"/>
        <w:rPr>
          <w:rFonts w:hAnsi="宋体" w:cs="宋体"/>
          <w:b/>
          <w:sz w:val="28"/>
          <w:szCs w:val="28"/>
          <w:highlight w:val="none"/>
        </w:rPr>
      </w:pPr>
    </w:p>
    <w:p>
      <w:pPr>
        <w:spacing w:line="480" w:lineRule="exact"/>
        <w:jc w:val="center"/>
        <w:rPr>
          <w:rFonts w:hAnsi="宋体" w:cs="宋体"/>
          <w:b/>
          <w:sz w:val="32"/>
          <w:szCs w:val="32"/>
          <w:highlight w:val="none"/>
        </w:rPr>
      </w:pPr>
      <w:r>
        <w:rPr>
          <w:rFonts w:hint="eastAsia" w:hAnsi="宋体" w:cs="宋体"/>
          <w:b/>
          <w:sz w:val="32"/>
          <w:szCs w:val="32"/>
          <w:highlight w:val="none"/>
        </w:rPr>
        <w:t>法定代表人/负责人资格证明书</w:t>
      </w:r>
    </w:p>
    <w:p>
      <w:pPr>
        <w:spacing w:line="480" w:lineRule="exact"/>
        <w:rPr>
          <w:rFonts w:hAnsi="宋体" w:cs="宋体"/>
          <w:szCs w:val="21"/>
          <w:highlight w:val="none"/>
        </w:rPr>
      </w:pPr>
    </w:p>
    <w:p>
      <w:pPr>
        <w:spacing w:line="480" w:lineRule="exact"/>
        <w:rPr>
          <w:rFonts w:hAnsi="宋体" w:cs="宋体"/>
          <w:szCs w:val="21"/>
          <w:highlight w:val="none"/>
        </w:rPr>
      </w:pPr>
      <w:r>
        <w:rPr>
          <w:rFonts w:hint="eastAsia" w:hAnsi="宋体" w:cs="宋体"/>
          <w:szCs w:val="21"/>
          <w:highlight w:val="none"/>
        </w:rPr>
        <w:t>致：国家海洋局南海标准计量中心/ 广东远东招标代理有限公司</w:t>
      </w:r>
    </w:p>
    <w:p>
      <w:pPr>
        <w:rPr>
          <w:rFonts w:hAnsi="宋体" w:cs="宋体"/>
          <w:szCs w:val="21"/>
          <w:highlight w:val="none"/>
        </w:rPr>
      </w:pPr>
    </w:p>
    <w:p>
      <w:pPr>
        <w:spacing w:line="440" w:lineRule="exact"/>
        <w:rPr>
          <w:rFonts w:hAnsi="宋体" w:cs="宋体"/>
          <w:szCs w:val="21"/>
          <w:highlight w:val="none"/>
        </w:rPr>
      </w:pPr>
      <w:r>
        <w:rPr>
          <w:rFonts w:hint="eastAsia" w:hAnsi="宋体" w:cs="宋体"/>
          <w:szCs w:val="21"/>
          <w:highlight w:val="none"/>
        </w:rPr>
        <w:t>同志，现任我单位职务，为法定代表人，特此证明。</w:t>
      </w:r>
    </w:p>
    <w:p>
      <w:pPr>
        <w:spacing w:line="440" w:lineRule="exact"/>
        <w:ind w:firstLine="210" w:firstLineChars="100"/>
        <w:rPr>
          <w:rFonts w:hAnsi="宋体" w:cs="宋体"/>
          <w:szCs w:val="21"/>
          <w:highlight w:val="none"/>
        </w:rPr>
      </w:pPr>
      <w:r>
        <w:rPr>
          <w:rFonts w:hint="eastAsia" w:hAnsi="宋体" w:cs="宋体"/>
          <w:szCs w:val="21"/>
          <w:highlight w:val="none"/>
        </w:rPr>
        <w:t>签发日期：           单位：           （</w:t>
      </w:r>
      <w:r>
        <w:rPr>
          <w:rFonts w:hint="eastAsia" w:hAnsi="宋体" w:cs="宋体"/>
          <w:kern w:val="2"/>
          <w:szCs w:val="21"/>
          <w:highlight w:val="none"/>
          <w:lang w:val="zh-CN"/>
        </w:rPr>
        <w:t>加盖法人公章</w:t>
      </w:r>
      <w:r>
        <w:rPr>
          <w:rFonts w:hint="eastAsia" w:hAnsi="宋体" w:cs="宋体"/>
          <w:szCs w:val="21"/>
          <w:highlight w:val="none"/>
        </w:rPr>
        <w:t>）</w:t>
      </w:r>
    </w:p>
    <w:p>
      <w:pPr>
        <w:spacing w:line="440" w:lineRule="exact"/>
        <w:ind w:firstLine="210" w:firstLineChars="100"/>
        <w:rPr>
          <w:rFonts w:hAnsi="宋体" w:cs="宋体"/>
          <w:szCs w:val="21"/>
          <w:highlight w:val="none"/>
        </w:rPr>
      </w:pPr>
      <w:r>
        <w:rPr>
          <w:rFonts w:hint="eastAsia" w:hAnsi="宋体" w:cs="宋体"/>
          <w:szCs w:val="21"/>
          <w:highlight w:val="none"/>
        </w:rPr>
        <w:t>附：代表人性别：            年龄：           身份证号码：</w:t>
      </w:r>
    </w:p>
    <w:p>
      <w:pPr>
        <w:spacing w:line="440" w:lineRule="exact"/>
        <w:ind w:firstLine="210" w:firstLineChars="100"/>
        <w:rPr>
          <w:rFonts w:hAnsi="宋体" w:cs="宋体"/>
          <w:szCs w:val="21"/>
          <w:highlight w:val="none"/>
        </w:rPr>
      </w:pPr>
      <w:r>
        <w:rPr>
          <w:rFonts w:hint="eastAsia" w:hAnsi="宋体" w:cs="宋体"/>
          <w:szCs w:val="21"/>
          <w:highlight w:val="none"/>
        </w:rPr>
        <w:t>联系电话：</w:t>
      </w:r>
    </w:p>
    <w:p>
      <w:pPr>
        <w:spacing w:line="440" w:lineRule="exact"/>
        <w:ind w:firstLine="210" w:firstLineChars="100"/>
        <w:rPr>
          <w:rFonts w:hAnsi="宋体" w:cs="宋体"/>
          <w:szCs w:val="21"/>
          <w:highlight w:val="none"/>
        </w:rPr>
      </w:pPr>
      <w:r>
        <w:rPr>
          <w:rFonts w:hint="eastAsia" w:hAnsi="宋体" w:cs="宋体"/>
          <w:szCs w:val="21"/>
          <w:highlight w:val="none"/>
        </w:rPr>
        <w:t>营业执照号码：                       经济性质：</w:t>
      </w:r>
    </w:p>
    <w:p>
      <w:pPr>
        <w:spacing w:line="440" w:lineRule="exact"/>
        <w:ind w:firstLine="210" w:firstLineChars="100"/>
        <w:rPr>
          <w:rFonts w:hAnsi="宋体" w:cs="宋体"/>
          <w:szCs w:val="21"/>
          <w:highlight w:val="none"/>
        </w:rPr>
      </w:pPr>
      <w:r>
        <w:rPr>
          <w:rFonts w:hint="eastAsia" w:hAnsi="宋体" w:cs="宋体"/>
          <w:szCs w:val="21"/>
          <w:highlight w:val="none"/>
        </w:rPr>
        <w:t>主营（产）：</w:t>
      </w:r>
    </w:p>
    <w:p>
      <w:pPr>
        <w:spacing w:line="440" w:lineRule="exact"/>
        <w:ind w:firstLine="210" w:firstLineChars="100"/>
        <w:rPr>
          <w:rFonts w:hAnsi="宋体" w:cs="宋体"/>
          <w:szCs w:val="21"/>
          <w:highlight w:val="none"/>
        </w:rPr>
      </w:pPr>
      <w:r>
        <w:rPr>
          <w:rFonts w:hint="eastAsia" w:hAnsi="宋体" w:cs="宋体"/>
          <w:szCs w:val="21"/>
          <w:highlight w:val="none"/>
        </w:rPr>
        <w:t>兼营（产）：</w:t>
      </w:r>
    </w:p>
    <w:p>
      <w:pPr>
        <w:spacing w:line="440" w:lineRule="exact"/>
        <w:ind w:firstLine="210" w:firstLineChars="100"/>
        <w:rPr>
          <w:rFonts w:hAnsi="宋体" w:cs="宋体"/>
          <w:szCs w:val="21"/>
          <w:highlight w:val="none"/>
        </w:rPr>
      </w:pPr>
      <w:r>
        <w:rPr>
          <w:rFonts w:hint="eastAsia" w:hAnsi="宋体" w:cs="宋体"/>
          <w:szCs w:val="21"/>
          <w:highlight w:val="none"/>
        </w:rPr>
        <w:t>进口物品经营许可证号码：</w:t>
      </w:r>
    </w:p>
    <w:p>
      <w:pPr>
        <w:spacing w:line="440" w:lineRule="exact"/>
        <w:ind w:firstLine="210" w:firstLineChars="100"/>
        <w:rPr>
          <w:rFonts w:hAnsi="宋体" w:cs="宋体"/>
          <w:szCs w:val="21"/>
          <w:highlight w:val="none"/>
        </w:rPr>
      </w:pPr>
      <w:r>
        <w:rPr>
          <w:rFonts w:hint="eastAsia" w:hAnsi="宋体" w:cs="宋体"/>
          <w:szCs w:val="21"/>
          <w:highlight w:val="none"/>
        </w:rPr>
        <w:t>主营：</w:t>
      </w:r>
    </w:p>
    <w:p>
      <w:pPr>
        <w:spacing w:line="440" w:lineRule="exact"/>
        <w:ind w:firstLine="210" w:firstLineChars="100"/>
        <w:rPr>
          <w:rFonts w:hAnsi="宋体" w:cs="宋体"/>
          <w:szCs w:val="21"/>
          <w:highlight w:val="none"/>
        </w:rPr>
      </w:pPr>
      <w:r>
        <w:rPr>
          <w:rFonts w:hint="eastAsia" w:hAnsi="宋体" w:cs="宋体"/>
          <w:szCs w:val="21"/>
          <w:highlight w:val="none"/>
        </w:rPr>
        <w:t>兼营：</w:t>
      </w:r>
    </w:p>
    <w:p>
      <w:pPr>
        <w:spacing w:line="440" w:lineRule="exact"/>
        <w:rPr>
          <w:rFonts w:hAnsi="宋体" w:cs="宋体"/>
          <w:szCs w:val="21"/>
          <w:highlight w:val="none"/>
        </w:rPr>
      </w:pPr>
      <w:r>
        <w:rPr>
          <w:rFonts w:hint="eastAsia" w:hAnsi="宋体" w:cs="宋体"/>
          <w:szCs w:val="21"/>
          <w:highlight w:val="none"/>
        </w:rPr>
        <w:t>说明：1.法定代表人为企业事业单位、国家机关、社会团体的主要行政负责人。</w:t>
      </w:r>
    </w:p>
    <w:p>
      <w:pPr>
        <w:spacing w:line="440" w:lineRule="exact"/>
        <w:rPr>
          <w:rFonts w:hAnsi="宋体" w:cs="宋体"/>
          <w:szCs w:val="21"/>
          <w:highlight w:val="none"/>
        </w:rPr>
      </w:pPr>
      <w:r>
        <w:rPr>
          <w:rFonts w:hint="eastAsia" w:hAnsi="宋体" w:cs="宋体"/>
          <w:szCs w:val="21"/>
          <w:highlight w:val="none"/>
        </w:rPr>
        <w:t xml:space="preserve">      2.内容必须填写真实、清楚、涂改无效，不得转让、买卖。</w:t>
      </w:r>
    </w:p>
    <w:p>
      <w:pPr>
        <w:spacing w:line="440" w:lineRule="exact"/>
        <w:ind w:firstLine="630" w:firstLineChars="300"/>
        <w:rPr>
          <w:rFonts w:hAnsi="宋体" w:cs="宋体"/>
          <w:szCs w:val="21"/>
          <w:highlight w:val="none"/>
        </w:rPr>
      </w:pPr>
      <w:r>
        <w:rPr>
          <w:rFonts w:hint="eastAsia" w:hAnsi="宋体" w:cs="宋体"/>
          <w:szCs w:val="21"/>
          <w:highlight w:val="none"/>
        </w:rPr>
        <w:t>3.将此证明书提交对方作为合同附件</w:t>
      </w:r>
      <w:r>
        <w:rPr>
          <w:rFonts w:hint="eastAsia" w:hAnsi="宋体" w:cs="宋体"/>
          <w:b/>
          <w:szCs w:val="21"/>
          <w:highlight w:val="none"/>
        </w:rPr>
        <w:t>。</w:t>
      </w:r>
    </w:p>
    <w:p>
      <w:pPr>
        <w:rPr>
          <w:rFonts w:hAnsi="宋体" w:cs="宋体"/>
          <w:szCs w:val="21"/>
          <w:highlight w:val="none"/>
        </w:rPr>
      </w:pPr>
    </w:p>
    <w:p>
      <w:pPr>
        <w:rPr>
          <w:rFonts w:hAnsi="宋体" w:cs="宋体"/>
          <w:szCs w:val="21"/>
          <w:highlight w:val="none"/>
        </w:rPr>
      </w:pPr>
    </w:p>
    <w:p>
      <w:pPr>
        <w:rPr>
          <w:rFonts w:hAnsi="宋体" w:cs="宋体"/>
          <w:szCs w:val="21"/>
          <w:highlight w:val="none"/>
        </w:rPr>
      </w:pPr>
    </w:p>
    <w:p>
      <w:pPr>
        <w:rPr>
          <w:rFonts w:hAnsi="宋体" w:cs="宋体"/>
          <w:b/>
          <w:szCs w:val="21"/>
          <w:highlight w:val="none"/>
        </w:rPr>
      </w:pPr>
      <w:r>
        <w:rPr>
          <w:rFonts w:hint="eastAsia" w:hAnsi="宋体" w:cs="宋体"/>
          <w:b/>
          <w:szCs w:val="21"/>
          <w:highlight w:val="none"/>
        </w:rPr>
        <w:t xml:space="preserve"> (为避免废标，请投标人务必提供下列附件)</w:t>
      </w:r>
    </w:p>
    <w:p>
      <w:pPr>
        <w:rPr>
          <w:rFonts w:hAnsi="宋体" w:cs="宋体"/>
          <w:b/>
          <w:szCs w:val="21"/>
          <w:highlight w:val="none"/>
        </w:rPr>
      </w:pPr>
    </w:p>
    <w:p>
      <w:pPr>
        <w:rPr>
          <w:rFonts w:hAnsi="宋体" w:cs="宋体"/>
          <w:b/>
          <w:szCs w:val="21"/>
          <w:highlight w:val="none"/>
        </w:rPr>
      </w:pPr>
      <w:r>
        <w:rPr>
          <w:rFonts w:hAnsi="宋体" w:cs="宋体"/>
          <w:b/>
          <w:szCs w:val="21"/>
          <w:highlight w:val="none"/>
        </w:rPr>
        <mc:AlternateContent>
          <mc:Choice Requires="wps">
            <w:drawing>
              <wp:anchor distT="0" distB="0" distL="114300" distR="114300" simplePos="0" relativeHeight="251664384" behindDoc="0" locked="0" layoutInCell="1" allowOverlap="1">
                <wp:simplePos x="0" y="0"/>
                <wp:positionH relativeFrom="column">
                  <wp:posOffset>2990850</wp:posOffset>
                </wp:positionH>
                <wp:positionV relativeFrom="paragraph">
                  <wp:posOffset>74930</wp:posOffset>
                </wp:positionV>
                <wp:extent cx="2333625" cy="1584325"/>
                <wp:effectExtent l="4445" t="4445" r="11430" b="11430"/>
                <wp:wrapNone/>
                <wp:docPr id="5" name="自选图形 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法人身份证复印件反面</w:t>
                            </w:r>
                          </w:p>
                        </w:txbxContent>
                      </wps:txbx>
                      <wps:bodyPr upright="1"/>
                    </wps:wsp>
                  </a:graphicData>
                </a:graphic>
              </wp:anchor>
            </w:drawing>
          </mc:Choice>
          <mc:Fallback>
            <w:pict>
              <v:shape id="自选图形 8" o:spid="_x0000_s1026" o:spt="176" type="#_x0000_t176" style="position:absolute;left:0pt;margin-left:235.5pt;margin-top:5.9pt;height:124.75pt;width:183.75pt;z-index:251664384;mso-width-relative:page;mso-height-relative:page;" fillcolor="#FFFFFF" filled="t" stroked="t" coordsize="21600,21600" o:gfxdata="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nxwO2AAA&#10;AAoBAAAPAAAAAAAAAAEAIAAAACIAAABkcnMvZG93bnJldi54bWxQSwECFAAUAAAACACHTuJA2KxS&#10;Lh4CAABTBAAADgAAAAAAAAABACAAAAAnAQAAZHJzL2Uyb0RvYy54bWxQSwUGAAAAAAYABgBZAQAA&#10;twUAAAAA&#10;">
                <v:fill on="t" focussize="0,0"/>
                <v:stroke color="#000000" joinstyle="miter"/>
                <v:imagedata o:title=""/>
                <o:lock v:ext="edit" aspectratio="f"/>
                <v:textbox>
                  <w:txbxContent>
                    <w:p>
                      <w:pPr>
                        <w:jc w:val="center"/>
                        <w:rPr>
                          <w:szCs w:val="21"/>
                        </w:rPr>
                      </w:pPr>
                      <w:r>
                        <w:rPr>
                          <w:rFonts w:hint="eastAsia"/>
                          <w:szCs w:val="21"/>
                        </w:rPr>
                        <w:t>法人身份证复印件反面</w:t>
                      </w:r>
                    </w:p>
                  </w:txbxContent>
                </v:textbox>
              </v:shape>
            </w:pict>
          </mc:Fallback>
        </mc:AlternateContent>
      </w:r>
      <w:r>
        <w:rPr>
          <w:rFonts w:hAnsi="宋体" w:cs="宋体"/>
          <w:b/>
          <w:szCs w:val="21"/>
          <w:highlight w:val="none"/>
        </w:rPr>
        <mc:AlternateContent>
          <mc:Choice Requires="wps">
            <w:drawing>
              <wp:anchor distT="0" distB="0" distL="114300" distR="114300" simplePos="0" relativeHeight="251662336" behindDoc="0" locked="0" layoutInCell="1" allowOverlap="1">
                <wp:simplePos x="0" y="0"/>
                <wp:positionH relativeFrom="column">
                  <wp:posOffset>447675</wp:posOffset>
                </wp:positionH>
                <wp:positionV relativeFrom="paragraph">
                  <wp:posOffset>74930</wp:posOffset>
                </wp:positionV>
                <wp:extent cx="2333625" cy="1584325"/>
                <wp:effectExtent l="4445" t="4445" r="11430" b="11430"/>
                <wp:wrapNone/>
                <wp:docPr id="3" name="自选图形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法人身份证复印件正面</w:t>
                            </w:r>
                          </w:p>
                        </w:txbxContent>
                      </wps:txbx>
                      <wps:bodyPr upright="1"/>
                    </wps:wsp>
                  </a:graphicData>
                </a:graphic>
              </wp:anchor>
            </w:drawing>
          </mc:Choice>
          <mc:Fallback>
            <w:pict>
              <v:shape id="自选图形 2" o:spid="_x0000_s1026" o:spt="176" type="#_x0000_t176" style="position:absolute;left:0pt;margin-left:35.25pt;margin-top:5.9pt;height:124.75pt;width:183.75pt;z-index:251662336;mso-width-relative:page;mso-height-relative:page;" fillcolor="#FFFFFF" filled="t" stroked="t" coordsize="21600,21600" o:gfxdata="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VlXoYdcA&#10;AAAJAQAADwAAAAAAAAABACAAAAAiAAAAZHJzL2Rvd25yZXYueG1sUEsBAhQAFAAAAAgAh07iQPJO&#10;1hsgAgAAUwQAAA4AAAAAAAAAAQAgAAAAJgEAAGRycy9lMm9Eb2MueG1sUEsFBgAAAAAGAAYAWQEA&#10;ALgFAAAAAA==&#10;">
                <v:fill on="t" focussize="0,0"/>
                <v:stroke color="#000000" joinstyle="miter"/>
                <v:imagedata o:title=""/>
                <o:lock v:ext="edit" aspectratio="f"/>
                <v:textbox>
                  <w:txbxContent>
                    <w:p>
                      <w:pPr>
                        <w:jc w:val="center"/>
                        <w:rPr>
                          <w:szCs w:val="21"/>
                        </w:rPr>
                      </w:pPr>
                      <w:r>
                        <w:rPr>
                          <w:rFonts w:hint="eastAsia"/>
                          <w:szCs w:val="21"/>
                        </w:rPr>
                        <w:t>法人身份证复印件正面</w:t>
                      </w:r>
                    </w:p>
                  </w:txbxContent>
                </v:textbox>
              </v:shape>
            </w:pict>
          </mc:Fallback>
        </mc:AlternateContent>
      </w:r>
    </w:p>
    <w:p>
      <w:pPr>
        <w:rPr>
          <w:rFonts w:hAnsi="宋体" w:cs="宋体"/>
          <w:b/>
          <w:szCs w:val="21"/>
          <w:highlight w:val="none"/>
        </w:rPr>
      </w:pPr>
    </w:p>
    <w:p>
      <w:pPr>
        <w:rPr>
          <w:rFonts w:hAnsi="宋体" w:cs="宋体"/>
          <w:b/>
          <w:szCs w:val="21"/>
          <w:highlight w:val="none"/>
        </w:rPr>
      </w:pPr>
    </w:p>
    <w:p>
      <w:pPr>
        <w:rPr>
          <w:rFonts w:hAnsi="宋体" w:cs="宋体"/>
          <w:b/>
          <w:szCs w:val="21"/>
          <w:highlight w:val="none"/>
        </w:rPr>
      </w:pPr>
    </w:p>
    <w:p>
      <w:pPr>
        <w:tabs>
          <w:tab w:val="left" w:pos="654"/>
          <w:tab w:val="left" w:pos="1734"/>
          <w:tab w:val="left" w:pos="2814"/>
          <w:tab w:val="left" w:pos="3894"/>
          <w:tab w:val="left" w:pos="5334"/>
          <w:tab w:val="left" w:pos="6414"/>
          <w:tab w:val="left" w:pos="7254"/>
          <w:tab w:val="left" w:pos="8574"/>
          <w:tab w:val="left" w:pos="9654"/>
        </w:tabs>
        <w:rPr>
          <w:rFonts w:hAnsi="宋体" w:cs="宋体"/>
          <w:szCs w:val="21"/>
          <w:highlight w:val="none"/>
        </w:rPr>
      </w:pPr>
    </w:p>
    <w:p>
      <w:pPr>
        <w:rPr>
          <w:rFonts w:hAnsi="宋体" w:cs="宋体"/>
          <w:highlight w:val="none"/>
        </w:rPr>
      </w:pPr>
    </w:p>
    <w:p>
      <w:pPr>
        <w:rPr>
          <w:rFonts w:hAnsi="宋体" w:cs="宋体"/>
          <w:highlight w:val="none"/>
        </w:rPr>
      </w:pPr>
    </w:p>
    <w:p>
      <w:pPr>
        <w:rPr>
          <w:rFonts w:hAnsi="宋体" w:cs="宋体"/>
          <w:highlight w:val="none"/>
        </w:rPr>
      </w:pPr>
    </w:p>
    <w:bookmarkEnd w:id="32"/>
    <w:p>
      <w:pPr>
        <w:pStyle w:val="4"/>
        <w:spacing w:after="120" w:line="480" w:lineRule="exact"/>
        <w:rPr>
          <w:rFonts w:hAnsi="宋体" w:cs="宋体"/>
          <w:b/>
          <w:szCs w:val="20"/>
          <w:highlight w:val="none"/>
        </w:rPr>
      </w:pPr>
      <w:r>
        <w:rPr>
          <w:rFonts w:hint="eastAsia" w:hAnsi="宋体" w:cs="宋体"/>
          <w:b/>
          <w:szCs w:val="20"/>
          <w:highlight w:val="none"/>
        </w:rPr>
        <w:br w:type="page"/>
      </w:r>
      <w:r>
        <w:rPr>
          <w:rFonts w:hint="eastAsia" w:hAnsi="宋体" w:cs="宋体"/>
          <w:b/>
          <w:szCs w:val="20"/>
          <w:highlight w:val="none"/>
        </w:rPr>
        <w:t>附表2.4 法定代表人授权书格式（有被授权人时适用）</w:t>
      </w:r>
    </w:p>
    <w:p>
      <w:pPr>
        <w:spacing w:line="360" w:lineRule="auto"/>
        <w:jc w:val="center"/>
        <w:rPr>
          <w:rFonts w:hAnsi="宋体" w:cs="宋体"/>
          <w:b/>
          <w:szCs w:val="21"/>
          <w:highlight w:val="none"/>
        </w:rPr>
      </w:pPr>
    </w:p>
    <w:p>
      <w:pPr>
        <w:spacing w:line="360" w:lineRule="auto"/>
        <w:jc w:val="center"/>
        <w:rPr>
          <w:rFonts w:hAnsi="宋体" w:cs="宋体"/>
          <w:b/>
          <w:szCs w:val="21"/>
          <w:highlight w:val="none"/>
        </w:rPr>
      </w:pPr>
      <w:r>
        <w:rPr>
          <w:rFonts w:hint="eastAsia" w:hAnsi="宋体" w:cs="宋体"/>
          <w:b/>
          <w:szCs w:val="21"/>
          <w:highlight w:val="none"/>
        </w:rPr>
        <w:t>法定代表人授权书格式</w:t>
      </w:r>
    </w:p>
    <w:p>
      <w:pPr>
        <w:spacing w:line="360" w:lineRule="auto"/>
        <w:rPr>
          <w:rFonts w:hAnsi="宋体" w:cs="宋体"/>
          <w:szCs w:val="21"/>
          <w:highlight w:val="none"/>
        </w:rPr>
      </w:pPr>
      <w:r>
        <w:rPr>
          <w:rFonts w:hint="eastAsia" w:hAnsi="宋体" w:cs="宋体"/>
          <w:szCs w:val="21"/>
          <w:highlight w:val="none"/>
        </w:rPr>
        <w:t>致：国家海洋局南海标准计量中心/ 广东远东招标代理有限公司</w:t>
      </w:r>
    </w:p>
    <w:p>
      <w:pPr>
        <w:spacing w:line="480" w:lineRule="exact"/>
        <w:ind w:firstLine="420" w:firstLineChars="200"/>
        <w:rPr>
          <w:rFonts w:hAnsi="宋体" w:cs="宋体"/>
          <w:szCs w:val="21"/>
          <w:highlight w:val="none"/>
        </w:rPr>
      </w:pPr>
      <w:r>
        <w:rPr>
          <w:rFonts w:hint="eastAsia" w:hAnsi="宋体" w:cs="宋体"/>
          <w:szCs w:val="21"/>
          <w:highlight w:val="none"/>
        </w:rPr>
        <w:t>兹授权同志，为我方签订经济合同及办理其他事务代理人，其权限是：</w:t>
      </w:r>
    </w:p>
    <w:p>
      <w:pPr>
        <w:spacing w:line="480" w:lineRule="exact"/>
        <w:rPr>
          <w:rFonts w:hAnsi="宋体" w:cs="宋体"/>
          <w:szCs w:val="21"/>
          <w:highlight w:val="none"/>
        </w:rPr>
      </w:pPr>
      <w:r>
        <w:rPr>
          <w:rFonts w:hint="eastAsia" w:hAnsi="宋体" w:cs="宋体"/>
          <w:szCs w:val="21"/>
          <w:highlight w:val="none"/>
        </w:rPr>
        <w:t>。</w:t>
      </w:r>
    </w:p>
    <w:p>
      <w:pPr>
        <w:spacing w:line="480" w:lineRule="exact"/>
        <w:rPr>
          <w:rFonts w:hAnsi="宋体" w:cs="宋体"/>
          <w:szCs w:val="21"/>
          <w:highlight w:val="none"/>
        </w:rPr>
      </w:pPr>
      <w:r>
        <w:rPr>
          <w:rFonts w:hint="eastAsia" w:hAnsi="宋体" w:cs="宋体"/>
          <w:szCs w:val="21"/>
          <w:highlight w:val="none"/>
        </w:rPr>
        <w:t>授权单位：          （</w:t>
      </w:r>
      <w:r>
        <w:rPr>
          <w:rFonts w:hint="eastAsia" w:hAnsi="宋体" w:cs="宋体"/>
          <w:kern w:val="2"/>
          <w:szCs w:val="21"/>
          <w:highlight w:val="none"/>
          <w:lang w:val="zh-CN"/>
        </w:rPr>
        <w:t>加盖法人公章</w:t>
      </w:r>
      <w:r>
        <w:rPr>
          <w:rFonts w:hint="eastAsia" w:hAnsi="宋体" w:cs="宋体"/>
          <w:szCs w:val="21"/>
          <w:highlight w:val="none"/>
        </w:rPr>
        <w:t>）     法定代表人              （签名亲笔或盖私章）</w:t>
      </w:r>
    </w:p>
    <w:p>
      <w:pPr>
        <w:spacing w:line="480" w:lineRule="exact"/>
        <w:rPr>
          <w:rFonts w:hAnsi="宋体" w:cs="宋体"/>
          <w:szCs w:val="21"/>
          <w:highlight w:val="none"/>
        </w:rPr>
      </w:pPr>
      <w:r>
        <w:rPr>
          <w:rFonts w:hint="eastAsia" w:hAnsi="宋体" w:cs="宋体"/>
          <w:szCs w:val="21"/>
          <w:highlight w:val="none"/>
        </w:rPr>
        <w:t>有效期限：至        年       月      日       签发日期：</w:t>
      </w:r>
    </w:p>
    <w:p>
      <w:pPr>
        <w:spacing w:line="480" w:lineRule="exact"/>
        <w:rPr>
          <w:rFonts w:hAnsi="宋体" w:cs="宋体"/>
          <w:szCs w:val="21"/>
          <w:highlight w:val="none"/>
        </w:rPr>
      </w:pPr>
      <w:r>
        <w:rPr>
          <w:rFonts w:hint="eastAsia" w:hAnsi="宋体" w:cs="宋体"/>
          <w:szCs w:val="21"/>
          <w:highlight w:val="none"/>
        </w:rPr>
        <w:t>附：代理人性别：        年龄：       职务：         身份证号码：</w:t>
      </w:r>
    </w:p>
    <w:p>
      <w:pPr>
        <w:spacing w:line="480" w:lineRule="exact"/>
        <w:rPr>
          <w:rFonts w:hAnsi="宋体" w:cs="宋体"/>
          <w:szCs w:val="21"/>
          <w:highlight w:val="none"/>
        </w:rPr>
      </w:pPr>
      <w:r>
        <w:rPr>
          <w:rFonts w:hint="eastAsia" w:hAnsi="宋体" w:cs="宋体"/>
          <w:szCs w:val="21"/>
          <w:highlight w:val="none"/>
        </w:rPr>
        <w:t xml:space="preserve">  联系电话：</w:t>
      </w:r>
    </w:p>
    <w:p>
      <w:pPr>
        <w:spacing w:line="480" w:lineRule="exact"/>
        <w:ind w:firstLine="210" w:firstLineChars="100"/>
        <w:rPr>
          <w:rFonts w:hAnsi="宋体" w:cs="宋体"/>
          <w:szCs w:val="21"/>
          <w:highlight w:val="none"/>
        </w:rPr>
      </w:pPr>
      <w:r>
        <w:rPr>
          <w:rFonts w:hint="eastAsia" w:hAnsi="宋体" w:cs="宋体"/>
          <w:szCs w:val="21"/>
          <w:highlight w:val="none"/>
        </w:rPr>
        <w:t>营业执照号码：                         经济性质：</w:t>
      </w:r>
    </w:p>
    <w:p>
      <w:pPr>
        <w:spacing w:line="480" w:lineRule="exact"/>
        <w:ind w:firstLine="210" w:firstLineChars="100"/>
        <w:rPr>
          <w:rFonts w:hAnsi="宋体" w:cs="宋体"/>
          <w:szCs w:val="21"/>
          <w:highlight w:val="none"/>
        </w:rPr>
      </w:pPr>
      <w:r>
        <w:rPr>
          <w:rFonts w:hint="eastAsia" w:hAnsi="宋体" w:cs="宋体"/>
          <w:szCs w:val="21"/>
          <w:highlight w:val="none"/>
        </w:rPr>
        <w:t>主营（产）：</w:t>
      </w:r>
    </w:p>
    <w:p>
      <w:pPr>
        <w:spacing w:line="480" w:lineRule="exact"/>
        <w:ind w:firstLine="210" w:firstLineChars="100"/>
        <w:rPr>
          <w:rFonts w:hAnsi="宋体" w:cs="宋体"/>
          <w:szCs w:val="21"/>
          <w:highlight w:val="none"/>
        </w:rPr>
      </w:pPr>
      <w:r>
        <w:rPr>
          <w:rFonts w:hint="eastAsia" w:hAnsi="宋体" w:cs="宋体"/>
          <w:szCs w:val="21"/>
          <w:highlight w:val="none"/>
        </w:rPr>
        <w:t>兼营（产）：</w:t>
      </w:r>
    </w:p>
    <w:p>
      <w:pPr>
        <w:spacing w:line="480" w:lineRule="exact"/>
        <w:rPr>
          <w:rFonts w:hAnsi="宋体" w:cs="宋体"/>
          <w:szCs w:val="21"/>
          <w:highlight w:val="none"/>
        </w:rPr>
      </w:pPr>
      <w:r>
        <w:rPr>
          <w:rFonts w:hint="eastAsia" w:hAnsi="宋体" w:cs="宋体"/>
          <w:szCs w:val="21"/>
          <w:highlight w:val="none"/>
        </w:rPr>
        <w:t>说明：1.法定代表人为企业事业单位、国家机关、社会团体的主要行政负责人。</w:t>
      </w:r>
    </w:p>
    <w:p>
      <w:pPr>
        <w:spacing w:line="480" w:lineRule="exact"/>
        <w:rPr>
          <w:rFonts w:hAnsi="宋体" w:cs="宋体"/>
          <w:szCs w:val="21"/>
          <w:highlight w:val="none"/>
        </w:rPr>
      </w:pPr>
      <w:r>
        <w:rPr>
          <w:rFonts w:hint="eastAsia" w:hAnsi="宋体" w:cs="宋体"/>
          <w:szCs w:val="21"/>
          <w:highlight w:val="none"/>
        </w:rPr>
        <w:t xml:space="preserve">      2.内容必须填写真实、清楚、涂改无效，不得转让、买卖。</w:t>
      </w:r>
    </w:p>
    <w:p>
      <w:pPr>
        <w:spacing w:line="480" w:lineRule="exact"/>
        <w:ind w:firstLine="630" w:firstLineChars="300"/>
        <w:rPr>
          <w:rFonts w:hAnsi="宋体" w:cs="宋体"/>
          <w:b/>
          <w:szCs w:val="21"/>
          <w:highlight w:val="none"/>
        </w:rPr>
      </w:pPr>
      <w:r>
        <w:rPr>
          <w:rFonts w:hint="eastAsia" w:hAnsi="宋体" w:cs="宋体"/>
          <w:szCs w:val="21"/>
          <w:highlight w:val="none"/>
        </w:rPr>
        <w:t>3.将此证明书提交对方作为合同附件</w:t>
      </w:r>
      <w:r>
        <w:rPr>
          <w:rFonts w:hint="eastAsia" w:hAnsi="宋体" w:cs="宋体"/>
          <w:b/>
          <w:szCs w:val="21"/>
          <w:highlight w:val="none"/>
        </w:rPr>
        <w:t>。</w:t>
      </w:r>
    </w:p>
    <w:p>
      <w:pPr>
        <w:spacing w:line="480" w:lineRule="exact"/>
        <w:ind w:firstLine="630" w:firstLineChars="300"/>
        <w:rPr>
          <w:rFonts w:hAnsi="宋体" w:cs="宋体"/>
          <w:szCs w:val="21"/>
          <w:highlight w:val="none"/>
        </w:rPr>
      </w:pPr>
      <w:r>
        <w:rPr>
          <w:rFonts w:hint="eastAsia" w:hAnsi="宋体" w:cs="宋体"/>
          <w:szCs w:val="21"/>
          <w:highlight w:val="none"/>
        </w:rPr>
        <w:t>4.授权权限：全权代表本公司参与上述采购项目的投标，负责提供与签署确认一切文书资料，以及向贵方递交的任何补充承诺。</w:t>
      </w:r>
    </w:p>
    <w:p>
      <w:pPr>
        <w:spacing w:line="440" w:lineRule="exact"/>
        <w:ind w:firstLine="644" w:firstLineChars="307"/>
        <w:rPr>
          <w:rFonts w:hAnsi="宋体" w:cs="宋体"/>
          <w:szCs w:val="21"/>
          <w:highlight w:val="none"/>
        </w:rPr>
      </w:pPr>
      <w:r>
        <w:rPr>
          <w:rFonts w:hint="eastAsia" w:hAnsi="宋体" w:cs="宋体"/>
          <w:szCs w:val="21"/>
          <w:highlight w:val="none"/>
        </w:rPr>
        <w:t>5.有效期限：与本公司投标文件中标注的投标有效期相同，自本单位盖公章之日起生效。</w:t>
      </w:r>
    </w:p>
    <w:p>
      <w:pPr>
        <w:spacing w:line="440" w:lineRule="exact"/>
        <w:ind w:firstLine="644" w:firstLineChars="307"/>
        <w:rPr>
          <w:rFonts w:hAnsi="宋体" w:cs="宋体"/>
          <w:szCs w:val="21"/>
          <w:highlight w:val="none"/>
        </w:rPr>
      </w:pPr>
      <w:r>
        <w:rPr>
          <w:rFonts w:hint="eastAsia" w:hAnsi="宋体" w:cs="宋体"/>
          <w:szCs w:val="21"/>
          <w:highlight w:val="none"/>
        </w:rPr>
        <w:t>6.投标签字代表为法定代表人，则本表不适用。</w:t>
      </w:r>
    </w:p>
    <w:p>
      <w:pPr>
        <w:spacing w:line="360" w:lineRule="auto"/>
        <w:ind w:firstLine="420"/>
        <w:rPr>
          <w:rFonts w:hAnsi="宋体" w:cs="宋体"/>
          <w:szCs w:val="21"/>
          <w:highlight w:val="none"/>
          <w:u w:val="single"/>
        </w:rPr>
      </w:pPr>
      <w:r>
        <w:rPr>
          <w:rFonts w:hAnsi="宋体" w:cs="宋体"/>
          <w:szCs w:val="21"/>
          <w:highlight w:val="none"/>
          <w:u w:val="single"/>
        </w:rPr>
        <mc:AlternateContent>
          <mc:Choice Requires="wps">
            <w:drawing>
              <wp:anchor distT="0" distB="0" distL="114300" distR="114300" simplePos="0" relativeHeight="251665408" behindDoc="0" locked="0" layoutInCell="1" allowOverlap="1">
                <wp:simplePos x="0" y="0"/>
                <wp:positionH relativeFrom="column">
                  <wp:posOffset>2828925</wp:posOffset>
                </wp:positionH>
                <wp:positionV relativeFrom="paragraph">
                  <wp:posOffset>33020</wp:posOffset>
                </wp:positionV>
                <wp:extent cx="2333625" cy="1584325"/>
                <wp:effectExtent l="4445" t="4445" r="11430" b="11430"/>
                <wp:wrapNone/>
                <wp:docPr id="6" name="自选图形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授权代表身份证复印件反面</w:t>
                            </w:r>
                          </w:p>
                        </w:txbxContent>
                      </wps:txbx>
                      <wps:bodyPr upright="1"/>
                    </wps:wsp>
                  </a:graphicData>
                </a:graphic>
              </wp:anchor>
            </w:drawing>
          </mc:Choice>
          <mc:Fallback>
            <w:pict>
              <v:shape id="自选图形 9" o:spid="_x0000_s1026" o:spt="176" type="#_x0000_t176" style="position:absolute;left:0pt;margin-left:222.75pt;margin-top:2.6pt;height:124.75pt;width:183.75pt;z-index:251665408;mso-width-relative:page;mso-height-relative:page;" fillcolor="#FFFFFF" filled="t" stroked="t" coordsize="21600,21600" o:gfxdata="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E7/R5dgA&#10;AAAJAQAADwAAAAAAAAABACAAAAAiAAAAZHJzL2Rvd25yZXYueG1sUEsBAhQAFAAAAAgAh07iQEs6&#10;32YfAgAAUwQAAA4AAAAAAAAAAQAgAAAAJwEAAGRycy9lMm9Eb2MueG1sUEsFBgAAAAAGAAYAWQEA&#10;ALgFAAAAAA==&#10;">
                <v:fill on="t" focussize="0,0"/>
                <v:stroke color="#000000" joinstyle="miter"/>
                <v:imagedata o:title=""/>
                <o:lock v:ext="edit" aspectratio="f"/>
                <v:textbox>
                  <w:txbxContent>
                    <w:p>
                      <w:pPr>
                        <w:jc w:val="center"/>
                        <w:rPr>
                          <w:szCs w:val="21"/>
                        </w:rPr>
                      </w:pPr>
                      <w:r>
                        <w:rPr>
                          <w:rFonts w:hint="eastAsia"/>
                          <w:szCs w:val="21"/>
                        </w:rPr>
                        <w:t>授权代表身份证复印件反面</w:t>
                      </w:r>
                    </w:p>
                  </w:txbxContent>
                </v:textbox>
              </v:shape>
            </w:pict>
          </mc:Fallback>
        </mc:AlternateContent>
      </w:r>
      <w:r>
        <w:rPr>
          <w:rFonts w:hAnsi="宋体" w:cs="宋体"/>
          <w:szCs w:val="21"/>
          <w:highlight w:val="none"/>
          <w:u w:val="single"/>
        </w:rPr>
        <mc:AlternateContent>
          <mc:Choice Requires="wps">
            <w:drawing>
              <wp:anchor distT="0" distB="0" distL="114300" distR="114300" simplePos="0" relativeHeight="251663360" behindDoc="0" locked="0" layoutInCell="1" allowOverlap="1">
                <wp:simplePos x="0" y="0"/>
                <wp:positionH relativeFrom="column">
                  <wp:posOffset>400050</wp:posOffset>
                </wp:positionH>
                <wp:positionV relativeFrom="paragraph">
                  <wp:posOffset>33020</wp:posOffset>
                </wp:positionV>
                <wp:extent cx="2333625" cy="1584325"/>
                <wp:effectExtent l="4445" t="4445" r="11430" b="11430"/>
                <wp:wrapNone/>
                <wp:docPr id="4" name="自选图形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授权代表身份证复印件正面</w:t>
                            </w:r>
                          </w:p>
                        </w:txbxContent>
                      </wps:txbx>
                      <wps:bodyPr upright="1"/>
                    </wps:wsp>
                  </a:graphicData>
                </a:graphic>
              </wp:anchor>
            </w:drawing>
          </mc:Choice>
          <mc:Fallback>
            <w:pict>
              <v:shape id="自选图形 3" o:spid="_x0000_s1026" o:spt="176" type="#_x0000_t176" style="position:absolute;left:0pt;margin-left:31.5pt;margin-top:2.6pt;height:124.75pt;width:183.75pt;z-index:251663360;mso-width-relative:page;mso-height-relative:page;" fillcolor="#FFFFFF" filled="t" stroked="t" coordsize="21600,21600" o:gfxdata="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eTfM0tcA&#10;AAAIAQAADwAAAAAAAAABACAAAAAiAAAAZHJzL2Rvd25yZXYueG1sUEsBAhQAFAAAAAgAh07iQBix&#10;ozUgAgAAUwQAAA4AAAAAAAAAAQAgAAAAJgEAAGRycy9lMm9Eb2MueG1sUEsFBgAAAAAGAAYAWQEA&#10;ALgFAAAAAA==&#10;">
                <v:fill on="t" focussize="0,0"/>
                <v:stroke color="#000000" joinstyle="miter"/>
                <v:imagedata o:title=""/>
                <o:lock v:ext="edit" aspectratio="f"/>
                <v:textbox>
                  <w:txbxContent>
                    <w:p>
                      <w:pPr>
                        <w:jc w:val="center"/>
                        <w:rPr>
                          <w:szCs w:val="21"/>
                        </w:rPr>
                      </w:pPr>
                      <w:r>
                        <w:rPr>
                          <w:rFonts w:hint="eastAsia"/>
                          <w:szCs w:val="21"/>
                        </w:rPr>
                        <w:t>授权代表身份证复印件正面</w:t>
                      </w:r>
                    </w:p>
                  </w:txbxContent>
                </v:textbox>
              </v:shape>
            </w:pict>
          </mc:Fallback>
        </mc:AlternateContent>
      </w:r>
    </w:p>
    <w:p>
      <w:pPr>
        <w:spacing w:line="360" w:lineRule="auto"/>
        <w:ind w:firstLine="420"/>
        <w:rPr>
          <w:rFonts w:hAnsi="宋体" w:cs="宋体"/>
          <w:szCs w:val="21"/>
          <w:highlight w:val="none"/>
          <w:u w:val="single"/>
        </w:rPr>
      </w:pPr>
    </w:p>
    <w:p>
      <w:pPr>
        <w:pStyle w:val="4"/>
        <w:spacing w:after="120" w:line="480" w:lineRule="exact"/>
        <w:rPr>
          <w:rFonts w:hAnsi="宋体" w:cs="宋体"/>
          <w:b/>
          <w:szCs w:val="21"/>
          <w:highlight w:val="none"/>
        </w:rPr>
      </w:pPr>
      <w:bookmarkStart w:id="33" w:name="_Toc10548704"/>
      <w:r>
        <w:rPr>
          <w:rFonts w:hint="eastAsia" w:hAnsi="宋体" w:cs="宋体"/>
          <w:b/>
          <w:szCs w:val="20"/>
          <w:highlight w:val="none"/>
        </w:rPr>
        <w:br w:type="page"/>
      </w:r>
      <w:r>
        <w:rPr>
          <w:rFonts w:hint="eastAsia" w:hAnsi="宋体" w:cs="宋体"/>
          <w:b/>
          <w:szCs w:val="21"/>
          <w:highlight w:val="none"/>
        </w:rPr>
        <w:t>附表2.5 证明投标人的合格性的证明文件格式</w:t>
      </w:r>
    </w:p>
    <w:p>
      <w:pPr>
        <w:spacing w:line="360" w:lineRule="auto"/>
        <w:rPr>
          <w:rFonts w:hAnsi="宋体" w:cs="宋体"/>
          <w:szCs w:val="21"/>
          <w:highlight w:val="none"/>
        </w:rPr>
      </w:pPr>
      <w:r>
        <w:rPr>
          <w:rFonts w:hint="eastAsia" w:hAnsi="宋体" w:cs="宋体"/>
          <w:szCs w:val="21"/>
          <w:highlight w:val="none"/>
        </w:rPr>
        <w:t>投标人具有履行合同所需的财务、技术和维护能力的资格证明文件(复印件加盖投标人法人公章)：</w:t>
      </w:r>
    </w:p>
    <w:p>
      <w:pPr>
        <w:spacing w:line="360" w:lineRule="auto"/>
        <w:ind w:right="-34"/>
        <w:jc w:val="both"/>
        <w:rPr>
          <w:rFonts w:hAnsi="宋体" w:cs="宋体"/>
          <w:szCs w:val="21"/>
          <w:highlight w:val="none"/>
        </w:rPr>
      </w:pPr>
      <w:r>
        <w:rPr>
          <w:rFonts w:hint="eastAsia" w:hAnsi="宋体" w:cs="宋体"/>
          <w:szCs w:val="21"/>
          <w:highlight w:val="none"/>
        </w:rPr>
        <w:t>1.供应商应具备《政府采购法》第二十二条规定的条件；</w:t>
      </w:r>
    </w:p>
    <w:p>
      <w:pPr>
        <w:spacing w:line="360" w:lineRule="auto"/>
        <w:ind w:right="-34"/>
        <w:jc w:val="both"/>
        <w:rPr>
          <w:rFonts w:hAnsi="宋体" w:cs="宋体"/>
          <w:szCs w:val="21"/>
          <w:highlight w:val="none"/>
        </w:rPr>
      </w:pPr>
      <w:r>
        <w:rPr>
          <w:rFonts w:hint="eastAsia" w:hAnsi="宋体" w:cs="宋体"/>
          <w:szCs w:val="21"/>
          <w:highlight w:val="none"/>
        </w:rPr>
        <w:t>2.落实政府采购政策需满足的资格要求：本项目属于专门面向中小企业采购的项目。（本项目所属行业：其他未列明行业）</w:t>
      </w:r>
    </w:p>
    <w:p>
      <w:pPr>
        <w:spacing w:line="360" w:lineRule="auto"/>
        <w:ind w:right="-34"/>
        <w:jc w:val="both"/>
        <w:rPr>
          <w:rFonts w:hAnsi="宋体" w:cs="宋体"/>
          <w:szCs w:val="21"/>
          <w:highlight w:val="none"/>
        </w:rPr>
      </w:pPr>
      <w:r>
        <w:rPr>
          <w:rFonts w:hint="eastAsia" w:hAnsi="宋体" w:cs="宋体"/>
          <w:szCs w:val="21"/>
          <w:highlight w:val="none"/>
        </w:rPr>
        <w:t>3.具有独立民事责任的法人、其他组织或者自然人，并取得合法工商执照或者其它法人（负责人）证书，如供应商为自然人的需提供自然人身份证明。</w:t>
      </w:r>
    </w:p>
    <w:p>
      <w:pPr>
        <w:spacing w:line="360" w:lineRule="auto"/>
        <w:ind w:right="-34"/>
        <w:jc w:val="both"/>
        <w:rPr>
          <w:rFonts w:hAnsi="宋体" w:cs="宋体"/>
          <w:szCs w:val="21"/>
          <w:highlight w:val="none"/>
        </w:rPr>
      </w:pPr>
      <w:r>
        <w:rPr>
          <w:rFonts w:hint="eastAsia" w:hAnsi="宋体" w:cs="宋体"/>
          <w:szCs w:val="21"/>
          <w:highlight w:val="none"/>
        </w:rPr>
        <w:t>4.信用记录：供应商未被列入“信用中国”网站(www.creditchina.gov.cn)“失信被执行人或重大税收违法失信主体或政府采购严重违法失信行为记录名单”记录名单；不处于中国政府采购网(www.ccgp.gov.cn)“政府采购严重违法失信行为信息记录”中的禁止参加政府采购活动期间。（以采购代理机构在投标（响应）截止日当天在“信用中国”网站（www.creditchina.gov.cn）及中国政府采购网(www.ccgp.gov.cn)查询结果为准，注：如相关失信记录已失效，供应商需提供相关证明资料。）</w:t>
      </w:r>
    </w:p>
    <w:p>
      <w:pPr>
        <w:spacing w:line="360" w:lineRule="auto"/>
        <w:ind w:right="-34"/>
        <w:jc w:val="both"/>
        <w:rPr>
          <w:rFonts w:hAnsi="宋体" w:cs="宋体"/>
          <w:szCs w:val="21"/>
          <w:highlight w:val="none"/>
        </w:rPr>
      </w:pPr>
      <w:r>
        <w:rPr>
          <w:rFonts w:hint="eastAsia" w:hAnsi="宋体" w:cs="宋体"/>
          <w:szCs w:val="21"/>
          <w:highlight w:val="none"/>
        </w:rPr>
        <w:t>5.具备</w:t>
      </w:r>
      <w:r>
        <w:rPr>
          <w:rFonts w:hint="eastAsia" w:hAnsi="宋体"/>
          <w:szCs w:val="21"/>
          <w:highlight w:val="none"/>
        </w:rPr>
        <w:t>《劳务派遣经营许可证》</w:t>
      </w:r>
      <w:r>
        <w:rPr>
          <w:rFonts w:hint="eastAsia" w:hAnsi="宋体" w:cs="宋体"/>
          <w:szCs w:val="21"/>
          <w:highlight w:val="none"/>
        </w:rPr>
        <w:t>；</w:t>
      </w:r>
    </w:p>
    <w:p>
      <w:pPr>
        <w:spacing w:line="360" w:lineRule="auto"/>
        <w:ind w:right="-34"/>
        <w:jc w:val="both"/>
        <w:rPr>
          <w:rFonts w:hAnsi="宋体" w:cs="宋体"/>
          <w:szCs w:val="21"/>
          <w:highlight w:val="none"/>
        </w:rPr>
      </w:pPr>
      <w:r>
        <w:rPr>
          <w:rFonts w:hint="eastAsia" w:hAnsi="宋体" w:cs="宋体"/>
          <w:szCs w:val="21"/>
          <w:highlight w:val="none"/>
        </w:rPr>
        <w:t>6.提供</w:t>
      </w:r>
      <w:r>
        <w:rPr>
          <w:rFonts w:hint="eastAsia"/>
          <w:highlight w:val="none"/>
        </w:rPr>
        <w:t>近6个月</w:t>
      </w:r>
      <w:r>
        <w:rPr>
          <w:rFonts w:hint="eastAsia" w:hAnsi="宋体" w:cs="宋体"/>
          <w:szCs w:val="21"/>
          <w:highlight w:val="none"/>
        </w:rPr>
        <w:t>内任意一个月的依法缴纳社会保险的证明（缴费凭证）复印件，如依法不需要缴纳社会保障资金的，应提供相应文件证明其依法不需要缴纳社会保障资金；</w:t>
      </w:r>
    </w:p>
    <w:p>
      <w:pPr>
        <w:spacing w:line="360" w:lineRule="auto"/>
        <w:ind w:right="-34"/>
        <w:jc w:val="both"/>
        <w:rPr>
          <w:rFonts w:hAnsi="宋体" w:cs="宋体"/>
          <w:szCs w:val="21"/>
          <w:highlight w:val="none"/>
        </w:rPr>
      </w:pPr>
      <w:r>
        <w:rPr>
          <w:rFonts w:hint="eastAsia" w:hAnsi="宋体" w:cs="宋体"/>
          <w:szCs w:val="21"/>
          <w:highlight w:val="none"/>
        </w:rPr>
        <w:t>7.提供</w:t>
      </w:r>
      <w:r>
        <w:rPr>
          <w:rFonts w:hint="eastAsia"/>
          <w:highlight w:val="none"/>
        </w:rPr>
        <w:t>近6个月</w:t>
      </w:r>
      <w:r>
        <w:rPr>
          <w:rFonts w:hint="eastAsia" w:hAnsi="宋体" w:cs="宋体"/>
          <w:szCs w:val="21"/>
          <w:highlight w:val="none"/>
        </w:rPr>
        <w:t>内任意一个月的依法缴纳税收的证明（纳税凭证）复印件，如依法免税的，应提供相应文件证明其依法免税；</w:t>
      </w:r>
    </w:p>
    <w:p>
      <w:pPr>
        <w:spacing w:line="360" w:lineRule="auto"/>
        <w:ind w:right="-34"/>
        <w:jc w:val="both"/>
        <w:rPr>
          <w:rFonts w:hAnsi="宋体" w:cs="宋体"/>
          <w:szCs w:val="21"/>
          <w:highlight w:val="none"/>
        </w:rPr>
      </w:pPr>
      <w:r>
        <w:rPr>
          <w:rFonts w:hint="eastAsia" w:hAnsi="宋体" w:cs="宋体"/>
          <w:szCs w:val="21"/>
          <w:highlight w:val="none"/>
        </w:rPr>
        <w:t>8.本项目不接受联合体投标；</w:t>
      </w:r>
    </w:p>
    <w:p>
      <w:pPr>
        <w:spacing w:line="360" w:lineRule="auto"/>
        <w:ind w:right="-34"/>
        <w:jc w:val="both"/>
        <w:rPr>
          <w:rFonts w:hAnsi="宋体" w:cs="宋体"/>
          <w:szCs w:val="21"/>
          <w:highlight w:val="none"/>
        </w:rPr>
      </w:pPr>
      <w:r>
        <w:rPr>
          <w:rFonts w:hint="eastAsia" w:hAnsi="宋体" w:cs="宋体"/>
          <w:szCs w:val="21"/>
          <w:highlight w:val="none"/>
        </w:rPr>
        <w:t>9.供应商参加政府采购活动前三年内，在经营活动中没有重大违法记录（可参照报价函相关承诺格式内容）。重大违法记录，是指供应商因违法经营受到刑事处罚或者责令停产停业、吊销许可证或者执照、较大数额罚款等行政处罚。（较大数额罚款按照财库〔2022〕3号文，“较大数额罚款”认定为200万元以上的罚款，法律、行政法规以及国务院有关部门明确规定相关领域“较大数额罚款”标准高于200万元的，从其规定。）</w:t>
      </w:r>
    </w:p>
    <w:p>
      <w:pPr>
        <w:spacing w:line="360" w:lineRule="auto"/>
        <w:ind w:right="-34"/>
        <w:jc w:val="both"/>
        <w:rPr>
          <w:rFonts w:hAnsi="宋体" w:cs="宋体"/>
          <w:szCs w:val="21"/>
          <w:highlight w:val="none"/>
        </w:rPr>
      </w:pPr>
      <w:r>
        <w:rPr>
          <w:rFonts w:hint="eastAsia" w:hAnsi="宋体" w:cs="宋体"/>
          <w:szCs w:val="21"/>
          <w:highlight w:val="none"/>
        </w:rPr>
        <w:t>10.提供履行合同所必需的设备和专业技术能力的书面声明；（提供《资格声明书》，格式详见招标文件附表2.2）。</w:t>
      </w:r>
    </w:p>
    <w:p>
      <w:pPr>
        <w:spacing w:line="360" w:lineRule="auto"/>
        <w:ind w:right="-34"/>
        <w:jc w:val="both"/>
        <w:rPr>
          <w:rFonts w:hAnsi="宋体" w:cs="宋体"/>
          <w:szCs w:val="21"/>
          <w:highlight w:val="none"/>
        </w:rPr>
      </w:pPr>
      <w:r>
        <w:rPr>
          <w:rFonts w:hint="eastAsia" w:hAnsi="宋体" w:cs="宋体"/>
          <w:szCs w:val="21"/>
          <w:highlight w:val="none"/>
        </w:rPr>
        <w:t>11.存在隶属关系或同属一母公司或法人的企业，仅能由一家企业参与投标。</w:t>
      </w:r>
    </w:p>
    <w:p>
      <w:pPr>
        <w:spacing w:line="360" w:lineRule="auto"/>
        <w:ind w:right="-34"/>
        <w:jc w:val="both"/>
        <w:rPr>
          <w:rFonts w:hAnsi="宋体" w:cs="宋体"/>
          <w:szCs w:val="21"/>
          <w:highlight w:val="none"/>
        </w:rPr>
      </w:pPr>
      <w:r>
        <w:rPr>
          <w:rFonts w:hint="eastAsia" w:hAnsi="宋体" w:cs="宋体"/>
          <w:szCs w:val="21"/>
          <w:highlight w:val="none"/>
        </w:rPr>
        <w:t>12.已办理报名并成功购买本招标文件的供应商。</w:t>
      </w:r>
    </w:p>
    <w:p>
      <w:pPr>
        <w:spacing w:line="360" w:lineRule="auto"/>
        <w:ind w:right="-34"/>
        <w:jc w:val="both"/>
        <w:rPr>
          <w:rFonts w:hAnsi="宋体" w:cs="宋体"/>
          <w:b/>
          <w:szCs w:val="21"/>
          <w:highlight w:val="none"/>
        </w:rPr>
      </w:pPr>
      <w:r>
        <w:rPr>
          <w:rFonts w:hint="eastAsia" w:hAnsi="宋体" w:cs="宋体"/>
          <w:b/>
          <w:szCs w:val="21"/>
          <w:highlight w:val="none"/>
        </w:rPr>
        <w:br w:type="page"/>
      </w:r>
      <w:r>
        <w:rPr>
          <w:rFonts w:hint="eastAsia" w:hAnsi="宋体" w:cs="宋体"/>
          <w:b/>
          <w:szCs w:val="21"/>
          <w:highlight w:val="none"/>
        </w:rPr>
        <w:t>附表2.6 投标人基本情况表格式</w:t>
      </w:r>
    </w:p>
    <w:p>
      <w:pPr>
        <w:spacing w:line="360" w:lineRule="auto"/>
        <w:jc w:val="center"/>
        <w:rPr>
          <w:rFonts w:hAnsi="宋体" w:cs="宋体"/>
          <w:b/>
          <w:szCs w:val="21"/>
          <w:highlight w:val="none"/>
        </w:rPr>
      </w:pPr>
    </w:p>
    <w:p>
      <w:pPr>
        <w:spacing w:line="360" w:lineRule="auto"/>
        <w:jc w:val="center"/>
        <w:rPr>
          <w:rFonts w:hAnsi="宋体" w:cs="宋体"/>
          <w:b/>
          <w:szCs w:val="21"/>
          <w:highlight w:val="none"/>
        </w:rPr>
      </w:pPr>
      <w:r>
        <w:rPr>
          <w:rFonts w:hint="eastAsia" w:hAnsi="宋体" w:cs="宋体"/>
          <w:b/>
          <w:szCs w:val="21"/>
          <w:highlight w:val="none"/>
        </w:rPr>
        <w:t>投标人基本情况表</w:t>
      </w:r>
    </w:p>
    <w:tbl>
      <w:tblPr>
        <w:tblStyle w:val="49"/>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963"/>
        <w:gridCol w:w="1114"/>
        <w:gridCol w:w="891"/>
        <w:gridCol w:w="989"/>
        <w:gridCol w:w="1221"/>
        <w:gridCol w:w="1321"/>
        <w:gridCol w:w="989"/>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dxa"/>
            <w:tcBorders>
              <w:top w:val="double" w:color="auto" w:sz="4" w:space="0"/>
              <w:left w:val="double" w:color="auto" w:sz="4" w:space="0"/>
            </w:tcBorders>
            <w:vAlign w:val="center"/>
          </w:tcPr>
          <w:p>
            <w:pPr>
              <w:tabs>
                <w:tab w:val="left" w:pos="4320"/>
              </w:tabs>
              <w:jc w:val="center"/>
              <w:rPr>
                <w:rFonts w:hAnsi="宋体" w:cs="宋体"/>
                <w:szCs w:val="21"/>
                <w:highlight w:val="none"/>
              </w:rPr>
            </w:pPr>
            <w:r>
              <w:rPr>
                <w:rFonts w:hint="eastAsia" w:hAnsi="宋体" w:cs="宋体"/>
                <w:szCs w:val="21"/>
                <w:highlight w:val="none"/>
              </w:rPr>
              <w:t>单位名称</w:t>
            </w:r>
          </w:p>
        </w:tc>
        <w:tc>
          <w:tcPr>
            <w:tcW w:w="2077" w:type="dxa"/>
            <w:gridSpan w:val="2"/>
            <w:tcBorders>
              <w:top w:val="double" w:color="auto" w:sz="4" w:space="0"/>
            </w:tcBorders>
            <w:vAlign w:val="center"/>
          </w:tcPr>
          <w:p>
            <w:pPr>
              <w:tabs>
                <w:tab w:val="left" w:pos="4320"/>
              </w:tabs>
              <w:rPr>
                <w:rFonts w:hAnsi="宋体" w:cs="宋体"/>
                <w:szCs w:val="21"/>
                <w:highlight w:val="none"/>
              </w:rPr>
            </w:pPr>
          </w:p>
        </w:tc>
        <w:tc>
          <w:tcPr>
            <w:tcW w:w="891" w:type="dxa"/>
            <w:tcBorders>
              <w:top w:val="double" w:color="auto" w:sz="4" w:space="0"/>
            </w:tcBorders>
            <w:vAlign w:val="center"/>
          </w:tcPr>
          <w:p>
            <w:pPr>
              <w:tabs>
                <w:tab w:val="left" w:pos="4320"/>
              </w:tabs>
              <w:jc w:val="center"/>
              <w:rPr>
                <w:rFonts w:hAnsi="宋体" w:cs="宋体"/>
                <w:szCs w:val="21"/>
                <w:highlight w:val="none"/>
              </w:rPr>
            </w:pPr>
            <w:r>
              <w:rPr>
                <w:rFonts w:hint="eastAsia" w:hAnsi="宋体" w:cs="宋体"/>
                <w:szCs w:val="21"/>
                <w:highlight w:val="none"/>
              </w:rPr>
              <w:t>电话</w:t>
            </w:r>
          </w:p>
        </w:tc>
        <w:tc>
          <w:tcPr>
            <w:tcW w:w="989" w:type="dxa"/>
            <w:tcBorders>
              <w:top w:val="double" w:color="auto" w:sz="4" w:space="0"/>
            </w:tcBorders>
            <w:vAlign w:val="center"/>
          </w:tcPr>
          <w:p>
            <w:pPr>
              <w:tabs>
                <w:tab w:val="left" w:pos="4320"/>
              </w:tabs>
              <w:rPr>
                <w:rFonts w:hAnsi="宋体" w:cs="宋体"/>
                <w:szCs w:val="21"/>
                <w:highlight w:val="none"/>
              </w:rPr>
            </w:pPr>
          </w:p>
        </w:tc>
        <w:tc>
          <w:tcPr>
            <w:tcW w:w="1221" w:type="dxa"/>
            <w:tcBorders>
              <w:top w:val="double" w:color="auto" w:sz="4" w:space="0"/>
            </w:tcBorders>
            <w:vAlign w:val="center"/>
          </w:tcPr>
          <w:p>
            <w:pPr>
              <w:tabs>
                <w:tab w:val="left" w:pos="4320"/>
              </w:tabs>
              <w:jc w:val="center"/>
              <w:rPr>
                <w:rFonts w:hAnsi="宋体" w:cs="宋体"/>
                <w:szCs w:val="21"/>
                <w:highlight w:val="none"/>
              </w:rPr>
            </w:pPr>
            <w:r>
              <w:rPr>
                <w:rFonts w:hint="eastAsia" w:hAnsi="宋体" w:cs="宋体"/>
                <w:szCs w:val="21"/>
                <w:highlight w:val="none"/>
              </w:rPr>
              <w:t>法定代表人</w:t>
            </w:r>
          </w:p>
        </w:tc>
        <w:tc>
          <w:tcPr>
            <w:tcW w:w="1321" w:type="dxa"/>
            <w:tcBorders>
              <w:top w:val="double" w:color="auto" w:sz="4" w:space="0"/>
            </w:tcBorders>
            <w:vAlign w:val="center"/>
          </w:tcPr>
          <w:p>
            <w:pPr>
              <w:tabs>
                <w:tab w:val="left" w:pos="4320"/>
              </w:tabs>
              <w:rPr>
                <w:rFonts w:hAnsi="宋体" w:cs="宋体"/>
                <w:szCs w:val="21"/>
                <w:highlight w:val="none"/>
              </w:rPr>
            </w:pPr>
          </w:p>
        </w:tc>
        <w:tc>
          <w:tcPr>
            <w:tcW w:w="989" w:type="dxa"/>
            <w:tcBorders>
              <w:top w:val="double" w:color="auto" w:sz="4" w:space="0"/>
            </w:tcBorders>
            <w:vAlign w:val="center"/>
          </w:tcPr>
          <w:p>
            <w:pPr>
              <w:tabs>
                <w:tab w:val="left" w:pos="4320"/>
              </w:tabs>
              <w:jc w:val="center"/>
              <w:rPr>
                <w:rFonts w:hAnsi="宋体" w:cs="宋体"/>
                <w:szCs w:val="21"/>
                <w:highlight w:val="none"/>
              </w:rPr>
            </w:pPr>
            <w:r>
              <w:rPr>
                <w:rFonts w:hint="eastAsia" w:hAnsi="宋体" w:cs="宋体"/>
                <w:szCs w:val="21"/>
                <w:highlight w:val="none"/>
              </w:rPr>
              <w:t>职务</w:t>
            </w:r>
          </w:p>
        </w:tc>
        <w:tc>
          <w:tcPr>
            <w:tcW w:w="1129" w:type="dxa"/>
            <w:tcBorders>
              <w:top w:val="double" w:color="auto" w:sz="4" w:space="0"/>
              <w:right w:val="double" w:color="auto" w:sz="4" w:space="0"/>
            </w:tcBorders>
            <w:vAlign w:val="center"/>
          </w:tcPr>
          <w:p>
            <w:pPr>
              <w:tabs>
                <w:tab w:val="left" w:pos="4320"/>
              </w:tabs>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dxa"/>
            <w:tcBorders>
              <w:left w:val="double" w:color="auto" w:sz="4" w:space="0"/>
            </w:tcBorders>
            <w:vAlign w:val="center"/>
          </w:tcPr>
          <w:p>
            <w:pPr>
              <w:tabs>
                <w:tab w:val="left" w:pos="4320"/>
              </w:tabs>
              <w:jc w:val="center"/>
              <w:rPr>
                <w:rFonts w:hAnsi="宋体" w:cs="宋体"/>
                <w:szCs w:val="21"/>
                <w:highlight w:val="none"/>
              </w:rPr>
            </w:pPr>
            <w:r>
              <w:rPr>
                <w:rFonts w:hint="eastAsia" w:hAnsi="宋体" w:cs="宋体"/>
                <w:szCs w:val="21"/>
                <w:highlight w:val="none"/>
              </w:rPr>
              <w:t>地址</w:t>
            </w:r>
          </w:p>
        </w:tc>
        <w:tc>
          <w:tcPr>
            <w:tcW w:w="2077" w:type="dxa"/>
            <w:gridSpan w:val="2"/>
            <w:vAlign w:val="center"/>
          </w:tcPr>
          <w:p>
            <w:pPr>
              <w:tabs>
                <w:tab w:val="left" w:pos="4320"/>
              </w:tabs>
              <w:rPr>
                <w:rFonts w:hAnsi="宋体" w:cs="宋体"/>
                <w:szCs w:val="21"/>
                <w:highlight w:val="none"/>
              </w:rPr>
            </w:pPr>
          </w:p>
        </w:tc>
        <w:tc>
          <w:tcPr>
            <w:tcW w:w="891" w:type="dxa"/>
            <w:vAlign w:val="center"/>
          </w:tcPr>
          <w:p>
            <w:pPr>
              <w:tabs>
                <w:tab w:val="left" w:pos="4320"/>
              </w:tabs>
              <w:jc w:val="center"/>
              <w:rPr>
                <w:rFonts w:hAnsi="宋体" w:cs="宋体"/>
                <w:szCs w:val="21"/>
                <w:highlight w:val="none"/>
              </w:rPr>
            </w:pPr>
            <w:r>
              <w:rPr>
                <w:rFonts w:hint="eastAsia" w:hAnsi="宋体" w:cs="宋体"/>
                <w:szCs w:val="21"/>
                <w:highlight w:val="none"/>
              </w:rPr>
              <w:t>传真</w:t>
            </w:r>
          </w:p>
        </w:tc>
        <w:tc>
          <w:tcPr>
            <w:tcW w:w="989" w:type="dxa"/>
            <w:vAlign w:val="center"/>
          </w:tcPr>
          <w:p>
            <w:pPr>
              <w:tabs>
                <w:tab w:val="left" w:pos="4320"/>
              </w:tabs>
              <w:rPr>
                <w:rFonts w:hAnsi="宋体" w:cs="宋体"/>
                <w:szCs w:val="21"/>
                <w:highlight w:val="none"/>
              </w:rPr>
            </w:pPr>
          </w:p>
        </w:tc>
        <w:tc>
          <w:tcPr>
            <w:tcW w:w="1221" w:type="dxa"/>
            <w:vAlign w:val="center"/>
          </w:tcPr>
          <w:p>
            <w:pPr>
              <w:tabs>
                <w:tab w:val="left" w:pos="4320"/>
              </w:tabs>
              <w:jc w:val="center"/>
              <w:rPr>
                <w:rFonts w:hAnsi="宋体" w:cs="宋体"/>
                <w:szCs w:val="21"/>
                <w:highlight w:val="none"/>
              </w:rPr>
            </w:pPr>
            <w:r>
              <w:rPr>
                <w:rFonts w:hint="eastAsia" w:hAnsi="宋体" w:cs="宋体"/>
                <w:szCs w:val="21"/>
                <w:highlight w:val="none"/>
              </w:rPr>
              <w:t>被授权人</w:t>
            </w:r>
          </w:p>
        </w:tc>
        <w:tc>
          <w:tcPr>
            <w:tcW w:w="1321" w:type="dxa"/>
            <w:vAlign w:val="center"/>
          </w:tcPr>
          <w:p>
            <w:pPr>
              <w:tabs>
                <w:tab w:val="left" w:pos="4320"/>
              </w:tabs>
              <w:rPr>
                <w:rFonts w:hAnsi="宋体" w:cs="宋体"/>
                <w:szCs w:val="21"/>
                <w:highlight w:val="none"/>
              </w:rPr>
            </w:pPr>
          </w:p>
        </w:tc>
        <w:tc>
          <w:tcPr>
            <w:tcW w:w="989" w:type="dxa"/>
            <w:vAlign w:val="center"/>
          </w:tcPr>
          <w:p>
            <w:pPr>
              <w:tabs>
                <w:tab w:val="left" w:pos="4320"/>
              </w:tabs>
              <w:jc w:val="center"/>
              <w:rPr>
                <w:rFonts w:hAnsi="宋体" w:cs="宋体"/>
                <w:szCs w:val="21"/>
                <w:highlight w:val="none"/>
              </w:rPr>
            </w:pPr>
            <w:r>
              <w:rPr>
                <w:rFonts w:hint="eastAsia" w:hAnsi="宋体" w:cs="宋体"/>
                <w:szCs w:val="21"/>
                <w:highlight w:val="none"/>
              </w:rPr>
              <w:t>职务</w:t>
            </w:r>
          </w:p>
        </w:tc>
        <w:tc>
          <w:tcPr>
            <w:tcW w:w="1129" w:type="dxa"/>
            <w:tcBorders>
              <w:right w:val="double" w:color="auto" w:sz="4" w:space="0"/>
            </w:tcBorders>
            <w:vAlign w:val="center"/>
          </w:tcPr>
          <w:p>
            <w:pPr>
              <w:tabs>
                <w:tab w:val="left" w:pos="4320"/>
              </w:tabs>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dxa"/>
            <w:tcBorders>
              <w:left w:val="double" w:color="auto" w:sz="4" w:space="0"/>
            </w:tcBorders>
            <w:vAlign w:val="center"/>
          </w:tcPr>
          <w:p>
            <w:pPr>
              <w:tabs>
                <w:tab w:val="left" w:pos="4320"/>
              </w:tabs>
              <w:ind w:left="210" w:hanging="210" w:hangingChars="100"/>
              <w:rPr>
                <w:rFonts w:hAnsi="宋体" w:cs="宋体"/>
                <w:szCs w:val="21"/>
                <w:highlight w:val="none"/>
              </w:rPr>
            </w:pPr>
            <w:r>
              <w:rPr>
                <w:rFonts w:hint="eastAsia" w:hAnsi="宋体" w:cs="宋体"/>
                <w:szCs w:val="21"/>
                <w:highlight w:val="none"/>
              </w:rPr>
              <w:t>一、单位简历及隶属关系</w:t>
            </w:r>
          </w:p>
        </w:tc>
        <w:tc>
          <w:tcPr>
            <w:tcW w:w="2968" w:type="dxa"/>
            <w:gridSpan w:val="3"/>
            <w:vAlign w:val="center"/>
          </w:tcPr>
          <w:p>
            <w:pPr>
              <w:tabs>
                <w:tab w:val="left" w:pos="4320"/>
              </w:tabs>
              <w:rPr>
                <w:rFonts w:hAnsi="宋体" w:cs="宋体"/>
                <w:szCs w:val="21"/>
                <w:highlight w:val="none"/>
              </w:rPr>
            </w:pPr>
          </w:p>
        </w:tc>
        <w:tc>
          <w:tcPr>
            <w:tcW w:w="989" w:type="dxa"/>
            <w:vAlign w:val="center"/>
          </w:tcPr>
          <w:p>
            <w:pPr>
              <w:tabs>
                <w:tab w:val="left" w:pos="4320"/>
              </w:tabs>
              <w:jc w:val="center"/>
              <w:rPr>
                <w:rFonts w:hAnsi="宋体" w:cs="宋体"/>
                <w:szCs w:val="21"/>
                <w:highlight w:val="none"/>
              </w:rPr>
            </w:pPr>
            <w:r>
              <w:rPr>
                <w:rFonts w:hint="eastAsia" w:hAnsi="宋体" w:cs="宋体"/>
                <w:szCs w:val="21"/>
                <w:highlight w:val="none"/>
              </w:rPr>
              <w:t>单位优势及特长</w:t>
            </w:r>
          </w:p>
        </w:tc>
        <w:tc>
          <w:tcPr>
            <w:tcW w:w="4660" w:type="dxa"/>
            <w:gridSpan w:val="4"/>
            <w:tcBorders>
              <w:right w:val="double" w:color="auto" w:sz="4" w:space="0"/>
            </w:tcBorders>
            <w:vAlign w:val="center"/>
          </w:tcPr>
          <w:p>
            <w:pPr>
              <w:tabs>
                <w:tab w:val="left" w:pos="4320"/>
              </w:tabs>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0" w:type="dxa"/>
            <w:vMerge w:val="restart"/>
            <w:tcBorders>
              <w:left w:val="double" w:color="auto" w:sz="4" w:space="0"/>
            </w:tcBorders>
            <w:vAlign w:val="center"/>
          </w:tcPr>
          <w:p>
            <w:pPr>
              <w:tabs>
                <w:tab w:val="left" w:pos="4320"/>
              </w:tabs>
              <w:ind w:left="233" w:hanging="233" w:hangingChars="111"/>
              <w:rPr>
                <w:rFonts w:hAnsi="宋体" w:cs="宋体"/>
                <w:szCs w:val="21"/>
                <w:highlight w:val="none"/>
              </w:rPr>
            </w:pPr>
            <w:r>
              <w:rPr>
                <w:rFonts w:hint="eastAsia" w:hAnsi="宋体" w:cs="宋体"/>
                <w:szCs w:val="21"/>
                <w:highlight w:val="none"/>
              </w:rPr>
              <w:t>二、单位概况</w:t>
            </w:r>
          </w:p>
        </w:tc>
        <w:tc>
          <w:tcPr>
            <w:tcW w:w="963" w:type="dxa"/>
            <w:vAlign w:val="center"/>
          </w:tcPr>
          <w:p>
            <w:pPr>
              <w:tabs>
                <w:tab w:val="left" w:pos="4320"/>
              </w:tabs>
              <w:jc w:val="center"/>
              <w:rPr>
                <w:rFonts w:hAnsi="宋体" w:cs="宋体"/>
                <w:szCs w:val="21"/>
                <w:highlight w:val="none"/>
              </w:rPr>
            </w:pPr>
            <w:r>
              <w:rPr>
                <w:rFonts w:hint="eastAsia" w:hAnsi="宋体" w:cs="宋体"/>
                <w:szCs w:val="21"/>
                <w:highlight w:val="none"/>
              </w:rPr>
              <w:t>职工总数</w:t>
            </w:r>
          </w:p>
        </w:tc>
        <w:tc>
          <w:tcPr>
            <w:tcW w:w="1114" w:type="dxa"/>
            <w:vAlign w:val="center"/>
          </w:tcPr>
          <w:p>
            <w:pPr>
              <w:tabs>
                <w:tab w:val="left" w:pos="4320"/>
              </w:tabs>
              <w:jc w:val="right"/>
              <w:rPr>
                <w:rFonts w:hAnsi="宋体" w:cs="宋体"/>
                <w:szCs w:val="21"/>
                <w:highlight w:val="none"/>
              </w:rPr>
            </w:pPr>
            <w:r>
              <w:rPr>
                <w:rFonts w:hint="eastAsia" w:hAnsi="宋体" w:cs="宋体"/>
                <w:szCs w:val="21"/>
                <w:highlight w:val="none"/>
              </w:rPr>
              <w:t>人</w:t>
            </w:r>
          </w:p>
        </w:tc>
        <w:tc>
          <w:tcPr>
            <w:tcW w:w="891" w:type="dxa"/>
            <w:vMerge w:val="restart"/>
            <w:vAlign w:val="center"/>
          </w:tcPr>
          <w:p>
            <w:pPr>
              <w:tabs>
                <w:tab w:val="left" w:pos="4320"/>
              </w:tabs>
              <w:rPr>
                <w:rFonts w:hAnsi="宋体" w:cs="宋体"/>
                <w:szCs w:val="21"/>
                <w:highlight w:val="none"/>
              </w:rPr>
            </w:pPr>
            <w:r>
              <w:rPr>
                <w:rFonts w:hint="eastAsia" w:hAnsi="宋体" w:cs="宋体"/>
                <w:szCs w:val="21"/>
                <w:highlight w:val="none"/>
              </w:rPr>
              <w:t>上一年主要经济指标</w:t>
            </w:r>
          </w:p>
        </w:tc>
        <w:tc>
          <w:tcPr>
            <w:tcW w:w="989" w:type="dxa"/>
            <w:vAlign w:val="center"/>
          </w:tcPr>
          <w:p>
            <w:pPr>
              <w:tabs>
                <w:tab w:val="left" w:pos="4320"/>
              </w:tabs>
              <w:jc w:val="center"/>
              <w:rPr>
                <w:rFonts w:hAnsi="宋体" w:cs="宋体"/>
                <w:szCs w:val="21"/>
                <w:highlight w:val="none"/>
              </w:rPr>
            </w:pPr>
            <w:r>
              <w:rPr>
                <w:rFonts w:hint="eastAsia" w:hAnsi="宋体" w:cs="宋体"/>
                <w:szCs w:val="21"/>
                <w:highlight w:val="none"/>
              </w:rPr>
              <w:t>营业额</w:t>
            </w:r>
          </w:p>
        </w:tc>
        <w:tc>
          <w:tcPr>
            <w:tcW w:w="1221" w:type="dxa"/>
            <w:vAlign w:val="center"/>
          </w:tcPr>
          <w:p>
            <w:pPr>
              <w:tabs>
                <w:tab w:val="left" w:pos="4320"/>
              </w:tabs>
              <w:rPr>
                <w:rFonts w:hAnsi="宋体" w:cs="宋体"/>
                <w:szCs w:val="21"/>
                <w:highlight w:val="none"/>
              </w:rPr>
            </w:pPr>
          </w:p>
        </w:tc>
        <w:tc>
          <w:tcPr>
            <w:tcW w:w="1321" w:type="dxa"/>
            <w:vAlign w:val="center"/>
          </w:tcPr>
          <w:p>
            <w:pPr>
              <w:tabs>
                <w:tab w:val="left" w:pos="4320"/>
              </w:tabs>
              <w:jc w:val="center"/>
              <w:rPr>
                <w:rFonts w:hAnsi="宋体" w:cs="宋体"/>
                <w:szCs w:val="21"/>
                <w:highlight w:val="none"/>
              </w:rPr>
            </w:pPr>
            <w:r>
              <w:rPr>
                <w:rFonts w:hint="eastAsia" w:hAnsi="宋体" w:cs="宋体"/>
                <w:szCs w:val="21"/>
                <w:highlight w:val="none"/>
              </w:rPr>
              <w:t>实现利润</w:t>
            </w:r>
          </w:p>
        </w:tc>
        <w:tc>
          <w:tcPr>
            <w:tcW w:w="2118" w:type="dxa"/>
            <w:gridSpan w:val="2"/>
            <w:tcBorders>
              <w:right w:val="double" w:color="auto" w:sz="4" w:space="0"/>
            </w:tcBorders>
            <w:vAlign w:val="center"/>
          </w:tcPr>
          <w:p>
            <w:pPr>
              <w:tabs>
                <w:tab w:val="left" w:pos="4320"/>
              </w:tabs>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0" w:type="dxa"/>
            <w:vMerge w:val="continue"/>
            <w:tcBorders>
              <w:left w:val="double" w:color="auto" w:sz="4" w:space="0"/>
            </w:tcBorders>
            <w:vAlign w:val="center"/>
          </w:tcPr>
          <w:p>
            <w:pPr>
              <w:tabs>
                <w:tab w:val="left" w:pos="4320"/>
              </w:tabs>
              <w:ind w:left="233" w:hanging="233" w:hangingChars="111"/>
              <w:rPr>
                <w:rFonts w:hAnsi="宋体" w:cs="宋体"/>
                <w:szCs w:val="21"/>
                <w:highlight w:val="none"/>
              </w:rPr>
            </w:pPr>
          </w:p>
        </w:tc>
        <w:tc>
          <w:tcPr>
            <w:tcW w:w="963" w:type="dxa"/>
            <w:vAlign w:val="center"/>
          </w:tcPr>
          <w:p>
            <w:pPr>
              <w:tabs>
                <w:tab w:val="left" w:pos="4320"/>
              </w:tabs>
              <w:jc w:val="center"/>
              <w:rPr>
                <w:rFonts w:hAnsi="宋体" w:cs="宋体"/>
                <w:szCs w:val="21"/>
                <w:highlight w:val="none"/>
              </w:rPr>
            </w:pPr>
            <w:r>
              <w:rPr>
                <w:rFonts w:hint="eastAsia" w:hAnsi="宋体" w:cs="宋体"/>
                <w:szCs w:val="21"/>
                <w:highlight w:val="none"/>
              </w:rPr>
              <w:t>流动资金</w:t>
            </w:r>
          </w:p>
        </w:tc>
        <w:tc>
          <w:tcPr>
            <w:tcW w:w="1114" w:type="dxa"/>
            <w:vAlign w:val="center"/>
          </w:tcPr>
          <w:p>
            <w:pPr>
              <w:tabs>
                <w:tab w:val="left" w:pos="4320"/>
              </w:tabs>
              <w:jc w:val="right"/>
              <w:rPr>
                <w:rFonts w:hAnsi="宋体" w:cs="宋体"/>
                <w:szCs w:val="21"/>
                <w:highlight w:val="none"/>
              </w:rPr>
            </w:pPr>
            <w:r>
              <w:rPr>
                <w:rFonts w:hint="eastAsia" w:hAnsi="宋体" w:cs="宋体"/>
                <w:szCs w:val="21"/>
                <w:highlight w:val="none"/>
              </w:rPr>
              <w:t>万元</w:t>
            </w:r>
          </w:p>
        </w:tc>
        <w:tc>
          <w:tcPr>
            <w:tcW w:w="891" w:type="dxa"/>
            <w:vMerge w:val="continue"/>
            <w:vAlign w:val="center"/>
          </w:tcPr>
          <w:p>
            <w:pPr>
              <w:tabs>
                <w:tab w:val="left" w:pos="4320"/>
              </w:tabs>
              <w:rPr>
                <w:rFonts w:hAnsi="宋体" w:cs="宋体"/>
                <w:szCs w:val="21"/>
                <w:highlight w:val="none"/>
              </w:rPr>
            </w:pPr>
          </w:p>
        </w:tc>
        <w:tc>
          <w:tcPr>
            <w:tcW w:w="989" w:type="dxa"/>
            <w:vMerge w:val="restart"/>
            <w:vAlign w:val="center"/>
          </w:tcPr>
          <w:p>
            <w:pPr>
              <w:tabs>
                <w:tab w:val="left" w:pos="4320"/>
              </w:tabs>
              <w:jc w:val="center"/>
              <w:rPr>
                <w:rFonts w:hAnsi="宋体" w:cs="宋体"/>
                <w:szCs w:val="21"/>
                <w:highlight w:val="none"/>
              </w:rPr>
            </w:pPr>
            <w:r>
              <w:rPr>
                <w:rFonts w:hint="eastAsia" w:hAnsi="宋体" w:cs="宋体"/>
                <w:szCs w:val="21"/>
                <w:highlight w:val="none"/>
              </w:rPr>
              <w:t>主要项目</w:t>
            </w:r>
          </w:p>
        </w:tc>
        <w:tc>
          <w:tcPr>
            <w:tcW w:w="4660" w:type="dxa"/>
            <w:gridSpan w:val="4"/>
            <w:tcBorders>
              <w:right w:val="double" w:color="auto" w:sz="4" w:space="0"/>
            </w:tcBorders>
            <w:vAlign w:val="center"/>
          </w:tcPr>
          <w:p>
            <w:pPr>
              <w:tabs>
                <w:tab w:val="left" w:pos="4320"/>
              </w:tabs>
              <w:spacing w:before="120" w:after="120"/>
              <w:rPr>
                <w:rFonts w:hAnsi="宋体" w:cs="宋体"/>
                <w:szCs w:val="21"/>
                <w:highlight w:val="none"/>
              </w:rPr>
            </w:pPr>
            <w:r>
              <w:rPr>
                <w:rFonts w:hint="eastAsia" w:hAnsi="宋体" w:cs="宋体"/>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0" w:type="dxa"/>
            <w:vMerge w:val="continue"/>
            <w:tcBorders>
              <w:left w:val="double" w:color="auto" w:sz="4" w:space="0"/>
            </w:tcBorders>
            <w:vAlign w:val="center"/>
          </w:tcPr>
          <w:p>
            <w:pPr>
              <w:tabs>
                <w:tab w:val="left" w:pos="4320"/>
              </w:tabs>
              <w:ind w:left="233" w:hanging="233" w:hangingChars="111"/>
              <w:rPr>
                <w:rFonts w:hAnsi="宋体" w:cs="宋体"/>
                <w:szCs w:val="21"/>
                <w:highlight w:val="none"/>
              </w:rPr>
            </w:pPr>
          </w:p>
        </w:tc>
        <w:tc>
          <w:tcPr>
            <w:tcW w:w="963" w:type="dxa"/>
            <w:vAlign w:val="center"/>
          </w:tcPr>
          <w:p>
            <w:pPr>
              <w:tabs>
                <w:tab w:val="left" w:pos="4320"/>
              </w:tabs>
              <w:jc w:val="center"/>
              <w:rPr>
                <w:rFonts w:hAnsi="宋体" w:cs="宋体"/>
                <w:szCs w:val="21"/>
                <w:highlight w:val="none"/>
              </w:rPr>
            </w:pPr>
            <w:r>
              <w:rPr>
                <w:rFonts w:hint="eastAsia" w:hAnsi="宋体" w:cs="宋体"/>
                <w:szCs w:val="21"/>
                <w:highlight w:val="none"/>
              </w:rPr>
              <w:t>固定资产</w:t>
            </w:r>
          </w:p>
          <w:p>
            <w:pPr>
              <w:tabs>
                <w:tab w:val="left" w:pos="4320"/>
              </w:tabs>
              <w:jc w:val="center"/>
              <w:rPr>
                <w:rFonts w:hAnsi="宋体" w:cs="宋体"/>
                <w:szCs w:val="21"/>
                <w:highlight w:val="none"/>
              </w:rPr>
            </w:pPr>
            <w:r>
              <w:rPr>
                <w:rFonts w:hint="eastAsia" w:hAnsi="宋体" w:cs="宋体"/>
                <w:szCs w:val="21"/>
                <w:highlight w:val="none"/>
              </w:rPr>
              <w:t>（万元）</w:t>
            </w:r>
          </w:p>
        </w:tc>
        <w:tc>
          <w:tcPr>
            <w:tcW w:w="1114" w:type="dxa"/>
            <w:vAlign w:val="center"/>
          </w:tcPr>
          <w:p>
            <w:pPr>
              <w:tabs>
                <w:tab w:val="left" w:pos="-48"/>
                <w:tab w:val="left" w:pos="4320"/>
              </w:tabs>
              <w:ind w:right="-133" w:hanging="48"/>
              <w:rPr>
                <w:rFonts w:hAnsi="宋体" w:cs="宋体"/>
                <w:szCs w:val="21"/>
                <w:highlight w:val="none"/>
              </w:rPr>
            </w:pPr>
            <w:r>
              <w:rPr>
                <w:rFonts w:hint="eastAsia" w:hAnsi="宋体" w:cs="宋体"/>
                <w:szCs w:val="21"/>
                <w:highlight w:val="none"/>
              </w:rPr>
              <w:t>原值：</w:t>
            </w:r>
          </w:p>
          <w:p>
            <w:pPr>
              <w:tabs>
                <w:tab w:val="left" w:pos="-48"/>
                <w:tab w:val="left" w:pos="4320"/>
              </w:tabs>
              <w:ind w:hanging="48"/>
              <w:jc w:val="right"/>
              <w:rPr>
                <w:rFonts w:hAnsi="宋体" w:cs="宋体"/>
                <w:szCs w:val="21"/>
                <w:highlight w:val="none"/>
              </w:rPr>
            </w:pPr>
          </w:p>
          <w:p>
            <w:pPr>
              <w:tabs>
                <w:tab w:val="left" w:pos="-48"/>
                <w:tab w:val="left" w:pos="4320"/>
              </w:tabs>
              <w:ind w:right="-133" w:hanging="48"/>
              <w:rPr>
                <w:rFonts w:hAnsi="宋体" w:cs="宋体"/>
                <w:szCs w:val="21"/>
                <w:highlight w:val="none"/>
              </w:rPr>
            </w:pPr>
            <w:r>
              <w:rPr>
                <w:rFonts w:hint="eastAsia" w:hAnsi="宋体" w:cs="宋体"/>
                <w:szCs w:val="21"/>
                <w:highlight w:val="none"/>
              </w:rPr>
              <w:t>净值：</w:t>
            </w:r>
          </w:p>
          <w:p>
            <w:pPr>
              <w:tabs>
                <w:tab w:val="left" w:pos="-48"/>
                <w:tab w:val="left" w:pos="4320"/>
              </w:tabs>
              <w:ind w:hanging="48"/>
              <w:jc w:val="right"/>
              <w:rPr>
                <w:rFonts w:hAnsi="宋体" w:cs="宋体"/>
                <w:szCs w:val="21"/>
                <w:highlight w:val="none"/>
              </w:rPr>
            </w:pPr>
          </w:p>
        </w:tc>
        <w:tc>
          <w:tcPr>
            <w:tcW w:w="891" w:type="dxa"/>
            <w:vMerge w:val="continue"/>
            <w:vAlign w:val="center"/>
          </w:tcPr>
          <w:p>
            <w:pPr>
              <w:tabs>
                <w:tab w:val="left" w:pos="4320"/>
              </w:tabs>
              <w:rPr>
                <w:rFonts w:hAnsi="宋体" w:cs="宋体"/>
                <w:szCs w:val="21"/>
                <w:highlight w:val="none"/>
              </w:rPr>
            </w:pPr>
          </w:p>
        </w:tc>
        <w:tc>
          <w:tcPr>
            <w:tcW w:w="989" w:type="dxa"/>
            <w:vMerge w:val="continue"/>
            <w:vAlign w:val="center"/>
          </w:tcPr>
          <w:p>
            <w:pPr>
              <w:tabs>
                <w:tab w:val="left" w:pos="4320"/>
              </w:tabs>
              <w:jc w:val="center"/>
              <w:rPr>
                <w:rFonts w:hAnsi="宋体" w:cs="宋体"/>
                <w:szCs w:val="21"/>
                <w:highlight w:val="none"/>
              </w:rPr>
            </w:pPr>
          </w:p>
        </w:tc>
        <w:tc>
          <w:tcPr>
            <w:tcW w:w="4660" w:type="dxa"/>
            <w:gridSpan w:val="4"/>
            <w:tcBorders>
              <w:right w:val="double" w:color="auto" w:sz="4" w:space="0"/>
            </w:tcBorders>
            <w:vAlign w:val="center"/>
          </w:tcPr>
          <w:p>
            <w:pPr>
              <w:tabs>
                <w:tab w:val="left" w:pos="4320"/>
              </w:tabs>
              <w:rPr>
                <w:rFonts w:hAnsi="宋体" w:cs="宋体"/>
                <w:szCs w:val="21"/>
                <w:highlight w:val="none"/>
              </w:rPr>
            </w:pPr>
            <w:r>
              <w:rPr>
                <w:rFonts w:hint="eastAsia" w:hAnsi="宋体" w:cs="宋体"/>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0" w:type="dxa"/>
            <w:vMerge w:val="continue"/>
            <w:tcBorders>
              <w:left w:val="double" w:color="auto" w:sz="4" w:space="0"/>
            </w:tcBorders>
            <w:vAlign w:val="center"/>
          </w:tcPr>
          <w:p>
            <w:pPr>
              <w:tabs>
                <w:tab w:val="left" w:pos="4320"/>
              </w:tabs>
              <w:ind w:left="233" w:hanging="233" w:hangingChars="111"/>
              <w:rPr>
                <w:rFonts w:hAnsi="宋体" w:cs="宋体"/>
                <w:szCs w:val="21"/>
                <w:highlight w:val="none"/>
              </w:rPr>
            </w:pPr>
          </w:p>
        </w:tc>
        <w:tc>
          <w:tcPr>
            <w:tcW w:w="963" w:type="dxa"/>
            <w:vAlign w:val="center"/>
          </w:tcPr>
          <w:p>
            <w:pPr>
              <w:tabs>
                <w:tab w:val="left" w:pos="4320"/>
              </w:tabs>
              <w:jc w:val="center"/>
              <w:rPr>
                <w:rFonts w:hAnsi="宋体" w:cs="宋体"/>
                <w:szCs w:val="21"/>
                <w:highlight w:val="none"/>
              </w:rPr>
            </w:pPr>
            <w:r>
              <w:rPr>
                <w:rFonts w:hint="eastAsia" w:hAnsi="宋体" w:cs="宋体"/>
                <w:szCs w:val="21"/>
                <w:highlight w:val="none"/>
              </w:rPr>
              <w:t>占地面积</w:t>
            </w:r>
          </w:p>
        </w:tc>
        <w:tc>
          <w:tcPr>
            <w:tcW w:w="1114" w:type="dxa"/>
            <w:vAlign w:val="center"/>
          </w:tcPr>
          <w:p>
            <w:pPr>
              <w:tabs>
                <w:tab w:val="left" w:pos="4320"/>
              </w:tabs>
              <w:jc w:val="right"/>
              <w:rPr>
                <w:rFonts w:hAnsi="宋体" w:cs="宋体"/>
                <w:szCs w:val="21"/>
                <w:highlight w:val="none"/>
              </w:rPr>
            </w:pPr>
            <w:r>
              <w:rPr>
                <w:rFonts w:hint="eastAsia" w:hAnsi="宋体" w:cs="宋体"/>
                <w:szCs w:val="21"/>
                <w:highlight w:val="none"/>
              </w:rPr>
              <w:t>M</w:t>
            </w:r>
            <w:r>
              <w:rPr>
                <w:rFonts w:hint="eastAsia" w:hAnsi="宋体" w:cs="宋体"/>
                <w:szCs w:val="21"/>
                <w:highlight w:val="none"/>
                <w:vertAlign w:val="superscript"/>
              </w:rPr>
              <w:t>2</w:t>
            </w:r>
          </w:p>
        </w:tc>
        <w:tc>
          <w:tcPr>
            <w:tcW w:w="891" w:type="dxa"/>
            <w:vMerge w:val="continue"/>
            <w:vAlign w:val="center"/>
          </w:tcPr>
          <w:p>
            <w:pPr>
              <w:tabs>
                <w:tab w:val="left" w:pos="4320"/>
              </w:tabs>
              <w:rPr>
                <w:rFonts w:hAnsi="宋体" w:cs="宋体"/>
                <w:szCs w:val="21"/>
                <w:highlight w:val="none"/>
              </w:rPr>
            </w:pPr>
          </w:p>
        </w:tc>
        <w:tc>
          <w:tcPr>
            <w:tcW w:w="989" w:type="dxa"/>
            <w:vMerge w:val="continue"/>
            <w:vAlign w:val="center"/>
          </w:tcPr>
          <w:p>
            <w:pPr>
              <w:tabs>
                <w:tab w:val="left" w:pos="4320"/>
              </w:tabs>
              <w:jc w:val="center"/>
              <w:rPr>
                <w:rFonts w:hAnsi="宋体" w:cs="宋体"/>
                <w:szCs w:val="21"/>
                <w:highlight w:val="none"/>
              </w:rPr>
            </w:pPr>
          </w:p>
        </w:tc>
        <w:tc>
          <w:tcPr>
            <w:tcW w:w="4660" w:type="dxa"/>
            <w:gridSpan w:val="4"/>
            <w:tcBorders>
              <w:right w:val="double" w:color="auto" w:sz="4" w:space="0"/>
            </w:tcBorders>
            <w:vAlign w:val="center"/>
          </w:tcPr>
          <w:p>
            <w:pPr>
              <w:tabs>
                <w:tab w:val="left" w:pos="4320"/>
              </w:tabs>
              <w:spacing w:before="120" w:after="120"/>
              <w:rPr>
                <w:rFonts w:hAnsi="宋体" w:cs="宋体"/>
                <w:szCs w:val="21"/>
                <w:highlight w:val="none"/>
              </w:rPr>
            </w:pPr>
            <w:r>
              <w:rPr>
                <w:rFonts w:hint="eastAsia" w:hAnsi="宋体" w:cs="宋体"/>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0" w:type="dxa"/>
            <w:vMerge w:val="restart"/>
            <w:tcBorders>
              <w:left w:val="double" w:color="auto" w:sz="4" w:space="0"/>
            </w:tcBorders>
            <w:vAlign w:val="center"/>
          </w:tcPr>
          <w:p>
            <w:pPr>
              <w:tabs>
                <w:tab w:val="left" w:pos="4320"/>
              </w:tabs>
              <w:rPr>
                <w:rFonts w:hAnsi="宋体" w:cs="宋体"/>
                <w:szCs w:val="21"/>
                <w:highlight w:val="none"/>
              </w:rPr>
            </w:pPr>
            <w:r>
              <w:rPr>
                <w:rFonts w:hint="eastAsia" w:hAnsi="宋体" w:cs="宋体"/>
                <w:szCs w:val="21"/>
                <w:highlight w:val="none"/>
              </w:rPr>
              <w:t>四、其它</w:t>
            </w:r>
          </w:p>
        </w:tc>
        <w:tc>
          <w:tcPr>
            <w:tcW w:w="3957" w:type="dxa"/>
            <w:gridSpan w:val="4"/>
            <w:vAlign w:val="center"/>
          </w:tcPr>
          <w:p>
            <w:pPr>
              <w:tabs>
                <w:tab w:val="left" w:pos="4320"/>
              </w:tabs>
              <w:spacing w:before="60" w:after="60"/>
              <w:rPr>
                <w:rFonts w:hAnsi="宋体" w:cs="宋体"/>
                <w:szCs w:val="21"/>
                <w:highlight w:val="none"/>
              </w:rPr>
            </w:pPr>
            <w:r>
              <w:rPr>
                <w:rFonts w:hint="eastAsia" w:hAnsi="宋体" w:cs="宋体"/>
                <w:szCs w:val="21"/>
                <w:highlight w:val="none"/>
              </w:rPr>
              <w:t>近3年完成及正在执行的合同中发生的由于投标人违约或部份违约而引起诉讼和受到索赔的案件具体情况及结果（须如实填写，若对此进行隐瞒，尔后又被采购人或采购代理机构发现，或被它人举证成立，其投标资格将被取消）。</w:t>
            </w:r>
          </w:p>
        </w:tc>
        <w:tc>
          <w:tcPr>
            <w:tcW w:w="4660" w:type="dxa"/>
            <w:gridSpan w:val="4"/>
            <w:tcBorders>
              <w:right w:val="double" w:color="auto" w:sz="4" w:space="0"/>
            </w:tcBorders>
            <w:vAlign w:val="center"/>
          </w:tcPr>
          <w:p>
            <w:pPr>
              <w:tabs>
                <w:tab w:val="left" w:pos="4320"/>
              </w:tabs>
              <w:spacing w:before="60" w:after="60"/>
              <w:rPr>
                <w:rFonts w:hAnsi="宋体" w:cs="宋体"/>
                <w:szCs w:val="21"/>
                <w:highlight w:val="none"/>
              </w:rPr>
            </w:pPr>
            <w:r>
              <w:rPr>
                <w:rFonts w:hint="eastAsia" w:hAnsi="宋体" w:cs="宋体"/>
                <w:szCs w:val="21"/>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130" w:type="dxa"/>
            <w:vMerge w:val="continue"/>
            <w:tcBorders>
              <w:left w:val="double" w:color="auto" w:sz="4" w:space="0"/>
              <w:bottom w:val="double" w:color="auto" w:sz="4" w:space="0"/>
            </w:tcBorders>
            <w:vAlign w:val="center"/>
          </w:tcPr>
          <w:p>
            <w:pPr>
              <w:tabs>
                <w:tab w:val="left" w:pos="4320"/>
              </w:tabs>
              <w:rPr>
                <w:rFonts w:hAnsi="宋体" w:cs="宋体"/>
                <w:szCs w:val="21"/>
                <w:highlight w:val="none"/>
              </w:rPr>
            </w:pPr>
          </w:p>
        </w:tc>
        <w:tc>
          <w:tcPr>
            <w:tcW w:w="3957" w:type="dxa"/>
            <w:gridSpan w:val="4"/>
            <w:tcBorders>
              <w:bottom w:val="double" w:color="auto" w:sz="4" w:space="0"/>
            </w:tcBorders>
            <w:vAlign w:val="center"/>
          </w:tcPr>
          <w:p>
            <w:pPr>
              <w:tabs>
                <w:tab w:val="left" w:pos="4320"/>
              </w:tabs>
              <w:rPr>
                <w:rFonts w:hAnsi="宋体" w:cs="宋体"/>
                <w:szCs w:val="21"/>
                <w:highlight w:val="none"/>
              </w:rPr>
            </w:pPr>
          </w:p>
        </w:tc>
        <w:tc>
          <w:tcPr>
            <w:tcW w:w="4660" w:type="dxa"/>
            <w:gridSpan w:val="4"/>
            <w:tcBorders>
              <w:bottom w:val="double" w:color="auto" w:sz="4" w:space="0"/>
              <w:right w:val="double" w:color="auto" w:sz="4" w:space="0"/>
            </w:tcBorders>
            <w:vAlign w:val="center"/>
          </w:tcPr>
          <w:p>
            <w:pPr>
              <w:tabs>
                <w:tab w:val="left" w:pos="4320"/>
              </w:tabs>
              <w:rPr>
                <w:rFonts w:hAnsi="宋体" w:cs="宋体"/>
                <w:szCs w:val="21"/>
                <w:highlight w:val="none"/>
              </w:rPr>
            </w:pPr>
          </w:p>
        </w:tc>
      </w:tr>
    </w:tbl>
    <w:p>
      <w:pPr>
        <w:pStyle w:val="76"/>
        <w:spacing w:before="0" w:after="0" w:line="360" w:lineRule="auto"/>
        <w:ind w:left="840" w:hanging="840" w:hangingChars="400"/>
        <w:rPr>
          <w:rFonts w:ascii="宋体" w:hAnsi="宋体" w:cs="宋体"/>
          <w:bCs w:val="0"/>
          <w:spacing w:val="0"/>
          <w:kern w:val="2"/>
          <w:szCs w:val="21"/>
          <w:highlight w:val="none"/>
          <w:lang w:val="en-GB"/>
        </w:rPr>
      </w:pPr>
    </w:p>
    <w:p>
      <w:pPr>
        <w:pStyle w:val="76"/>
        <w:spacing w:before="0" w:after="0" w:line="360" w:lineRule="auto"/>
        <w:ind w:left="840" w:hanging="840" w:hangingChars="400"/>
        <w:rPr>
          <w:rFonts w:ascii="宋体" w:hAnsi="宋体" w:cs="宋体"/>
          <w:bCs w:val="0"/>
          <w:spacing w:val="0"/>
          <w:kern w:val="2"/>
          <w:szCs w:val="21"/>
          <w:highlight w:val="none"/>
          <w:lang w:val="en-GB"/>
        </w:rPr>
      </w:pPr>
      <w:r>
        <w:rPr>
          <w:rFonts w:hint="eastAsia" w:ascii="宋体" w:hAnsi="宋体" w:cs="宋体"/>
          <w:bCs w:val="0"/>
          <w:spacing w:val="0"/>
          <w:kern w:val="2"/>
          <w:szCs w:val="21"/>
          <w:highlight w:val="none"/>
          <w:lang w:val="en-GB"/>
        </w:rPr>
        <w:t>注：1）文字描述：单位性质、发展历程、经营规模及服务理念、主营产品、技术力量等。</w:t>
      </w:r>
    </w:p>
    <w:p>
      <w:pPr>
        <w:pStyle w:val="76"/>
        <w:spacing w:before="0" w:after="0" w:line="360" w:lineRule="auto"/>
        <w:ind w:left="840" w:hanging="840" w:hangingChars="400"/>
        <w:rPr>
          <w:rFonts w:ascii="宋体" w:hAnsi="宋体" w:cs="宋体"/>
          <w:bCs w:val="0"/>
          <w:spacing w:val="0"/>
          <w:kern w:val="2"/>
          <w:szCs w:val="21"/>
          <w:highlight w:val="none"/>
          <w:lang w:val="en-GB"/>
        </w:rPr>
      </w:pPr>
      <w:r>
        <w:rPr>
          <w:rFonts w:hint="eastAsia" w:ascii="宋体" w:hAnsi="宋体" w:cs="宋体"/>
          <w:bCs w:val="0"/>
          <w:spacing w:val="0"/>
          <w:kern w:val="2"/>
          <w:szCs w:val="21"/>
          <w:highlight w:val="none"/>
          <w:lang w:val="en-GB"/>
        </w:rPr>
        <w:t xml:space="preserve">    2) 图片描述：经营场所、主要或关键产品介绍、生产场所及工艺流程等。</w:t>
      </w:r>
    </w:p>
    <w:p>
      <w:pPr>
        <w:spacing w:line="360" w:lineRule="auto"/>
        <w:ind w:firstLine="420" w:firstLineChars="200"/>
        <w:rPr>
          <w:rFonts w:hAnsi="宋体" w:cs="宋体"/>
          <w:kern w:val="2"/>
          <w:szCs w:val="21"/>
          <w:highlight w:val="none"/>
          <w:lang w:val="en-GB"/>
        </w:rPr>
      </w:pPr>
      <w:r>
        <w:rPr>
          <w:rFonts w:hint="eastAsia" w:hAnsi="宋体" w:cs="宋体"/>
          <w:kern w:val="2"/>
          <w:szCs w:val="21"/>
          <w:highlight w:val="none"/>
          <w:lang w:val="en-GB"/>
        </w:rPr>
        <w:t>3）如投标人此表数据有虚假，一经查实，自行承担相关责任。</w:t>
      </w:r>
    </w:p>
    <w:p>
      <w:pPr>
        <w:snapToGrid w:val="0"/>
        <w:spacing w:line="300" w:lineRule="auto"/>
        <w:rPr>
          <w:rFonts w:hAnsi="宋体" w:cs="宋体"/>
          <w:szCs w:val="21"/>
          <w:highlight w:val="none"/>
        </w:rPr>
      </w:pPr>
    </w:p>
    <w:p>
      <w:pPr>
        <w:snapToGrid w:val="0"/>
        <w:spacing w:line="300" w:lineRule="auto"/>
        <w:rPr>
          <w:rFonts w:hAnsi="宋体" w:cs="宋体"/>
          <w:szCs w:val="21"/>
          <w:highlight w:val="none"/>
        </w:rPr>
      </w:pPr>
      <w:r>
        <w:rPr>
          <w:rFonts w:hint="eastAsia" w:hAnsi="宋体" w:cs="宋体"/>
          <w:szCs w:val="21"/>
          <w:highlight w:val="none"/>
        </w:rPr>
        <w:t>投标人法定代表人（或法定代表人授权代表）亲笔签字：</w:t>
      </w:r>
    </w:p>
    <w:p>
      <w:pPr>
        <w:snapToGrid w:val="0"/>
        <w:spacing w:line="300" w:lineRule="auto"/>
        <w:rPr>
          <w:rFonts w:hAnsi="宋体" w:cs="宋体"/>
          <w:szCs w:val="21"/>
          <w:highlight w:val="none"/>
          <w:u w:val="single"/>
        </w:rPr>
      </w:pPr>
      <w:r>
        <w:rPr>
          <w:rFonts w:hint="eastAsia" w:hAnsi="宋体" w:cs="宋体"/>
          <w:szCs w:val="21"/>
          <w:highlight w:val="none"/>
        </w:rPr>
        <w:t>投标人名称（加盖法人公章）：</w:t>
      </w:r>
    </w:p>
    <w:p>
      <w:pPr>
        <w:snapToGrid w:val="0"/>
        <w:spacing w:line="300" w:lineRule="auto"/>
        <w:rPr>
          <w:rFonts w:hAnsi="宋体" w:cs="宋体"/>
          <w:szCs w:val="21"/>
          <w:highlight w:val="none"/>
        </w:rPr>
      </w:pPr>
      <w:r>
        <w:rPr>
          <w:rFonts w:hint="eastAsia" w:hAnsi="宋体" w:cs="宋体"/>
          <w:szCs w:val="21"/>
          <w:highlight w:val="none"/>
        </w:rPr>
        <w:t>日期：年 月 日</w:t>
      </w:r>
    </w:p>
    <w:p>
      <w:pPr>
        <w:pStyle w:val="4"/>
        <w:spacing w:after="120" w:line="480" w:lineRule="exact"/>
        <w:rPr>
          <w:rFonts w:hAnsi="宋体" w:cs="宋体"/>
          <w:b/>
          <w:szCs w:val="20"/>
          <w:highlight w:val="none"/>
        </w:rPr>
      </w:pPr>
      <w:r>
        <w:rPr>
          <w:rFonts w:hint="eastAsia" w:hAnsi="宋体" w:cs="宋体"/>
          <w:b/>
          <w:szCs w:val="20"/>
          <w:highlight w:val="none"/>
        </w:rPr>
        <w:br w:type="page"/>
      </w:r>
      <w:r>
        <w:rPr>
          <w:rFonts w:hint="eastAsia" w:hAnsi="宋体" w:cs="宋体"/>
          <w:b/>
          <w:szCs w:val="20"/>
          <w:highlight w:val="none"/>
        </w:rPr>
        <w:t>附表2.7 2020年投标人财务状况表格式</w:t>
      </w:r>
    </w:p>
    <w:p>
      <w:pPr>
        <w:spacing w:line="360" w:lineRule="auto"/>
        <w:ind w:firstLine="420"/>
        <w:rPr>
          <w:rFonts w:hAnsi="宋体" w:cs="宋体"/>
          <w:szCs w:val="20"/>
          <w:highlight w:val="none"/>
        </w:rPr>
      </w:pPr>
    </w:p>
    <w:p>
      <w:pPr>
        <w:spacing w:line="360" w:lineRule="auto"/>
        <w:jc w:val="center"/>
        <w:rPr>
          <w:rFonts w:hAnsi="宋体" w:cs="宋体"/>
          <w:b/>
          <w:szCs w:val="21"/>
          <w:highlight w:val="none"/>
        </w:rPr>
      </w:pPr>
      <w:r>
        <w:rPr>
          <w:rFonts w:hint="eastAsia" w:hAnsi="宋体" w:cs="宋体"/>
          <w:b/>
          <w:szCs w:val="21"/>
          <w:highlight w:val="none"/>
        </w:rPr>
        <w:t>2020年投标人财务状况表</w:t>
      </w:r>
    </w:p>
    <w:tbl>
      <w:tblPr>
        <w:tblStyle w:val="49"/>
        <w:tblW w:w="9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21"/>
        <w:gridCol w:w="2137"/>
        <w:gridCol w:w="2137"/>
        <w:gridCol w:w="2137"/>
        <w:gridCol w:w="21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321" w:type="dxa"/>
            <w:vAlign w:val="center"/>
          </w:tcPr>
          <w:p>
            <w:pPr>
              <w:spacing w:line="360" w:lineRule="auto"/>
              <w:jc w:val="center"/>
              <w:rPr>
                <w:rFonts w:hAnsi="宋体" w:cs="宋体"/>
                <w:szCs w:val="21"/>
                <w:highlight w:val="none"/>
              </w:rPr>
            </w:pPr>
            <w:r>
              <w:rPr>
                <w:rFonts w:hint="eastAsia" w:hAnsi="宋体" w:cs="宋体"/>
                <w:szCs w:val="21"/>
                <w:highlight w:val="none"/>
              </w:rPr>
              <w:t>年  度</w:t>
            </w:r>
          </w:p>
        </w:tc>
        <w:tc>
          <w:tcPr>
            <w:tcW w:w="2137" w:type="dxa"/>
            <w:vAlign w:val="center"/>
          </w:tcPr>
          <w:p>
            <w:pPr>
              <w:spacing w:line="360" w:lineRule="auto"/>
              <w:jc w:val="center"/>
              <w:rPr>
                <w:rFonts w:hAnsi="宋体" w:cs="宋体"/>
                <w:szCs w:val="21"/>
                <w:highlight w:val="none"/>
              </w:rPr>
            </w:pPr>
            <w:r>
              <w:rPr>
                <w:rFonts w:hint="eastAsia" w:hAnsi="宋体" w:cs="宋体"/>
                <w:szCs w:val="21"/>
                <w:highlight w:val="none"/>
              </w:rPr>
              <w:t>总资产（元）</w:t>
            </w:r>
          </w:p>
        </w:tc>
        <w:tc>
          <w:tcPr>
            <w:tcW w:w="2137" w:type="dxa"/>
            <w:vAlign w:val="center"/>
          </w:tcPr>
          <w:p>
            <w:pPr>
              <w:spacing w:line="360" w:lineRule="auto"/>
              <w:jc w:val="center"/>
              <w:rPr>
                <w:rFonts w:hAnsi="宋体" w:cs="宋体"/>
                <w:szCs w:val="21"/>
                <w:highlight w:val="none"/>
              </w:rPr>
            </w:pPr>
            <w:r>
              <w:rPr>
                <w:rFonts w:hint="eastAsia" w:hAnsi="宋体" w:cs="宋体"/>
                <w:szCs w:val="21"/>
                <w:highlight w:val="none"/>
              </w:rPr>
              <w:t>净资产（元）</w:t>
            </w:r>
          </w:p>
        </w:tc>
        <w:tc>
          <w:tcPr>
            <w:tcW w:w="2137" w:type="dxa"/>
            <w:vAlign w:val="center"/>
          </w:tcPr>
          <w:p>
            <w:pPr>
              <w:spacing w:line="360" w:lineRule="auto"/>
              <w:jc w:val="center"/>
              <w:rPr>
                <w:rFonts w:hAnsi="宋体" w:cs="宋体"/>
                <w:szCs w:val="21"/>
                <w:highlight w:val="none"/>
              </w:rPr>
            </w:pPr>
            <w:r>
              <w:rPr>
                <w:rFonts w:hint="eastAsia" w:hAnsi="宋体" w:cs="宋体"/>
                <w:szCs w:val="21"/>
                <w:highlight w:val="none"/>
              </w:rPr>
              <w:t>年营业额（元）</w:t>
            </w:r>
          </w:p>
        </w:tc>
        <w:tc>
          <w:tcPr>
            <w:tcW w:w="2137" w:type="dxa"/>
            <w:vAlign w:val="center"/>
          </w:tcPr>
          <w:p>
            <w:pPr>
              <w:spacing w:line="360" w:lineRule="auto"/>
              <w:jc w:val="center"/>
              <w:rPr>
                <w:rFonts w:hAnsi="宋体" w:cs="宋体"/>
                <w:szCs w:val="21"/>
                <w:highlight w:val="none"/>
              </w:rPr>
            </w:pPr>
            <w:r>
              <w:rPr>
                <w:rFonts w:hint="eastAsia" w:hAnsi="宋体" w:cs="宋体"/>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321" w:type="dxa"/>
            <w:vAlign w:val="center"/>
          </w:tcPr>
          <w:p>
            <w:pPr>
              <w:spacing w:line="360" w:lineRule="auto"/>
              <w:jc w:val="center"/>
              <w:rPr>
                <w:rFonts w:hAnsi="宋体" w:cs="宋体"/>
                <w:szCs w:val="21"/>
                <w:highlight w:val="none"/>
              </w:rPr>
            </w:pPr>
            <w:r>
              <w:rPr>
                <w:rFonts w:hint="eastAsia" w:hAnsi="宋体" w:cs="宋体"/>
                <w:szCs w:val="21"/>
                <w:highlight w:val="none"/>
              </w:rPr>
              <w:t>2021</w:t>
            </w:r>
          </w:p>
        </w:tc>
        <w:tc>
          <w:tcPr>
            <w:tcW w:w="2137" w:type="dxa"/>
            <w:vAlign w:val="center"/>
          </w:tcPr>
          <w:p>
            <w:pPr>
              <w:spacing w:line="360" w:lineRule="auto"/>
              <w:jc w:val="center"/>
              <w:rPr>
                <w:rFonts w:hAnsi="宋体" w:cs="宋体"/>
                <w:szCs w:val="21"/>
                <w:highlight w:val="none"/>
              </w:rPr>
            </w:pPr>
          </w:p>
        </w:tc>
        <w:tc>
          <w:tcPr>
            <w:tcW w:w="2137" w:type="dxa"/>
            <w:vAlign w:val="center"/>
          </w:tcPr>
          <w:p>
            <w:pPr>
              <w:spacing w:line="360" w:lineRule="auto"/>
              <w:jc w:val="center"/>
              <w:rPr>
                <w:rFonts w:hAnsi="宋体" w:cs="宋体"/>
                <w:szCs w:val="21"/>
                <w:highlight w:val="none"/>
              </w:rPr>
            </w:pPr>
          </w:p>
        </w:tc>
        <w:tc>
          <w:tcPr>
            <w:tcW w:w="2137" w:type="dxa"/>
            <w:vAlign w:val="center"/>
          </w:tcPr>
          <w:p>
            <w:pPr>
              <w:spacing w:line="360" w:lineRule="auto"/>
              <w:jc w:val="center"/>
              <w:rPr>
                <w:rFonts w:hAnsi="宋体" w:cs="宋体"/>
                <w:szCs w:val="21"/>
                <w:highlight w:val="none"/>
              </w:rPr>
            </w:pPr>
          </w:p>
        </w:tc>
        <w:tc>
          <w:tcPr>
            <w:tcW w:w="2137" w:type="dxa"/>
            <w:vAlign w:val="center"/>
          </w:tcPr>
          <w:p>
            <w:pPr>
              <w:spacing w:line="360" w:lineRule="auto"/>
              <w:jc w:val="center"/>
              <w:rPr>
                <w:rFonts w:hAnsi="宋体" w:cs="宋体"/>
                <w:szCs w:val="21"/>
                <w:highlight w:val="none"/>
              </w:rPr>
            </w:pPr>
          </w:p>
        </w:tc>
      </w:tr>
    </w:tbl>
    <w:p>
      <w:pPr>
        <w:spacing w:line="360" w:lineRule="auto"/>
        <w:rPr>
          <w:rFonts w:hAnsi="宋体" w:cs="宋体"/>
          <w:szCs w:val="21"/>
          <w:highlight w:val="none"/>
        </w:rPr>
      </w:pPr>
    </w:p>
    <w:p>
      <w:pPr>
        <w:spacing w:line="360" w:lineRule="auto"/>
        <w:rPr>
          <w:rFonts w:hAnsi="宋体"/>
          <w:b/>
          <w:szCs w:val="21"/>
          <w:highlight w:val="none"/>
        </w:rPr>
      </w:pPr>
      <w:r>
        <w:rPr>
          <w:rFonts w:hint="eastAsia" w:hAnsi="宋体"/>
          <w:szCs w:val="21"/>
          <w:highlight w:val="none"/>
        </w:rPr>
        <w:t>【备注】2022年度成立的公司无需提供此表。</w:t>
      </w:r>
    </w:p>
    <w:p>
      <w:pPr>
        <w:spacing w:line="360" w:lineRule="auto"/>
        <w:rPr>
          <w:rFonts w:hAnsi="宋体" w:cs="宋体"/>
          <w:b/>
          <w:szCs w:val="21"/>
          <w:highlight w:val="none"/>
        </w:rPr>
      </w:pPr>
    </w:p>
    <w:p>
      <w:pPr>
        <w:spacing w:line="360" w:lineRule="auto"/>
        <w:rPr>
          <w:rFonts w:hAnsi="宋体" w:cs="宋体"/>
          <w:b/>
          <w:szCs w:val="21"/>
          <w:highlight w:val="none"/>
        </w:rPr>
      </w:pPr>
    </w:p>
    <w:p>
      <w:pPr>
        <w:snapToGrid w:val="0"/>
        <w:spacing w:line="360" w:lineRule="auto"/>
        <w:rPr>
          <w:rFonts w:hAnsi="宋体" w:cs="宋体"/>
          <w:szCs w:val="21"/>
          <w:highlight w:val="none"/>
        </w:rPr>
      </w:pPr>
      <w:r>
        <w:rPr>
          <w:rFonts w:hint="eastAsia" w:hAnsi="宋体" w:cs="宋体"/>
          <w:szCs w:val="21"/>
          <w:highlight w:val="none"/>
        </w:rPr>
        <w:t xml:space="preserve">投标人法定代表人（或法定代表人授权代表）亲笔签字：                   </w:t>
      </w:r>
    </w:p>
    <w:p>
      <w:pPr>
        <w:snapToGrid w:val="0"/>
        <w:spacing w:line="360" w:lineRule="auto"/>
        <w:rPr>
          <w:rFonts w:hAnsi="宋体" w:cs="宋体"/>
          <w:szCs w:val="21"/>
          <w:highlight w:val="none"/>
        </w:rPr>
      </w:pPr>
      <w:r>
        <w:rPr>
          <w:rFonts w:hint="eastAsia" w:hAnsi="宋体" w:cs="宋体"/>
          <w:szCs w:val="21"/>
          <w:highlight w:val="none"/>
        </w:rPr>
        <w:t xml:space="preserve">投标人名称（加盖法人公章）：                        </w:t>
      </w:r>
    </w:p>
    <w:p>
      <w:pPr>
        <w:snapToGrid w:val="0"/>
        <w:spacing w:line="360" w:lineRule="auto"/>
        <w:rPr>
          <w:rFonts w:hAnsi="宋体" w:cs="宋体"/>
          <w:szCs w:val="21"/>
          <w:highlight w:val="none"/>
        </w:rPr>
      </w:pPr>
      <w:r>
        <w:rPr>
          <w:rFonts w:hint="eastAsia" w:hAnsi="宋体" w:cs="宋体"/>
          <w:szCs w:val="21"/>
          <w:highlight w:val="none"/>
        </w:rPr>
        <w:t>日期：          年      月     日</w:t>
      </w:r>
    </w:p>
    <w:p>
      <w:pPr>
        <w:spacing w:line="480" w:lineRule="exact"/>
        <w:rPr>
          <w:rFonts w:hAnsi="宋体" w:cs="宋体"/>
          <w:b/>
          <w:highlight w:val="none"/>
        </w:rPr>
      </w:pPr>
    </w:p>
    <w:p>
      <w:pPr>
        <w:pStyle w:val="4"/>
        <w:spacing w:after="120" w:line="480" w:lineRule="exact"/>
        <w:rPr>
          <w:rFonts w:hAnsi="宋体" w:cs="宋体"/>
          <w:b/>
          <w:szCs w:val="21"/>
          <w:highlight w:val="none"/>
        </w:rPr>
      </w:pPr>
      <w:r>
        <w:rPr>
          <w:rFonts w:hint="eastAsia" w:hAnsi="宋体" w:cs="宋体"/>
          <w:szCs w:val="21"/>
          <w:highlight w:val="none"/>
        </w:rPr>
        <w:br w:type="page"/>
      </w:r>
      <w:r>
        <w:rPr>
          <w:rFonts w:hint="eastAsia" w:hAnsi="宋体" w:cs="宋体"/>
          <w:b/>
          <w:szCs w:val="20"/>
          <w:highlight w:val="none"/>
        </w:rPr>
        <w:t>附表2.8 中标服务费承诺书格式</w:t>
      </w:r>
    </w:p>
    <w:p>
      <w:pPr>
        <w:spacing w:line="360" w:lineRule="auto"/>
        <w:ind w:right="893" w:firstLine="420"/>
        <w:jc w:val="both"/>
        <w:rPr>
          <w:rFonts w:hAnsi="宋体" w:cs="宋体"/>
          <w:kern w:val="2"/>
          <w:szCs w:val="21"/>
          <w:highlight w:val="none"/>
          <w:lang w:val="zh-CN"/>
        </w:rPr>
      </w:pPr>
    </w:p>
    <w:p>
      <w:pPr>
        <w:spacing w:line="360" w:lineRule="auto"/>
        <w:jc w:val="center"/>
        <w:rPr>
          <w:rFonts w:hAnsi="宋体" w:cs="宋体"/>
          <w:b/>
          <w:sz w:val="28"/>
          <w:szCs w:val="28"/>
          <w:highlight w:val="none"/>
        </w:rPr>
      </w:pPr>
      <w:r>
        <w:rPr>
          <w:rFonts w:hint="eastAsia" w:hAnsi="宋体" w:cs="宋体"/>
          <w:b/>
          <w:sz w:val="28"/>
          <w:szCs w:val="28"/>
          <w:highlight w:val="none"/>
        </w:rPr>
        <w:t>中标服务费承诺书</w:t>
      </w:r>
    </w:p>
    <w:p>
      <w:pPr>
        <w:spacing w:line="360" w:lineRule="auto"/>
        <w:ind w:right="893" w:firstLine="420"/>
        <w:jc w:val="both"/>
        <w:rPr>
          <w:rFonts w:hAnsi="宋体" w:cs="宋体"/>
          <w:kern w:val="2"/>
          <w:szCs w:val="21"/>
          <w:highlight w:val="none"/>
          <w:lang w:val="zh-CN"/>
        </w:rPr>
      </w:pPr>
    </w:p>
    <w:p>
      <w:pPr>
        <w:spacing w:line="360" w:lineRule="auto"/>
        <w:ind w:right="893"/>
        <w:jc w:val="both"/>
        <w:rPr>
          <w:rFonts w:hAnsi="宋体" w:cs="宋体"/>
          <w:b/>
          <w:bCs/>
          <w:kern w:val="2"/>
          <w:szCs w:val="21"/>
          <w:highlight w:val="none"/>
          <w:lang w:val="zh-CN"/>
        </w:rPr>
      </w:pPr>
      <w:r>
        <w:rPr>
          <w:rFonts w:hint="eastAsia" w:hAnsi="宋体" w:cs="宋体"/>
          <w:b/>
          <w:bCs/>
          <w:kern w:val="2"/>
          <w:szCs w:val="21"/>
          <w:highlight w:val="none"/>
          <w:lang w:val="zh-CN"/>
        </w:rPr>
        <w:t>致：</w:t>
      </w:r>
      <w:r>
        <w:rPr>
          <w:rFonts w:hint="eastAsia" w:hAnsi="宋体" w:cs="宋体"/>
          <w:b/>
          <w:szCs w:val="21"/>
          <w:highlight w:val="none"/>
          <w:u w:val="single"/>
        </w:rPr>
        <w:t>广东远东招标代理有限公司</w:t>
      </w:r>
    </w:p>
    <w:p>
      <w:pPr>
        <w:spacing w:line="360" w:lineRule="auto"/>
        <w:ind w:right="893" w:firstLine="420"/>
        <w:jc w:val="both"/>
        <w:rPr>
          <w:rFonts w:hAnsi="宋体" w:cs="宋体"/>
          <w:kern w:val="2"/>
          <w:szCs w:val="21"/>
          <w:highlight w:val="none"/>
          <w:lang w:val="zh-CN"/>
        </w:rPr>
      </w:pPr>
    </w:p>
    <w:p>
      <w:pPr>
        <w:tabs>
          <w:tab w:val="left" w:pos="-142"/>
        </w:tabs>
        <w:spacing w:line="360" w:lineRule="auto"/>
        <w:ind w:left="-31" w:leftChars="-15" w:right="18" w:firstLine="457" w:firstLineChars="218"/>
        <w:jc w:val="both"/>
        <w:rPr>
          <w:rFonts w:hAnsi="宋体" w:cs="宋体"/>
          <w:kern w:val="2"/>
          <w:szCs w:val="21"/>
          <w:highlight w:val="none"/>
          <w:lang w:val="zh-CN"/>
        </w:rPr>
      </w:pPr>
      <w:r>
        <w:rPr>
          <w:rFonts w:hint="eastAsia" w:hAnsi="宋体" w:cs="宋体"/>
          <w:kern w:val="2"/>
          <w:szCs w:val="21"/>
          <w:highlight w:val="none"/>
          <w:lang w:val="zh-CN"/>
        </w:rPr>
        <w:t>我单位在贵司代理的</w:t>
      </w:r>
      <w:r>
        <w:rPr>
          <w:rFonts w:hint="eastAsia" w:hAnsi="宋体" w:cs="宋体"/>
          <w:szCs w:val="21"/>
          <w:highlight w:val="none"/>
          <w:u w:val="single"/>
        </w:rPr>
        <w:t xml:space="preserve"> 国家海洋局南海标准计量中心2023年船员服务采购项目 </w:t>
      </w:r>
      <w:r>
        <w:rPr>
          <w:rFonts w:hint="eastAsia" w:hAnsi="宋体" w:cs="宋体"/>
          <w:szCs w:val="21"/>
          <w:highlight w:val="none"/>
        </w:rPr>
        <w:t>(</w:t>
      </w:r>
      <w:r>
        <w:rPr>
          <w:rFonts w:hint="eastAsia" w:hAnsi="宋体" w:cs="宋体"/>
          <w:kern w:val="2"/>
          <w:szCs w:val="21"/>
          <w:highlight w:val="none"/>
          <w:lang w:val="zh-CN"/>
        </w:rPr>
        <w:t>采购编号：GDYD221545)招标中若获中标，我们保证在领取中标通知书原件的同时按招标文件的规定，以电汇、现金或经贵公司认可的一种方式，向贵公司即</w:t>
      </w:r>
      <w:r>
        <w:rPr>
          <w:rFonts w:hint="eastAsia" w:hAnsi="宋体" w:cs="宋体"/>
          <w:kern w:val="2"/>
          <w:szCs w:val="21"/>
          <w:highlight w:val="none"/>
          <w:u w:val="single"/>
          <w:lang w:val="zh-CN"/>
        </w:rPr>
        <w:t>广东远东招标代理有限公司</w:t>
      </w:r>
      <w:r>
        <w:rPr>
          <w:rFonts w:hint="eastAsia" w:hAnsi="宋体" w:cs="宋体"/>
          <w:kern w:val="2"/>
          <w:szCs w:val="21"/>
          <w:highlight w:val="none"/>
          <w:lang w:val="zh-CN"/>
        </w:rPr>
        <w:t>指定的银行帐号，一次性支付中标服务费（详见本招标文件投标人须知第37款）。</w:t>
      </w:r>
    </w:p>
    <w:p>
      <w:pPr>
        <w:spacing w:line="360" w:lineRule="auto"/>
        <w:ind w:right="893"/>
        <w:jc w:val="both"/>
        <w:rPr>
          <w:rFonts w:hAnsi="宋体" w:cs="宋体"/>
          <w:kern w:val="2"/>
          <w:szCs w:val="21"/>
          <w:highlight w:val="none"/>
          <w:lang w:val="zh-CN"/>
        </w:rPr>
      </w:pPr>
    </w:p>
    <w:p>
      <w:pPr>
        <w:spacing w:line="360" w:lineRule="auto"/>
        <w:ind w:right="893" w:firstLine="480"/>
        <w:jc w:val="both"/>
        <w:rPr>
          <w:rFonts w:hAnsi="宋体" w:cs="宋体"/>
          <w:kern w:val="2"/>
          <w:szCs w:val="21"/>
          <w:highlight w:val="none"/>
          <w:lang w:val="zh-CN"/>
        </w:rPr>
      </w:pPr>
      <w:r>
        <w:rPr>
          <w:rFonts w:hint="eastAsia" w:hAnsi="宋体" w:cs="宋体"/>
          <w:kern w:val="2"/>
          <w:szCs w:val="21"/>
          <w:highlight w:val="none"/>
          <w:lang w:val="zh-CN"/>
        </w:rPr>
        <w:t>特此承诺。</w:t>
      </w:r>
    </w:p>
    <w:p>
      <w:pPr>
        <w:spacing w:line="360" w:lineRule="auto"/>
        <w:ind w:right="893"/>
        <w:jc w:val="both"/>
        <w:rPr>
          <w:rFonts w:hAnsi="宋体" w:cs="宋体"/>
          <w:kern w:val="2"/>
          <w:szCs w:val="21"/>
          <w:highlight w:val="none"/>
          <w:lang w:val="zh-CN"/>
        </w:rPr>
      </w:pPr>
    </w:p>
    <w:p>
      <w:pPr>
        <w:spacing w:line="360" w:lineRule="auto"/>
        <w:ind w:right="893"/>
        <w:jc w:val="both"/>
        <w:rPr>
          <w:rFonts w:hAnsi="宋体" w:cs="宋体"/>
          <w:kern w:val="2"/>
          <w:szCs w:val="21"/>
          <w:highlight w:val="none"/>
          <w:lang w:val="zh-CN"/>
        </w:rPr>
      </w:pPr>
    </w:p>
    <w:p>
      <w:pPr>
        <w:spacing w:line="360" w:lineRule="auto"/>
        <w:ind w:right="893"/>
        <w:jc w:val="both"/>
        <w:rPr>
          <w:rFonts w:hAnsi="宋体" w:cs="宋体"/>
          <w:kern w:val="2"/>
          <w:szCs w:val="21"/>
          <w:highlight w:val="none"/>
          <w:lang w:val="zh-CN"/>
        </w:rPr>
      </w:pPr>
      <w:r>
        <w:rPr>
          <w:rFonts w:hint="eastAsia" w:hAnsi="宋体" w:cs="宋体"/>
          <w:kern w:val="2"/>
          <w:szCs w:val="21"/>
          <w:highlight w:val="none"/>
          <w:lang w:val="zh-CN"/>
        </w:rPr>
        <w:t>投标人名称： （加盖法人公章）</w:t>
      </w:r>
    </w:p>
    <w:p>
      <w:pPr>
        <w:spacing w:line="360" w:lineRule="auto"/>
        <w:ind w:right="893"/>
        <w:jc w:val="both"/>
        <w:rPr>
          <w:rFonts w:hAnsi="宋体" w:cs="宋体"/>
          <w:kern w:val="2"/>
          <w:szCs w:val="21"/>
          <w:highlight w:val="none"/>
          <w:lang w:val="zh-CN"/>
        </w:rPr>
      </w:pPr>
      <w:r>
        <w:rPr>
          <w:rFonts w:hint="eastAsia" w:hAnsi="宋体" w:cs="宋体"/>
          <w:kern w:val="2"/>
          <w:szCs w:val="21"/>
          <w:highlight w:val="none"/>
          <w:lang w:val="zh-CN"/>
        </w:rPr>
        <w:t>地址：</w:t>
      </w:r>
    </w:p>
    <w:p>
      <w:pPr>
        <w:spacing w:line="360" w:lineRule="auto"/>
        <w:ind w:right="893"/>
        <w:jc w:val="both"/>
        <w:rPr>
          <w:rFonts w:hAnsi="宋体" w:cs="宋体"/>
          <w:kern w:val="2"/>
          <w:szCs w:val="21"/>
          <w:highlight w:val="none"/>
          <w:lang w:val="zh-CN"/>
        </w:rPr>
      </w:pPr>
      <w:r>
        <w:rPr>
          <w:rFonts w:hint="eastAsia" w:hAnsi="宋体" w:cs="宋体"/>
          <w:kern w:val="2"/>
          <w:szCs w:val="21"/>
          <w:highlight w:val="none"/>
          <w:lang w:val="zh-CN"/>
        </w:rPr>
        <w:t>电话：        传真：</w:t>
      </w:r>
    </w:p>
    <w:p>
      <w:pPr>
        <w:spacing w:line="360" w:lineRule="auto"/>
        <w:ind w:right="893"/>
        <w:jc w:val="both"/>
        <w:rPr>
          <w:rFonts w:hAnsi="宋体" w:cs="宋体"/>
          <w:kern w:val="2"/>
          <w:szCs w:val="21"/>
          <w:highlight w:val="none"/>
          <w:lang w:val="zh-CN"/>
        </w:rPr>
      </w:pPr>
      <w:r>
        <w:rPr>
          <w:rFonts w:hint="eastAsia" w:hAnsi="宋体" w:cs="宋体"/>
          <w:kern w:val="2"/>
          <w:szCs w:val="21"/>
          <w:highlight w:val="none"/>
          <w:lang w:val="zh-CN"/>
        </w:rPr>
        <w:t>邮箱：          邮编：</w:t>
      </w:r>
    </w:p>
    <w:p>
      <w:pPr>
        <w:spacing w:line="360" w:lineRule="auto"/>
        <w:ind w:right="893"/>
        <w:jc w:val="both"/>
        <w:rPr>
          <w:rFonts w:hAnsi="宋体" w:cs="宋体"/>
          <w:kern w:val="2"/>
          <w:szCs w:val="21"/>
          <w:highlight w:val="none"/>
          <w:lang w:val="zh-CN"/>
        </w:rPr>
      </w:pPr>
      <w:r>
        <w:rPr>
          <w:rFonts w:hint="eastAsia" w:hAnsi="宋体" w:cs="宋体"/>
          <w:kern w:val="2"/>
          <w:szCs w:val="21"/>
          <w:highlight w:val="none"/>
          <w:lang w:val="zh-CN"/>
        </w:rPr>
        <w:t>法定代表人或其授权代表（亲笔签字）：</w:t>
      </w:r>
    </w:p>
    <w:p>
      <w:pPr>
        <w:spacing w:line="360" w:lineRule="auto"/>
        <w:rPr>
          <w:rFonts w:hAnsi="宋体" w:cs="宋体"/>
          <w:kern w:val="2"/>
          <w:szCs w:val="21"/>
          <w:highlight w:val="none"/>
          <w:lang w:val="zh-CN"/>
        </w:rPr>
      </w:pPr>
      <w:r>
        <w:rPr>
          <w:rFonts w:hint="eastAsia" w:hAnsi="宋体" w:cs="宋体"/>
          <w:kern w:val="2"/>
          <w:szCs w:val="21"/>
          <w:highlight w:val="none"/>
          <w:lang w:val="zh-CN"/>
        </w:rPr>
        <w:t>承诺日期：</w:t>
      </w:r>
    </w:p>
    <w:p>
      <w:pPr>
        <w:spacing w:line="360" w:lineRule="auto"/>
        <w:rPr>
          <w:rFonts w:hAnsi="宋体" w:cs="宋体"/>
          <w:b/>
          <w:szCs w:val="21"/>
          <w:highlight w:val="none"/>
        </w:rPr>
      </w:pPr>
    </w:p>
    <w:p>
      <w:pPr>
        <w:pStyle w:val="4"/>
        <w:spacing w:after="120" w:line="480" w:lineRule="exact"/>
        <w:rPr>
          <w:rFonts w:hAnsi="宋体" w:cs="宋体"/>
          <w:b/>
          <w:szCs w:val="21"/>
          <w:highlight w:val="none"/>
        </w:rPr>
      </w:pPr>
      <w:r>
        <w:rPr>
          <w:rFonts w:hint="eastAsia" w:hAnsi="宋体" w:cs="宋体"/>
          <w:b/>
          <w:szCs w:val="20"/>
          <w:highlight w:val="none"/>
        </w:rPr>
        <w:br w:type="page"/>
      </w:r>
      <w:r>
        <w:rPr>
          <w:rFonts w:hint="eastAsia" w:hAnsi="宋体" w:cs="宋体"/>
          <w:b/>
          <w:szCs w:val="20"/>
          <w:highlight w:val="none"/>
        </w:rPr>
        <w:t>附表2.9 项目管理架构格式</w:t>
      </w:r>
    </w:p>
    <w:p>
      <w:pPr>
        <w:jc w:val="center"/>
        <w:rPr>
          <w:rFonts w:hAnsi="宋体" w:cs="宋体"/>
          <w:b/>
          <w:sz w:val="32"/>
          <w:szCs w:val="32"/>
          <w:highlight w:val="none"/>
        </w:rPr>
      </w:pPr>
    </w:p>
    <w:p>
      <w:pPr>
        <w:jc w:val="center"/>
        <w:rPr>
          <w:rFonts w:hAnsi="宋体" w:cs="宋体"/>
          <w:b/>
          <w:sz w:val="32"/>
          <w:szCs w:val="32"/>
          <w:highlight w:val="none"/>
        </w:rPr>
      </w:pPr>
      <w:r>
        <w:rPr>
          <w:rFonts w:hint="eastAsia" w:hAnsi="宋体" w:cs="宋体"/>
          <w:b/>
          <w:sz w:val="32"/>
          <w:szCs w:val="32"/>
          <w:highlight w:val="none"/>
        </w:rPr>
        <w:t>项目管理架构</w:t>
      </w:r>
    </w:p>
    <w:p>
      <w:pPr>
        <w:rPr>
          <w:rFonts w:hAnsi="宋体" w:cs="宋体"/>
          <w:highlight w:val="none"/>
        </w:rPr>
      </w:pPr>
    </w:p>
    <w:tbl>
      <w:tblPr>
        <w:tblStyle w:val="4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524"/>
        <w:gridCol w:w="952"/>
        <w:gridCol w:w="2966"/>
        <w:gridCol w:w="763"/>
        <w:gridCol w:w="763"/>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72" w:type="dxa"/>
            <w:tcBorders>
              <w:top w:val="single" w:color="auto" w:sz="4" w:space="0"/>
              <w:left w:val="single" w:color="auto" w:sz="4" w:space="0"/>
              <w:bottom w:val="nil"/>
              <w:right w:val="single" w:color="auto" w:sz="4" w:space="0"/>
            </w:tcBorders>
            <w:shd w:val="clear" w:color="auto" w:fill="F3F3F3"/>
            <w:vAlign w:val="center"/>
          </w:tcPr>
          <w:p>
            <w:pPr>
              <w:jc w:val="center"/>
              <w:rPr>
                <w:rFonts w:hAnsi="宋体" w:cs="宋体"/>
                <w:b/>
                <w:szCs w:val="21"/>
                <w:highlight w:val="none"/>
              </w:rPr>
            </w:pPr>
            <w:r>
              <w:rPr>
                <w:rFonts w:hint="eastAsia" w:hAnsi="宋体" w:cs="宋体"/>
                <w:b/>
                <w:szCs w:val="21"/>
                <w:highlight w:val="none"/>
              </w:rPr>
              <w:t>职责分工</w:t>
            </w:r>
          </w:p>
        </w:tc>
        <w:tc>
          <w:tcPr>
            <w:tcW w:w="1524" w:type="dxa"/>
            <w:tcBorders>
              <w:top w:val="single" w:color="auto" w:sz="4" w:space="0"/>
              <w:left w:val="single" w:color="auto" w:sz="4" w:space="0"/>
              <w:bottom w:val="nil"/>
              <w:right w:val="single" w:color="auto" w:sz="4" w:space="0"/>
            </w:tcBorders>
            <w:shd w:val="clear" w:color="auto" w:fill="F3F3F3"/>
            <w:vAlign w:val="center"/>
          </w:tcPr>
          <w:p>
            <w:pPr>
              <w:jc w:val="center"/>
              <w:rPr>
                <w:rFonts w:hAnsi="宋体" w:cs="宋体"/>
                <w:b/>
                <w:szCs w:val="21"/>
                <w:highlight w:val="none"/>
              </w:rPr>
            </w:pPr>
            <w:r>
              <w:rPr>
                <w:rFonts w:hint="eastAsia" w:hAnsi="宋体" w:cs="宋体"/>
                <w:b/>
                <w:szCs w:val="21"/>
                <w:highlight w:val="none"/>
              </w:rPr>
              <w:t>姓名</w:t>
            </w:r>
          </w:p>
        </w:tc>
        <w:tc>
          <w:tcPr>
            <w:tcW w:w="952" w:type="dxa"/>
            <w:tcBorders>
              <w:top w:val="single" w:color="auto" w:sz="4" w:space="0"/>
              <w:left w:val="single" w:color="auto" w:sz="4" w:space="0"/>
              <w:bottom w:val="nil"/>
            </w:tcBorders>
            <w:shd w:val="clear" w:color="auto" w:fill="F3F3F3"/>
            <w:vAlign w:val="center"/>
          </w:tcPr>
          <w:p>
            <w:pPr>
              <w:jc w:val="center"/>
              <w:rPr>
                <w:rFonts w:hAnsi="宋体" w:cs="宋体"/>
                <w:b/>
                <w:szCs w:val="21"/>
                <w:highlight w:val="none"/>
              </w:rPr>
            </w:pPr>
            <w:r>
              <w:rPr>
                <w:rFonts w:hint="eastAsia" w:hAnsi="宋体" w:cs="宋体"/>
                <w:b/>
                <w:szCs w:val="21"/>
                <w:highlight w:val="none"/>
              </w:rPr>
              <w:t>现职务</w:t>
            </w:r>
          </w:p>
        </w:tc>
        <w:tc>
          <w:tcPr>
            <w:tcW w:w="2966" w:type="dxa"/>
            <w:tcBorders>
              <w:top w:val="single" w:color="auto" w:sz="4" w:space="0"/>
              <w:bottom w:val="nil"/>
            </w:tcBorders>
            <w:shd w:val="clear" w:color="auto" w:fill="F3F3F3"/>
            <w:vAlign w:val="center"/>
          </w:tcPr>
          <w:p>
            <w:pPr>
              <w:jc w:val="center"/>
              <w:rPr>
                <w:rFonts w:hAnsi="宋体" w:cs="宋体"/>
                <w:b/>
                <w:szCs w:val="21"/>
                <w:highlight w:val="none"/>
              </w:rPr>
            </w:pPr>
            <w:r>
              <w:rPr>
                <w:rFonts w:hint="eastAsia" w:hAnsi="宋体" w:cs="宋体"/>
                <w:b/>
                <w:szCs w:val="21"/>
                <w:highlight w:val="none"/>
              </w:rPr>
              <w:t>曾主持/参与的同类项目经历</w:t>
            </w:r>
          </w:p>
        </w:tc>
        <w:tc>
          <w:tcPr>
            <w:tcW w:w="763" w:type="dxa"/>
            <w:tcBorders>
              <w:top w:val="single" w:color="auto" w:sz="4" w:space="0"/>
              <w:bottom w:val="nil"/>
            </w:tcBorders>
            <w:shd w:val="clear" w:color="auto" w:fill="F3F3F3"/>
            <w:vAlign w:val="center"/>
          </w:tcPr>
          <w:p>
            <w:pPr>
              <w:jc w:val="center"/>
              <w:rPr>
                <w:rFonts w:hAnsi="宋体" w:cs="宋体"/>
                <w:b/>
                <w:szCs w:val="21"/>
                <w:highlight w:val="none"/>
              </w:rPr>
            </w:pPr>
            <w:r>
              <w:rPr>
                <w:rFonts w:hint="eastAsia" w:hAnsi="宋体" w:cs="宋体"/>
                <w:b/>
                <w:szCs w:val="21"/>
                <w:highlight w:val="none"/>
              </w:rPr>
              <w:t>职称</w:t>
            </w:r>
          </w:p>
        </w:tc>
        <w:tc>
          <w:tcPr>
            <w:tcW w:w="763" w:type="dxa"/>
            <w:tcBorders>
              <w:top w:val="single" w:color="auto" w:sz="4" w:space="0"/>
              <w:bottom w:val="nil"/>
              <w:right w:val="single" w:color="auto" w:sz="4" w:space="0"/>
            </w:tcBorders>
            <w:shd w:val="clear" w:color="auto" w:fill="F3F3F3"/>
            <w:vAlign w:val="center"/>
          </w:tcPr>
          <w:p>
            <w:pPr>
              <w:ind w:firstLine="12"/>
              <w:jc w:val="center"/>
              <w:rPr>
                <w:rFonts w:hAnsi="宋体" w:cs="宋体"/>
                <w:b/>
                <w:szCs w:val="21"/>
                <w:highlight w:val="none"/>
              </w:rPr>
            </w:pPr>
            <w:r>
              <w:rPr>
                <w:rFonts w:hint="eastAsia" w:hAnsi="宋体" w:cs="宋体"/>
                <w:b/>
                <w:szCs w:val="21"/>
                <w:highlight w:val="none"/>
              </w:rPr>
              <w:t>专业工龄</w:t>
            </w:r>
          </w:p>
        </w:tc>
        <w:tc>
          <w:tcPr>
            <w:tcW w:w="1715" w:type="dxa"/>
            <w:tcBorders>
              <w:top w:val="single" w:color="auto" w:sz="4" w:space="0"/>
              <w:bottom w:val="nil"/>
              <w:right w:val="single" w:color="auto" w:sz="4" w:space="0"/>
            </w:tcBorders>
            <w:shd w:val="clear" w:color="auto" w:fill="F3F3F3"/>
            <w:vAlign w:val="center"/>
          </w:tcPr>
          <w:p>
            <w:pPr>
              <w:ind w:firstLine="12"/>
              <w:jc w:val="center"/>
              <w:rPr>
                <w:rFonts w:hAnsi="宋体" w:cs="宋体"/>
                <w:b/>
                <w:szCs w:val="21"/>
                <w:highlight w:val="none"/>
              </w:rPr>
            </w:pPr>
            <w:r>
              <w:rPr>
                <w:rFonts w:hint="eastAsia" w:hAnsi="宋体" w:cs="宋体"/>
                <w:b/>
                <w:szCs w:val="21"/>
                <w:highlight w:val="none"/>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72" w:type="dxa"/>
            <w:tcBorders>
              <w:top w:val="single" w:color="auto" w:sz="4" w:space="0"/>
              <w:left w:val="single" w:color="auto" w:sz="4" w:space="0"/>
              <w:bottom w:val="nil"/>
              <w:right w:val="single" w:color="auto" w:sz="4" w:space="0"/>
            </w:tcBorders>
            <w:vAlign w:val="center"/>
          </w:tcPr>
          <w:p>
            <w:pPr>
              <w:rPr>
                <w:rFonts w:hAnsi="宋体" w:cs="宋体"/>
                <w:szCs w:val="21"/>
                <w:highlight w:val="none"/>
              </w:rPr>
            </w:pPr>
            <w:r>
              <w:rPr>
                <w:rFonts w:hint="eastAsia" w:hAnsi="宋体" w:cs="宋体"/>
                <w:szCs w:val="21"/>
                <w:highlight w:val="none"/>
              </w:rPr>
              <w:t>总负责人</w:t>
            </w:r>
          </w:p>
        </w:tc>
        <w:tc>
          <w:tcPr>
            <w:tcW w:w="1524" w:type="dxa"/>
            <w:tcBorders>
              <w:top w:val="single" w:color="auto" w:sz="4" w:space="0"/>
              <w:left w:val="single" w:color="auto" w:sz="4" w:space="0"/>
              <w:bottom w:val="nil"/>
              <w:right w:val="single" w:color="auto" w:sz="4" w:space="0"/>
            </w:tcBorders>
            <w:vAlign w:val="center"/>
          </w:tcPr>
          <w:p>
            <w:pPr>
              <w:jc w:val="center"/>
              <w:rPr>
                <w:rFonts w:hAnsi="宋体" w:cs="宋体"/>
                <w:szCs w:val="21"/>
                <w:highlight w:val="none"/>
              </w:rPr>
            </w:pPr>
          </w:p>
        </w:tc>
        <w:tc>
          <w:tcPr>
            <w:tcW w:w="952" w:type="dxa"/>
            <w:tcBorders>
              <w:top w:val="single" w:color="auto" w:sz="4" w:space="0"/>
              <w:left w:val="single" w:color="auto" w:sz="4" w:space="0"/>
              <w:bottom w:val="nil"/>
            </w:tcBorders>
            <w:vAlign w:val="center"/>
          </w:tcPr>
          <w:p>
            <w:pPr>
              <w:jc w:val="center"/>
              <w:rPr>
                <w:rFonts w:hAnsi="宋体" w:cs="宋体"/>
                <w:szCs w:val="21"/>
                <w:highlight w:val="none"/>
              </w:rPr>
            </w:pPr>
          </w:p>
        </w:tc>
        <w:tc>
          <w:tcPr>
            <w:tcW w:w="2966" w:type="dxa"/>
            <w:tcBorders>
              <w:top w:val="single" w:color="auto" w:sz="4" w:space="0"/>
              <w:bottom w:val="nil"/>
            </w:tcBorders>
            <w:vAlign w:val="center"/>
          </w:tcPr>
          <w:p>
            <w:pPr>
              <w:pStyle w:val="149"/>
              <w:keepNext w:val="0"/>
              <w:adjustRightInd/>
              <w:spacing w:before="0" w:after="0" w:line="240" w:lineRule="auto"/>
              <w:textAlignment w:val="auto"/>
              <w:rPr>
                <w:rFonts w:ascii="宋体" w:hAnsi="宋体" w:cs="宋体"/>
                <w:snapToGrid/>
                <w:spacing w:val="0"/>
                <w:kern w:val="2"/>
                <w:szCs w:val="21"/>
                <w:highlight w:val="none"/>
              </w:rPr>
            </w:pPr>
          </w:p>
        </w:tc>
        <w:tc>
          <w:tcPr>
            <w:tcW w:w="763" w:type="dxa"/>
            <w:tcBorders>
              <w:top w:val="single" w:color="auto" w:sz="4" w:space="0"/>
              <w:bottom w:val="nil"/>
            </w:tcBorders>
            <w:vAlign w:val="center"/>
          </w:tcPr>
          <w:p>
            <w:pPr>
              <w:jc w:val="center"/>
              <w:rPr>
                <w:rFonts w:hAnsi="宋体" w:cs="宋体"/>
                <w:szCs w:val="21"/>
                <w:highlight w:val="none"/>
              </w:rPr>
            </w:pPr>
          </w:p>
        </w:tc>
        <w:tc>
          <w:tcPr>
            <w:tcW w:w="763" w:type="dxa"/>
            <w:tcBorders>
              <w:top w:val="single" w:color="auto" w:sz="4" w:space="0"/>
              <w:bottom w:val="nil"/>
              <w:right w:val="single" w:color="auto" w:sz="4" w:space="0"/>
            </w:tcBorders>
            <w:vAlign w:val="center"/>
          </w:tcPr>
          <w:p>
            <w:pPr>
              <w:ind w:firstLine="12"/>
              <w:jc w:val="center"/>
              <w:rPr>
                <w:rFonts w:hAnsi="宋体" w:cs="宋体"/>
                <w:szCs w:val="21"/>
                <w:highlight w:val="none"/>
              </w:rPr>
            </w:pPr>
          </w:p>
        </w:tc>
        <w:tc>
          <w:tcPr>
            <w:tcW w:w="1715" w:type="dxa"/>
            <w:tcBorders>
              <w:top w:val="single" w:color="auto" w:sz="4" w:space="0"/>
              <w:bottom w:val="nil"/>
              <w:right w:val="single" w:color="auto" w:sz="4" w:space="0"/>
            </w:tcBorders>
            <w:vAlign w:val="center"/>
          </w:tcPr>
          <w:p>
            <w:pPr>
              <w:ind w:firstLine="12"/>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72" w:type="dxa"/>
            <w:vMerge w:val="restart"/>
            <w:tcBorders>
              <w:left w:val="single" w:color="auto" w:sz="4" w:space="0"/>
              <w:right w:val="single" w:color="auto" w:sz="4" w:space="0"/>
            </w:tcBorders>
            <w:vAlign w:val="center"/>
          </w:tcPr>
          <w:p>
            <w:pPr>
              <w:rPr>
                <w:rFonts w:hAnsi="宋体" w:cs="宋体"/>
                <w:szCs w:val="21"/>
                <w:highlight w:val="none"/>
              </w:rPr>
            </w:pPr>
            <w:r>
              <w:rPr>
                <w:rFonts w:hint="eastAsia" w:hAnsi="宋体" w:cs="宋体"/>
                <w:szCs w:val="21"/>
                <w:highlight w:val="none"/>
              </w:rPr>
              <w:t>其他主要技术人员</w:t>
            </w:r>
          </w:p>
        </w:tc>
        <w:tc>
          <w:tcPr>
            <w:tcW w:w="1524" w:type="dxa"/>
            <w:tcBorders>
              <w:left w:val="single" w:color="auto" w:sz="4" w:space="0"/>
              <w:right w:val="single" w:color="auto" w:sz="4" w:space="0"/>
            </w:tcBorders>
            <w:vAlign w:val="center"/>
          </w:tcPr>
          <w:p>
            <w:pPr>
              <w:jc w:val="center"/>
              <w:rPr>
                <w:rFonts w:hAnsi="宋体" w:cs="宋体"/>
                <w:szCs w:val="21"/>
                <w:highlight w:val="none"/>
              </w:rPr>
            </w:pPr>
          </w:p>
        </w:tc>
        <w:tc>
          <w:tcPr>
            <w:tcW w:w="952" w:type="dxa"/>
            <w:tcBorders>
              <w:left w:val="single" w:color="auto" w:sz="4" w:space="0"/>
            </w:tcBorders>
            <w:vAlign w:val="center"/>
          </w:tcPr>
          <w:p>
            <w:pPr>
              <w:jc w:val="center"/>
              <w:rPr>
                <w:rFonts w:hAnsi="宋体" w:cs="宋体"/>
                <w:szCs w:val="21"/>
                <w:highlight w:val="none"/>
              </w:rPr>
            </w:pPr>
          </w:p>
        </w:tc>
        <w:tc>
          <w:tcPr>
            <w:tcW w:w="2966" w:type="dxa"/>
            <w:vAlign w:val="center"/>
          </w:tcPr>
          <w:p>
            <w:pPr>
              <w:jc w:val="center"/>
              <w:rPr>
                <w:rFonts w:hAnsi="宋体" w:cs="宋体"/>
                <w:szCs w:val="21"/>
                <w:highlight w:val="none"/>
              </w:rPr>
            </w:pPr>
          </w:p>
        </w:tc>
        <w:tc>
          <w:tcPr>
            <w:tcW w:w="763" w:type="dxa"/>
            <w:vAlign w:val="center"/>
          </w:tcPr>
          <w:p>
            <w:pPr>
              <w:jc w:val="center"/>
              <w:rPr>
                <w:rFonts w:hAnsi="宋体" w:cs="宋体"/>
                <w:szCs w:val="21"/>
                <w:highlight w:val="none"/>
              </w:rPr>
            </w:pPr>
          </w:p>
        </w:tc>
        <w:tc>
          <w:tcPr>
            <w:tcW w:w="763" w:type="dxa"/>
            <w:tcBorders>
              <w:right w:val="single" w:color="auto" w:sz="4" w:space="0"/>
            </w:tcBorders>
            <w:vAlign w:val="center"/>
          </w:tcPr>
          <w:p>
            <w:pPr>
              <w:jc w:val="center"/>
              <w:rPr>
                <w:rFonts w:hAnsi="宋体" w:cs="宋体"/>
                <w:szCs w:val="21"/>
                <w:highlight w:val="none"/>
              </w:rPr>
            </w:pPr>
          </w:p>
        </w:tc>
        <w:tc>
          <w:tcPr>
            <w:tcW w:w="1715" w:type="dxa"/>
            <w:tcBorders>
              <w:right w:val="single" w:color="auto" w:sz="4" w:space="0"/>
            </w:tcBorders>
            <w:vAlign w:val="center"/>
          </w:tcPr>
          <w:p>
            <w:pPr>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72" w:type="dxa"/>
            <w:vMerge w:val="continue"/>
            <w:tcBorders>
              <w:left w:val="single" w:color="auto" w:sz="4" w:space="0"/>
              <w:right w:val="single" w:color="auto" w:sz="4" w:space="0"/>
            </w:tcBorders>
            <w:vAlign w:val="center"/>
          </w:tcPr>
          <w:p>
            <w:pPr>
              <w:rPr>
                <w:rFonts w:hAnsi="宋体" w:cs="宋体"/>
                <w:szCs w:val="21"/>
                <w:highlight w:val="none"/>
              </w:rPr>
            </w:pPr>
          </w:p>
        </w:tc>
        <w:tc>
          <w:tcPr>
            <w:tcW w:w="1524" w:type="dxa"/>
            <w:tcBorders>
              <w:left w:val="single" w:color="auto" w:sz="4" w:space="0"/>
              <w:right w:val="single" w:color="auto" w:sz="4" w:space="0"/>
            </w:tcBorders>
            <w:vAlign w:val="center"/>
          </w:tcPr>
          <w:p>
            <w:pPr>
              <w:jc w:val="center"/>
              <w:rPr>
                <w:rFonts w:hAnsi="宋体" w:cs="宋体"/>
                <w:szCs w:val="21"/>
                <w:highlight w:val="none"/>
              </w:rPr>
            </w:pPr>
          </w:p>
        </w:tc>
        <w:tc>
          <w:tcPr>
            <w:tcW w:w="952" w:type="dxa"/>
            <w:tcBorders>
              <w:left w:val="single" w:color="auto" w:sz="4" w:space="0"/>
            </w:tcBorders>
            <w:vAlign w:val="center"/>
          </w:tcPr>
          <w:p>
            <w:pPr>
              <w:jc w:val="center"/>
              <w:rPr>
                <w:rFonts w:hAnsi="宋体" w:cs="宋体"/>
                <w:szCs w:val="21"/>
                <w:highlight w:val="none"/>
              </w:rPr>
            </w:pPr>
          </w:p>
        </w:tc>
        <w:tc>
          <w:tcPr>
            <w:tcW w:w="2966" w:type="dxa"/>
            <w:vAlign w:val="center"/>
          </w:tcPr>
          <w:p>
            <w:pPr>
              <w:jc w:val="center"/>
              <w:rPr>
                <w:rFonts w:hAnsi="宋体" w:cs="宋体"/>
                <w:szCs w:val="21"/>
                <w:highlight w:val="none"/>
              </w:rPr>
            </w:pPr>
          </w:p>
        </w:tc>
        <w:tc>
          <w:tcPr>
            <w:tcW w:w="763" w:type="dxa"/>
            <w:vAlign w:val="center"/>
          </w:tcPr>
          <w:p>
            <w:pPr>
              <w:jc w:val="center"/>
              <w:rPr>
                <w:rFonts w:hAnsi="宋体" w:cs="宋体"/>
                <w:szCs w:val="21"/>
                <w:highlight w:val="none"/>
              </w:rPr>
            </w:pPr>
          </w:p>
        </w:tc>
        <w:tc>
          <w:tcPr>
            <w:tcW w:w="763" w:type="dxa"/>
            <w:tcBorders>
              <w:right w:val="single" w:color="auto" w:sz="4" w:space="0"/>
            </w:tcBorders>
            <w:vAlign w:val="center"/>
          </w:tcPr>
          <w:p>
            <w:pPr>
              <w:jc w:val="center"/>
              <w:rPr>
                <w:rFonts w:hAnsi="宋体" w:cs="宋体"/>
                <w:szCs w:val="21"/>
                <w:highlight w:val="none"/>
              </w:rPr>
            </w:pPr>
          </w:p>
        </w:tc>
        <w:tc>
          <w:tcPr>
            <w:tcW w:w="1715" w:type="dxa"/>
            <w:tcBorders>
              <w:right w:val="single" w:color="auto" w:sz="4" w:space="0"/>
            </w:tcBorders>
            <w:vAlign w:val="center"/>
          </w:tcPr>
          <w:p>
            <w:pPr>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72" w:type="dxa"/>
            <w:vMerge w:val="continue"/>
            <w:tcBorders>
              <w:left w:val="single" w:color="auto" w:sz="4" w:space="0"/>
              <w:right w:val="single" w:color="auto" w:sz="4" w:space="0"/>
            </w:tcBorders>
            <w:vAlign w:val="center"/>
          </w:tcPr>
          <w:p>
            <w:pPr>
              <w:rPr>
                <w:rFonts w:hAnsi="宋体" w:cs="宋体"/>
                <w:szCs w:val="21"/>
                <w:highlight w:val="none"/>
              </w:rPr>
            </w:pPr>
          </w:p>
        </w:tc>
        <w:tc>
          <w:tcPr>
            <w:tcW w:w="1524" w:type="dxa"/>
            <w:tcBorders>
              <w:left w:val="single" w:color="auto" w:sz="4" w:space="0"/>
              <w:right w:val="single" w:color="auto" w:sz="4" w:space="0"/>
            </w:tcBorders>
            <w:vAlign w:val="center"/>
          </w:tcPr>
          <w:p>
            <w:pPr>
              <w:jc w:val="center"/>
              <w:rPr>
                <w:rFonts w:hAnsi="宋体" w:cs="宋体"/>
                <w:szCs w:val="21"/>
                <w:highlight w:val="none"/>
              </w:rPr>
            </w:pPr>
          </w:p>
        </w:tc>
        <w:tc>
          <w:tcPr>
            <w:tcW w:w="952" w:type="dxa"/>
            <w:tcBorders>
              <w:left w:val="single" w:color="auto" w:sz="4" w:space="0"/>
            </w:tcBorders>
            <w:vAlign w:val="center"/>
          </w:tcPr>
          <w:p>
            <w:pPr>
              <w:jc w:val="center"/>
              <w:rPr>
                <w:rFonts w:hAnsi="宋体" w:cs="宋体"/>
                <w:szCs w:val="21"/>
                <w:highlight w:val="none"/>
              </w:rPr>
            </w:pPr>
          </w:p>
        </w:tc>
        <w:tc>
          <w:tcPr>
            <w:tcW w:w="2966" w:type="dxa"/>
            <w:vAlign w:val="center"/>
          </w:tcPr>
          <w:p>
            <w:pPr>
              <w:jc w:val="center"/>
              <w:rPr>
                <w:rFonts w:hAnsi="宋体" w:cs="宋体"/>
                <w:szCs w:val="21"/>
                <w:highlight w:val="none"/>
              </w:rPr>
            </w:pPr>
          </w:p>
        </w:tc>
        <w:tc>
          <w:tcPr>
            <w:tcW w:w="763" w:type="dxa"/>
            <w:vAlign w:val="center"/>
          </w:tcPr>
          <w:p>
            <w:pPr>
              <w:jc w:val="center"/>
              <w:rPr>
                <w:rFonts w:hAnsi="宋体" w:cs="宋体"/>
                <w:szCs w:val="21"/>
                <w:highlight w:val="none"/>
              </w:rPr>
            </w:pPr>
          </w:p>
        </w:tc>
        <w:tc>
          <w:tcPr>
            <w:tcW w:w="763" w:type="dxa"/>
            <w:tcBorders>
              <w:right w:val="single" w:color="auto" w:sz="4" w:space="0"/>
            </w:tcBorders>
            <w:vAlign w:val="center"/>
          </w:tcPr>
          <w:p>
            <w:pPr>
              <w:jc w:val="center"/>
              <w:rPr>
                <w:rFonts w:hAnsi="宋体" w:cs="宋体"/>
                <w:szCs w:val="21"/>
                <w:highlight w:val="none"/>
              </w:rPr>
            </w:pPr>
          </w:p>
        </w:tc>
        <w:tc>
          <w:tcPr>
            <w:tcW w:w="1715" w:type="dxa"/>
            <w:tcBorders>
              <w:right w:val="single" w:color="auto" w:sz="4" w:space="0"/>
            </w:tcBorders>
            <w:vAlign w:val="center"/>
          </w:tcPr>
          <w:p>
            <w:pPr>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72" w:type="dxa"/>
            <w:vMerge w:val="continue"/>
            <w:tcBorders>
              <w:left w:val="single" w:color="auto" w:sz="4" w:space="0"/>
              <w:right w:val="single" w:color="auto" w:sz="4" w:space="0"/>
            </w:tcBorders>
            <w:vAlign w:val="center"/>
          </w:tcPr>
          <w:p>
            <w:pPr>
              <w:jc w:val="center"/>
              <w:rPr>
                <w:rFonts w:hAnsi="宋体" w:cs="宋体"/>
                <w:szCs w:val="21"/>
                <w:highlight w:val="none"/>
              </w:rPr>
            </w:pPr>
          </w:p>
        </w:tc>
        <w:tc>
          <w:tcPr>
            <w:tcW w:w="1524" w:type="dxa"/>
            <w:tcBorders>
              <w:left w:val="single" w:color="auto" w:sz="4" w:space="0"/>
              <w:right w:val="single" w:color="auto" w:sz="4" w:space="0"/>
            </w:tcBorders>
            <w:vAlign w:val="center"/>
          </w:tcPr>
          <w:p>
            <w:pPr>
              <w:jc w:val="center"/>
              <w:rPr>
                <w:rFonts w:hAnsi="宋体" w:cs="宋体"/>
                <w:szCs w:val="21"/>
                <w:highlight w:val="none"/>
              </w:rPr>
            </w:pPr>
          </w:p>
        </w:tc>
        <w:tc>
          <w:tcPr>
            <w:tcW w:w="952" w:type="dxa"/>
            <w:tcBorders>
              <w:left w:val="single" w:color="auto" w:sz="4" w:space="0"/>
            </w:tcBorders>
            <w:vAlign w:val="center"/>
          </w:tcPr>
          <w:p>
            <w:pPr>
              <w:jc w:val="center"/>
              <w:rPr>
                <w:rFonts w:hAnsi="宋体" w:cs="宋体"/>
                <w:szCs w:val="21"/>
                <w:highlight w:val="none"/>
              </w:rPr>
            </w:pPr>
          </w:p>
        </w:tc>
        <w:tc>
          <w:tcPr>
            <w:tcW w:w="2966" w:type="dxa"/>
            <w:vAlign w:val="center"/>
          </w:tcPr>
          <w:p>
            <w:pPr>
              <w:jc w:val="center"/>
              <w:rPr>
                <w:rFonts w:hAnsi="宋体" w:cs="宋体"/>
                <w:szCs w:val="21"/>
                <w:highlight w:val="none"/>
              </w:rPr>
            </w:pPr>
          </w:p>
        </w:tc>
        <w:tc>
          <w:tcPr>
            <w:tcW w:w="763" w:type="dxa"/>
            <w:vAlign w:val="center"/>
          </w:tcPr>
          <w:p>
            <w:pPr>
              <w:jc w:val="center"/>
              <w:rPr>
                <w:rFonts w:hAnsi="宋体" w:cs="宋体"/>
                <w:szCs w:val="21"/>
                <w:highlight w:val="none"/>
              </w:rPr>
            </w:pPr>
          </w:p>
        </w:tc>
        <w:tc>
          <w:tcPr>
            <w:tcW w:w="763" w:type="dxa"/>
            <w:tcBorders>
              <w:right w:val="single" w:color="auto" w:sz="4" w:space="0"/>
            </w:tcBorders>
            <w:vAlign w:val="center"/>
          </w:tcPr>
          <w:p>
            <w:pPr>
              <w:jc w:val="center"/>
              <w:rPr>
                <w:rFonts w:hAnsi="宋体" w:cs="宋体"/>
                <w:szCs w:val="21"/>
                <w:highlight w:val="none"/>
              </w:rPr>
            </w:pPr>
          </w:p>
        </w:tc>
        <w:tc>
          <w:tcPr>
            <w:tcW w:w="1715" w:type="dxa"/>
            <w:tcBorders>
              <w:right w:val="single" w:color="auto" w:sz="4" w:space="0"/>
            </w:tcBorders>
            <w:vAlign w:val="center"/>
          </w:tcPr>
          <w:p>
            <w:pPr>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72" w:type="dxa"/>
            <w:vMerge w:val="continue"/>
            <w:tcBorders>
              <w:left w:val="single" w:color="auto" w:sz="4" w:space="0"/>
              <w:right w:val="single" w:color="auto" w:sz="4" w:space="0"/>
            </w:tcBorders>
            <w:vAlign w:val="center"/>
          </w:tcPr>
          <w:p>
            <w:pPr>
              <w:jc w:val="center"/>
              <w:rPr>
                <w:rFonts w:hAnsi="宋体" w:cs="宋体"/>
                <w:szCs w:val="21"/>
                <w:highlight w:val="none"/>
              </w:rPr>
            </w:pPr>
          </w:p>
        </w:tc>
        <w:tc>
          <w:tcPr>
            <w:tcW w:w="1524" w:type="dxa"/>
            <w:tcBorders>
              <w:left w:val="single" w:color="auto" w:sz="4" w:space="0"/>
              <w:right w:val="single" w:color="auto" w:sz="4" w:space="0"/>
            </w:tcBorders>
            <w:vAlign w:val="center"/>
          </w:tcPr>
          <w:p>
            <w:pPr>
              <w:jc w:val="center"/>
              <w:rPr>
                <w:rFonts w:hAnsi="宋体" w:cs="宋体"/>
                <w:szCs w:val="21"/>
                <w:highlight w:val="none"/>
              </w:rPr>
            </w:pPr>
            <w:r>
              <w:rPr>
                <w:rFonts w:hint="eastAsia" w:hAnsi="宋体" w:cs="宋体"/>
                <w:szCs w:val="21"/>
                <w:highlight w:val="none"/>
              </w:rPr>
              <w:t>…</w:t>
            </w:r>
          </w:p>
        </w:tc>
        <w:tc>
          <w:tcPr>
            <w:tcW w:w="952" w:type="dxa"/>
            <w:tcBorders>
              <w:left w:val="single" w:color="auto" w:sz="4" w:space="0"/>
            </w:tcBorders>
            <w:vAlign w:val="center"/>
          </w:tcPr>
          <w:p>
            <w:pPr>
              <w:jc w:val="center"/>
              <w:rPr>
                <w:rFonts w:hAnsi="宋体" w:cs="宋体"/>
                <w:szCs w:val="21"/>
                <w:highlight w:val="none"/>
              </w:rPr>
            </w:pPr>
          </w:p>
        </w:tc>
        <w:tc>
          <w:tcPr>
            <w:tcW w:w="2966" w:type="dxa"/>
            <w:vAlign w:val="center"/>
          </w:tcPr>
          <w:p>
            <w:pPr>
              <w:jc w:val="center"/>
              <w:rPr>
                <w:rFonts w:hAnsi="宋体" w:cs="宋体"/>
                <w:szCs w:val="21"/>
                <w:highlight w:val="none"/>
              </w:rPr>
            </w:pPr>
          </w:p>
        </w:tc>
        <w:tc>
          <w:tcPr>
            <w:tcW w:w="763" w:type="dxa"/>
            <w:vAlign w:val="center"/>
          </w:tcPr>
          <w:p>
            <w:pPr>
              <w:jc w:val="center"/>
              <w:rPr>
                <w:rFonts w:hAnsi="宋体" w:cs="宋体"/>
                <w:szCs w:val="21"/>
                <w:highlight w:val="none"/>
              </w:rPr>
            </w:pPr>
          </w:p>
        </w:tc>
        <w:tc>
          <w:tcPr>
            <w:tcW w:w="763" w:type="dxa"/>
            <w:tcBorders>
              <w:right w:val="single" w:color="auto" w:sz="4" w:space="0"/>
            </w:tcBorders>
            <w:vAlign w:val="center"/>
          </w:tcPr>
          <w:p>
            <w:pPr>
              <w:jc w:val="center"/>
              <w:rPr>
                <w:rFonts w:hAnsi="宋体" w:cs="宋体"/>
                <w:szCs w:val="21"/>
                <w:highlight w:val="none"/>
              </w:rPr>
            </w:pPr>
          </w:p>
        </w:tc>
        <w:tc>
          <w:tcPr>
            <w:tcW w:w="1715" w:type="dxa"/>
            <w:tcBorders>
              <w:right w:val="single" w:color="auto" w:sz="4" w:space="0"/>
            </w:tcBorders>
            <w:vAlign w:val="center"/>
          </w:tcPr>
          <w:p>
            <w:pPr>
              <w:jc w:val="center"/>
              <w:rPr>
                <w:rFonts w:hAnsi="宋体" w:cs="宋体"/>
                <w:szCs w:val="21"/>
                <w:highlight w:val="none"/>
              </w:rPr>
            </w:pPr>
          </w:p>
        </w:tc>
      </w:tr>
    </w:tbl>
    <w:p>
      <w:pPr>
        <w:snapToGrid w:val="0"/>
        <w:spacing w:beforeLines="50" w:line="300" w:lineRule="auto"/>
        <w:rPr>
          <w:rFonts w:hAnsi="宋体" w:cs="宋体"/>
          <w:szCs w:val="21"/>
          <w:highlight w:val="none"/>
        </w:rPr>
      </w:pPr>
    </w:p>
    <w:p>
      <w:pPr>
        <w:pStyle w:val="76"/>
        <w:rPr>
          <w:rFonts w:ascii="宋体" w:hAnsi="宋体" w:cs="宋体"/>
          <w:sz w:val="28"/>
          <w:szCs w:val="28"/>
          <w:highlight w:val="none"/>
        </w:rPr>
      </w:pPr>
    </w:p>
    <w:p>
      <w:pPr>
        <w:snapToGrid w:val="0"/>
        <w:spacing w:line="300" w:lineRule="auto"/>
        <w:rPr>
          <w:rFonts w:hAnsi="宋体" w:cs="宋体"/>
          <w:szCs w:val="21"/>
          <w:highlight w:val="none"/>
        </w:rPr>
      </w:pPr>
      <w:r>
        <w:rPr>
          <w:rFonts w:hint="eastAsia" w:hAnsi="宋体" w:cs="宋体"/>
          <w:szCs w:val="21"/>
          <w:highlight w:val="none"/>
        </w:rPr>
        <w:t>投标人法定代表人（或法定代表人授权代表）签字：</w:t>
      </w:r>
    </w:p>
    <w:p>
      <w:pPr>
        <w:snapToGrid w:val="0"/>
        <w:spacing w:line="300" w:lineRule="auto"/>
        <w:rPr>
          <w:rFonts w:hAnsi="宋体" w:cs="宋体"/>
          <w:szCs w:val="21"/>
          <w:highlight w:val="none"/>
          <w:u w:val="single"/>
        </w:rPr>
      </w:pPr>
      <w:r>
        <w:rPr>
          <w:rFonts w:hint="eastAsia" w:hAnsi="宋体" w:cs="宋体"/>
          <w:szCs w:val="21"/>
          <w:highlight w:val="none"/>
        </w:rPr>
        <w:t>投标人名称（加盖法人公章）：</w:t>
      </w:r>
    </w:p>
    <w:p>
      <w:pPr>
        <w:spacing w:line="360" w:lineRule="auto"/>
        <w:ind w:right="893"/>
        <w:jc w:val="both"/>
        <w:rPr>
          <w:rFonts w:hAnsi="宋体" w:cs="宋体"/>
          <w:kern w:val="2"/>
          <w:highlight w:val="none"/>
          <w:lang w:val="zh-CN"/>
        </w:rPr>
      </w:pPr>
      <w:r>
        <w:rPr>
          <w:rFonts w:hint="eastAsia" w:hAnsi="宋体" w:cs="宋体"/>
          <w:kern w:val="2"/>
          <w:highlight w:val="none"/>
          <w:lang w:val="zh-CN"/>
        </w:rPr>
        <w:t>日期：          年      月     日</w:t>
      </w:r>
    </w:p>
    <w:p>
      <w:pPr>
        <w:rPr>
          <w:rFonts w:hAnsi="宋体" w:cs="宋体"/>
          <w:highlight w:val="none"/>
        </w:rPr>
      </w:pPr>
    </w:p>
    <w:p>
      <w:pPr>
        <w:pStyle w:val="4"/>
        <w:spacing w:after="120" w:line="480" w:lineRule="exact"/>
        <w:rPr>
          <w:rFonts w:hAnsi="宋体" w:cs="宋体"/>
          <w:b/>
          <w:szCs w:val="21"/>
          <w:highlight w:val="none"/>
        </w:rPr>
      </w:pPr>
      <w:r>
        <w:rPr>
          <w:rFonts w:hint="eastAsia" w:hAnsi="宋体" w:cs="宋体"/>
          <w:b/>
          <w:szCs w:val="21"/>
          <w:highlight w:val="none"/>
        </w:rPr>
        <w:br w:type="page"/>
      </w:r>
      <w:r>
        <w:rPr>
          <w:rFonts w:hint="eastAsia" w:hAnsi="宋体" w:cs="宋体"/>
          <w:b/>
          <w:szCs w:val="20"/>
          <w:highlight w:val="none"/>
        </w:rPr>
        <w:t>附表2.10 供货渠道与合作机构情况表格式 （如有）</w:t>
      </w:r>
    </w:p>
    <w:p>
      <w:pPr>
        <w:pStyle w:val="76"/>
        <w:rPr>
          <w:rFonts w:ascii="宋体" w:hAnsi="宋体" w:cs="宋体"/>
          <w:b/>
          <w:bCs w:val="0"/>
          <w:spacing w:val="0"/>
          <w:kern w:val="2"/>
          <w:szCs w:val="24"/>
          <w:highlight w:val="none"/>
        </w:rPr>
      </w:pPr>
    </w:p>
    <w:p>
      <w:pPr>
        <w:pStyle w:val="76"/>
        <w:jc w:val="center"/>
        <w:rPr>
          <w:rFonts w:ascii="宋体" w:hAnsi="宋体" w:cs="宋体"/>
          <w:b/>
          <w:bCs w:val="0"/>
          <w:spacing w:val="0"/>
          <w:kern w:val="2"/>
          <w:sz w:val="32"/>
          <w:szCs w:val="32"/>
          <w:highlight w:val="none"/>
        </w:rPr>
      </w:pPr>
      <w:r>
        <w:rPr>
          <w:rFonts w:hint="eastAsia" w:ascii="宋体" w:hAnsi="宋体" w:cs="宋体"/>
          <w:b/>
          <w:bCs w:val="0"/>
          <w:spacing w:val="0"/>
          <w:kern w:val="2"/>
          <w:sz w:val="32"/>
          <w:szCs w:val="32"/>
          <w:highlight w:val="none"/>
        </w:rPr>
        <w:t>供货渠道与合作机构情况表</w:t>
      </w:r>
    </w:p>
    <w:tbl>
      <w:tblPr>
        <w:tblStyle w:val="4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6"/>
        <w:gridCol w:w="4640"/>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36" w:type="dxa"/>
            <w:shd w:val="clear" w:color="auto" w:fill="F3F3F3"/>
            <w:vAlign w:val="center"/>
          </w:tcPr>
          <w:p>
            <w:pPr>
              <w:rPr>
                <w:rFonts w:hAnsi="宋体" w:cs="宋体"/>
                <w:b/>
                <w:bCs/>
                <w:szCs w:val="21"/>
                <w:highlight w:val="none"/>
              </w:rPr>
            </w:pPr>
            <w:r>
              <w:rPr>
                <w:rFonts w:hint="eastAsia" w:hAnsi="宋体" w:cs="宋体"/>
                <w:b/>
                <w:bCs/>
                <w:szCs w:val="21"/>
                <w:highlight w:val="none"/>
              </w:rPr>
              <w:t>分项</w:t>
            </w:r>
          </w:p>
        </w:tc>
        <w:tc>
          <w:tcPr>
            <w:tcW w:w="4640" w:type="dxa"/>
            <w:shd w:val="clear" w:color="auto" w:fill="F3F3F3"/>
            <w:vAlign w:val="center"/>
          </w:tcPr>
          <w:p>
            <w:pPr>
              <w:jc w:val="center"/>
              <w:rPr>
                <w:rFonts w:hAnsi="宋体" w:cs="宋体"/>
                <w:b/>
                <w:bCs/>
                <w:szCs w:val="21"/>
                <w:highlight w:val="none"/>
              </w:rPr>
            </w:pPr>
            <w:r>
              <w:rPr>
                <w:rFonts w:hint="eastAsia" w:hAnsi="宋体" w:cs="宋体"/>
                <w:b/>
                <w:bCs/>
                <w:szCs w:val="21"/>
                <w:highlight w:val="none"/>
              </w:rPr>
              <w:t>基 本 情 况</w:t>
            </w:r>
          </w:p>
        </w:tc>
        <w:tc>
          <w:tcPr>
            <w:tcW w:w="2779" w:type="dxa"/>
            <w:shd w:val="clear" w:color="auto" w:fill="F3F3F3"/>
            <w:vAlign w:val="center"/>
          </w:tcPr>
          <w:p>
            <w:pPr>
              <w:rPr>
                <w:rFonts w:hAnsi="宋体" w:cs="宋体"/>
                <w:b/>
                <w:bCs/>
                <w:szCs w:val="21"/>
                <w:highlight w:val="none"/>
              </w:rPr>
            </w:pPr>
            <w:r>
              <w:rPr>
                <w:rFonts w:hint="eastAsia" w:hAnsi="宋体" w:cs="宋体"/>
                <w:b/>
                <w:bCs/>
                <w:szCs w:val="21"/>
                <w:highlight w:val="none"/>
              </w:rPr>
              <w:t>联系人/联系电话/传真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36" w:type="dxa"/>
            <w:vAlign w:val="center"/>
          </w:tcPr>
          <w:p>
            <w:pPr>
              <w:jc w:val="center"/>
              <w:rPr>
                <w:rFonts w:hAnsi="宋体" w:cs="宋体"/>
                <w:szCs w:val="21"/>
                <w:highlight w:val="none"/>
              </w:rPr>
            </w:pPr>
            <w:r>
              <w:rPr>
                <w:rFonts w:hint="eastAsia" w:hAnsi="宋体" w:cs="宋体"/>
                <w:szCs w:val="21"/>
                <w:highlight w:val="none"/>
              </w:rPr>
              <w:t>华南地区或</w:t>
            </w:r>
          </w:p>
          <w:p>
            <w:pPr>
              <w:jc w:val="center"/>
              <w:rPr>
                <w:rFonts w:hAnsi="宋体" w:cs="宋体"/>
                <w:szCs w:val="21"/>
                <w:highlight w:val="none"/>
              </w:rPr>
            </w:pPr>
            <w:r>
              <w:rPr>
                <w:rFonts w:hint="eastAsia" w:hAnsi="宋体" w:cs="宋体"/>
                <w:szCs w:val="21"/>
                <w:highlight w:val="none"/>
              </w:rPr>
              <w:t>广东省总代理或中国总代理或生产厂家</w:t>
            </w:r>
          </w:p>
        </w:tc>
        <w:tc>
          <w:tcPr>
            <w:tcW w:w="4640" w:type="dxa"/>
            <w:vAlign w:val="center"/>
          </w:tcPr>
          <w:p>
            <w:pPr>
              <w:rPr>
                <w:rFonts w:hAnsi="宋体" w:cs="宋体"/>
                <w:szCs w:val="21"/>
                <w:highlight w:val="none"/>
              </w:rPr>
            </w:pPr>
            <w:r>
              <w:rPr>
                <w:rFonts w:hint="eastAsia" w:hAnsi="宋体" w:cs="宋体"/>
                <w:szCs w:val="21"/>
                <w:highlight w:val="none"/>
              </w:rPr>
              <w:t>单位名称：</w:t>
            </w:r>
          </w:p>
          <w:p>
            <w:pPr>
              <w:rPr>
                <w:rFonts w:hAnsi="宋体" w:cs="宋体"/>
                <w:szCs w:val="21"/>
                <w:highlight w:val="none"/>
              </w:rPr>
            </w:pPr>
            <w:r>
              <w:rPr>
                <w:rFonts w:hint="eastAsia" w:hAnsi="宋体" w:cs="宋体"/>
                <w:szCs w:val="21"/>
                <w:highlight w:val="none"/>
              </w:rPr>
              <w:t>地    址：</w:t>
            </w:r>
          </w:p>
          <w:p>
            <w:pPr>
              <w:rPr>
                <w:rFonts w:hAnsi="宋体" w:cs="宋体"/>
                <w:szCs w:val="21"/>
                <w:highlight w:val="none"/>
              </w:rPr>
            </w:pPr>
            <w:r>
              <w:rPr>
                <w:rFonts w:hint="eastAsia" w:hAnsi="宋体" w:cs="宋体"/>
                <w:szCs w:val="21"/>
                <w:highlight w:val="none"/>
              </w:rPr>
              <w:t>销售负责人：</w:t>
            </w:r>
          </w:p>
        </w:tc>
        <w:tc>
          <w:tcPr>
            <w:tcW w:w="2779" w:type="dxa"/>
            <w:vAlign w:val="center"/>
          </w:tcPr>
          <w:p>
            <w:pPr>
              <w:pStyle w:val="159"/>
              <w:jc w:val="both"/>
              <w:rPr>
                <w:rFonts w:ascii="宋体" w:hAnsi="宋体" w:cs="宋体"/>
                <w:b w:val="0"/>
                <w:color w:val="auto"/>
                <w:highlight w:val="none"/>
              </w:rPr>
            </w:pPr>
            <w:r>
              <w:rPr>
                <w:rFonts w:hint="eastAsia" w:ascii="宋体" w:hAnsi="宋体" w:cs="宋体"/>
                <w:b w:val="0"/>
                <w:color w:val="auto"/>
                <w:highlight w:val="none"/>
              </w:rPr>
              <w:t>姓名:</w:t>
            </w:r>
          </w:p>
          <w:p>
            <w:pPr>
              <w:pStyle w:val="159"/>
              <w:jc w:val="both"/>
              <w:rPr>
                <w:rFonts w:ascii="宋体" w:hAnsi="宋体" w:cs="宋体"/>
                <w:b w:val="0"/>
                <w:color w:val="auto"/>
                <w:highlight w:val="none"/>
              </w:rPr>
            </w:pPr>
            <w:r>
              <w:rPr>
                <w:rFonts w:hint="eastAsia" w:ascii="宋体" w:hAnsi="宋体" w:cs="宋体"/>
                <w:b w:val="0"/>
                <w:color w:val="auto"/>
                <w:highlight w:val="none"/>
              </w:rPr>
              <w:t>电话:</w:t>
            </w:r>
          </w:p>
          <w:p>
            <w:pPr>
              <w:rPr>
                <w:rFonts w:hAnsi="宋体" w:cs="宋体"/>
                <w:szCs w:val="21"/>
                <w:highlight w:val="none"/>
              </w:rPr>
            </w:pPr>
            <w:r>
              <w:rPr>
                <w:rFonts w:hint="eastAsia" w:hAnsi="宋体" w:cs="宋体"/>
                <w:szCs w:val="21"/>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36" w:type="dxa"/>
            <w:shd w:val="clear" w:color="auto" w:fill="auto"/>
            <w:vAlign w:val="center"/>
          </w:tcPr>
          <w:p>
            <w:pPr>
              <w:spacing w:line="360" w:lineRule="auto"/>
              <w:jc w:val="center"/>
              <w:rPr>
                <w:rFonts w:hAnsi="宋体" w:cs="宋体"/>
                <w:szCs w:val="21"/>
                <w:highlight w:val="none"/>
              </w:rPr>
            </w:pPr>
            <w:r>
              <w:rPr>
                <w:rFonts w:hint="eastAsia" w:hAnsi="宋体" w:cs="宋体"/>
                <w:szCs w:val="21"/>
                <w:highlight w:val="none"/>
              </w:rPr>
              <w:t>关键设备</w:t>
            </w:r>
          </w:p>
          <w:p>
            <w:pPr>
              <w:spacing w:line="360" w:lineRule="auto"/>
              <w:jc w:val="center"/>
              <w:rPr>
                <w:rFonts w:hAnsi="宋体" w:cs="宋体"/>
                <w:szCs w:val="21"/>
                <w:highlight w:val="none"/>
              </w:rPr>
            </w:pPr>
            <w:r>
              <w:rPr>
                <w:rFonts w:hint="eastAsia" w:hAnsi="宋体" w:cs="宋体"/>
                <w:szCs w:val="21"/>
                <w:highlight w:val="none"/>
              </w:rPr>
              <w:t>合法来源渠道</w:t>
            </w:r>
          </w:p>
          <w:p>
            <w:pPr>
              <w:spacing w:line="360" w:lineRule="auto"/>
              <w:jc w:val="center"/>
              <w:rPr>
                <w:rFonts w:hAnsi="宋体" w:cs="宋体"/>
                <w:szCs w:val="21"/>
                <w:highlight w:val="none"/>
              </w:rPr>
            </w:pPr>
            <w:r>
              <w:rPr>
                <w:rFonts w:hint="eastAsia" w:hAnsi="宋体" w:cs="宋体"/>
                <w:szCs w:val="21"/>
                <w:highlight w:val="none"/>
              </w:rPr>
              <w:t>（1）</w:t>
            </w:r>
          </w:p>
        </w:tc>
        <w:tc>
          <w:tcPr>
            <w:tcW w:w="4640" w:type="dxa"/>
            <w:shd w:val="clear" w:color="auto" w:fill="FFFFFF"/>
            <w:vAlign w:val="center"/>
          </w:tcPr>
          <w:p>
            <w:pPr>
              <w:rPr>
                <w:rFonts w:hAnsi="宋体" w:cs="宋体"/>
                <w:szCs w:val="21"/>
                <w:highlight w:val="none"/>
              </w:rPr>
            </w:pPr>
            <w:r>
              <w:rPr>
                <w:rFonts w:hint="eastAsia" w:hAnsi="宋体" w:cs="宋体"/>
                <w:szCs w:val="21"/>
                <w:highlight w:val="none"/>
              </w:rPr>
              <w:t xml:space="preserve">产品名称： </w:t>
            </w:r>
          </w:p>
          <w:p>
            <w:pPr>
              <w:rPr>
                <w:rFonts w:hAnsi="宋体" w:cs="宋体"/>
                <w:szCs w:val="21"/>
                <w:highlight w:val="none"/>
              </w:rPr>
            </w:pPr>
            <w:r>
              <w:rPr>
                <w:rFonts w:hint="eastAsia" w:hAnsi="宋体" w:cs="宋体"/>
                <w:szCs w:val="21"/>
                <w:highlight w:val="none"/>
              </w:rPr>
              <w:t>制造/供应商：</w:t>
            </w:r>
          </w:p>
          <w:p>
            <w:pPr>
              <w:rPr>
                <w:rFonts w:hAnsi="宋体" w:cs="宋体"/>
                <w:szCs w:val="21"/>
                <w:highlight w:val="none"/>
              </w:rPr>
            </w:pPr>
            <w:r>
              <w:rPr>
                <w:rFonts w:hint="eastAsia" w:hAnsi="宋体" w:cs="宋体"/>
                <w:szCs w:val="21"/>
                <w:highlight w:val="none"/>
              </w:rPr>
              <w:t xml:space="preserve">生产地：            </w:t>
            </w:r>
          </w:p>
          <w:p>
            <w:pPr>
              <w:rPr>
                <w:rFonts w:hAnsi="宋体" w:cs="宋体"/>
                <w:szCs w:val="21"/>
                <w:highlight w:val="none"/>
              </w:rPr>
            </w:pPr>
            <w:r>
              <w:rPr>
                <w:rFonts w:hint="eastAsia" w:hAnsi="宋体" w:cs="宋体"/>
                <w:szCs w:val="21"/>
                <w:highlight w:val="none"/>
              </w:rPr>
              <w:t>经销总代理：</w:t>
            </w:r>
          </w:p>
          <w:p>
            <w:pPr>
              <w:rPr>
                <w:rFonts w:hAnsi="宋体" w:cs="宋体"/>
                <w:szCs w:val="21"/>
                <w:highlight w:val="none"/>
              </w:rPr>
            </w:pPr>
            <w:r>
              <w:rPr>
                <w:rFonts w:hint="eastAsia" w:hAnsi="宋体" w:cs="宋体"/>
                <w:szCs w:val="21"/>
                <w:highlight w:val="none"/>
              </w:rPr>
              <w:t>销售负责人：</w:t>
            </w:r>
          </w:p>
          <w:p>
            <w:pPr>
              <w:rPr>
                <w:rFonts w:hAnsi="宋体" w:cs="宋体"/>
                <w:szCs w:val="21"/>
                <w:highlight w:val="none"/>
              </w:rPr>
            </w:pPr>
            <w:r>
              <w:rPr>
                <w:rFonts w:hint="eastAsia" w:hAnsi="宋体" w:cs="宋体"/>
                <w:szCs w:val="21"/>
                <w:highlight w:val="none"/>
              </w:rPr>
              <w:t>产品介绍和报价的权威网站：</w:t>
            </w:r>
          </w:p>
          <w:p>
            <w:pPr>
              <w:rPr>
                <w:rFonts w:hAnsi="宋体" w:cs="宋体"/>
                <w:szCs w:val="21"/>
                <w:highlight w:val="none"/>
              </w:rPr>
            </w:pPr>
            <w:r>
              <w:rPr>
                <w:rFonts w:hint="eastAsia" w:hAnsi="宋体" w:cs="宋体"/>
                <w:szCs w:val="21"/>
                <w:highlight w:val="none"/>
              </w:rPr>
              <w:t>产品合法来源验证查询专线：</w:t>
            </w:r>
          </w:p>
          <w:p>
            <w:pPr>
              <w:rPr>
                <w:rFonts w:hAnsi="宋体" w:cs="宋体"/>
                <w:szCs w:val="21"/>
                <w:highlight w:val="none"/>
              </w:rPr>
            </w:pPr>
            <w:r>
              <w:rPr>
                <w:rFonts w:hint="eastAsia" w:hAnsi="宋体" w:cs="宋体"/>
                <w:szCs w:val="21"/>
                <w:highlight w:val="none"/>
              </w:rPr>
              <w:t>售后服务管理验证查询专线：</w:t>
            </w:r>
          </w:p>
        </w:tc>
        <w:tc>
          <w:tcPr>
            <w:tcW w:w="2779" w:type="dxa"/>
            <w:vAlign w:val="center"/>
          </w:tcPr>
          <w:p>
            <w:pPr>
              <w:pStyle w:val="159"/>
              <w:jc w:val="both"/>
              <w:rPr>
                <w:rFonts w:ascii="宋体" w:hAnsi="宋体" w:cs="宋体"/>
                <w:b w:val="0"/>
                <w:color w:val="auto"/>
                <w:highlight w:val="none"/>
              </w:rPr>
            </w:pPr>
            <w:r>
              <w:rPr>
                <w:rFonts w:hint="eastAsia" w:ascii="宋体" w:hAnsi="宋体" w:cs="宋体"/>
                <w:b w:val="0"/>
                <w:color w:val="auto"/>
                <w:highlight w:val="none"/>
              </w:rPr>
              <w:t>姓名:</w:t>
            </w:r>
          </w:p>
          <w:p>
            <w:pPr>
              <w:pStyle w:val="159"/>
              <w:jc w:val="both"/>
              <w:rPr>
                <w:rFonts w:ascii="宋体" w:hAnsi="宋体" w:cs="宋体"/>
                <w:b w:val="0"/>
                <w:color w:val="auto"/>
                <w:highlight w:val="none"/>
              </w:rPr>
            </w:pPr>
            <w:r>
              <w:rPr>
                <w:rFonts w:hint="eastAsia" w:ascii="宋体" w:hAnsi="宋体" w:cs="宋体"/>
                <w:b w:val="0"/>
                <w:color w:val="auto"/>
                <w:highlight w:val="none"/>
              </w:rPr>
              <w:t>电话:</w:t>
            </w:r>
          </w:p>
          <w:p>
            <w:pPr>
              <w:rPr>
                <w:rFonts w:hAnsi="宋体" w:cs="宋体"/>
                <w:szCs w:val="21"/>
                <w:highlight w:val="none"/>
              </w:rPr>
            </w:pPr>
            <w:r>
              <w:rPr>
                <w:rFonts w:hint="eastAsia" w:hAnsi="宋体" w:cs="宋体"/>
                <w:szCs w:val="21"/>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36" w:type="dxa"/>
            <w:shd w:val="clear" w:color="auto" w:fill="auto"/>
            <w:vAlign w:val="center"/>
          </w:tcPr>
          <w:p>
            <w:pPr>
              <w:spacing w:line="360" w:lineRule="auto"/>
              <w:jc w:val="center"/>
              <w:rPr>
                <w:rFonts w:hAnsi="宋体" w:cs="宋体"/>
                <w:szCs w:val="21"/>
                <w:highlight w:val="none"/>
              </w:rPr>
            </w:pPr>
            <w:r>
              <w:rPr>
                <w:rFonts w:hint="eastAsia" w:hAnsi="宋体" w:cs="宋体"/>
                <w:szCs w:val="21"/>
                <w:highlight w:val="none"/>
              </w:rPr>
              <w:t>关键设备</w:t>
            </w:r>
          </w:p>
          <w:p>
            <w:pPr>
              <w:spacing w:line="360" w:lineRule="auto"/>
              <w:jc w:val="center"/>
              <w:rPr>
                <w:rFonts w:hAnsi="宋体" w:cs="宋体"/>
                <w:szCs w:val="21"/>
                <w:highlight w:val="none"/>
              </w:rPr>
            </w:pPr>
            <w:r>
              <w:rPr>
                <w:rFonts w:hint="eastAsia" w:hAnsi="宋体" w:cs="宋体"/>
                <w:szCs w:val="21"/>
                <w:highlight w:val="none"/>
              </w:rPr>
              <w:t>合法来源渠道</w:t>
            </w:r>
          </w:p>
          <w:p>
            <w:pPr>
              <w:spacing w:line="360" w:lineRule="auto"/>
              <w:jc w:val="center"/>
              <w:rPr>
                <w:rFonts w:hAnsi="宋体" w:cs="宋体"/>
                <w:szCs w:val="21"/>
                <w:highlight w:val="none"/>
              </w:rPr>
            </w:pPr>
            <w:r>
              <w:rPr>
                <w:rFonts w:hint="eastAsia" w:hAnsi="宋体" w:cs="宋体"/>
                <w:szCs w:val="21"/>
                <w:highlight w:val="none"/>
              </w:rPr>
              <w:t>（2）</w:t>
            </w:r>
          </w:p>
        </w:tc>
        <w:tc>
          <w:tcPr>
            <w:tcW w:w="4640" w:type="dxa"/>
            <w:shd w:val="clear" w:color="auto" w:fill="FFFFFF"/>
            <w:vAlign w:val="center"/>
          </w:tcPr>
          <w:p>
            <w:pPr>
              <w:rPr>
                <w:rFonts w:hAnsi="宋体" w:cs="宋体"/>
                <w:szCs w:val="21"/>
                <w:highlight w:val="none"/>
              </w:rPr>
            </w:pPr>
            <w:r>
              <w:rPr>
                <w:rFonts w:hint="eastAsia" w:hAnsi="宋体" w:cs="宋体"/>
                <w:szCs w:val="21"/>
                <w:highlight w:val="none"/>
              </w:rPr>
              <w:t xml:space="preserve">产品名称： </w:t>
            </w:r>
          </w:p>
          <w:p>
            <w:pPr>
              <w:rPr>
                <w:rFonts w:hAnsi="宋体" w:cs="宋体"/>
                <w:szCs w:val="21"/>
                <w:highlight w:val="none"/>
              </w:rPr>
            </w:pPr>
            <w:r>
              <w:rPr>
                <w:rFonts w:hint="eastAsia" w:hAnsi="宋体" w:cs="宋体"/>
                <w:szCs w:val="21"/>
                <w:highlight w:val="none"/>
              </w:rPr>
              <w:t>制造/供应商：</w:t>
            </w:r>
          </w:p>
          <w:p>
            <w:pPr>
              <w:rPr>
                <w:rFonts w:hAnsi="宋体" w:cs="宋体"/>
                <w:szCs w:val="21"/>
                <w:highlight w:val="none"/>
              </w:rPr>
            </w:pPr>
            <w:r>
              <w:rPr>
                <w:rFonts w:hint="eastAsia" w:hAnsi="宋体" w:cs="宋体"/>
                <w:szCs w:val="21"/>
                <w:highlight w:val="none"/>
              </w:rPr>
              <w:t xml:space="preserve">生产地：            </w:t>
            </w:r>
          </w:p>
          <w:p>
            <w:pPr>
              <w:rPr>
                <w:rFonts w:hAnsi="宋体" w:cs="宋体"/>
                <w:szCs w:val="21"/>
                <w:highlight w:val="none"/>
              </w:rPr>
            </w:pPr>
            <w:r>
              <w:rPr>
                <w:rFonts w:hint="eastAsia" w:hAnsi="宋体" w:cs="宋体"/>
                <w:szCs w:val="21"/>
                <w:highlight w:val="none"/>
              </w:rPr>
              <w:t>经销总代理：</w:t>
            </w:r>
          </w:p>
          <w:p>
            <w:pPr>
              <w:rPr>
                <w:rFonts w:hAnsi="宋体" w:cs="宋体"/>
                <w:szCs w:val="21"/>
                <w:highlight w:val="none"/>
              </w:rPr>
            </w:pPr>
            <w:r>
              <w:rPr>
                <w:rFonts w:hint="eastAsia" w:hAnsi="宋体" w:cs="宋体"/>
                <w:szCs w:val="21"/>
                <w:highlight w:val="none"/>
              </w:rPr>
              <w:t>销售负责人：</w:t>
            </w:r>
          </w:p>
          <w:p>
            <w:pPr>
              <w:rPr>
                <w:rFonts w:hAnsi="宋体" w:cs="宋体"/>
                <w:szCs w:val="21"/>
                <w:highlight w:val="none"/>
              </w:rPr>
            </w:pPr>
            <w:r>
              <w:rPr>
                <w:rFonts w:hint="eastAsia" w:hAnsi="宋体" w:cs="宋体"/>
                <w:szCs w:val="21"/>
                <w:highlight w:val="none"/>
              </w:rPr>
              <w:t>产品介绍和报价的权威网站：</w:t>
            </w:r>
          </w:p>
          <w:p>
            <w:pPr>
              <w:rPr>
                <w:rFonts w:hAnsi="宋体" w:cs="宋体"/>
                <w:szCs w:val="21"/>
                <w:highlight w:val="none"/>
              </w:rPr>
            </w:pPr>
            <w:r>
              <w:rPr>
                <w:rFonts w:hint="eastAsia" w:hAnsi="宋体" w:cs="宋体"/>
                <w:szCs w:val="21"/>
                <w:highlight w:val="none"/>
              </w:rPr>
              <w:t>产品合法来源验证查询专线：</w:t>
            </w:r>
          </w:p>
          <w:p>
            <w:pPr>
              <w:rPr>
                <w:rFonts w:hAnsi="宋体" w:cs="宋体"/>
                <w:szCs w:val="21"/>
                <w:highlight w:val="none"/>
              </w:rPr>
            </w:pPr>
            <w:r>
              <w:rPr>
                <w:rFonts w:hint="eastAsia" w:hAnsi="宋体" w:cs="宋体"/>
                <w:szCs w:val="21"/>
                <w:highlight w:val="none"/>
              </w:rPr>
              <w:t>售后服务管理验证查询专线：</w:t>
            </w:r>
          </w:p>
        </w:tc>
        <w:tc>
          <w:tcPr>
            <w:tcW w:w="2779" w:type="dxa"/>
            <w:vAlign w:val="center"/>
          </w:tcPr>
          <w:p>
            <w:pPr>
              <w:pStyle w:val="159"/>
              <w:jc w:val="both"/>
              <w:rPr>
                <w:rFonts w:ascii="宋体" w:hAnsi="宋体" w:cs="宋体"/>
                <w:b w:val="0"/>
                <w:color w:val="auto"/>
                <w:highlight w:val="none"/>
              </w:rPr>
            </w:pPr>
            <w:r>
              <w:rPr>
                <w:rFonts w:hint="eastAsia" w:ascii="宋体" w:hAnsi="宋体" w:cs="宋体"/>
                <w:b w:val="0"/>
                <w:color w:val="auto"/>
                <w:highlight w:val="none"/>
              </w:rPr>
              <w:t>姓名:</w:t>
            </w:r>
          </w:p>
          <w:p>
            <w:pPr>
              <w:pStyle w:val="159"/>
              <w:jc w:val="both"/>
              <w:rPr>
                <w:rFonts w:ascii="宋体" w:hAnsi="宋体" w:cs="宋体"/>
                <w:b w:val="0"/>
                <w:color w:val="auto"/>
                <w:highlight w:val="none"/>
              </w:rPr>
            </w:pPr>
            <w:r>
              <w:rPr>
                <w:rFonts w:hint="eastAsia" w:ascii="宋体" w:hAnsi="宋体" w:cs="宋体"/>
                <w:b w:val="0"/>
                <w:color w:val="auto"/>
                <w:highlight w:val="none"/>
              </w:rPr>
              <w:t>电话:</w:t>
            </w:r>
          </w:p>
          <w:p>
            <w:pPr>
              <w:rPr>
                <w:rFonts w:hAnsi="宋体" w:cs="宋体"/>
                <w:szCs w:val="21"/>
                <w:highlight w:val="none"/>
              </w:rPr>
            </w:pPr>
            <w:r>
              <w:rPr>
                <w:rFonts w:hint="eastAsia" w:hAnsi="宋体" w:cs="宋体"/>
                <w:szCs w:val="21"/>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436" w:type="dxa"/>
            <w:vAlign w:val="center"/>
          </w:tcPr>
          <w:p>
            <w:pPr>
              <w:ind w:firstLine="210" w:firstLineChars="100"/>
              <w:rPr>
                <w:rFonts w:hAnsi="宋体" w:cs="宋体"/>
                <w:szCs w:val="21"/>
                <w:highlight w:val="none"/>
              </w:rPr>
            </w:pPr>
            <w:r>
              <w:rPr>
                <w:rFonts w:hint="eastAsia" w:hAnsi="宋体" w:cs="宋体"/>
                <w:szCs w:val="21"/>
                <w:highlight w:val="none"/>
              </w:rPr>
              <w:t>设在广东省内的</w:t>
            </w:r>
          </w:p>
          <w:p>
            <w:pPr>
              <w:ind w:firstLine="210" w:firstLineChars="100"/>
              <w:rPr>
                <w:rFonts w:hAnsi="宋体" w:cs="宋体"/>
                <w:szCs w:val="21"/>
                <w:highlight w:val="none"/>
              </w:rPr>
            </w:pPr>
            <w:r>
              <w:rPr>
                <w:rFonts w:hint="eastAsia" w:hAnsi="宋体" w:cs="宋体"/>
                <w:szCs w:val="21"/>
                <w:highlight w:val="none"/>
              </w:rPr>
              <w:t>售后服务机构情况</w:t>
            </w:r>
          </w:p>
        </w:tc>
        <w:tc>
          <w:tcPr>
            <w:tcW w:w="4640" w:type="dxa"/>
            <w:vAlign w:val="center"/>
          </w:tcPr>
          <w:p>
            <w:pPr>
              <w:rPr>
                <w:rFonts w:hAnsi="宋体" w:cs="宋体"/>
                <w:szCs w:val="21"/>
                <w:highlight w:val="none"/>
              </w:rPr>
            </w:pPr>
            <w:r>
              <w:rPr>
                <w:rFonts w:hint="eastAsia" w:hAnsi="宋体" w:cs="宋体"/>
                <w:szCs w:val="21"/>
                <w:highlight w:val="none"/>
              </w:rPr>
              <w:t>机构名称：</w:t>
            </w:r>
          </w:p>
          <w:p>
            <w:pPr>
              <w:rPr>
                <w:rFonts w:hAnsi="宋体" w:cs="宋体"/>
                <w:szCs w:val="21"/>
                <w:highlight w:val="none"/>
              </w:rPr>
            </w:pPr>
            <w:r>
              <w:rPr>
                <w:rFonts w:hint="eastAsia" w:hAnsi="宋体" w:cs="宋体"/>
                <w:szCs w:val="21"/>
                <w:highlight w:val="none"/>
              </w:rPr>
              <w:t>地    址：</w:t>
            </w:r>
          </w:p>
          <w:p>
            <w:pPr>
              <w:rPr>
                <w:rFonts w:hAnsi="宋体" w:cs="宋体"/>
                <w:szCs w:val="21"/>
                <w:highlight w:val="none"/>
              </w:rPr>
            </w:pPr>
            <w:r>
              <w:rPr>
                <w:rFonts w:hint="eastAsia" w:hAnsi="宋体" w:cs="宋体"/>
                <w:szCs w:val="21"/>
                <w:highlight w:val="none"/>
              </w:rPr>
              <w:t>负 责 人：</w:t>
            </w:r>
          </w:p>
          <w:p>
            <w:pPr>
              <w:rPr>
                <w:rFonts w:hAnsi="宋体" w:cs="宋体"/>
                <w:szCs w:val="21"/>
                <w:highlight w:val="none"/>
              </w:rPr>
            </w:pPr>
            <w:r>
              <w:rPr>
                <w:rFonts w:hint="eastAsia" w:hAnsi="宋体" w:cs="宋体"/>
                <w:szCs w:val="21"/>
                <w:highlight w:val="none"/>
              </w:rPr>
              <w:t>服务机构性质：企业自有 /委托代理</w:t>
            </w:r>
          </w:p>
        </w:tc>
        <w:tc>
          <w:tcPr>
            <w:tcW w:w="2779" w:type="dxa"/>
            <w:vAlign w:val="center"/>
          </w:tcPr>
          <w:p>
            <w:pPr>
              <w:pStyle w:val="159"/>
              <w:jc w:val="both"/>
              <w:rPr>
                <w:rFonts w:ascii="宋体" w:hAnsi="宋体" w:cs="宋体"/>
                <w:b w:val="0"/>
                <w:color w:val="auto"/>
                <w:highlight w:val="none"/>
              </w:rPr>
            </w:pPr>
            <w:r>
              <w:rPr>
                <w:rFonts w:hint="eastAsia" w:ascii="宋体" w:hAnsi="宋体" w:cs="宋体"/>
                <w:b w:val="0"/>
                <w:color w:val="auto"/>
                <w:highlight w:val="none"/>
              </w:rPr>
              <w:t>姓名:</w:t>
            </w:r>
          </w:p>
          <w:p>
            <w:pPr>
              <w:pStyle w:val="159"/>
              <w:jc w:val="both"/>
              <w:rPr>
                <w:rFonts w:ascii="宋体" w:hAnsi="宋体" w:cs="宋体"/>
                <w:b w:val="0"/>
                <w:color w:val="auto"/>
                <w:highlight w:val="none"/>
              </w:rPr>
            </w:pPr>
            <w:r>
              <w:rPr>
                <w:rFonts w:hint="eastAsia" w:ascii="宋体" w:hAnsi="宋体" w:cs="宋体"/>
                <w:b w:val="0"/>
                <w:color w:val="auto"/>
                <w:highlight w:val="none"/>
              </w:rPr>
              <w:t>电话:</w:t>
            </w:r>
          </w:p>
          <w:p>
            <w:pPr>
              <w:rPr>
                <w:rFonts w:hAnsi="宋体" w:cs="宋体"/>
                <w:szCs w:val="21"/>
                <w:highlight w:val="none"/>
              </w:rPr>
            </w:pPr>
            <w:r>
              <w:rPr>
                <w:rFonts w:hint="eastAsia" w:hAnsi="宋体" w:cs="宋体"/>
                <w:szCs w:val="21"/>
                <w:highlight w:val="none"/>
              </w:rPr>
              <w:t>传真:</w:t>
            </w:r>
          </w:p>
        </w:tc>
      </w:tr>
    </w:tbl>
    <w:p>
      <w:pPr>
        <w:pStyle w:val="76"/>
        <w:rPr>
          <w:rFonts w:ascii="宋体" w:hAnsi="宋体" w:cs="宋体"/>
          <w:sz w:val="28"/>
          <w:szCs w:val="28"/>
          <w:highlight w:val="none"/>
        </w:rPr>
      </w:pPr>
    </w:p>
    <w:p>
      <w:pPr>
        <w:snapToGrid w:val="0"/>
        <w:spacing w:line="300" w:lineRule="auto"/>
        <w:rPr>
          <w:rFonts w:hAnsi="宋体" w:cs="宋体"/>
          <w:szCs w:val="21"/>
          <w:highlight w:val="none"/>
        </w:rPr>
      </w:pPr>
      <w:r>
        <w:rPr>
          <w:rFonts w:hint="eastAsia" w:hAnsi="宋体" w:cs="宋体"/>
          <w:szCs w:val="21"/>
          <w:highlight w:val="none"/>
        </w:rPr>
        <w:t>投标人法定代表人（或法定代表人授权代表）签字：</w:t>
      </w:r>
    </w:p>
    <w:p>
      <w:pPr>
        <w:snapToGrid w:val="0"/>
        <w:spacing w:line="300" w:lineRule="auto"/>
        <w:rPr>
          <w:rFonts w:hAnsi="宋体" w:cs="宋体"/>
          <w:szCs w:val="21"/>
          <w:highlight w:val="none"/>
          <w:u w:val="single"/>
        </w:rPr>
      </w:pPr>
      <w:r>
        <w:rPr>
          <w:rFonts w:hint="eastAsia" w:hAnsi="宋体" w:cs="宋体"/>
          <w:szCs w:val="21"/>
          <w:highlight w:val="none"/>
        </w:rPr>
        <w:t>投标人名称（加盖法人公章）：</w:t>
      </w:r>
    </w:p>
    <w:p>
      <w:pPr>
        <w:spacing w:line="360" w:lineRule="auto"/>
        <w:ind w:right="893"/>
        <w:jc w:val="both"/>
        <w:rPr>
          <w:rFonts w:hAnsi="宋体" w:cs="宋体"/>
          <w:kern w:val="2"/>
          <w:highlight w:val="none"/>
          <w:lang w:val="zh-CN"/>
        </w:rPr>
      </w:pPr>
      <w:r>
        <w:rPr>
          <w:rFonts w:hint="eastAsia" w:hAnsi="宋体" w:cs="宋体"/>
          <w:kern w:val="2"/>
          <w:highlight w:val="none"/>
          <w:lang w:val="zh-CN"/>
        </w:rPr>
        <w:t>日期：          年      月     日</w:t>
      </w:r>
    </w:p>
    <w:p>
      <w:pPr>
        <w:rPr>
          <w:rFonts w:hAnsi="宋体" w:cs="宋体"/>
          <w:highlight w:val="none"/>
        </w:rPr>
      </w:pPr>
    </w:p>
    <w:p>
      <w:pPr>
        <w:pStyle w:val="4"/>
        <w:spacing w:after="120" w:line="480" w:lineRule="exact"/>
        <w:rPr>
          <w:rFonts w:hAnsi="宋体" w:cs="宋体"/>
          <w:b/>
          <w:szCs w:val="21"/>
          <w:highlight w:val="none"/>
        </w:rPr>
      </w:pPr>
      <w:r>
        <w:rPr>
          <w:rFonts w:hint="eastAsia" w:hAnsi="宋体" w:cs="宋体"/>
          <w:szCs w:val="21"/>
          <w:highlight w:val="none"/>
        </w:rPr>
        <w:br w:type="page"/>
      </w:r>
      <w:r>
        <w:rPr>
          <w:rFonts w:hint="eastAsia" w:hAnsi="宋体" w:cs="宋体"/>
          <w:b/>
          <w:szCs w:val="20"/>
          <w:highlight w:val="none"/>
        </w:rPr>
        <w:t>附表2.11  商务条款响应表格式</w:t>
      </w:r>
    </w:p>
    <w:p>
      <w:pPr>
        <w:pStyle w:val="4"/>
        <w:spacing w:after="120" w:line="480" w:lineRule="exact"/>
        <w:rPr>
          <w:rFonts w:hAnsi="宋体" w:cs="宋体"/>
          <w:b/>
          <w:szCs w:val="20"/>
          <w:highlight w:val="none"/>
        </w:rPr>
      </w:pPr>
      <w:r>
        <w:rPr>
          <w:rFonts w:hint="eastAsia" w:hAnsi="宋体" w:cs="宋体"/>
          <w:b/>
          <w:szCs w:val="20"/>
          <w:highlight w:val="none"/>
        </w:rPr>
        <w:t>（1）实质性商务条款（“★”项）响应表格式</w:t>
      </w:r>
    </w:p>
    <w:p>
      <w:pPr>
        <w:pStyle w:val="76"/>
        <w:jc w:val="center"/>
        <w:rPr>
          <w:rFonts w:ascii="宋体" w:hAnsi="宋体" w:cs="宋体"/>
          <w:b/>
          <w:sz w:val="32"/>
          <w:szCs w:val="32"/>
          <w:highlight w:val="none"/>
        </w:rPr>
      </w:pPr>
      <w:bookmarkStart w:id="34" w:name="_Hlk495872607"/>
      <w:r>
        <w:rPr>
          <w:rFonts w:hint="eastAsia" w:ascii="宋体" w:hAnsi="宋体" w:cs="宋体"/>
          <w:b/>
          <w:sz w:val="32"/>
          <w:szCs w:val="32"/>
          <w:highlight w:val="none"/>
        </w:rPr>
        <w:t>实质性商务条款（“★”项）响应表</w:t>
      </w:r>
      <w:bookmarkEnd w:id="34"/>
    </w:p>
    <w:p>
      <w:pPr>
        <w:spacing w:line="360" w:lineRule="auto"/>
        <w:rPr>
          <w:rFonts w:hAnsi="宋体" w:cs="宋体"/>
          <w:szCs w:val="21"/>
          <w:highlight w:val="none"/>
          <w:u w:val="single"/>
        </w:rPr>
      </w:pPr>
      <w:r>
        <w:rPr>
          <w:rFonts w:hint="eastAsia" w:hAnsi="宋体" w:cs="宋体"/>
          <w:szCs w:val="21"/>
          <w:highlight w:val="none"/>
        </w:rPr>
        <w:t>投标人名称：</w:t>
      </w:r>
    </w:p>
    <w:p>
      <w:pPr>
        <w:spacing w:line="360" w:lineRule="auto"/>
        <w:rPr>
          <w:rFonts w:hAnsi="宋体" w:cs="宋体"/>
          <w:szCs w:val="21"/>
          <w:highlight w:val="none"/>
        </w:rPr>
      </w:pPr>
      <w:r>
        <w:rPr>
          <w:rFonts w:hint="eastAsia" w:hAnsi="宋体" w:cs="宋体"/>
          <w:szCs w:val="21"/>
          <w:highlight w:val="none"/>
        </w:rPr>
        <w:t xml:space="preserve">采购编号：GDYD221545    </w:t>
      </w:r>
    </w:p>
    <w:p>
      <w:pPr>
        <w:spacing w:line="360" w:lineRule="auto"/>
        <w:rPr>
          <w:rFonts w:hAnsi="宋体" w:cs="宋体"/>
          <w:szCs w:val="21"/>
          <w:highlight w:val="none"/>
        </w:rPr>
      </w:pPr>
      <w:r>
        <w:rPr>
          <w:rFonts w:hint="eastAsia" w:hAnsi="宋体" w:cs="宋体"/>
          <w:szCs w:val="21"/>
          <w:highlight w:val="none"/>
        </w:rPr>
        <w:t>项目名称：国家海洋局南海标准计量中心2023年船员服务采购项目</w:t>
      </w:r>
    </w:p>
    <w:p>
      <w:pPr>
        <w:spacing w:line="360" w:lineRule="auto"/>
        <w:rPr>
          <w:rFonts w:hAnsi="宋体" w:cs="宋体"/>
          <w:szCs w:val="21"/>
          <w:highlight w:val="none"/>
        </w:rPr>
      </w:pPr>
      <w:r>
        <w:rPr>
          <w:rFonts w:hint="eastAsia" w:hAnsi="宋体" w:cs="宋体"/>
          <w:szCs w:val="21"/>
          <w:highlight w:val="none"/>
        </w:rPr>
        <w:t>包组号：</w:t>
      </w:r>
    </w:p>
    <w:p>
      <w:pPr>
        <w:spacing w:line="360" w:lineRule="auto"/>
        <w:rPr>
          <w:rFonts w:hAnsi="宋体" w:cs="宋体"/>
          <w:szCs w:val="21"/>
          <w:highlight w:val="none"/>
        </w:rPr>
      </w:pPr>
    </w:p>
    <w:tbl>
      <w:tblPr>
        <w:tblStyle w:val="4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5"/>
        <w:gridCol w:w="804"/>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25" w:type="dxa"/>
            <w:shd w:val="clear" w:color="auto" w:fill="F3F3F3"/>
            <w:vAlign w:val="center"/>
          </w:tcPr>
          <w:p>
            <w:pPr>
              <w:jc w:val="center"/>
              <w:rPr>
                <w:rFonts w:hAnsi="宋体" w:cs="宋体"/>
                <w:b/>
                <w:bCs/>
                <w:szCs w:val="21"/>
                <w:highlight w:val="none"/>
              </w:rPr>
            </w:pPr>
            <w:r>
              <w:rPr>
                <w:rFonts w:hint="eastAsia" w:hAnsi="宋体" w:cs="宋体"/>
                <w:b/>
                <w:bCs/>
                <w:szCs w:val="21"/>
                <w:highlight w:val="none"/>
              </w:rPr>
              <w:t>序号</w:t>
            </w:r>
          </w:p>
        </w:tc>
        <w:tc>
          <w:tcPr>
            <w:tcW w:w="6185" w:type="dxa"/>
            <w:shd w:val="clear" w:color="auto" w:fill="F3F3F3"/>
            <w:vAlign w:val="center"/>
          </w:tcPr>
          <w:p>
            <w:pPr>
              <w:jc w:val="center"/>
              <w:rPr>
                <w:rFonts w:hAnsi="宋体" w:cs="宋体"/>
                <w:b/>
                <w:bCs/>
                <w:szCs w:val="21"/>
                <w:highlight w:val="none"/>
              </w:rPr>
            </w:pPr>
            <w:r>
              <w:rPr>
                <w:rFonts w:hint="eastAsia" w:hAnsi="宋体" w:cs="宋体"/>
                <w:b/>
                <w:bCs/>
                <w:szCs w:val="21"/>
                <w:highlight w:val="none"/>
              </w:rPr>
              <w:t>实质性响应条款要求</w:t>
            </w:r>
          </w:p>
        </w:tc>
        <w:tc>
          <w:tcPr>
            <w:tcW w:w="804" w:type="dxa"/>
            <w:shd w:val="clear" w:color="auto" w:fill="F3F3F3"/>
            <w:vAlign w:val="center"/>
          </w:tcPr>
          <w:p>
            <w:pPr>
              <w:jc w:val="center"/>
              <w:rPr>
                <w:rFonts w:hAnsi="宋体" w:cs="宋体"/>
                <w:b/>
                <w:bCs/>
                <w:szCs w:val="21"/>
                <w:highlight w:val="none"/>
              </w:rPr>
            </w:pPr>
            <w:r>
              <w:rPr>
                <w:rFonts w:hint="eastAsia" w:hAnsi="宋体" w:cs="宋体"/>
                <w:b/>
                <w:bCs/>
                <w:szCs w:val="21"/>
                <w:highlight w:val="none"/>
              </w:rPr>
              <w:t>是否响应</w:t>
            </w:r>
          </w:p>
        </w:tc>
        <w:tc>
          <w:tcPr>
            <w:tcW w:w="2141" w:type="dxa"/>
            <w:shd w:val="clear" w:color="auto" w:fill="F3F3F3"/>
            <w:vAlign w:val="center"/>
          </w:tcPr>
          <w:p>
            <w:pPr>
              <w:jc w:val="center"/>
              <w:rPr>
                <w:rFonts w:hAnsi="宋体" w:cs="宋体"/>
                <w:b/>
                <w:bCs/>
                <w:szCs w:val="21"/>
                <w:highlight w:val="none"/>
              </w:rPr>
            </w:pPr>
            <w:r>
              <w:rPr>
                <w:rFonts w:hint="eastAsia" w:hAnsi="宋体" w:cs="宋体"/>
                <w:b/>
                <w:bCs/>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725" w:type="dxa"/>
            <w:vAlign w:val="center"/>
          </w:tcPr>
          <w:p>
            <w:pPr>
              <w:numPr>
                <w:ilvl w:val="1"/>
                <w:numId w:val="18"/>
              </w:numPr>
              <w:autoSpaceDE/>
              <w:autoSpaceDN/>
              <w:adjustRightInd/>
              <w:jc w:val="center"/>
              <w:rPr>
                <w:rFonts w:hAnsi="宋体" w:cs="宋体"/>
                <w:szCs w:val="21"/>
                <w:highlight w:val="none"/>
              </w:rPr>
            </w:pPr>
          </w:p>
        </w:tc>
        <w:tc>
          <w:tcPr>
            <w:tcW w:w="6185" w:type="dxa"/>
            <w:vAlign w:val="center"/>
          </w:tcPr>
          <w:p>
            <w:pPr>
              <w:rPr>
                <w:rFonts w:hAnsi="宋体" w:cs="宋体"/>
                <w:szCs w:val="21"/>
                <w:highlight w:val="none"/>
              </w:rPr>
            </w:pPr>
            <w:r>
              <w:rPr>
                <w:rFonts w:hint="eastAsia" w:hAnsi="宋体" w:cs="宋体"/>
                <w:szCs w:val="21"/>
                <w:highlight w:val="none"/>
              </w:rPr>
              <w:t>招标文件用户需求书中的所有实质性商务条款（“★”项）均完全响应，无任何偏离</w:t>
            </w:r>
          </w:p>
        </w:tc>
        <w:tc>
          <w:tcPr>
            <w:tcW w:w="804" w:type="dxa"/>
            <w:vAlign w:val="center"/>
          </w:tcPr>
          <w:p>
            <w:pPr>
              <w:pStyle w:val="149"/>
              <w:keepNext w:val="0"/>
              <w:adjustRightInd/>
              <w:spacing w:before="0" w:after="0" w:line="240" w:lineRule="auto"/>
              <w:textAlignment w:val="auto"/>
              <w:rPr>
                <w:rFonts w:ascii="宋体" w:hAnsi="宋体" w:cs="宋体"/>
                <w:snapToGrid/>
                <w:spacing w:val="0"/>
                <w:kern w:val="2"/>
                <w:szCs w:val="21"/>
                <w:highlight w:val="none"/>
              </w:rPr>
            </w:pPr>
            <w:r>
              <w:rPr>
                <w:rFonts w:hint="eastAsia" w:ascii="宋体" w:hAnsi="宋体" w:cs="宋体"/>
                <w:snapToGrid/>
                <w:spacing w:val="0"/>
                <w:kern w:val="2"/>
                <w:szCs w:val="21"/>
                <w:highlight w:val="none"/>
              </w:rPr>
              <w:t>是</w:t>
            </w:r>
          </w:p>
        </w:tc>
        <w:tc>
          <w:tcPr>
            <w:tcW w:w="2141" w:type="dxa"/>
            <w:vAlign w:val="center"/>
          </w:tcPr>
          <w:p>
            <w:pPr>
              <w:jc w:val="center"/>
              <w:rPr>
                <w:rFonts w:hAnsi="宋体" w:cs="宋体"/>
                <w:szCs w:val="21"/>
                <w:highlight w:val="none"/>
              </w:rPr>
            </w:pPr>
            <w:r>
              <w:rPr>
                <w:rFonts w:hint="eastAsia" w:hAnsi="宋体" w:cs="宋体"/>
                <w:szCs w:val="21"/>
                <w:highlight w:val="none"/>
              </w:rPr>
              <w:t>无偏离</w:t>
            </w:r>
          </w:p>
        </w:tc>
      </w:tr>
    </w:tbl>
    <w:p>
      <w:pPr>
        <w:ind w:left="735" w:leftChars="150" w:hanging="420" w:hangingChars="200"/>
        <w:rPr>
          <w:rFonts w:hAnsi="宋体" w:cs="宋体"/>
          <w:szCs w:val="21"/>
          <w:highlight w:val="none"/>
          <w:lang w:val="en-GB"/>
        </w:rPr>
      </w:pPr>
    </w:p>
    <w:p>
      <w:pPr>
        <w:spacing w:line="360" w:lineRule="auto"/>
        <w:ind w:left="851" w:hanging="851"/>
        <w:rPr>
          <w:rFonts w:hAnsi="宋体" w:cs="宋体"/>
          <w:szCs w:val="21"/>
          <w:highlight w:val="none"/>
          <w:lang w:val="en-GB"/>
        </w:rPr>
      </w:pPr>
      <w:r>
        <w:rPr>
          <w:rFonts w:hint="eastAsia" w:hAnsi="宋体" w:cs="宋体"/>
          <w:szCs w:val="21"/>
          <w:highlight w:val="none"/>
        </w:rPr>
        <w:t>说明：1.投标人必须对应招标文件的商务条款要求带“★”号的内容逐条响应。如有缺漏，缺漏项视同不符合招标要求。投标人如响应所有的“★”商务条款，也可在表格中以“招标文件用户需求书中的所有实质性商务条款（“★”项）均完全响应，无任何偏离”的表述方式表述。</w:t>
      </w:r>
    </w:p>
    <w:p>
      <w:pPr>
        <w:spacing w:line="360" w:lineRule="auto"/>
        <w:ind w:left="770" w:leftChars="262" w:hanging="220" w:hangingChars="105"/>
        <w:rPr>
          <w:rFonts w:hAnsi="宋体" w:cs="宋体"/>
          <w:szCs w:val="21"/>
          <w:highlight w:val="none"/>
        </w:rPr>
      </w:pPr>
      <w:r>
        <w:rPr>
          <w:rFonts w:hint="eastAsia" w:hAnsi="宋体" w:cs="宋体"/>
          <w:szCs w:val="21"/>
          <w:highlight w:val="none"/>
          <w:lang w:val="en-GB"/>
        </w:rPr>
        <w:t>2.</w:t>
      </w:r>
      <w:r>
        <w:rPr>
          <w:rFonts w:hint="eastAsia" w:hAnsi="宋体" w:cs="宋体"/>
          <w:szCs w:val="21"/>
          <w:highlight w:val="none"/>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20" w:firstLineChars="200"/>
        <w:rPr>
          <w:rFonts w:hAnsi="宋体"/>
          <w:szCs w:val="21"/>
          <w:highlight w:val="none"/>
          <w:lang w:val="en-GB"/>
        </w:rPr>
      </w:pPr>
      <w:r>
        <w:rPr>
          <w:rFonts w:hint="eastAsia" w:hAnsi="宋体"/>
          <w:szCs w:val="21"/>
          <w:highlight w:val="none"/>
          <w:lang w:val="en-GB"/>
        </w:rPr>
        <w:t>3.本表内容按各自对应所投子包的内容自行更改。</w:t>
      </w:r>
    </w:p>
    <w:p>
      <w:pPr>
        <w:rPr>
          <w:rFonts w:hAnsi="宋体"/>
          <w:szCs w:val="21"/>
          <w:highlight w:val="none"/>
          <w:lang w:val="en-GB"/>
        </w:rPr>
      </w:pPr>
    </w:p>
    <w:p>
      <w:pPr>
        <w:rPr>
          <w:highlight w:val="none"/>
        </w:rPr>
      </w:pPr>
    </w:p>
    <w:p>
      <w:pPr>
        <w:snapToGrid w:val="0"/>
        <w:spacing w:line="360" w:lineRule="auto"/>
        <w:rPr>
          <w:rFonts w:hAnsi="宋体" w:cs="宋体"/>
          <w:szCs w:val="21"/>
          <w:highlight w:val="none"/>
        </w:rPr>
      </w:pPr>
      <w:r>
        <w:rPr>
          <w:rFonts w:hint="eastAsia" w:hAnsi="宋体" w:cs="宋体"/>
          <w:szCs w:val="21"/>
          <w:highlight w:val="none"/>
        </w:rPr>
        <w:t>投标人法定代表人（或法定代表人授权代表）亲笔签字：</w:t>
      </w:r>
    </w:p>
    <w:p>
      <w:pPr>
        <w:snapToGrid w:val="0"/>
        <w:spacing w:line="360" w:lineRule="auto"/>
        <w:rPr>
          <w:rFonts w:hAnsi="宋体" w:cs="宋体"/>
          <w:szCs w:val="21"/>
          <w:highlight w:val="none"/>
          <w:u w:val="single"/>
        </w:rPr>
      </w:pPr>
      <w:r>
        <w:rPr>
          <w:rFonts w:hint="eastAsia" w:hAnsi="宋体" w:cs="宋体"/>
          <w:szCs w:val="21"/>
          <w:highlight w:val="none"/>
        </w:rPr>
        <w:t>投标人名称（加盖法人公章）：</w:t>
      </w:r>
    </w:p>
    <w:p>
      <w:pPr>
        <w:snapToGrid w:val="0"/>
        <w:spacing w:line="360" w:lineRule="auto"/>
        <w:rPr>
          <w:rFonts w:hAnsi="宋体" w:cs="宋体"/>
          <w:szCs w:val="21"/>
          <w:highlight w:val="none"/>
        </w:rPr>
      </w:pPr>
      <w:r>
        <w:rPr>
          <w:rFonts w:hint="eastAsia" w:hAnsi="宋体" w:cs="宋体"/>
          <w:szCs w:val="21"/>
          <w:highlight w:val="none"/>
        </w:rPr>
        <w:t>日期：年 月 日</w:t>
      </w:r>
    </w:p>
    <w:p>
      <w:pPr>
        <w:pStyle w:val="4"/>
        <w:spacing w:after="120" w:line="480" w:lineRule="exact"/>
        <w:rPr>
          <w:rFonts w:hAnsi="宋体" w:cs="宋体"/>
          <w:b/>
          <w:szCs w:val="20"/>
          <w:highlight w:val="none"/>
        </w:rPr>
      </w:pPr>
      <w:r>
        <w:rPr>
          <w:rFonts w:hint="eastAsia" w:hAnsi="宋体" w:cs="宋体"/>
          <w:b/>
          <w:szCs w:val="20"/>
          <w:highlight w:val="none"/>
        </w:rPr>
        <w:br w:type="page"/>
      </w:r>
      <w:r>
        <w:rPr>
          <w:rFonts w:hint="eastAsia" w:hAnsi="宋体" w:cs="宋体"/>
          <w:b/>
          <w:szCs w:val="20"/>
          <w:highlight w:val="none"/>
        </w:rPr>
        <w:t>（2）一般</w:t>
      </w:r>
      <w:r>
        <w:rPr>
          <w:highlight w:val="none"/>
        </w:rPr>
        <w:fldChar w:fldCharType="begin"/>
      </w:r>
      <w:r>
        <w:rPr>
          <w:highlight w:val="none"/>
        </w:rPr>
        <w:instrText xml:space="preserve"> DOCVARIABLE  商务条款响应表开始  \* MERGEFORMAT </w:instrText>
      </w:r>
      <w:r>
        <w:rPr>
          <w:highlight w:val="none"/>
        </w:rPr>
        <w:fldChar w:fldCharType="end"/>
      </w:r>
      <w:r>
        <w:rPr>
          <w:highlight w:val="none"/>
        </w:rPr>
        <w:fldChar w:fldCharType="begin"/>
      </w:r>
      <w:r>
        <w:rPr>
          <w:highlight w:val="none"/>
        </w:rPr>
        <w:instrText xml:space="preserve"> DOCVARIABLE  商务条款响应表开始  \* MERGEFORMAT </w:instrText>
      </w:r>
      <w:r>
        <w:rPr>
          <w:highlight w:val="none"/>
        </w:rPr>
        <w:fldChar w:fldCharType="end"/>
      </w:r>
      <w:r>
        <w:rPr>
          <w:rFonts w:hint="eastAsia" w:hAnsi="宋体" w:cs="宋体"/>
          <w:b/>
          <w:szCs w:val="20"/>
          <w:highlight w:val="none"/>
        </w:rPr>
        <w:t>商务条款响应表格式</w:t>
      </w:r>
    </w:p>
    <w:p>
      <w:pPr>
        <w:pStyle w:val="76"/>
        <w:jc w:val="center"/>
        <w:rPr>
          <w:rFonts w:ascii="宋体" w:hAnsi="宋体" w:cs="宋体"/>
          <w:b/>
          <w:sz w:val="28"/>
          <w:szCs w:val="28"/>
          <w:highlight w:val="none"/>
        </w:rPr>
      </w:pPr>
      <w:bookmarkStart w:id="35" w:name="_Hlk495872628"/>
      <w:r>
        <w:rPr>
          <w:rFonts w:hint="eastAsia" w:ascii="宋体" w:hAnsi="宋体" w:cs="宋体"/>
          <w:b/>
          <w:sz w:val="28"/>
          <w:szCs w:val="28"/>
          <w:highlight w:val="none"/>
        </w:rPr>
        <w:t>一般商务条款响应表</w:t>
      </w:r>
    </w:p>
    <w:bookmarkEnd w:id="35"/>
    <w:p>
      <w:pPr>
        <w:spacing w:line="360" w:lineRule="auto"/>
        <w:rPr>
          <w:rFonts w:hAnsi="宋体" w:cs="宋体"/>
          <w:szCs w:val="21"/>
          <w:highlight w:val="none"/>
          <w:u w:val="single"/>
        </w:rPr>
      </w:pPr>
      <w:r>
        <w:rPr>
          <w:rFonts w:hint="eastAsia" w:hAnsi="宋体" w:cs="宋体"/>
          <w:szCs w:val="21"/>
          <w:highlight w:val="none"/>
        </w:rPr>
        <w:t>投标人名称：</w:t>
      </w:r>
    </w:p>
    <w:p>
      <w:pPr>
        <w:spacing w:line="360" w:lineRule="auto"/>
        <w:rPr>
          <w:rFonts w:hAnsi="宋体" w:cs="宋体"/>
          <w:szCs w:val="21"/>
          <w:highlight w:val="none"/>
        </w:rPr>
      </w:pPr>
      <w:r>
        <w:rPr>
          <w:rFonts w:hint="eastAsia" w:hAnsi="宋体" w:cs="宋体"/>
          <w:szCs w:val="21"/>
          <w:highlight w:val="none"/>
        </w:rPr>
        <w:t xml:space="preserve">采购编号：GDYD221545                 </w:t>
      </w:r>
    </w:p>
    <w:p>
      <w:pPr>
        <w:spacing w:line="360" w:lineRule="auto"/>
        <w:rPr>
          <w:rFonts w:hAnsi="宋体" w:cs="宋体"/>
          <w:szCs w:val="21"/>
          <w:highlight w:val="none"/>
        </w:rPr>
      </w:pPr>
      <w:r>
        <w:rPr>
          <w:rFonts w:hint="eastAsia" w:hAnsi="宋体" w:cs="宋体"/>
          <w:szCs w:val="21"/>
          <w:highlight w:val="none"/>
        </w:rPr>
        <w:t>项目名称：国家海洋局南海标准计量中心2023年船员服务采购项目</w:t>
      </w:r>
    </w:p>
    <w:p>
      <w:pPr>
        <w:spacing w:line="360" w:lineRule="auto"/>
        <w:rPr>
          <w:rFonts w:hAnsi="宋体" w:cs="宋体"/>
          <w:szCs w:val="21"/>
          <w:highlight w:val="none"/>
        </w:rPr>
      </w:pPr>
      <w:r>
        <w:rPr>
          <w:rFonts w:hint="eastAsia" w:hAnsi="宋体" w:cs="宋体"/>
          <w:szCs w:val="21"/>
          <w:highlight w:val="none"/>
        </w:rPr>
        <w:t>包组号：</w:t>
      </w:r>
    </w:p>
    <w:p>
      <w:pPr>
        <w:spacing w:line="360" w:lineRule="auto"/>
        <w:rPr>
          <w:rFonts w:hAnsi="宋体" w:cs="宋体"/>
          <w:szCs w:val="21"/>
          <w:highlight w:val="none"/>
        </w:rPr>
      </w:pPr>
    </w:p>
    <w:tbl>
      <w:tblPr>
        <w:tblStyle w:val="4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6470"/>
        <w:gridCol w:w="719"/>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4" w:type="dxa"/>
            <w:shd w:val="clear" w:color="auto" w:fill="F3F3F3"/>
            <w:vAlign w:val="center"/>
          </w:tcPr>
          <w:p>
            <w:pPr>
              <w:jc w:val="center"/>
              <w:rPr>
                <w:rFonts w:hAnsi="宋体" w:cs="宋体"/>
                <w:b/>
                <w:bCs/>
                <w:szCs w:val="21"/>
                <w:highlight w:val="none"/>
              </w:rPr>
            </w:pPr>
            <w:r>
              <w:rPr>
                <w:rFonts w:hint="eastAsia" w:hAnsi="宋体" w:cs="宋体"/>
                <w:b/>
                <w:bCs/>
                <w:szCs w:val="21"/>
                <w:highlight w:val="none"/>
              </w:rPr>
              <w:t>序号</w:t>
            </w:r>
          </w:p>
        </w:tc>
        <w:tc>
          <w:tcPr>
            <w:tcW w:w="6470" w:type="dxa"/>
            <w:shd w:val="clear" w:color="auto" w:fill="F3F3F3"/>
            <w:vAlign w:val="center"/>
          </w:tcPr>
          <w:p>
            <w:pPr>
              <w:jc w:val="center"/>
              <w:rPr>
                <w:rFonts w:hAnsi="宋体" w:cs="宋体"/>
                <w:b/>
                <w:bCs/>
                <w:szCs w:val="21"/>
                <w:highlight w:val="none"/>
              </w:rPr>
            </w:pPr>
            <w:r>
              <w:rPr>
                <w:rFonts w:hint="eastAsia" w:hAnsi="宋体" w:cs="宋体"/>
                <w:b/>
                <w:bCs/>
                <w:szCs w:val="21"/>
                <w:highlight w:val="none"/>
              </w:rPr>
              <w:t>一般商务条款要求</w:t>
            </w:r>
          </w:p>
        </w:tc>
        <w:tc>
          <w:tcPr>
            <w:tcW w:w="719" w:type="dxa"/>
            <w:shd w:val="clear" w:color="auto" w:fill="F3F3F3"/>
            <w:vAlign w:val="center"/>
          </w:tcPr>
          <w:p>
            <w:pPr>
              <w:jc w:val="center"/>
              <w:rPr>
                <w:rFonts w:hAnsi="宋体" w:cs="宋体"/>
                <w:b/>
                <w:bCs/>
                <w:szCs w:val="21"/>
                <w:highlight w:val="none"/>
              </w:rPr>
            </w:pPr>
            <w:r>
              <w:rPr>
                <w:rFonts w:hint="eastAsia" w:hAnsi="宋体" w:cs="宋体"/>
                <w:b/>
                <w:bCs/>
                <w:szCs w:val="21"/>
                <w:highlight w:val="none"/>
              </w:rPr>
              <w:t>是否响应</w:t>
            </w:r>
          </w:p>
        </w:tc>
        <w:tc>
          <w:tcPr>
            <w:tcW w:w="719" w:type="dxa"/>
            <w:shd w:val="clear" w:color="auto" w:fill="F3F3F3"/>
            <w:vAlign w:val="center"/>
          </w:tcPr>
          <w:p>
            <w:pPr>
              <w:jc w:val="center"/>
              <w:rPr>
                <w:rFonts w:hAnsi="宋体" w:cs="宋体"/>
                <w:b/>
                <w:bCs/>
                <w:szCs w:val="21"/>
                <w:highlight w:val="none"/>
              </w:rPr>
            </w:pPr>
            <w:r>
              <w:rPr>
                <w:rFonts w:hint="eastAsia" w:hAnsi="宋体" w:cs="宋体"/>
                <w:b/>
                <w:bCs/>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4" w:type="dxa"/>
            <w:vAlign w:val="center"/>
          </w:tcPr>
          <w:p>
            <w:pPr>
              <w:jc w:val="center"/>
              <w:rPr>
                <w:rFonts w:hAnsi="宋体" w:cs="宋体"/>
                <w:szCs w:val="21"/>
                <w:highlight w:val="none"/>
              </w:rPr>
            </w:pPr>
            <w:r>
              <w:rPr>
                <w:rFonts w:hint="eastAsia" w:hAnsi="宋体" w:cs="宋体"/>
                <w:szCs w:val="21"/>
                <w:highlight w:val="none"/>
              </w:rPr>
              <w:t>1</w:t>
            </w:r>
          </w:p>
        </w:tc>
        <w:tc>
          <w:tcPr>
            <w:tcW w:w="6470" w:type="dxa"/>
            <w:vAlign w:val="center"/>
          </w:tcPr>
          <w:p>
            <w:pPr>
              <w:rPr>
                <w:rFonts w:hAnsi="宋体" w:cs="宋体"/>
                <w:szCs w:val="21"/>
                <w:highlight w:val="none"/>
              </w:rPr>
            </w:pPr>
            <w:r>
              <w:rPr>
                <w:rFonts w:hint="eastAsia" w:hAnsi="宋体" w:cs="宋体"/>
                <w:szCs w:val="21"/>
                <w:highlight w:val="none"/>
              </w:rPr>
              <w:t>完全理解并接受合同条款要求及其他所有商务条款要求</w:t>
            </w:r>
          </w:p>
        </w:tc>
        <w:tc>
          <w:tcPr>
            <w:tcW w:w="719" w:type="dxa"/>
            <w:vAlign w:val="center"/>
          </w:tcPr>
          <w:p>
            <w:pPr>
              <w:pStyle w:val="149"/>
              <w:keepNext w:val="0"/>
              <w:adjustRightInd/>
              <w:spacing w:before="0" w:after="0" w:line="240" w:lineRule="auto"/>
              <w:textAlignment w:val="auto"/>
              <w:rPr>
                <w:rFonts w:ascii="宋体" w:hAnsi="宋体" w:cs="宋体"/>
                <w:snapToGrid/>
                <w:spacing w:val="0"/>
                <w:kern w:val="2"/>
                <w:szCs w:val="21"/>
                <w:highlight w:val="none"/>
              </w:rPr>
            </w:pPr>
          </w:p>
        </w:tc>
        <w:tc>
          <w:tcPr>
            <w:tcW w:w="719" w:type="dxa"/>
            <w:vAlign w:val="center"/>
          </w:tcPr>
          <w:p>
            <w:pPr>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4" w:type="dxa"/>
            <w:vAlign w:val="center"/>
          </w:tcPr>
          <w:p>
            <w:pPr>
              <w:jc w:val="center"/>
              <w:rPr>
                <w:rFonts w:hAnsi="宋体" w:cs="宋体"/>
                <w:szCs w:val="21"/>
                <w:highlight w:val="none"/>
              </w:rPr>
            </w:pPr>
            <w:r>
              <w:rPr>
                <w:rFonts w:hint="eastAsia" w:hAnsi="宋体" w:cs="宋体"/>
                <w:szCs w:val="21"/>
                <w:highlight w:val="none"/>
              </w:rPr>
              <w:t>2</w:t>
            </w:r>
          </w:p>
        </w:tc>
        <w:tc>
          <w:tcPr>
            <w:tcW w:w="6470" w:type="dxa"/>
            <w:vAlign w:val="center"/>
          </w:tcPr>
          <w:p>
            <w:pPr>
              <w:rPr>
                <w:rFonts w:hAnsi="宋体" w:cs="宋体"/>
                <w:szCs w:val="21"/>
                <w:highlight w:val="none"/>
              </w:rPr>
            </w:pPr>
            <w:r>
              <w:rPr>
                <w:rFonts w:hint="eastAsia" w:hAnsi="宋体" w:cs="宋体"/>
                <w:szCs w:val="21"/>
                <w:highlight w:val="none"/>
              </w:rPr>
              <w:t>完全理解并接受对合格投标人、合格的货物、工程和服务要求</w:t>
            </w:r>
          </w:p>
        </w:tc>
        <w:tc>
          <w:tcPr>
            <w:tcW w:w="719" w:type="dxa"/>
            <w:vAlign w:val="center"/>
          </w:tcPr>
          <w:p>
            <w:pPr>
              <w:pStyle w:val="149"/>
              <w:keepNext w:val="0"/>
              <w:adjustRightInd/>
              <w:spacing w:before="0" w:after="0" w:line="240" w:lineRule="auto"/>
              <w:textAlignment w:val="auto"/>
              <w:rPr>
                <w:rFonts w:ascii="宋体" w:hAnsi="宋体" w:cs="宋体"/>
                <w:snapToGrid/>
                <w:spacing w:val="0"/>
                <w:kern w:val="2"/>
                <w:szCs w:val="21"/>
                <w:highlight w:val="none"/>
              </w:rPr>
            </w:pPr>
          </w:p>
        </w:tc>
        <w:tc>
          <w:tcPr>
            <w:tcW w:w="719" w:type="dxa"/>
            <w:vAlign w:val="center"/>
          </w:tcPr>
          <w:p>
            <w:pPr>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4" w:type="dxa"/>
            <w:vAlign w:val="center"/>
          </w:tcPr>
          <w:p>
            <w:pPr>
              <w:jc w:val="center"/>
              <w:rPr>
                <w:rFonts w:hAnsi="宋体" w:cs="宋体"/>
                <w:szCs w:val="21"/>
                <w:highlight w:val="none"/>
              </w:rPr>
            </w:pPr>
            <w:r>
              <w:rPr>
                <w:rFonts w:hint="eastAsia" w:hAnsi="宋体" w:cs="宋体"/>
                <w:szCs w:val="21"/>
                <w:highlight w:val="none"/>
              </w:rPr>
              <w:t>3</w:t>
            </w:r>
          </w:p>
        </w:tc>
        <w:tc>
          <w:tcPr>
            <w:tcW w:w="6470" w:type="dxa"/>
            <w:vAlign w:val="center"/>
          </w:tcPr>
          <w:p>
            <w:pPr>
              <w:rPr>
                <w:rFonts w:hAnsi="宋体" w:cs="宋体"/>
                <w:szCs w:val="21"/>
                <w:highlight w:val="none"/>
              </w:rPr>
            </w:pPr>
            <w:r>
              <w:rPr>
                <w:rFonts w:hint="eastAsia" w:hAnsi="宋体" w:cs="宋体"/>
                <w:szCs w:val="21"/>
                <w:highlight w:val="none"/>
              </w:rPr>
              <w:t>完全理解并接受对投标人的各项须知、规约要求和责任义务</w:t>
            </w:r>
          </w:p>
        </w:tc>
        <w:tc>
          <w:tcPr>
            <w:tcW w:w="719" w:type="dxa"/>
            <w:vAlign w:val="center"/>
          </w:tcPr>
          <w:p>
            <w:pPr>
              <w:jc w:val="center"/>
              <w:rPr>
                <w:rFonts w:hAnsi="宋体" w:cs="宋体"/>
                <w:szCs w:val="21"/>
                <w:highlight w:val="none"/>
              </w:rPr>
            </w:pPr>
          </w:p>
        </w:tc>
        <w:tc>
          <w:tcPr>
            <w:tcW w:w="719" w:type="dxa"/>
            <w:vAlign w:val="center"/>
          </w:tcPr>
          <w:p>
            <w:pPr>
              <w:ind w:right="-35"/>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4" w:type="dxa"/>
            <w:vAlign w:val="center"/>
          </w:tcPr>
          <w:p>
            <w:pPr>
              <w:jc w:val="center"/>
              <w:rPr>
                <w:rFonts w:hAnsi="宋体" w:cs="宋体"/>
                <w:szCs w:val="21"/>
                <w:highlight w:val="none"/>
              </w:rPr>
            </w:pPr>
            <w:r>
              <w:rPr>
                <w:rFonts w:hint="eastAsia" w:hAnsi="宋体" w:cs="宋体"/>
                <w:szCs w:val="21"/>
                <w:highlight w:val="none"/>
              </w:rPr>
              <w:t>4</w:t>
            </w:r>
          </w:p>
        </w:tc>
        <w:tc>
          <w:tcPr>
            <w:tcW w:w="6470" w:type="dxa"/>
            <w:vAlign w:val="center"/>
          </w:tcPr>
          <w:p>
            <w:pPr>
              <w:rPr>
                <w:rFonts w:hAnsi="宋体" w:cs="宋体"/>
                <w:iCs/>
                <w:szCs w:val="21"/>
                <w:highlight w:val="none"/>
              </w:rPr>
            </w:pPr>
            <w:r>
              <w:rPr>
                <w:rFonts w:hint="eastAsia" w:hAnsi="宋体" w:cs="宋体"/>
                <w:iCs/>
                <w:szCs w:val="21"/>
                <w:highlight w:val="none"/>
              </w:rPr>
              <w:t>投标有效期：投标有效期为自递交投标文件起不少于90天，如确定为正式中标人，则有效期将延至本项目《政府采购合同》执行期满日为止。</w:t>
            </w:r>
          </w:p>
        </w:tc>
        <w:tc>
          <w:tcPr>
            <w:tcW w:w="719" w:type="dxa"/>
            <w:vAlign w:val="center"/>
          </w:tcPr>
          <w:p>
            <w:pPr>
              <w:jc w:val="center"/>
              <w:rPr>
                <w:rFonts w:hAnsi="宋体" w:cs="宋体"/>
                <w:szCs w:val="21"/>
                <w:highlight w:val="none"/>
              </w:rPr>
            </w:pPr>
          </w:p>
        </w:tc>
        <w:tc>
          <w:tcPr>
            <w:tcW w:w="719" w:type="dxa"/>
            <w:vAlign w:val="center"/>
          </w:tcPr>
          <w:p>
            <w:pPr>
              <w:ind w:right="-35"/>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4" w:type="dxa"/>
            <w:vAlign w:val="center"/>
          </w:tcPr>
          <w:p>
            <w:pPr>
              <w:jc w:val="center"/>
              <w:rPr>
                <w:rFonts w:hAnsi="宋体" w:cs="宋体"/>
                <w:szCs w:val="21"/>
                <w:highlight w:val="none"/>
              </w:rPr>
            </w:pPr>
            <w:r>
              <w:rPr>
                <w:rFonts w:hint="eastAsia" w:hAnsi="宋体" w:cs="宋体"/>
                <w:szCs w:val="21"/>
                <w:highlight w:val="none"/>
              </w:rPr>
              <w:t>5</w:t>
            </w:r>
          </w:p>
        </w:tc>
        <w:tc>
          <w:tcPr>
            <w:tcW w:w="6470" w:type="dxa"/>
            <w:vAlign w:val="center"/>
          </w:tcPr>
          <w:p>
            <w:pPr>
              <w:rPr>
                <w:rFonts w:hAnsi="宋体" w:cs="宋体"/>
                <w:szCs w:val="21"/>
                <w:highlight w:val="none"/>
              </w:rPr>
            </w:pPr>
            <w:r>
              <w:rPr>
                <w:rFonts w:hint="eastAsia" w:hAnsi="宋体" w:cs="宋体"/>
                <w:szCs w:val="21"/>
                <w:highlight w:val="none"/>
              </w:rPr>
              <w:t>报价内容均涵盖报价要求之一切费用和伴随服务</w:t>
            </w:r>
          </w:p>
        </w:tc>
        <w:tc>
          <w:tcPr>
            <w:tcW w:w="719" w:type="dxa"/>
            <w:vAlign w:val="center"/>
          </w:tcPr>
          <w:p>
            <w:pPr>
              <w:jc w:val="center"/>
              <w:rPr>
                <w:rFonts w:hAnsi="宋体" w:cs="宋体"/>
                <w:szCs w:val="21"/>
                <w:highlight w:val="none"/>
              </w:rPr>
            </w:pPr>
          </w:p>
        </w:tc>
        <w:tc>
          <w:tcPr>
            <w:tcW w:w="719" w:type="dxa"/>
            <w:vAlign w:val="center"/>
          </w:tcPr>
          <w:p>
            <w:pPr>
              <w:ind w:right="-35"/>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4" w:type="dxa"/>
            <w:vAlign w:val="center"/>
          </w:tcPr>
          <w:p>
            <w:pPr>
              <w:jc w:val="center"/>
              <w:rPr>
                <w:rFonts w:hAnsi="宋体" w:cs="宋体"/>
                <w:szCs w:val="21"/>
                <w:highlight w:val="none"/>
              </w:rPr>
            </w:pPr>
            <w:r>
              <w:rPr>
                <w:rFonts w:hint="eastAsia" w:hAnsi="宋体" w:cs="宋体"/>
                <w:szCs w:val="21"/>
                <w:highlight w:val="none"/>
              </w:rPr>
              <w:t>6</w:t>
            </w:r>
          </w:p>
        </w:tc>
        <w:tc>
          <w:tcPr>
            <w:tcW w:w="6470" w:type="dxa"/>
            <w:vAlign w:val="center"/>
          </w:tcPr>
          <w:p>
            <w:pPr>
              <w:rPr>
                <w:rFonts w:hAnsi="宋体" w:cs="宋体"/>
                <w:szCs w:val="21"/>
                <w:highlight w:val="none"/>
              </w:rPr>
            </w:pPr>
            <w:r>
              <w:rPr>
                <w:rFonts w:hint="eastAsia" w:hAnsi="宋体" w:cs="宋体"/>
                <w:szCs w:val="21"/>
                <w:highlight w:val="none"/>
              </w:rPr>
              <w:t>在项目所在地有良好的、可靠的后续技术支持、有售后服务机构，或本项目的技术支持合作方</w:t>
            </w:r>
            <w:r>
              <w:rPr>
                <w:rFonts w:hint="eastAsia" w:hAnsi="宋体" w:cs="宋体"/>
                <w:szCs w:val="21"/>
                <w:highlight w:val="none"/>
                <w:lang w:val="hr-HR"/>
              </w:rPr>
              <w:t>（</w:t>
            </w:r>
            <w:r>
              <w:rPr>
                <w:rFonts w:hint="eastAsia" w:hAnsi="宋体" w:cs="宋体"/>
                <w:szCs w:val="21"/>
                <w:highlight w:val="none"/>
              </w:rPr>
              <w:t>相关证明文件）</w:t>
            </w:r>
          </w:p>
        </w:tc>
        <w:tc>
          <w:tcPr>
            <w:tcW w:w="719" w:type="dxa"/>
            <w:vAlign w:val="center"/>
          </w:tcPr>
          <w:p>
            <w:pPr>
              <w:jc w:val="center"/>
              <w:rPr>
                <w:rFonts w:hAnsi="宋体" w:cs="宋体"/>
                <w:szCs w:val="21"/>
                <w:highlight w:val="none"/>
              </w:rPr>
            </w:pPr>
          </w:p>
        </w:tc>
        <w:tc>
          <w:tcPr>
            <w:tcW w:w="719" w:type="dxa"/>
            <w:vAlign w:val="center"/>
          </w:tcPr>
          <w:p>
            <w:pPr>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4" w:type="dxa"/>
            <w:vAlign w:val="center"/>
          </w:tcPr>
          <w:p>
            <w:pPr>
              <w:jc w:val="center"/>
              <w:rPr>
                <w:rFonts w:hAnsi="宋体" w:cs="宋体"/>
                <w:szCs w:val="21"/>
                <w:highlight w:val="none"/>
              </w:rPr>
            </w:pPr>
            <w:r>
              <w:rPr>
                <w:rFonts w:hint="eastAsia" w:hAnsi="宋体" w:cs="宋体"/>
                <w:szCs w:val="21"/>
                <w:highlight w:val="none"/>
              </w:rPr>
              <w:t>7</w:t>
            </w:r>
          </w:p>
        </w:tc>
        <w:tc>
          <w:tcPr>
            <w:tcW w:w="6470" w:type="dxa"/>
            <w:vAlign w:val="center"/>
          </w:tcPr>
          <w:p>
            <w:pPr>
              <w:rPr>
                <w:rFonts w:hAnsi="宋体" w:cs="宋体"/>
                <w:szCs w:val="21"/>
                <w:highlight w:val="none"/>
              </w:rPr>
            </w:pPr>
            <w:r>
              <w:rPr>
                <w:rFonts w:hint="eastAsia" w:hAnsi="宋体" w:cs="宋体"/>
                <w:szCs w:val="21"/>
                <w:highlight w:val="none"/>
                <w:lang w:val="en-GB"/>
              </w:rPr>
              <w:t>同意接受合同范本所列述的各项条款</w:t>
            </w:r>
          </w:p>
        </w:tc>
        <w:tc>
          <w:tcPr>
            <w:tcW w:w="719" w:type="dxa"/>
            <w:vAlign w:val="center"/>
          </w:tcPr>
          <w:p>
            <w:pPr>
              <w:jc w:val="center"/>
              <w:rPr>
                <w:rFonts w:hAnsi="宋体" w:cs="宋体"/>
                <w:szCs w:val="21"/>
                <w:highlight w:val="none"/>
              </w:rPr>
            </w:pPr>
          </w:p>
        </w:tc>
        <w:tc>
          <w:tcPr>
            <w:tcW w:w="719" w:type="dxa"/>
            <w:vAlign w:val="center"/>
          </w:tcPr>
          <w:p>
            <w:pPr>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4" w:type="dxa"/>
            <w:vAlign w:val="center"/>
          </w:tcPr>
          <w:p>
            <w:pPr>
              <w:jc w:val="center"/>
              <w:rPr>
                <w:rFonts w:hAnsi="宋体" w:cs="宋体"/>
                <w:szCs w:val="21"/>
                <w:highlight w:val="none"/>
              </w:rPr>
            </w:pPr>
            <w:r>
              <w:rPr>
                <w:rFonts w:hint="eastAsia" w:hAnsi="宋体" w:cs="宋体"/>
                <w:szCs w:val="21"/>
                <w:highlight w:val="none"/>
              </w:rPr>
              <w:t>8</w:t>
            </w:r>
          </w:p>
        </w:tc>
        <w:tc>
          <w:tcPr>
            <w:tcW w:w="6470" w:type="dxa"/>
            <w:vAlign w:val="center"/>
          </w:tcPr>
          <w:p>
            <w:pPr>
              <w:ind w:left="-4" w:leftChars="-2"/>
              <w:rPr>
                <w:rFonts w:hAnsi="宋体" w:cs="宋体"/>
                <w:szCs w:val="21"/>
                <w:highlight w:val="none"/>
                <w:lang w:val="zh-CN"/>
              </w:rPr>
            </w:pPr>
            <w:r>
              <w:rPr>
                <w:rFonts w:hint="eastAsia" w:hAnsi="宋体" w:cs="宋体"/>
                <w:szCs w:val="21"/>
                <w:highlight w:val="none"/>
              </w:rPr>
              <w:t>同意按本项目要求缴付相关款项</w:t>
            </w:r>
          </w:p>
        </w:tc>
        <w:tc>
          <w:tcPr>
            <w:tcW w:w="719" w:type="dxa"/>
            <w:vAlign w:val="center"/>
          </w:tcPr>
          <w:p>
            <w:pPr>
              <w:jc w:val="center"/>
              <w:rPr>
                <w:rFonts w:hAnsi="宋体" w:cs="宋体"/>
                <w:szCs w:val="21"/>
                <w:highlight w:val="none"/>
                <w:lang w:val="en-GB"/>
              </w:rPr>
            </w:pPr>
          </w:p>
        </w:tc>
        <w:tc>
          <w:tcPr>
            <w:tcW w:w="719" w:type="dxa"/>
            <w:vAlign w:val="center"/>
          </w:tcPr>
          <w:p>
            <w:pPr>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4" w:type="dxa"/>
            <w:vAlign w:val="center"/>
          </w:tcPr>
          <w:p>
            <w:pPr>
              <w:jc w:val="center"/>
              <w:rPr>
                <w:rFonts w:hAnsi="宋体" w:cs="宋体"/>
                <w:szCs w:val="21"/>
                <w:highlight w:val="none"/>
              </w:rPr>
            </w:pPr>
            <w:r>
              <w:rPr>
                <w:rFonts w:hint="eastAsia" w:hAnsi="宋体" w:cs="宋体"/>
                <w:szCs w:val="21"/>
                <w:highlight w:val="none"/>
              </w:rPr>
              <w:t>9</w:t>
            </w:r>
          </w:p>
        </w:tc>
        <w:tc>
          <w:tcPr>
            <w:tcW w:w="6470" w:type="dxa"/>
            <w:vAlign w:val="center"/>
          </w:tcPr>
          <w:p>
            <w:pPr>
              <w:rPr>
                <w:rFonts w:hAnsi="宋体" w:cs="宋体"/>
                <w:szCs w:val="21"/>
                <w:highlight w:val="none"/>
              </w:rPr>
            </w:pPr>
            <w:r>
              <w:rPr>
                <w:rFonts w:hint="eastAsia" w:hAnsi="宋体" w:cs="宋体"/>
                <w:szCs w:val="21"/>
                <w:highlight w:val="none"/>
              </w:rPr>
              <w:t>同意采购方以任何形式对我方投标文件内容的真实性和有效性进行审查、验证</w:t>
            </w:r>
          </w:p>
        </w:tc>
        <w:tc>
          <w:tcPr>
            <w:tcW w:w="719" w:type="dxa"/>
            <w:vAlign w:val="center"/>
          </w:tcPr>
          <w:p>
            <w:pPr>
              <w:jc w:val="center"/>
              <w:rPr>
                <w:rFonts w:hAnsi="宋体" w:cs="宋体"/>
                <w:szCs w:val="21"/>
                <w:highlight w:val="none"/>
              </w:rPr>
            </w:pPr>
          </w:p>
        </w:tc>
        <w:tc>
          <w:tcPr>
            <w:tcW w:w="719" w:type="dxa"/>
            <w:vAlign w:val="center"/>
          </w:tcPr>
          <w:p>
            <w:pPr>
              <w:pStyle w:val="149"/>
              <w:keepNext w:val="0"/>
              <w:adjustRightInd/>
              <w:spacing w:before="0" w:after="0" w:line="240" w:lineRule="auto"/>
              <w:textAlignment w:val="auto"/>
              <w:rPr>
                <w:rFonts w:ascii="宋体" w:hAnsi="宋体" w:cs="宋体"/>
                <w:snapToGrid/>
                <w:spacing w:val="0"/>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4" w:type="dxa"/>
            <w:vAlign w:val="center"/>
          </w:tcPr>
          <w:p>
            <w:pPr>
              <w:autoSpaceDE/>
              <w:autoSpaceDN/>
              <w:adjustRightInd/>
              <w:ind w:left="170"/>
              <w:rPr>
                <w:rFonts w:hAnsi="宋体" w:cs="宋体"/>
                <w:szCs w:val="21"/>
                <w:highlight w:val="none"/>
              </w:rPr>
            </w:pPr>
            <w:r>
              <w:rPr>
                <w:rFonts w:hint="eastAsia" w:hAnsi="宋体" w:cs="宋体"/>
                <w:szCs w:val="21"/>
                <w:highlight w:val="none"/>
              </w:rPr>
              <w:t>10</w:t>
            </w:r>
          </w:p>
        </w:tc>
        <w:tc>
          <w:tcPr>
            <w:tcW w:w="6470" w:type="dxa"/>
            <w:vAlign w:val="center"/>
          </w:tcPr>
          <w:p>
            <w:pPr>
              <w:rPr>
                <w:rFonts w:hAnsi="宋体" w:cs="宋体"/>
                <w:szCs w:val="21"/>
                <w:highlight w:val="none"/>
              </w:rPr>
            </w:pPr>
            <w:r>
              <w:rPr>
                <w:rFonts w:hint="eastAsia" w:hAnsi="宋体" w:cs="宋体"/>
                <w:szCs w:val="21"/>
                <w:highlight w:val="none"/>
              </w:rPr>
              <w:t>其它商务条款偏离说明：</w:t>
            </w:r>
          </w:p>
        </w:tc>
        <w:tc>
          <w:tcPr>
            <w:tcW w:w="719" w:type="dxa"/>
          </w:tcPr>
          <w:p>
            <w:pPr>
              <w:jc w:val="center"/>
              <w:rPr>
                <w:rFonts w:hAnsi="宋体" w:cs="宋体"/>
                <w:szCs w:val="21"/>
                <w:highlight w:val="none"/>
              </w:rPr>
            </w:pPr>
          </w:p>
        </w:tc>
        <w:tc>
          <w:tcPr>
            <w:tcW w:w="719" w:type="dxa"/>
            <w:vAlign w:val="center"/>
          </w:tcPr>
          <w:p>
            <w:pPr>
              <w:pStyle w:val="149"/>
              <w:keepNext w:val="0"/>
              <w:adjustRightInd/>
              <w:spacing w:before="0" w:after="0" w:line="240" w:lineRule="auto"/>
              <w:textAlignment w:val="auto"/>
              <w:rPr>
                <w:rFonts w:ascii="宋体" w:hAnsi="宋体" w:cs="宋体"/>
                <w:snapToGrid/>
                <w:spacing w:val="0"/>
                <w:kern w:val="2"/>
                <w:szCs w:val="21"/>
                <w:highlight w:val="none"/>
              </w:rPr>
            </w:pPr>
          </w:p>
        </w:tc>
      </w:tr>
    </w:tbl>
    <w:p>
      <w:pPr>
        <w:rPr>
          <w:rFonts w:hAnsi="宋体" w:cs="宋体"/>
          <w:szCs w:val="21"/>
          <w:highlight w:val="none"/>
          <w:lang w:val="en-GB"/>
        </w:rPr>
      </w:pPr>
      <w:r>
        <w:rPr>
          <w:rFonts w:hint="eastAsia" w:hAnsi="宋体" w:cs="宋体"/>
          <w:szCs w:val="21"/>
          <w:highlight w:val="none"/>
          <w:lang w:val="en-GB"/>
        </w:rPr>
        <w:t>注： 1.</w:t>
      </w:r>
      <w:r>
        <w:rPr>
          <w:rFonts w:hint="eastAsia" w:hAnsi="宋体" w:cs="宋体"/>
          <w:szCs w:val="21"/>
          <w:highlight w:val="none"/>
        </w:rPr>
        <w:t>对</w:t>
      </w:r>
      <w:r>
        <w:rPr>
          <w:rFonts w:hint="eastAsia" w:hAnsi="宋体" w:cs="宋体"/>
          <w:szCs w:val="21"/>
          <w:highlight w:val="none"/>
          <w:lang w:val="en-GB"/>
        </w:rPr>
        <w:t>于上述要求，如投标人完全响应，则请在“是否响应”栏内打“√”，对空白或打“×”视为偏离，请在“偏离说明”栏内扼要说明偏离情况。</w:t>
      </w:r>
    </w:p>
    <w:p>
      <w:pPr>
        <w:snapToGrid w:val="0"/>
        <w:spacing w:line="360" w:lineRule="auto"/>
        <w:ind w:firstLine="420" w:firstLineChars="200"/>
        <w:rPr>
          <w:rFonts w:hAnsi="宋体"/>
          <w:szCs w:val="21"/>
          <w:highlight w:val="none"/>
          <w:lang w:val="en-GB"/>
        </w:rPr>
      </w:pPr>
      <w:r>
        <w:rPr>
          <w:rFonts w:hint="eastAsia" w:hAnsi="宋体"/>
          <w:szCs w:val="21"/>
          <w:highlight w:val="none"/>
          <w:lang w:val="en-GB"/>
        </w:rPr>
        <w:t>3.本表内容按各自对应所投子包的内容自行更改。</w:t>
      </w:r>
    </w:p>
    <w:p>
      <w:pPr>
        <w:rPr>
          <w:rFonts w:hAnsi="宋体"/>
          <w:szCs w:val="21"/>
          <w:highlight w:val="none"/>
          <w:lang w:val="en-GB"/>
        </w:rPr>
      </w:pPr>
    </w:p>
    <w:p>
      <w:pPr>
        <w:rPr>
          <w:highlight w:val="none"/>
          <w:lang w:val="en-GB"/>
        </w:rPr>
      </w:pPr>
    </w:p>
    <w:p>
      <w:pPr>
        <w:snapToGrid w:val="0"/>
        <w:spacing w:line="300" w:lineRule="auto"/>
        <w:rPr>
          <w:rFonts w:hAnsi="宋体" w:cs="宋体"/>
          <w:szCs w:val="21"/>
          <w:highlight w:val="none"/>
        </w:rPr>
      </w:pPr>
      <w:r>
        <w:rPr>
          <w:rFonts w:hint="eastAsia" w:hAnsi="宋体" w:cs="宋体"/>
          <w:szCs w:val="21"/>
          <w:highlight w:val="none"/>
        </w:rPr>
        <w:t>投标人法定代表人（或法定代表人授权代表）亲笔签字：</w:t>
      </w:r>
    </w:p>
    <w:p>
      <w:pPr>
        <w:snapToGrid w:val="0"/>
        <w:spacing w:line="300" w:lineRule="auto"/>
        <w:rPr>
          <w:rFonts w:hAnsi="宋体" w:cs="宋体"/>
          <w:szCs w:val="21"/>
          <w:highlight w:val="none"/>
          <w:u w:val="single"/>
        </w:rPr>
      </w:pPr>
      <w:r>
        <w:rPr>
          <w:rFonts w:hint="eastAsia" w:hAnsi="宋体" w:cs="宋体"/>
          <w:szCs w:val="21"/>
          <w:highlight w:val="none"/>
        </w:rPr>
        <w:t>投标人名称（加盖法人公章）：</w:t>
      </w:r>
    </w:p>
    <w:p>
      <w:pPr>
        <w:spacing w:line="360" w:lineRule="auto"/>
        <w:rPr>
          <w:rFonts w:hAnsi="宋体" w:cs="宋体"/>
          <w:szCs w:val="21"/>
          <w:highlight w:val="none"/>
        </w:rPr>
      </w:pPr>
      <w:r>
        <w:rPr>
          <w:rFonts w:hint="eastAsia" w:hAnsi="宋体" w:cs="宋体"/>
          <w:szCs w:val="21"/>
          <w:highlight w:val="none"/>
        </w:rPr>
        <w:t>日期：年 月 日</w:t>
      </w:r>
    </w:p>
    <w:p>
      <w:pPr>
        <w:spacing w:line="360" w:lineRule="auto"/>
        <w:rPr>
          <w:rFonts w:hAnsi="宋体" w:cs="宋体"/>
          <w:b/>
          <w:szCs w:val="20"/>
          <w:highlight w:val="none"/>
        </w:rPr>
      </w:pPr>
    </w:p>
    <w:p>
      <w:pPr>
        <w:pStyle w:val="4"/>
        <w:spacing w:after="120" w:line="480" w:lineRule="exact"/>
        <w:rPr>
          <w:rFonts w:hAnsi="宋体" w:cs="宋体"/>
          <w:b/>
          <w:szCs w:val="20"/>
          <w:highlight w:val="none"/>
        </w:rPr>
      </w:pPr>
    </w:p>
    <w:p>
      <w:pPr>
        <w:pStyle w:val="4"/>
        <w:spacing w:after="120" w:line="480" w:lineRule="exact"/>
        <w:rPr>
          <w:rFonts w:hAnsi="宋体" w:cs="宋体"/>
          <w:b/>
          <w:szCs w:val="20"/>
          <w:highlight w:val="none"/>
        </w:rPr>
      </w:pPr>
    </w:p>
    <w:p>
      <w:pPr>
        <w:pStyle w:val="4"/>
        <w:spacing w:after="120" w:line="480" w:lineRule="exact"/>
        <w:rPr>
          <w:rFonts w:hAnsi="宋体" w:cs="宋体"/>
          <w:b/>
          <w:szCs w:val="20"/>
          <w:highlight w:val="none"/>
        </w:rPr>
      </w:pPr>
    </w:p>
    <w:p>
      <w:pPr>
        <w:pStyle w:val="4"/>
        <w:spacing w:after="120" w:line="480" w:lineRule="exact"/>
        <w:rPr>
          <w:rFonts w:hAnsi="宋体" w:cs="宋体"/>
          <w:b/>
          <w:szCs w:val="21"/>
          <w:highlight w:val="none"/>
        </w:rPr>
      </w:pPr>
      <w:r>
        <w:rPr>
          <w:rFonts w:hint="eastAsia" w:hAnsi="宋体" w:cs="宋体"/>
          <w:b/>
          <w:szCs w:val="20"/>
          <w:highlight w:val="none"/>
        </w:rPr>
        <w:t xml:space="preserve">附表2.12 </w:t>
      </w:r>
      <w:bookmarkStart w:id="36" w:name="_Hlk495872671"/>
      <w:r>
        <w:rPr>
          <w:rFonts w:hint="eastAsia" w:hAnsi="宋体" w:cs="宋体"/>
          <w:b/>
          <w:szCs w:val="20"/>
          <w:highlight w:val="none"/>
        </w:rPr>
        <w:t>各项声明函（落实政府采购政策时所需）</w:t>
      </w:r>
      <w:bookmarkEnd w:id="36"/>
    </w:p>
    <w:p>
      <w:pPr>
        <w:pStyle w:val="4"/>
        <w:spacing w:after="120" w:line="480" w:lineRule="exact"/>
        <w:rPr>
          <w:rFonts w:hAnsi="宋体" w:cs="宋体"/>
          <w:b/>
          <w:szCs w:val="20"/>
          <w:highlight w:val="none"/>
        </w:rPr>
      </w:pPr>
      <w:r>
        <w:rPr>
          <w:rFonts w:hint="eastAsia" w:hAnsi="宋体" w:cs="宋体"/>
          <w:b/>
          <w:szCs w:val="20"/>
          <w:highlight w:val="none"/>
        </w:rPr>
        <w:t>附表2.12-1</w:t>
      </w:r>
      <w:bookmarkStart w:id="37" w:name="_Hlk495872698"/>
      <w:r>
        <w:rPr>
          <w:rFonts w:hint="eastAsia" w:hAnsi="宋体" w:cs="宋体"/>
          <w:b/>
          <w:szCs w:val="20"/>
          <w:highlight w:val="none"/>
        </w:rPr>
        <w:t xml:space="preserve"> 中小企业声明函格式（如有）</w:t>
      </w:r>
      <w:bookmarkEnd w:id="37"/>
    </w:p>
    <w:p>
      <w:pPr>
        <w:widowControl/>
        <w:spacing w:before="100" w:beforeAutospacing="1" w:after="100" w:afterAutospacing="1" w:line="360" w:lineRule="auto"/>
        <w:jc w:val="center"/>
        <w:rPr>
          <w:rFonts w:hAnsi="宋体" w:cs="宋体"/>
          <w:b/>
          <w:szCs w:val="21"/>
          <w:highlight w:val="none"/>
        </w:rPr>
      </w:pPr>
      <w:r>
        <w:rPr>
          <w:rFonts w:hint="eastAsia" w:hAnsi="宋体" w:cs="宋体"/>
          <w:b/>
          <w:szCs w:val="21"/>
          <w:highlight w:val="none"/>
        </w:rPr>
        <w:t>中小企业声明函</w:t>
      </w:r>
    </w:p>
    <w:p>
      <w:pPr>
        <w:spacing w:line="360" w:lineRule="auto"/>
        <w:rPr>
          <w:rFonts w:hAnsi="宋体" w:cs="宋体"/>
          <w:szCs w:val="21"/>
          <w:highlight w:val="none"/>
        </w:rPr>
      </w:pPr>
      <w:r>
        <w:rPr>
          <w:rFonts w:hint="eastAsia" w:hAnsi="宋体" w:cs="宋体"/>
          <w:szCs w:val="21"/>
          <w:highlight w:val="none"/>
        </w:rPr>
        <w:t>　　</w:t>
      </w:r>
    </w:p>
    <w:p>
      <w:pPr>
        <w:spacing w:line="360" w:lineRule="auto"/>
        <w:ind w:firstLine="480"/>
        <w:rPr>
          <w:highlight w:val="none"/>
        </w:rPr>
      </w:pPr>
      <w:r>
        <w:rPr>
          <w:highlight w:val="none"/>
        </w:rPr>
        <w:t>本公司（联合体）郑重声明，根据《政府采购促进中小企业发展管理办法》（财库﹝2020﹞46</w:t>
      </w:r>
      <w:r>
        <w:rPr>
          <w:highlight w:val="none"/>
        </w:rPr>
        <w:tab/>
      </w:r>
      <w:r>
        <w:rPr>
          <w:highlight w:val="none"/>
        </w:rPr>
        <w:tab/>
      </w:r>
      <w:r>
        <w:rPr>
          <w:highlight w:val="none"/>
        </w:rPr>
        <w:tab/>
      </w:r>
      <w:r>
        <w:rPr>
          <w:highlight w:val="none"/>
        </w:rPr>
        <w:t xml:space="preserve"> 号）的规定，本公司（联合体）参加</w:t>
      </w:r>
      <w:r>
        <w:rPr>
          <w:highlight w:val="none"/>
          <w:u w:val="single"/>
        </w:rPr>
        <w:t>（单位名称）</w:t>
      </w:r>
      <w:r>
        <w:rPr>
          <w:highlight w:val="none"/>
        </w:rPr>
        <w:t>的</w:t>
      </w:r>
      <w:r>
        <w:rPr>
          <w:highlight w:val="none"/>
          <w:u w:val="single"/>
        </w:rPr>
        <w:t>（项目名称）</w:t>
      </w:r>
      <w:r>
        <w:rPr>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highlight w:val="none"/>
        </w:rPr>
      </w:pPr>
      <w:r>
        <w:rPr>
          <w:highlight w:val="none"/>
        </w:rPr>
        <w:t>1.</w:t>
      </w:r>
      <w:r>
        <w:rPr>
          <w:highlight w:val="none"/>
          <w:u w:val="single"/>
        </w:rPr>
        <w:t>（标的名称）</w:t>
      </w:r>
      <w:r>
        <w:rPr>
          <w:highlight w:val="none"/>
        </w:rPr>
        <w:t>，属于</w:t>
      </w:r>
      <w:r>
        <w:rPr>
          <w:highlight w:val="none"/>
          <w:u w:val="single"/>
        </w:rPr>
        <w:t>（采购文件中明确的所属行业）</w:t>
      </w:r>
      <w:r>
        <w:rPr>
          <w:highlight w:val="none"/>
        </w:rPr>
        <w:t>行业；承建（承接）企业为</w:t>
      </w:r>
      <w:r>
        <w:rPr>
          <w:highlight w:val="none"/>
          <w:u w:val="single"/>
        </w:rPr>
        <w:t>（企业名称）</w:t>
      </w:r>
      <w:r>
        <w:rPr>
          <w:highlight w:val="none"/>
        </w:rPr>
        <w:t>，从业人员__________________人，营业收入为__________________万元，资产总额为__________________万元</w:t>
      </w:r>
      <w:r>
        <w:rPr>
          <w:sz w:val="7"/>
          <w:highlight w:val="none"/>
        </w:rPr>
        <w:t>1</w:t>
      </w:r>
      <w:r>
        <w:rPr>
          <w:highlight w:val="none"/>
        </w:rPr>
        <w:t>，属于</w:t>
      </w:r>
      <w:r>
        <w:rPr>
          <w:highlight w:val="none"/>
          <w:u w:val="single"/>
        </w:rPr>
        <w:t>（中型企业、小型企业、微型企业）</w:t>
      </w:r>
      <w:r>
        <w:rPr>
          <w:highlight w:val="none"/>
        </w:rPr>
        <w:t>；</w:t>
      </w:r>
    </w:p>
    <w:p>
      <w:pPr>
        <w:spacing w:line="360" w:lineRule="auto"/>
        <w:ind w:firstLine="480"/>
        <w:rPr>
          <w:highlight w:val="none"/>
        </w:rPr>
      </w:pPr>
      <w:r>
        <w:rPr>
          <w:highlight w:val="none"/>
        </w:rPr>
        <w:t>2.</w:t>
      </w:r>
      <w:r>
        <w:rPr>
          <w:highlight w:val="none"/>
          <w:u w:val="single"/>
        </w:rPr>
        <w:t>（标的名称）</w:t>
      </w:r>
      <w:r>
        <w:rPr>
          <w:highlight w:val="none"/>
        </w:rPr>
        <w:t>，属于</w:t>
      </w:r>
      <w:r>
        <w:rPr>
          <w:highlight w:val="none"/>
          <w:u w:val="single"/>
        </w:rPr>
        <w:t>（采购文件中明确的所属行业）</w:t>
      </w:r>
      <w:r>
        <w:rPr>
          <w:highlight w:val="none"/>
        </w:rPr>
        <w:t>行业；承建（承接）企业为</w:t>
      </w:r>
      <w:r>
        <w:rPr>
          <w:highlight w:val="none"/>
          <w:u w:val="single"/>
        </w:rPr>
        <w:t>（企业名称）</w:t>
      </w:r>
      <w:r>
        <w:rPr>
          <w:highlight w:val="none"/>
        </w:rPr>
        <w:t>，从业人员__________________人，营业收入为__________________万元，资产总额为__________________万元</w:t>
      </w:r>
      <w:r>
        <w:rPr>
          <w:sz w:val="7"/>
          <w:highlight w:val="none"/>
        </w:rPr>
        <w:t>1</w:t>
      </w:r>
      <w:r>
        <w:rPr>
          <w:highlight w:val="none"/>
        </w:rPr>
        <w:t>，属于</w:t>
      </w:r>
      <w:r>
        <w:rPr>
          <w:highlight w:val="none"/>
          <w:u w:val="single"/>
        </w:rPr>
        <w:t>（中型企业、小型企业、微型企业）</w:t>
      </w:r>
      <w:r>
        <w:rPr>
          <w:highlight w:val="none"/>
        </w:rPr>
        <w:t>；</w:t>
      </w:r>
    </w:p>
    <w:p>
      <w:pPr>
        <w:spacing w:line="360" w:lineRule="auto"/>
        <w:ind w:firstLine="480"/>
        <w:rPr>
          <w:highlight w:val="none"/>
        </w:rPr>
      </w:pPr>
      <w:r>
        <w:rPr>
          <w:highlight w:val="none"/>
        </w:rPr>
        <w:t>……</w:t>
      </w:r>
    </w:p>
    <w:p>
      <w:pPr>
        <w:spacing w:line="360" w:lineRule="auto"/>
        <w:ind w:firstLine="480"/>
        <w:rPr>
          <w:highlight w:val="none"/>
        </w:rPr>
      </w:pPr>
      <w:r>
        <w:rPr>
          <w:highlight w:val="none"/>
        </w:rPr>
        <w:t>以上企业，不属于大企业的分支机构，不存在控股股东为大企业的情形，也不存在与大企业的负责人为同一人的情形。</w:t>
      </w:r>
    </w:p>
    <w:p>
      <w:pPr>
        <w:spacing w:line="360" w:lineRule="auto"/>
        <w:ind w:firstLine="480"/>
        <w:rPr>
          <w:highlight w:val="none"/>
        </w:rPr>
      </w:pPr>
      <w:r>
        <w:rPr>
          <w:highlight w:val="none"/>
        </w:rPr>
        <w:t>本企业对上述声明内容的真实性负责。如有虚假，将依法承担相应责任。</w:t>
      </w:r>
    </w:p>
    <w:p>
      <w:pPr>
        <w:spacing w:line="360" w:lineRule="auto"/>
        <w:rPr>
          <w:highlight w:val="none"/>
        </w:rPr>
      </w:pPr>
      <w:r>
        <w:rPr>
          <w:highlight w:val="none"/>
        </w:rPr>
        <w:t xml:space="preserve"> 企业名称（盖章）：__________________</w:t>
      </w:r>
    </w:p>
    <w:p>
      <w:pPr>
        <w:spacing w:line="360" w:lineRule="auto"/>
        <w:rPr>
          <w:highlight w:val="none"/>
        </w:rPr>
      </w:pPr>
      <w:r>
        <w:rPr>
          <w:highlight w:val="none"/>
        </w:rPr>
        <w:t>日期： 年 月 日</w:t>
      </w:r>
    </w:p>
    <w:p>
      <w:pPr>
        <w:spacing w:line="360" w:lineRule="auto"/>
        <w:ind w:firstLine="480"/>
        <w:rPr>
          <w:highlight w:val="none"/>
        </w:rPr>
      </w:pPr>
      <w:r>
        <w:rPr>
          <w:highlight w:val="none"/>
        </w:rPr>
        <w:t>1：从业人员、营业收入、资产总额填报上一年度数据，无上一年度数据的新成立企业可不填报。</w:t>
      </w:r>
    </w:p>
    <w:p>
      <w:pPr>
        <w:spacing w:line="360" w:lineRule="auto"/>
        <w:ind w:firstLine="480"/>
        <w:rPr>
          <w:highlight w:val="none"/>
        </w:rPr>
      </w:pPr>
      <w:r>
        <w:rPr>
          <w:highlight w:val="none"/>
        </w:rPr>
        <w:t>2：投标人应当自行核实是否属于小微企业，并认真填写声明函，若有虚假将追究其责任。</w:t>
      </w:r>
    </w:p>
    <w:p>
      <w:pPr>
        <w:spacing w:line="360" w:lineRule="auto"/>
        <w:jc w:val="both"/>
        <w:rPr>
          <w:rFonts w:hAnsi="宋体"/>
          <w:kern w:val="2"/>
          <w:szCs w:val="21"/>
          <w:highlight w:val="none"/>
        </w:rPr>
      </w:pPr>
    </w:p>
    <w:p>
      <w:pPr>
        <w:spacing w:line="360" w:lineRule="auto"/>
        <w:jc w:val="both"/>
        <w:rPr>
          <w:rFonts w:hAnsi="宋体"/>
          <w:kern w:val="2"/>
          <w:szCs w:val="21"/>
          <w:highlight w:val="none"/>
        </w:rPr>
      </w:pPr>
      <w:r>
        <w:rPr>
          <w:rFonts w:hint="eastAsia" w:hAnsi="宋体"/>
          <w:kern w:val="2"/>
          <w:szCs w:val="21"/>
          <w:highlight w:val="none"/>
        </w:rPr>
        <w:t>【备注】以从业人员、营业收入、资产总额填报上一年度数据，无上一年度数据的新成立企业可不填报。</w:t>
      </w:r>
    </w:p>
    <w:p>
      <w:pPr>
        <w:spacing w:line="300" w:lineRule="auto"/>
        <w:jc w:val="both"/>
        <w:rPr>
          <w:rFonts w:hAnsi="宋体" w:cs="宋体"/>
          <w:kern w:val="2"/>
          <w:szCs w:val="21"/>
          <w:highlight w:val="none"/>
        </w:rPr>
      </w:pPr>
    </w:p>
    <w:p>
      <w:pPr>
        <w:pStyle w:val="4"/>
        <w:spacing w:after="120" w:line="480" w:lineRule="exact"/>
        <w:rPr>
          <w:rFonts w:hAnsi="宋体" w:cs="宋体"/>
          <w:b/>
          <w:szCs w:val="20"/>
          <w:highlight w:val="none"/>
        </w:rPr>
      </w:pPr>
      <w:r>
        <w:rPr>
          <w:rFonts w:hint="eastAsia" w:hAnsi="宋体" w:cs="宋体"/>
          <w:b/>
          <w:szCs w:val="20"/>
          <w:highlight w:val="none"/>
        </w:rPr>
        <w:t>附表2.12-2监狱企业的证明文件（如有）</w:t>
      </w:r>
    </w:p>
    <w:p>
      <w:pPr>
        <w:spacing w:line="300" w:lineRule="auto"/>
        <w:jc w:val="both"/>
        <w:rPr>
          <w:rFonts w:hAnsi="宋体" w:cs="宋体"/>
          <w:kern w:val="2"/>
          <w:szCs w:val="21"/>
          <w:highlight w:val="none"/>
        </w:rPr>
      </w:pPr>
      <w:r>
        <w:rPr>
          <w:rFonts w:hint="eastAsia" w:hAnsi="宋体" w:cs="宋体"/>
          <w:kern w:val="2"/>
          <w:szCs w:val="21"/>
          <w:highlight w:val="none"/>
        </w:rPr>
        <w:t>说明：监狱企业参加政府采购活动时，应当提供由省级以上监狱管理局、戒毒管理局（含新疆生产建设兵团）出具的属于监狱企业的证明文件</w:t>
      </w:r>
    </w:p>
    <w:p>
      <w:pPr>
        <w:tabs>
          <w:tab w:val="left" w:pos="360"/>
          <w:tab w:val="left" w:pos="993"/>
        </w:tabs>
        <w:spacing w:line="360" w:lineRule="auto"/>
        <w:rPr>
          <w:rFonts w:hAnsi="宋体" w:cs="宋体"/>
          <w:szCs w:val="21"/>
          <w:highlight w:val="none"/>
          <w:lang w:val="en-GB"/>
        </w:rPr>
      </w:pPr>
    </w:p>
    <w:p>
      <w:pPr>
        <w:pStyle w:val="4"/>
        <w:spacing w:after="120" w:line="480" w:lineRule="exact"/>
        <w:rPr>
          <w:rFonts w:hAnsi="宋体" w:cs="宋体"/>
          <w:b/>
          <w:szCs w:val="20"/>
          <w:highlight w:val="none"/>
        </w:rPr>
      </w:pPr>
      <w:bookmarkStart w:id="38" w:name="_Hlk495871330"/>
      <w:r>
        <w:rPr>
          <w:rFonts w:hint="eastAsia" w:hAnsi="宋体" w:cs="宋体"/>
          <w:b/>
          <w:szCs w:val="20"/>
          <w:highlight w:val="none"/>
        </w:rPr>
        <w:br w:type="page"/>
      </w:r>
      <w:r>
        <w:rPr>
          <w:rFonts w:hint="eastAsia" w:hAnsi="宋体" w:cs="宋体"/>
          <w:b/>
          <w:szCs w:val="20"/>
          <w:highlight w:val="none"/>
        </w:rPr>
        <w:t>附表2.12-3</w:t>
      </w:r>
      <w:bookmarkEnd w:id="38"/>
      <w:r>
        <w:rPr>
          <w:rFonts w:hint="eastAsia" w:hAnsi="宋体" w:cs="宋体"/>
          <w:b/>
          <w:szCs w:val="20"/>
          <w:highlight w:val="none"/>
        </w:rPr>
        <w:t xml:space="preserve"> 残疾人福利性单位的声明函及证明文件（如有）</w:t>
      </w:r>
    </w:p>
    <w:p>
      <w:pPr>
        <w:tabs>
          <w:tab w:val="left" w:pos="360"/>
          <w:tab w:val="left" w:pos="993"/>
        </w:tabs>
        <w:spacing w:line="360" w:lineRule="auto"/>
        <w:rPr>
          <w:rFonts w:hAnsi="宋体" w:cs="宋体"/>
          <w:szCs w:val="21"/>
          <w:highlight w:val="none"/>
          <w:lang w:val="en-GB"/>
        </w:rPr>
      </w:pPr>
      <w:r>
        <w:rPr>
          <w:rFonts w:hint="eastAsia" w:hAnsi="宋体" w:cs="宋体"/>
          <w:szCs w:val="21"/>
          <w:highlight w:val="none"/>
          <w:lang w:val="en-GB"/>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360"/>
          <w:tab w:val="left" w:pos="993"/>
        </w:tabs>
        <w:spacing w:line="360" w:lineRule="auto"/>
        <w:rPr>
          <w:rFonts w:hAnsi="宋体" w:cs="宋体"/>
          <w:szCs w:val="21"/>
          <w:highlight w:val="none"/>
          <w:lang w:val="en-GB"/>
        </w:rPr>
      </w:pPr>
      <w:r>
        <w:rPr>
          <w:rFonts w:hint="eastAsia" w:hAnsi="宋体" w:cs="宋体"/>
          <w:szCs w:val="21"/>
          <w:highlight w:val="none"/>
          <w:lang w:val="en-GB"/>
        </w:rPr>
        <w:t>本单位对上述声明的真实性负责。如有虚假，将依法承担相应责任。</w:t>
      </w:r>
    </w:p>
    <w:p>
      <w:pPr>
        <w:tabs>
          <w:tab w:val="left" w:pos="360"/>
          <w:tab w:val="left" w:pos="993"/>
        </w:tabs>
        <w:spacing w:line="360" w:lineRule="auto"/>
        <w:rPr>
          <w:rFonts w:hAnsi="宋体" w:cs="宋体"/>
          <w:szCs w:val="21"/>
          <w:highlight w:val="none"/>
          <w:lang w:val="en-GB"/>
        </w:rPr>
      </w:pPr>
    </w:p>
    <w:p>
      <w:pPr>
        <w:tabs>
          <w:tab w:val="left" w:pos="360"/>
          <w:tab w:val="left" w:pos="993"/>
        </w:tabs>
        <w:spacing w:line="360" w:lineRule="auto"/>
        <w:rPr>
          <w:rFonts w:hAnsi="宋体" w:cs="宋体"/>
          <w:szCs w:val="21"/>
          <w:highlight w:val="none"/>
          <w:lang w:val="en-GB"/>
        </w:rPr>
      </w:pPr>
    </w:p>
    <w:p>
      <w:pPr>
        <w:tabs>
          <w:tab w:val="left" w:pos="360"/>
          <w:tab w:val="left" w:pos="993"/>
        </w:tabs>
        <w:spacing w:line="360" w:lineRule="auto"/>
        <w:rPr>
          <w:rFonts w:hAnsi="宋体" w:cs="宋体"/>
          <w:szCs w:val="21"/>
          <w:highlight w:val="none"/>
          <w:lang w:val="en-GB"/>
        </w:rPr>
      </w:pPr>
      <w:r>
        <w:rPr>
          <w:rFonts w:hint="eastAsia" w:hAnsi="宋体" w:cs="宋体"/>
          <w:szCs w:val="21"/>
          <w:highlight w:val="none"/>
          <w:lang w:val="en-GB"/>
        </w:rPr>
        <w:t>单位名称（盖章）：</w:t>
      </w:r>
    </w:p>
    <w:p>
      <w:pPr>
        <w:tabs>
          <w:tab w:val="left" w:pos="360"/>
          <w:tab w:val="left" w:pos="993"/>
        </w:tabs>
        <w:spacing w:line="360" w:lineRule="auto"/>
        <w:rPr>
          <w:rFonts w:hAnsi="宋体" w:cs="宋体"/>
          <w:szCs w:val="21"/>
          <w:highlight w:val="none"/>
          <w:lang w:val="en-GB"/>
        </w:rPr>
      </w:pPr>
      <w:r>
        <w:rPr>
          <w:rFonts w:hint="eastAsia" w:hAnsi="宋体" w:cs="宋体"/>
          <w:szCs w:val="21"/>
          <w:highlight w:val="none"/>
          <w:lang w:val="en-GB"/>
        </w:rPr>
        <w:t>日  期：</w:t>
      </w:r>
    </w:p>
    <w:p>
      <w:pPr>
        <w:tabs>
          <w:tab w:val="left" w:pos="360"/>
          <w:tab w:val="left" w:pos="993"/>
        </w:tabs>
        <w:spacing w:line="360" w:lineRule="auto"/>
        <w:rPr>
          <w:rFonts w:hAnsi="宋体" w:cs="宋体"/>
          <w:szCs w:val="21"/>
          <w:highlight w:val="none"/>
          <w:lang w:val="en-GB"/>
        </w:rPr>
      </w:pPr>
    </w:p>
    <w:p>
      <w:pPr>
        <w:tabs>
          <w:tab w:val="left" w:pos="360"/>
          <w:tab w:val="left" w:pos="993"/>
        </w:tabs>
        <w:spacing w:line="360" w:lineRule="auto"/>
        <w:rPr>
          <w:rFonts w:hAnsi="宋体" w:cs="宋体"/>
          <w:szCs w:val="21"/>
          <w:highlight w:val="none"/>
          <w:lang w:val="en-GB"/>
        </w:rPr>
      </w:pPr>
    </w:p>
    <w:p>
      <w:pPr>
        <w:tabs>
          <w:tab w:val="left" w:pos="360"/>
          <w:tab w:val="left" w:pos="993"/>
        </w:tabs>
        <w:spacing w:line="360" w:lineRule="auto"/>
        <w:rPr>
          <w:rFonts w:hAnsi="宋体" w:cs="宋体"/>
          <w:szCs w:val="21"/>
          <w:highlight w:val="none"/>
          <w:lang w:val="en-GB"/>
        </w:rPr>
      </w:pPr>
    </w:p>
    <w:p>
      <w:pPr>
        <w:tabs>
          <w:tab w:val="left" w:pos="360"/>
          <w:tab w:val="left" w:pos="993"/>
        </w:tabs>
        <w:spacing w:line="360" w:lineRule="auto"/>
        <w:rPr>
          <w:rFonts w:hAnsi="宋体" w:cs="宋体"/>
          <w:szCs w:val="21"/>
          <w:highlight w:val="none"/>
          <w:lang w:val="en-GB"/>
        </w:rPr>
      </w:pPr>
    </w:p>
    <w:p>
      <w:pPr>
        <w:tabs>
          <w:tab w:val="left" w:pos="360"/>
          <w:tab w:val="left" w:pos="993"/>
        </w:tabs>
        <w:spacing w:line="360" w:lineRule="auto"/>
        <w:rPr>
          <w:rFonts w:hAnsi="宋体" w:cs="宋体"/>
          <w:szCs w:val="21"/>
          <w:highlight w:val="none"/>
          <w:lang w:val="en-GB"/>
        </w:rPr>
      </w:pPr>
    </w:p>
    <w:p>
      <w:pPr>
        <w:tabs>
          <w:tab w:val="left" w:pos="360"/>
          <w:tab w:val="left" w:pos="993"/>
        </w:tabs>
        <w:spacing w:line="360" w:lineRule="auto"/>
        <w:rPr>
          <w:rFonts w:hAnsi="宋体" w:cs="宋体"/>
          <w:szCs w:val="21"/>
          <w:highlight w:val="none"/>
          <w:lang w:val="en-GB"/>
        </w:rPr>
      </w:pPr>
    </w:p>
    <w:p>
      <w:pPr>
        <w:tabs>
          <w:tab w:val="left" w:pos="360"/>
          <w:tab w:val="left" w:pos="993"/>
        </w:tabs>
        <w:spacing w:line="360" w:lineRule="auto"/>
        <w:rPr>
          <w:rFonts w:hAnsi="宋体" w:cs="宋体"/>
          <w:szCs w:val="21"/>
          <w:highlight w:val="none"/>
          <w:lang w:val="en-GB"/>
        </w:rPr>
      </w:pPr>
    </w:p>
    <w:p>
      <w:pPr>
        <w:tabs>
          <w:tab w:val="left" w:pos="360"/>
          <w:tab w:val="left" w:pos="993"/>
        </w:tabs>
        <w:spacing w:line="360" w:lineRule="auto"/>
        <w:rPr>
          <w:rFonts w:hAnsi="宋体" w:cs="宋体"/>
          <w:szCs w:val="21"/>
          <w:highlight w:val="none"/>
          <w:lang w:val="en-GB"/>
        </w:rPr>
      </w:pPr>
    </w:p>
    <w:p>
      <w:pPr>
        <w:tabs>
          <w:tab w:val="left" w:pos="360"/>
          <w:tab w:val="left" w:pos="993"/>
        </w:tabs>
        <w:spacing w:line="360" w:lineRule="auto"/>
        <w:rPr>
          <w:rFonts w:hAnsi="宋体" w:cs="宋体"/>
          <w:szCs w:val="21"/>
          <w:highlight w:val="none"/>
          <w:lang w:val="en-GB"/>
        </w:rPr>
      </w:pPr>
    </w:p>
    <w:p>
      <w:pPr>
        <w:tabs>
          <w:tab w:val="left" w:pos="360"/>
          <w:tab w:val="left" w:pos="993"/>
        </w:tabs>
        <w:spacing w:line="360" w:lineRule="auto"/>
        <w:rPr>
          <w:rFonts w:hAnsi="宋体" w:cs="宋体"/>
          <w:szCs w:val="21"/>
          <w:highlight w:val="none"/>
          <w:lang w:val="en-GB"/>
        </w:rPr>
      </w:pPr>
    </w:p>
    <w:p>
      <w:pPr>
        <w:tabs>
          <w:tab w:val="left" w:pos="360"/>
          <w:tab w:val="left" w:pos="993"/>
        </w:tabs>
        <w:spacing w:line="360" w:lineRule="auto"/>
        <w:rPr>
          <w:rFonts w:hAnsi="宋体" w:cs="宋体"/>
          <w:szCs w:val="21"/>
          <w:highlight w:val="none"/>
          <w:lang w:val="en-GB"/>
        </w:rPr>
      </w:pPr>
    </w:p>
    <w:p>
      <w:pPr>
        <w:tabs>
          <w:tab w:val="left" w:pos="360"/>
          <w:tab w:val="left" w:pos="993"/>
        </w:tabs>
        <w:spacing w:line="360" w:lineRule="auto"/>
        <w:rPr>
          <w:rFonts w:hAnsi="宋体" w:cs="宋体"/>
          <w:szCs w:val="21"/>
          <w:highlight w:val="none"/>
          <w:lang w:val="en-GB"/>
        </w:rPr>
      </w:pPr>
    </w:p>
    <w:p>
      <w:pPr>
        <w:tabs>
          <w:tab w:val="left" w:pos="360"/>
          <w:tab w:val="left" w:pos="993"/>
        </w:tabs>
        <w:spacing w:line="360" w:lineRule="auto"/>
        <w:rPr>
          <w:rFonts w:hAnsi="宋体" w:cs="宋体"/>
          <w:szCs w:val="21"/>
          <w:highlight w:val="none"/>
          <w:lang w:val="en-GB"/>
        </w:rPr>
      </w:pPr>
    </w:p>
    <w:p>
      <w:pPr>
        <w:tabs>
          <w:tab w:val="left" w:pos="360"/>
          <w:tab w:val="left" w:pos="993"/>
        </w:tabs>
        <w:spacing w:line="360" w:lineRule="auto"/>
        <w:rPr>
          <w:rFonts w:hAnsi="宋体" w:cs="宋体"/>
          <w:szCs w:val="21"/>
          <w:highlight w:val="none"/>
          <w:lang w:val="en-GB"/>
        </w:rPr>
      </w:pPr>
    </w:p>
    <w:p>
      <w:pPr>
        <w:tabs>
          <w:tab w:val="left" w:pos="360"/>
          <w:tab w:val="left" w:pos="993"/>
        </w:tabs>
        <w:spacing w:line="360" w:lineRule="auto"/>
        <w:rPr>
          <w:rFonts w:hAnsi="宋体" w:cs="宋体"/>
          <w:szCs w:val="21"/>
          <w:highlight w:val="none"/>
          <w:lang w:val="en-GB"/>
        </w:rPr>
      </w:pPr>
    </w:p>
    <w:p>
      <w:pPr>
        <w:pStyle w:val="4"/>
        <w:spacing w:after="120" w:line="480" w:lineRule="exact"/>
        <w:rPr>
          <w:rFonts w:hAnsi="宋体" w:cs="宋体"/>
          <w:b/>
          <w:szCs w:val="20"/>
          <w:highlight w:val="none"/>
        </w:rPr>
      </w:pPr>
      <w:r>
        <w:rPr>
          <w:rFonts w:hint="eastAsia" w:hAnsi="宋体" w:cs="宋体"/>
          <w:b/>
          <w:szCs w:val="20"/>
          <w:highlight w:val="none"/>
        </w:rPr>
        <w:br w:type="page"/>
      </w:r>
    </w:p>
    <w:p>
      <w:pPr>
        <w:pStyle w:val="4"/>
        <w:spacing w:after="120" w:line="480" w:lineRule="exact"/>
        <w:rPr>
          <w:rFonts w:hAnsi="宋体" w:cs="宋体"/>
          <w:b/>
          <w:szCs w:val="21"/>
          <w:highlight w:val="none"/>
        </w:rPr>
      </w:pPr>
      <w:r>
        <w:rPr>
          <w:rFonts w:hint="eastAsia" w:hAnsi="宋体" w:cs="宋体"/>
          <w:b/>
          <w:szCs w:val="20"/>
          <w:highlight w:val="none"/>
        </w:rPr>
        <w:t>附表2.13 投标人认为完成本项目所需的其他证明文件</w:t>
      </w:r>
    </w:p>
    <w:p>
      <w:pPr>
        <w:spacing w:line="360" w:lineRule="auto"/>
        <w:ind w:firstLine="420" w:firstLineChars="200"/>
        <w:rPr>
          <w:rFonts w:hAnsi="宋体" w:cs="宋体"/>
          <w:szCs w:val="21"/>
          <w:highlight w:val="none"/>
        </w:rPr>
      </w:pPr>
      <w:r>
        <w:rPr>
          <w:rFonts w:hint="eastAsia" w:hAnsi="宋体" w:cs="宋体"/>
          <w:szCs w:val="21"/>
          <w:highlight w:val="none"/>
        </w:rPr>
        <w:t xml:space="preserve">投标人在有效期内ISO9001质量体系认证证书、ISO14001环境体系认证证书等（如有）（请粘贴相关证书复印件）  </w:t>
      </w:r>
    </w:p>
    <w:p>
      <w:pPr>
        <w:spacing w:line="360" w:lineRule="auto"/>
        <w:ind w:firstLine="420" w:firstLineChars="200"/>
        <w:rPr>
          <w:rFonts w:hAnsi="宋体" w:cs="宋体"/>
          <w:szCs w:val="21"/>
          <w:highlight w:val="none"/>
        </w:rPr>
      </w:pPr>
    </w:p>
    <w:p>
      <w:pPr>
        <w:spacing w:line="360" w:lineRule="auto"/>
        <w:ind w:firstLine="420" w:firstLineChars="200"/>
        <w:rPr>
          <w:rFonts w:hAnsi="宋体" w:cs="宋体"/>
          <w:szCs w:val="21"/>
          <w:highlight w:val="none"/>
        </w:rPr>
      </w:pPr>
    </w:p>
    <w:p>
      <w:pPr>
        <w:spacing w:line="360" w:lineRule="auto"/>
        <w:ind w:firstLine="420" w:firstLineChars="200"/>
        <w:rPr>
          <w:rFonts w:hAnsi="宋体" w:cs="宋体"/>
          <w:szCs w:val="21"/>
          <w:highlight w:val="none"/>
        </w:rPr>
      </w:pPr>
    </w:p>
    <w:p>
      <w:pPr>
        <w:spacing w:line="360" w:lineRule="auto"/>
        <w:ind w:firstLine="420" w:firstLineChars="200"/>
        <w:rPr>
          <w:rFonts w:hAnsi="宋体" w:cs="宋体"/>
          <w:szCs w:val="21"/>
          <w:highlight w:val="none"/>
        </w:rPr>
      </w:pPr>
      <w:r>
        <w:rPr>
          <w:rFonts w:hint="eastAsia" w:hAnsi="宋体" w:cs="宋体"/>
          <w:szCs w:val="21"/>
          <w:highlight w:val="none"/>
        </w:rPr>
        <w:t>（格式自定）</w:t>
      </w:r>
    </w:p>
    <w:p>
      <w:pPr>
        <w:widowControl/>
        <w:spacing w:before="100" w:beforeAutospacing="1" w:after="100" w:afterAutospacing="1" w:line="360" w:lineRule="auto"/>
        <w:rPr>
          <w:rFonts w:hAnsi="宋体" w:cs="宋体"/>
          <w:szCs w:val="21"/>
          <w:highlight w:val="none"/>
        </w:rPr>
        <w:sectPr>
          <w:pgSz w:w="11906" w:h="16838"/>
          <w:pgMar w:top="1440" w:right="1800" w:bottom="1440" w:left="1800" w:header="850" w:footer="1020" w:gutter="0"/>
          <w:pgBorders>
            <w:top w:val="none" w:sz="0" w:space="0"/>
            <w:left w:val="none" w:sz="0" w:space="0"/>
            <w:bottom w:val="none" w:sz="0" w:space="0"/>
            <w:right w:val="none" w:sz="0" w:space="0"/>
          </w:pgBorders>
          <w:cols w:space="720" w:num="1"/>
          <w:docGrid w:type="lines" w:linePitch="312" w:charSpace="0"/>
        </w:sectPr>
      </w:pPr>
    </w:p>
    <w:p>
      <w:pPr>
        <w:pStyle w:val="4"/>
        <w:spacing w:after="120" w:line="480" w:lineRule="exact"/>
        <w:rPr>
          <w:rFonts w:hAnsi="宋体" w:cs="宋体"/>
          <w:b/>
          <w:szCs w:val="20"/>
          <w:highlight w:val="none"/>
        </w:rPr>
      </w:pPr>
      <w:bookmarkStart w:id="39" w:name="_Hlk495871502"/>
      <w:r>
        <w:rPr>
          <w:rFonts w:hint="eastAsia" w:hAnsi="宋体" w:cs="宋体"/>
          <w:b/>
          <w:szCs w:val="20"/>
          <w:highlight w:val="none"/>
        </w:rPr>
        <w:t>附表2.14 公平竞争承诺书</w:t>
      </w:r>
    </w:p>
    <w:bookmarkEnd w:id="39"/>
    <w:p>
      <w:pPr>
        <w:spacing w:line="360" w:lineRule="auto"/>
        <w:ind w:firstLine="422" w:firstLineChars="200"/>
        <w:jc w:val="center"/>
        <w:rPr>
          <w:rFonts w:hAnsi="宋体" w:cs="宋体"/>
          <w:b/>
          <w:highlight w:val="none"/>
        </w:rPr>
      </w:pPr>
      <w:bookmarkStart w:id="40" w:name="_Toc345249422"/>
      <w:bookmarkStart w:id="41" w:name="_Hlk495871495"/>
      <w:r>
        <w:rPr>
          <w:rFonts w:hint="eastAsia" w:hAnsi="宋体" w:cs="宋体"/>
          <w:b/>
          <w:highlight w:val="none"/>
        </w:rPr>
        <w:t>公平竞争承诺书</w:t>
      </w:r>
      <w:bookmarkEnd w:id="40"/>
    </w:p>
    <w:bookmarkEnd w:id="41"/>
    <w:p>
      <w:pPr>
        <w:spacing w:line="360" w:lineRule="auto"/>
        <w:ind w:firstLine="420" w:firstLineChars="200"/>
        <w:rPr>
          <w:rFonts w:hAnsi="宋体" w:cs="宋体"/>
          <w:highlight w:val="none"/>
        </w:rPr>
      </w:pPr>
    </w:p>
    <w:p>
      <w:pPr>
        <w:spacing w:line="360" w:lineRule="auto"/>
        <w:ind w:firstLine="420" w:firstLineChars="200"/>
        <w:rPr>
          <w:rFonts w:hAnsi="宋体" w:cs="宋体"/>
          <w:highlight w:val="none"/>
        </w:rPr>
      </w:pPr>
      <w:r>
        <w:rPr>
          <w:rFonts w:hint="eastAsia" w:hAnsi="宋体" w:cs="宋体"/>
          <w:highlight w:val="none"/>
        </w:rPr>
        <w:t xml:space="preserve">本公司郑重承诺：本公司保证所提交的相关资质文件和证明材料的真实性，有良好的历史诚信记录，并将依法参与 </w:t>
      </w:r>
      <w:r>
        <w:rPr>
          <w:rFonts w:hint="eastAsia" w:hAnsi="宋体" w:cs="宋体"/>
          <w:highlight w:val="none"/>
          <w:u w:val="single"/>
        </w:rPr>
        <w:t xml:space="preserve"> 国家海洋局南海标准计量中心2023年船员服务采购项目 </w:t>
      </w:r>
      <w:r>
        <w:rPr>
          <w:rFonts w:hint="eastAsia" w:hAnsi="宋体" w:cs="宋体"/>
          <w:highlight w:val="none"/>
        </w:rPr>
        <w:t xml:space="preserve">项目的公平竞争，不以任何不正当行为谋取不当利益，否则承担相应的法律责任。  </w:t>
      </w:r>
    </w:p>
    <w:p>
      <w:pPr>
        <w:spacing w:line="360" w:lineRule="auto"/>
        <w:rPr>
          <w:rFonts w:hAnsi="宋体" w:cs="宋体"/>
          <w:highlight w:val="none"/>
        </w:rPr>
      </w:pPr>
    </w:p>
    <w:p>
      <w:pPr>
        <w:spacing w:line="360" w:lineRule="auto"/>
        <w:rPr>
          <w:rFonts w:hAnsi="宋体" w:cs="宋体"/>
          <w:highlight w:val="none"/>
        </w:rPr>
      </w:pPr>
    </w:p>
    <w:p>
      <w:pPr>
        <w:spacing w:line="360" w:lineRule="auto"/>
        <w:rPr>
          <w:rFonts w:hAnsi="宋体" w:cs="宋体"/>
          <w:highlight w:val="none"/>
        </w:rPr>
      </w:pPr>
    </w:p>
    <w:p>
      <w:pPr>
        <w:spacing w:line="360" w:lineRule="auto"/>
        <w:jc w:val="right"/>
        <w:rPr>
          <w:rFonts w:hAnsi="宋体" w:cs="宋体"/>
          <w:highlight w:val="none"/>
        </w:rPr>
      </w:pPr>
      <w:r>
        <w:rPr>
          <w:rFonts w:hint="eastAsia" w:hAnsi="宋体" w:cs="宋体"/>
          <w:highlight w:val="none"/>
        </w:rPr>
        <w:t>（公司名称，加盖公章）</w:t>
      </w:r>
    </w:p>
    <w:p>
      <w:pPr>
        <w:spacing w:line="440" w:lineRule="exact"/>
        <w:jc w:val="right"/>
        <w:rPr>
          <w:rFonts w:hAnsi="宋体" w:cs="宋体"/>
          <w:highlight w:val="none"/>
        </w:rPr>
      </w:pPr>
      <w:r>
        <w:rPr>
          <w:rFonts w:hint="eastAsia" w:hAnsi="宋体" w:cs="宋体"/>
          <w:highlight w:val="none"/>
        </w:rPr>
        <w:t>时间：  年    月   日</w:t>
      </w:r>
    </w:p>
    <w:p>
      <w:pPr>
        <w:rPr>
          <w:rFonts w:hAnsi="宋体" w:cs="宋体"/>
          <w:highlight w:val="none"/>
        </w:rPr>
      </w:pPr>
    </w:p>
    <w:p>
      <w:pPr>
        <w:rPr>
          <w:rFonts w:hAnsi="宋体" w:cs="宋体"/>
          <w:highlight w:val="none"/>
        </w:rPr>
      </w:pPr>
    </w:p>
    <w:p>
      <w:pPr>
        <w:rPr>
          <w:rFonts w:hAnsi="宋体" w:cs="宋体"/>
          <w:highlight w:val="none"/>
        </w:rPr>
      </w:pPr>
    </w:p>
    <w:p>
      <w:pPr>
        <w:rPr>
          <w:rFonts w:hAnsi="宋体" w:cs="宋体"/>
          <w:highlight w:val="none"/>
        </w:rPr>
      </w:pPr>
    </w:p>
    <w:p>
      <w:pPr>
        <w:rPr>
          <w:rFonts w:hAnsi="宋体" w:cs="宋体"/>
          <w:highlight w:val="none"/>
        </w:rPr>
      </w:pPr>
    </w:p>
    <w:p>
      <w:pPr>
        <w:rPr>
          <w:rFonts w:hAnsi="宋体" w:cs="宋体"/>
          <w:highlight w:val="none"/>
        </w:rPr>
      </w:pPr>
    </w:p>
    <w:p>
      <w:pPr>
        <w:rPr>
          <w:rFonts w:hAnsi="宋体" w:cs="宋体"/>
          <w:highlight w:val="none"/>
        </w:rPr>
      </w:pPr>
    </w:p>
    <w:p>
      <w:pPr>
        <w:rPr>
          <w:rFonts w:hAnsi="宋体" w:cs="宋体"/>
          <w:highlight w:val="none"/>
        </w:rPr>
      </w:pPr>
    </w:p>
    <w:p>
      <w:pPr>
        <w:rPr>
          <w:rFonts w:hAnsi="宋体" w:cs="宋体"/>
          <w:highlight w:val="none"/>
        </w:rPr>
      </w:pPr>
    </w:p>
    <w:p>
      <w:pPr>
        <w:rPr>
          <w:rFonts w:hAnsi="宋体" w:cs="宋体"/>
          <w:highlight w:val="none"/>
        </w:rPr>
      </w:pPr>
    </w:p>
    <w:p>
      <w:pPr>
        <w:rPr>
          <w:rFonts w:hAnsi="宋体" w:cs="宋体"/>
          <w:highlight w:val="none"/>
        </w:rPr>
      </w:pPr>
    </w:p>
    <w:p>
      <w:pPr>
        <w:rPr>
          <w:rFonts w:hAnsi="宋体" w:cs="宋体"/>
          <w:highlight w:val="none"/>
        </w:rPr>
      </w:pPr>
    </w:p>
    <w:p>
      <w:pPr>
        <w:rPr>
          <w:rFonts w:hAnsi="宋体" w:cs="宋体"/>
          <w:highlight w:val="none"/>
        </w:rPr>
      </w:pPr>
    </w:p>
    <w:p>
      <w:pPr>
        <w:rPr>
          <w:rFonts w:hAnsi="宋体" w:cs="宋体"/>
          <w:highlight w:val="none"/>
        </w:rPr>
      </w:pPr>
    </w:p>
    <w:p>
      <w:pPr>
        <w:rPr>
          <w:rFonts w:hAnsi="宋体" w:cs="宋体"/>
          <w:highlight w:val="none"/>
        </w:rPr>
      </w:pPr>
    </w:p>
    <w:p>
      <w:pPr>
        <w:rPr>
          <w:highlight w:val="none"/>
        </w:rPr>
      </w:pPr>
    </w:p>
    <w:p>
      <w:pPr>
        <w:rPr>
          <w:highlight w:val="none"/>
        </w:rPr>
      </w:pPr>
    </w:p>
    <w:p>
      <w:pPr>
        <w:rPr>
          <w:highlight w:val="none"/>
        </w:rPr>
      </w:pPr>
    </w:p>
    <w:p>
      <w:pPr>
        <w:rPr>
          <w:highlight w:val="none"/>
        </w:rPr>
      </w:pPr>
    </w:p>
    <w:p>
      <w:pPr>
        <w:pStyle w:val="4"/>
        <w:spacing w:before="312" w:line="480" w:lineRule="exact"/>
        <w:jc w:val="center"/>
        <w:rPr>
          <w:rFonts w:hAnsi="宋体" w:cs="宋体"/>
          <w:b/>
          <w:sz w:val="32"/>
          <w:szCs w:val="32"/>
          <w:highlight w:val="none"/>
        </w:rPr>
      </w:pPr>
      <w:r>
        <w:rPr>
          <w:rFonts w:hint="eastAsia"/>
          <w:highlight w:val="none"/>
        </w:rPr>
        <w:br w:type="page"/>
      </w:r>
      <w:r>
        <w:rPr>
          <w:rFonts w:hint="eastAsia" w:hAnsi="宋体" w:cs="宋体"/>
          <w:b/>
          <w:sz w:val="32"/>
          <w:szCs w:val="32"/>
          <w:highlight w:val="none"/>
        </w:rPr>
        <w:t>三、技术部分文件</w:t>
      </w:r>
    </w:p>
    <w:bookmarkEnd w:id="33"/>
    <w:p>
      <w:pPr>
        <w:jc w:val="center"/>
        <w:rPr>
          <w:rFonts w:hAnsi="宋体" w:cs="宋体"/>
          <w:b/>
          <w:highlight w:val="none"/>
        </w:rPr>
      </w:pPr>
    </w:p>
    <w:p>
      <w:pPr>
        <w:spacing w:line="480" w:lineRule="exact"/>
        <w:ind w:left="709" w:hanging="709"/>
        <w:jc w:val="both"/>
        <w:rPr>
          <w:rFonts w:hAnsi="宋体" w:cs="宋体"/>
          <w:szCs w:val="21"/>
          <w:highlight w:val="none"/>
        </w:rPr>
      </w:pPr>
      <w:r>
        <w:rPr>
          <w:rFonts w:hint="eastAsia" w:hAnsi="宋体" w:cs="宋体"/>
          <w:b/>
          <w:szCs w:val="21"/>
          <w:highlight w:val="none"/>
        </w:rPr>
        <w:t>[说明]</w:t>
      </w:r>
      <w:r>
        <w:rPr>
          <w:rFonts w:hint="eastAsia" w:hAnsi="宋体" w:cs="宋体"/>
          <w:szCs w:val="21"/>
          <w:highlight w:val="none"/>
        </w:rPr>
        <w:t xml:space="preserve"> 投标人应按照招标文件要求，根据“用户需求书”内容作出全面响应。编制和提交的内容应包括但不限于以下各项。对必须满足的内容，必须完全满足。对响应有差异的，则说明差异的内容。</w:t>
      </w:r>
    </w:p>
    <w:p>
      <w:pPr>
        <w:spacing w:line="360" w:lineRule="auto"/>
        <w:rPr>
          <w:rFonts w:hAnsi="宋体" w:cs="宋体"/>
          <w:szCs w:val="21"/>
          <w:highlight w:val="none"/>
        </w:rPr>
      </w:pPr>
    </w:p>
    <w:p>
      <w:pPr>
        <w:spacing w:line="360" w:lineRule="auto"/>
        <w:ind w:firstLine="525" w:firstLineChars="250"/>
        <w:rPr>
          <w:rFonts w:hAnsi="宋体" w:cs="宋体"/>
          <w:szCs w:val="21"/>
          <w:highlight w:val="none"/>
        </w:rPr>
      </w:pPr>
      <w:r>
        <w:rPr>
          <w:rFonts w:hint="eastAsia" w:hAnsi="宋体" w:cs="宋体"/>
          <w:szCs w:val="21"/>
          <w:highlight w:val="none"/>
        </w:rPr>
        <w:t>附表3.1   服务总体方案</w:t>
      </w:r>
    </w:p>
    <w:p>
      <w:pPr>
        <w:spacing w:line="360" w:lineRule="auto"/>
        <w:ind w:firstLine="525" w:firstLineChars="250"/>
        <w:rPr>
          <w:rFonts w:hAnsi="宋体" w:cs="宋体"/>
          <w:szCs w:val="21"/>
          <w:highlight w:val="none"/>
        </w:rPr>
      </w:pPr>
      <w:r>
        <w:rPr>
          <w:rFonts w:hint="eastAsia" w:hAnsi="宋体" w:cs="宋体"/>
          <w:szCs w:val="21"/>
          <w:highlight w:val="none"/>
        </w:rPr>
        <w:t>附表3.2   临时突击性工作及突发事件应急保障措施</w:t>
      </w:r>
    </w:p>
    <w:p>
      <w:pPr>
        <w:spacing w:line="360" w:lineRule="auto"/>
        <w:ind w:firstLine="525" w:firstLineChars="250"/>
        <w:rPr>
          <w:rFonts w:hAnsi="宋体" w:cs="宋体"/>
          <w:szCs w:val="21"/>
          <w:highlight w:val="none"/>
        </w:rPr>
      </w:pPr>
      <w:r>
        <w:rPr>
          <w:rFonts w:hint="eastAsia" w:hAnsi="宋体" w:cs="宋体"/>
          <w:szCs w:val="21"/>
          <w:highlight w:val="none"/>
        </w:rPr>
        <w:t>附表3.3   整体船舶管理服务方案</w:t>
      </w:r>
    </w:p>
    <w:p>
      <w:pPr>
        <w:spacing w:line="360" w:lineRule="auto"/>
        <w:ind w:firstLine="525" w:firstLineChars="250"/>
        <w:rPr>
          <w:rFonts w:hAnsi="宋体" w:cs="宋体"/>
          <w:szCs w:val="21"/>
          <w:highlight w:val="none"/>
        </w:rPr>
      </w:pPr>
      <w:r>
        <w:rPr>
          <w:rFonts w:hint="eastAsia" w:hAnsi="宋体" w:cs="宋体"/>
          <w:szCs w:val="21"/>
          <w:highlight w:val="none"/>
        </w:rPr>
        <w:t>附表3.4   人文关怀和激励保障措施</w:t>
      </w:r>
    </w:p>
    <w:p>
      <w:pPr>
        <w:spacing w:line="360" w:lineRule="auto"/>
        <w:ind w:firstLine="525" w:firstLineChars="250"/>
        <w:rPr>
          <w:rFonts w:hAnsi="宋体" w:cs="宋体"/>
          <w:szCs w:val="21"/>
          <w:highlight w:val="none"/>
        </w:rPr>
      </w:pPr>
      <w:r>
        <w:rPr>
          <w:rFonts w:hint="eastAsia" w:hAnsi="宋体" w:cs="宋体"/>
          <w:szCs w:val="21"/>
          <w:highlight w:val="none"/>
        </w:rPr>
        <w:t>附表3.5   船员待遇保障水平</w:t>
      </w:r>
    </w:p>
    <w:p>
      <w:pPr>
        <w:spacing w:line="360" w:lineRule="auto"/>
        <w:ind w:firstLine="525" w:firstLineChars="250"/>
        <w:rPr>
          <w:rFonts w:hAnsi="宋体" w:cs="宋体"/>
          <w:szCs w:val="21"/>
          <w:highlight w:val="none"/>
        </w:rPr>
      </w:pPr>
      <w:r>
        <w:rPr>
          <w:rFonts w:hint="eastAsia" w:hAnsi="宋体" w:cs="宋体"/>
          <w:szCs w:val="21"/>
          <w:highlight w:val="none"/>
        </w:rPr>
        <w:t>附表3.</w:t>
      </w:r>
      <w:r>
        <w:rPr>
          <w:rFonts w:hAnsi="宋体" w:cs="宋体"/>
          <w:szCs w:val="21"/>
          <w:highlight w:val="none"/>
        </w:rPr>
        <w:t>6</w:t>
      </w:r>
      <w:r>
        <w:rPr>
          <w:rFonts w:hint="eastAsia" w:hAnsi="宋体" w:cs="宋体"/>
          <w:szCs w:val="21"/>
          <w:highlight w:val="none"/>
        </w:rPr>
        <w:t>技术规格偏离表</w:t>
      </w:r>
    </w:p>
    <w:p>
      <w:pPr>
        <w:spacing w:line="360" w:lineRule="auto"/>
        <w:rPr>
          <w:rFonts w:hAnsi="宋体" w:cs="宋体"/>
          <w:b/>
          <w:szCs w:val="21"/>
          <w:highlight w:val="none"/>
        </w:rPr>
      </w:pPr>
    </w:p>
    <w:p>
      <w:pPr>
        <w:spacing w:line="360" w:lineRule="auto"/>
        <w:rPr>
          <w:rFonts w:hAnsi="宋体" w:cs="宋体"/>
          <w:b/>
          <w:szCs w:val="21"/>
          <w:highlight w:val="none"/>
        </w:rPr>
      </w:pPr>
    </w:p>
    <w:p>
      <w:pPr>
        <w:spacing w:line="360" w:lineRule="auto"/>
        <w:rPr>
          <w:rFonts w:hAnsi="宋体" w:cs="宋体"/>
          <w:szCs w:val="21"/>
          <w:highlight w:val="none"/>
        </w:rPr>
      </w:pPr>
    </w:p>
    <w:p>
      <w:pPr>
        <w:pStyle w:val="4"/>
        <w:spacing w:after="120" w:line="480" w:lineRule="exact"/>
        <w:rPr>
          <w:rFonts w:hAnsi="宋体" w:cs="宋体"/>
          <w:b/>
          <w:szCs w:val="21"/>
          <w:highlight w:val="none"/>
        </w:rPr>
      </w:pPr>
      <w:r>
        <w:rPr>
          <w:rFonts w:hint="eastAsia" w:hAnsi="宋体" w:cs="宋体"/>
          <w:b/>
          <w:highlight w:val="none"/>
        </w:rPr>
        <w:br w:type="page"/>
      </w:r>
      <w:r>
        <w:rPr>
          <w:rFonts w:hint="eastAsia" w:hAnsi="宋体" w:cs="宋体"/>
          <w:b/>
          <w:szCs w:val="20"/>
          <w:highlight w:val="none"/>
        </w:rPr>
        <w:t>附表3.1 服务总体方案</w:t>
      </w:r>
    </w:p>
    <w:p>
      <w:pPr>
        <w:spacing w:line="360" w:lineRule="auto"/>
        <w:jc w:val="center"/>
        <w:rPr>
          <w:rFonts w:hAnsi="宋体" w:cs="宋体"/>
          <w:b/>
          <w:highlight w:val="none"/>
        </w:rPr>
      </w:pPr>
    </w:p>
    <w:p>
      <w:pPr>
        <w:spacing w:line="360" w:lineRule="auto"/>
        <w:jc w:val="center"/>
        <w:rPr>
          <w:rFonts w:hAnsi="宋体" w:cs="宋体"/>
          <w:szCs w:val="21"/>
          <w:highlight w:val="none"/>
        </w:rPr>
      </w:pPr>
      <w:r>
        <w:rPr>
          <w:rFonts w:hint="eastAsia" w:hAnsi="宋体" w:cs="宋体"/>
          <w:b/>
          <w:sz w:val="32"/>
          <w:szCs w:val="32"/>
          <w:highlight w:val="none"/>
        </w:rPr>
        <w:t>服务总体方案</w:t>
      </w:r>
    </w:p>
    <w:p>
      <w:pPr>
        <w:spacing w:line="360" w:lineRule="auto"/>
        <w:rPr>
          <w:rFonts w:hAnsi="宋体" w:cs="宋体"/>
          <w:szCs w:val="21"/>
          <w:highlight w:val="none"/>
          <w:lang w:val="en-GB"/>
        </w:rPr>
      </w:pPr>
      <w:r>
        <w:rPr>
          <w:rFonts w:hint="eastAsia" w:hAnsi="宋体" w:cs="宋体"/>
          <w:szCs w:val="21"/>
          <w:highlight w:val="none"/>
        </w:rPr>
        <w:t>服务总体方案</w:t>
      </w:r>
    </w:p>
    <w:p>
      <w:pPr>
        <w:spacing w:line="360" w:lineRule="auto"/>
        <w:rPr>
          <w:rFonts w:hAnsi="宋体" w:cs="宋体"/>
          <w:szCs w:val="21"/>
          <w:highlight w:val="none"/>
        </w:rPr>
      </w:pPr>
    </w:p>
    <w:p>
      <w:pPr>
        <w:snapToGrid w:val="0"/>
        <w:spacing w:line="300" w:lineRule="auto"/>
        <w:rPr>
          <w:rFonts w:hAnsi="宋体" w:cs="宋体"/>
          <w:szCs w:val="21"/>
          <w:highlight w:val="none"/>
        </w:rPr>
      </w:pPr>
      <w:r>
        <w:rPr>
          <w:rFonts w:hint="eastAsia" w:hAnsi="宋体" w:cs="宋体"/>
          <w:szCs w:val="21"/>
          <w:highlight w:val="none"/>
        </w:rPr>
        <w:t>投标人法定代表人（或法定代表人授权代表）签字：</w:t>
      </w:r>
    </w:p>
    <w:p>
      <w:pPr>
        <w:snapToGrid w:val="0"/>
        <w:spacing w:line="300" w:lineRule="auto"/>
        <w:rPr>
          <w:rFonts w:hAnsi="宋体" w:cs="宋体"/>
          <w:szCs w:val="21"/>
          <w:highlight w:val="none"/>
          <w:u w:val="single"/>
        </w:rPr>
      </w:pPr>
      <w:r>
        <w:rPr>
          <w:rFonts w:hint="eastAsia" w:hAnsi="宋体" w:cs="宋体"/>
          <w:szCs w:val="21"/>
          <w:highlight w:val="none"/>
        </w:rPr>
        <w:t>投标人名称（加盖法人公章）：</w:t>
      </w:r>
    </w:p>
    <w:p>
      <w:pPr>
        <w:snapToGrid w:val="0"/>
        <w:spacing w:line="300" w:lineRule="auto"/>
        <w:rPr>
          <w:rFonts w:hAnsi="宋体" w:cs="宋体"/>
          <w:szCs w:val="21"/>
          <w:highlight w:val="none"/>
        </w:rPr>
      </w:pPr>
      <w:r>
        <w:rPr>
          <w:rFonts w:hint="eastAsia" w:hAnsi="宋体" w:cs="宋体"/>
          <w:szCs w:val="21"/>
          <w:highlight w:val="none"/>
        </w:rPr>
        <w:t>日期：年 月 日</w:t>
      </w:r>
    </w:p>
    <w:p>
      <w:pPr>
        <w:spacing w:line="360" w:lineRule="auto"/>
        <w:rPr>
          <w:rFonts w:hAnsi="宋体" w:cs="宋体"/>
          <w:szCs w:val="21"/>
          <w:highlight w:val="none"/>
        </w:rPr>
      </w:pPr>
    </w:p>
    <w:p>
      <w:pPr>
        <w:pStyle w:val="4"/>
        <w:spacing w:after="120" w:line="480" w:lineRule="exact"/>
        <w:rPr>
          <w:rFonts w:hAnsi="宋体" w:cs="宋体"/>
          <w:b/>
          <w:szCs w:val="21"/>
          <w:highlight w:val="none"/>
        </w:rPr>
      </w:pPr>
      <w:r>
        <w:rPr>
          <w:rFonts w:hint="eastAsia" w:hAnsi="宋体" w:cs="宋体"/>
          <w:b/>
          <w:szCs w:val="20"/>
          <w:highlight w:val="none"/>
        </w:rPr>
        <w:t>附表3.2 临时突击性工作及突发事件应急保障措施</w:t>
      </w:r>
    </w:p>
    <w:p>
      <w:pPr>
        <w:spacing w:line="360" w:lineRule="auto"/>
        <w:jc w:val="center"/>
        <w:rPr>
          <w:rFonts w:hAnsi="宋体" w:cs="宋体"/>
          <w:b/>
          <w:highlight w:val="none"/>
        </w:rPr>
      </w:pPr>
    </w:p>
    <w:p>
      <w:pPr>
        <w:spacing w:line="360" w:lineRule="auto"/>
        <w:jc w:val="center"/>
        <w:rPr>
          <w:rFonts w:hAnsi="宋体" w:cs="宋体"/>
          <w:b/>
          <w:sz w:val="32"/>
          <w:szCs w:val="32"/>
          <w:highlight w:val="none"/>
        </w:rPr>
      </w:pPr>
      <w:r>
        <w:rPr>
          <w:rFonts w:hint="eastAsia" w:hAnsi="宋体" w:cs="宋体"/>
          <w:b/>
          <w:sz w:val="32"/>
          <w:szCs w:val="32"/>
          <w:highlight w:val="none"/>
        </w:rPr>
        <w:t>临时突击性工作及突发事件应急保障措施</w:t>
      </w:r>
    </w:p>
    <w:p>
      <w:pPr>
        <w:pStyle w:val="2"/>
        <w:rPr>
          <w:highlight w:val="none"/>
        </w:rPr>
      </w:pPr>
    </w:p>
    <w:p>
      <w:pPr>
        <w:spacing w:line="360" w:lineRule="auto"/>
        <w:rPr>
          <w:rFonts w:hAnsi="宋体" w:cs="宋体"/>
          <w:szCs w:val="21"/>
          <w:highlight w:val="none"/>
        </w:rPr>
      </w:pPr>
      <w:r>
        <w:rPr>
          <w:rFonts w:hint="eastAsia" w:hAnsi="宋体" w:cs="宋体"/>
          <w:szCs w:val="21"/>
          <w:highlight w:val="none"/>
        </w:rPr>
        <w:t>临时突击性工作及突发事件应急保障措施</w:t>
      </w:r>
    </w:p>
    <w:p>
      <w:pPr>
        <w:pStyle w:val="2"/>
        <w:rPr>
          <w:highlight w:val="none"/>
        </w:rPr>
      </w:pPr>
    </w:p>
    <w:p>
      <w:pPr>
        <w:snapToGrid w:val="0"/>
        <w:spacing w:line="360" w:lineRule="auto"/>
        <w:rPr>
          <w:rFonts w:hAnsi="宋体" w:cs="宋体"/>
          <w:szCs w:val="21"/>
          <w:highlight w:val="none"/>
        </w:rPr>
      </w:pPr>
      <w:r>
        <w:rPr>
          <w:rFonts w:hint="eastAsia" w:hAnsi="宋体" w:cs="宋体"/>
          <w:szCs w:val="21"/>
          <w:highlight w:val="none"/>
        </w:rPr>
        <w:t>投标人法定代表人（或法定代表人授权代表）签字：</w:t>
      </w:r>
    </w:p>
    <w:p>
      <w:pPr>
        <w:snapToGrid w:val="0"/>
        <w:spacing w:line="360" w:lineRule="auto"/>
        <w:rPr>
          <w:rFonts w:hAnsi="宋体" w:cs="宋体"/>
          <w:szCs w:val="21"/>
          <w:highlight w:val="none"/>
          <w:u w:val="single"/>
        </w:rPr>
      </w:pPr>
      <w:r>
        <w:rPr>
          <w:rFonts w:hint="eastAsia" w:hAnsi="宋体" w:cs="宋体"/>
          <w:szCs w:val="21"/>
          <w:highlight w:val="none"/>
        </w:rPr>
        <w:t>投标人名称（加盖法人公章）：</w:t>
      </w:r>
    </w:p>
    <w:p>
      <w:pPr>
        <w:snapToGrid w:val="0"/>
        <w:spacing w:line="360" w:lineRule="auto"/>
        <w:rPr>
          <w:rFonts w:hAnsi="宋体" w:cs="宋体"/>
          <w:szCs w:val="21"/>
          <w:highlight w:val="none"/>
        </w:rPr>
      </w:pPr>
      <w:r>
        <w:rPr>
          <w:rFonts w:hint="eastAsia" w:hAnsi="宋体" w:cs="宋体"/>
          <w:szCs w:val="21"/>
          <w:highlight w:val="none"/>
        </w:rPr>
        <w:t>日期：年 月 日</w:t>
      </w:r>
    </w:p>
    <w:p>
      <w:pPr>
        <w:spacing w:line="360" w:lineRule="auto"/>
        <w:rPr>
          <w:rFonts w:hAnsi="宋体" w:cs="宋体"/>
          <w:szCs w:val="21"/>
          <w:highlight w:val="none"/>
        </w:rPr>
      </w:pPr>
    </w:p>
    <w:p>
      <w:pPr>
        <w:pStyle w:val="4"/>
        <w:spacing w:after="120" w:line="480" w:lineRule="exact"/>
        <w:rPr>
          <w:rFonts w:hAnsi="宋体" w:cs="宋体"/>
          <w:b/>
          <w:szCs w:val="21"/>
          <w:highlight w:val="none"/>
        </w:rPr>
      </w:pPr>
      <w:r>
        <w:rPr>
          <w:rFonts w:hint="eastAsia" w:hAnsi="宋体" w:cs="宋体"/>
          <w:b/>
          <w:szCs w:val="20"/>
          <w:highlight w:val="none"/>
        </w:rPr>
        <w:t>附表3.3 整体船舶管理服务方案</w:t>
      </w:r>
    </w:p>
    <w:p>
      <w:pPr>
        <w:spacing w:line="360" w:lineRule="auto"/>
        <w:ind w:firstLine="643" w:firstLineChars="200"/>
        <w:jc w:val="center"/>
        <w:rPr>
          <w:rFonts w:hAnsi="宋体" w:cs="宋体"/>
          <w:b/>
          <w:sz w:val="32"/>
          <w:szCs w:val="32"/>
          <w:highlight w:val="none"/>
        </w:rPr>
      </w:pPr>
    </w:p>
    <w:p>
      <w:pPr>
        <w:spacing w:line="360" w:lineRule="auto"/>
        <w:jc w:val="center"/>
        <w:rPr>
          <w:rFonts w:hAnsi="宋体" w:cs="宋体"/>
          <w:szCs w:val="21"/>
          <w:highlight w:val="none"/>
          <w:lang w:val="en-GB"/>
        </w:rPr>
      </w:pPr>
      <w:r>
        <w:rPr>
          <w:rFonts w:hint="eastAsia" w:hAnsi="宋体" w:cs="宋体"/>
          <w:b/>
          <w:sz w:val="32"/>
          <w:szCs w:val="32"/>
          <w:highlight w:val="none"/>
        </w:rPr>
        <w:t>整体船舶管理服务方案</w:t>
      </w:r>
    </w:p>
    <w:p>
      <w:pPr>
        <w:spacing w:line="360" w:lineRule="auto"/>
        <w:rPr>
          <w:rFonts w:hAnsi="宋体" w:cs="宋体"/>
          <w:szCs w:val="21"/>
          <w:highlight w:val="none"/>
          <w:lang w:val="en-GB"/>
        </w:rPr>
      </w:pPr>
      <w:r>
        <w:rPr>
          <w:rFonts w:hint="eastAsia" w:hAnsi="宋体" w:cs="宋体"/>
          <w:szCs w:val="21"/>
          <w:highlight w:val="none"/>
          <w:lang w:val="en-GB"/>
        </w:rPr>
        <w:t>整体船舶管理服务方案</w:t>
      </w:r>
    </w:p>
    <w:p>
      <w:pPr>
        <w:snapToGrid w:val="0"/>
        <w:spacing w:line="360" w:lineRule="auto"/>
        <w:rPr>
          <w:rFonts w:hAnsi="宋体" w:cs="宋体"/>
          <w:szCs w:val="21"/>
          <w:highlight w:val="none"/>
        </w:rPr>
      </w:pPr>
    </w:p>
    <w:p>
      <w:pPr>
        <w:snapToGrid w:val="0"/>
        <w:spacing w:line="360" w:lineRule="auto"/>
        <w:rPr>
          <w:rFonts w:hAnsi="宋体" w:cs="宋体"/>
          <w:szCs w:val="21"/>
          <w:highlight w:val="none"/>
        </w:rPr>
      </w:pPr>
      <w:r>
        <w:rPr>
          <w:rFonts w:hint="eastAsia" w:hAnsi="宋体" w:cs="宋体"/>
          <w:szCs w:val="21"/>
          <w:highlight w:val="none"/>
        </w:rPr>
        <w:t>投标人法定代表人（或法定代表人授权代表）签字：</w:t>
      </w:r>
    </w:p>
    <w:p>
      <w:pPr>
        <w:snapToGrid w:val="0"/>
        <w:spacing w:line="360" w:lineRule="auto"/>
        <w:rPr>
          <w:rFonts w:hAnsi="宋体" w:cs="宋体"/>
          <w:szCs w:val="21"/>
          <w:highlight w:val="none"/>
          <w:u w:val="single"/>
        </w:rPr>
      </w:pPr>
      <w:r>
        <w:rPr>
          <w:rFonts w:hint="eastAsia" w:hAnsi="宋体" w:cs="宋体"/>
          <w:szCs w:val="21"/>
          <w:highlight w:val="none"/>
        </w:rPr>
        <w:t>投标人名称（加盖法人公章）：</w:t>
      </w:r>
    </w:p>
    <w:p>
      <w:pPr>
        <w:snapToGrid w:val="0"/>
        <w:spacing w:line="360" w:lineRule="auto"/>
        <w:rPr>
          <w:rFonts w:hAnsi="宋体" w:cs="宋体"/>
          <w:szCs w:val="21"/>
          <w:highlight w:val="none"/>
        </w:rPr>
      </w:pPr>
      <w:r>
        <w:rPr>
          <w:rFonts w:hint="eastAsia" w:hAnsi="宋体" w:cs="宋体"/>
          <w:szCs w:val="21"/>
          <w:highlight w:val="none"/>
        </w:rPr>
        <w:t>日期：年 月 日</w:t>
      </w:r>
    </w:p>
    <w:p>
      <w:pPr>
        <w:spacing w:line="360" w:lineRule="auto"/>
        <w:rPr>
          <w:rFonts w:hAnsi="宋体" w:cs="宋体"/>
          <w:b/>
          <w:highlight w:val="none"/>
        </w:rPr>
      </w:pPr>
    </w:p>
    <w:p>
      <w:pPr>
        <w:pStyle w:val="4"/>
        <w:spacing w:after="120" w:line="480" w:lineRule="exact"/>
        <w:rPr>
          <w:rFonts w:hAnsi="宋体" w:cs="宋体"/>
          <w:b/>
          <w:szCs w:val="21"/>
          <w:highlight w:val="none"/>
        </w:rPr>
      </w:pPr>
      <w:r>
        <w:rPr>
          <w:rFonts w:hint="eastAsia" w:hAnsi="宋体" w:cs="宋体"/>
          <w:szCs w:val="21"/>
          <w:highlight w:val="none"/>
        </w:rPr>
        <w:br w:type="page"/>
      </w:r>
      <w:r>
        <w:rPr>
          <w:rFonts w:hint="eastAsia" w:hAnsi="宋体" w:cs="宋体"/>
          <w:b/>
          <w:szCs w:val="20"/>
          <w:highlight w:val="none"/>
        </w:rPr>
        <w:t>附表3.4 人文关怀和激励保障措施</w:t>
      </w:r>
    </w:p>
    <w:p>
      <w:pPr>
        <w:spacing w:line="480" w:lineRule="exact"/>
        <w:rPr>
          <w:rFonts w:hAnsi="宋体" w:cs="宋体"/>
          <w:b/>
          <w:highlight w:val="none"/>
        </w:rPr>
      </w:pPr>
    </w:p>
    <w:p>
      <w:pPr>
        <w:spacing w:line="480" w:lineRule="exact"/>
        <w:jc w:val="center"/>
        <w:rPr>
          <w:rFonts w:hAnsi="宋体" w:cs="宋体"/>
          <w:b/>
          <w:bCs/>
          <w:sz w:val="32"/>
          <w:szCs w:val="32"/>
          <w:highlight w:val="none"/>
        </w:rPr>
      </w:pPr>
      <w:r>
        <w:rPr>
          <w:rFonts w:hint="eastAsia" w:hAnsi="宋体" w:cs="宋体"/>
          <w:b/>
          <w:bCs/>
          <w:sz w:val="32"/>
          <w:szCs w:val="32"/>
          <w:highlight w:val="none"/>
        </w:rPr>
        <w:t>人文关怀和激励保障措施</w:t>
      </w:r>
    </w:p>
    <w:p>
      <w:pPr>
        <w:pStyle w:val="2"/>
        <w:rPr>
          <w:highlight w:val="none"/>
        </w:rPr>
      </w:pPr>
    </w:p>
    <w:p>
      <w:pPr>
        <w:spacing w:line="480" w:lineRule="exact"/>
        <w:rPr>
          <w:rFonts w:hAnsi="宋体" w:cs="宋体"/>
          <w:szCs w:val="21"/>
          <w:highlight w:val="none"/>
        </w:rPr>
      </w:pPr>
      <w:r>
        <w:rPr>
          <w:rFonts w:hint="eastAsia" w:hAnsi="宋体" w:cs="宋体"/>
          <w:szCs w:val="21"/>
          <w:highlight w:val="none"/>
        </w:rPr>
        <w:t>人文关怀和激励保障措施</w:t>
      </w:r>
    </w:p>
    <w:p>
      <w:pPr>
        <w:spacing w:line="480" w:lineRule="exact"/>
        <w:ind w:firstLine="403"/>
        <w:rPr>
          <w:rFonts w:hAnsi="宋体" w:cs="宋体"/>
          <w:szCs w:val="21"/>
          <w:highlight w:val="none"/>
        </w:rPr>
      </w:pPr>
    </w:p>
    <w:p>
      <w:pPr>
        <w:snapToGrid w:val="0"/>
        <w:spacing w:line="360" w:lineRule="auto"/>
        <w:rPr>
          <w:rFonts w:hAnsi="宋体" w:cs="宋体"/>
          <w:szCs w:val="21"/>
          <w:highlight w:val="none"/>
        </w:rPr>
      </w:pPr>
      <w:r>
        <w:rPr>
          <w:rFonts w:hint="eastAsia" w:hAnsi="宋体" w:cs="宋体"/>
          <w:szCs w:val="21"/>
          <w:highlight w:val="none"/>
        </w:rPr>
        <w:t>投标人法定代表人（或法定代表人授权代表）签字：</w:t>
      </w:r>
    </w:p>
    <w:p>
      <w:pPr>
        <w:snapToGrid w:val="0"/>
        <w:spacing w:line="360" w:lineRule="auto"/>
        <w:rPr>
          <w:rFonts w:hAnsi="宋体" w:cs="宋体"/>
          <w:szCs w:val="21"/>
          <w:highlight w:val="none"/>
          <w:u w:val="single"/>
        </w:rPr>
      </w:pPr>
      <w:r>
        <w:rPr>
          <w:rFonts w:hint="eastAsia" w:hAnsi="宋体" w:cs="宋体"/>
          <w:szCs w:val="21"/>
          <w:highlight w:val="none"/>
        </w:rPr>
        <w:t>投标人名称（加盖法人公章）：</w:t>
      </w:r>
    </w:p>
    <w:p>
      <w:pPr>
        <w:snapToGrid w:val="0"/>
        <w:spacing w:line="360" w:lineRule="auto"/>
        <w:rPr>
          <w:rFonts w:hAnsi="宋体" w:cs="宋体"/>
          <w:szCs w:val="21"/>
          <w:highlight w:val="none"/>
        </w:rPr>
      </w:pPr>
      <w:r>
        <w:rPr>
          <w:rFonts w:hint="eastAsia" w:hAnsi="宋体" w:cs="宋体"/>
          <w:szCs w:val="21"/>
          <w:highlight w:val="none"/>
        </w:rPr>
        <w:t>日期：年 月 日</w:t>
      </w:r>
    </w:p>
    <w:p>
      <w:pPr>
        <w:spacing w:line="480" w:lineRule="exact"/>
        <w:rPr>
          <w:rFonts w:hAnsi="宋体" w:cs="宋体"/>
          <w:szCs w:val="21"/>
          <w:highlight w:val="none"/>
        </w:rPr>
      </w:pPr>
    </w:p>
    <w:p>
      <w:pPr>
        <w:pStyle w:val="2"/>
        <w:rPr>
          <w:highlight w:val="none"/>
        </w:rPr>
      </w:pPr>
    </w:p>
    <w:p>
      <w:pPr>
        <w:pStyle w:val="4"/>
        <w:spacing w:after="120" w:line="480" w:lineRule="exact"/>
        <w:rPr>
          <w:rFonts w:hAnsi="宋体" w:cs="宋体"/>
          <w:b/>
          <w:szCs w:val="21"/>
          <w:highlight w:val="none"/>
        </w:rPr>
      </w:pPr>
      <w:r>
        <w:rPr>
          <w:rFonts w:hint="eastAsia" w:hAnsi="宋体" w:cs="宋体"/>
          <w:b/>
          <w:szCs w:val="20"/>
          <w:highlight w:val="none"/>
        </w:rPr>
        <w:t>附表3.</w:t>
      </w:r>
      <w:r>
        <w:rPr>
          <w:rFonts w:hAnsi="宋体" w:cs="宋体"/>
          <w:b/>
          <w:szCs w:val="20"/>
          <w:highlight w:val="none"/>
        </w:rPr>
        <w:t>5</w:t>
      </w:r>
      <w:r>
        <w:rPr>
          <w:rFonts w:hint="eastAsia" w:hAnsi="宋体" w:cs="宋体"/>
          <w:b/>
          <w:szCs w:val="20"/>
          <w:highlight w:val="none"/>
        </w:rPr>
        <w:t xml:space="preserve"> 船员待遇保障水平</w:t>
      </w:r>
    </w:p>
    <w:p>
      <w:pPr>
        <w:spacing w:line="480" w:lineRule="exact"/>
        <w:rPr>
          <w:rFonts w:hAnsi="宋体" w:cs="宋体"/>
          <w:b/>
          <w:highlight w:val="none"/>
        </w:rPr>
      </w:pPr>
    </w:p>
    <w:p>
      <w:pPr>
        <w:spacing w:line="480" w:lineRule="exact"/>
        <w:jc w:val="center"/>
        <w:rPr>
          <w:rFonts w:hAnsi="宋体" w:cs="宋体"/>
          <w:b/>
          <w:bCs/>
          <w:sz w:val="32"/>
          <w:szCs w:val="32"/>
          <w:highlight w:val="none"/>
        </w:rPr>
      </w:pPr>
      <w:r>
        <w:rPr>
          <w:rFonts w:hint="eastAsia" w:hAnsi="宋体" w:cs="宋体"/>
          <w:b/>
          <w:bCs/>
          <w:sz w:val="32"/>
          <w:szCs w:val="32"/>
          <w:highlight w:val="none"/>
        </w:rPr>
        <w:t>船员待遇保障水平</w:t>
      </w:r>
    </w:p>
    <w:p>
      <w:pPr>
        <w:spacing w:line="480" w:lineRule="exact"/>
        <w:rPr>
          <w:rFonts w:hAnsi="宋体" w:cs="宋体"/>
          <w:szCs w:val="21"/>
          <w:highlight w:val="none"/>
        </w:rPr>
      </w:pPr>
      <w:r>
        <w:rPr>
          <w:rFonts w:hint="eastAsia" w:hAnsi="宋体" w:cs="宋体"/>
          <w:szCs w:val="21"/>
          <w:highlight w:val="none"/>
        </w:rPr>
        <w:t>船员待遇保障水平</w:t>
      </w:r>
    </w:p>
    <w:p>
      <w:pPr>
        <w:pStyle w:val="2"/>
        <w:rPr>
          <w:highlight w:val="none"/>
        </w:rPr>
      </w:pPr>
    </w:p>
    <w:p>
      <w:pPr>
        <w:snapToGrid w:val="0"/>
        <w:spacing w:line="360" w:lineRule="auto"/>
        <w:rPr>
          <w:rFonts w:hAnsi="宋体" w:cs="宋体"/>
          <w:szCs w:val="21"/>
          <w:highlight w:val="none"/>
        </w:rPr>
      </w:pPr>
      <w:r>
        <w:rPr>
          <w:rFonts w:hint="eastAsia" w:hAnsi="宋体" w:cs="宋体"/>
          <w:szCs w:val="21"/>
          <w:highlight w:val="none"/>
        </w:rPr>
        <w:t>投标人法定代表人（或法定代表人授权代表）签字：</w:t>
      </w:r>
    </w:p>
    <w:p>
      <w:pPr>
        <w:snapToGrid w:val="0"/>
        <w:spacing w:line="360" w:lineRule="auto"/>
        <w:rPr>
          <w:rFonts w:hAnsi="宋体" w:cs="宋体"/>
          <w:szCs w:val="21"/>
          <w:highlight w:val="none"/>
          <w:u w:val="single"/>
        </w:rPr>
      </w:pPr>
      <w:r>
        <w:rPr>
          <w:rFonts w:hint="eastAsia" w:hAnsi="宋体" w:cs="宋体"/>
          <w:szCs w:val="21"/>
          <w:highlight w:val="none"/>
        </w:rPr>
        <w:t>投标人名称（加盖法人公章）：</w:t>
      </w:r>
    </w:p>
    <w:p>
      <w:pPr>
        <w:snapToGrid w:val="0"/>
        <w:spacing w:line="360" w:lineRule="auto"/>
        <w:rPr>
          <w:rFonts w:hAnsi="宋体" w:cs="宋体"/>
          <w:szCs w:val="21"/>
          <w:highlight w:val="none"/>
        </w:rPr>
      </w:pPr>
      <w:r>
        <w:rPr>
          <w:rFonts w:hint="eastAsia" w:hAnsi="宋体" w:cs="宋体"/>
          <w:szCs w:val="21"/>
          <w:highlight w:val="none"/>
        </w:rPr>
        <w:t>日期：年 月 日</w:t>
      </w:r>
    </w:p>
    <w:p>
      <w:pPr>
        <w:pStyle w:val="2"/>
        <w:rPr>
          <w:highlight w:val="none"/>
        </w:rPr>
      </w:pPr>
    </w:p>
    <w:p>
      <w:pPr>
        <w:pStyle w:val="4"/>
        <w:spacing w:after="120" w:line="480" w:lineRule="exact"/>
        <w:rPr>
          <w:rFonts w:hAnsi="宋体" w:cs="宋体"/>
          <w:b/>
          <w:szCs w:val="21"/>
          <w:highlight w:val="none"/>
        </w:rPr>
      </w:pPr>
      <w:bookmarkStart w:id="42" w:name="_Hlt10567911"/>
      <w:bookmarkEnd w:id="42"/>
      <w:bookmarkStart w:id="43" w:name="_Toc4471833"/>
      <w:bookmarkStart w:id="44" w:name="_Toc10548709"/>
      <w:r>
        <w:rPr>
          <w:rFonts w:hint="eastAsia" w:hAnsi="宋体" w:cs="宋体"/>
          <w:highlight w:val="none"/>
        </w:rPr>
        <w:br w:type="page"/>
      </w:r>
      <w:r>
        <w:rPr>
          <w:rFonts w:hint="eastAsia" w:hAnsi="宋体" w:cs="宋体"/>
          <w:b/>
          <w:szCs w:val="20"/>
          <w:highlight w:val="none"/>
        </w:rPr>
        <w:t>附表3.</w:t>
      </w:r>
      <w:r>
        <w:rPr>
          <w:rFonts w:hAnsi="宋体" w:cs="宋体"/>
          <w:b/>
          <w:szCs w:val="20"/>
          <w:highlight w:val="none"/>
        </w:rPr>
        <w:t>6</w:t>
      </w:r>
      <w:r>
        <w:rPr>
          <w:rFonts w:hint="eastAsia" w:hAnsi="宋体" w:cs="宋体"/>
          <w:b/>
          <w:szCs w:val="20"/>
          <w:highlight w:val="none"/>
        </w:rPr>
        <w:t xml:space="preserve"> 技术规格偏离表格式</w:t>
      </w:r>
      <w:bookmarkEnd w:id="43"/>
      <w:bookmarkEnd w:id="44"/>
    </w:p>
    <w:p>
      <w:pPr>
        <w:pStyle w:val="4"/>
        <w:spacing w:after="120" w:line="480" w:lineRule="exact"/>
        <w:rPr>
          <w:rFonts w:hAnsi="宋体" w:cs="宋体"/>
          <w:b/>
          <w:szCs w:val="20"/>
          <w:highlight w:val="none"/>
        </w:rPr>
      </w:pPr>
      <w:r>
        <w:rPr>
          <w:rFonts w:hint="eastAsia" w:hAnsi="宋体" w:cs="宋体"/>
          <w:b/>
          <w:szCs w:val="20"/>
          <w:highlight w:val="none"/>
        </w:rPr>
        <w:t>（</w:t>
      </w:r>
      <w:bookmarkStart w:id="45" w:name="_Hlk495873026"/>
      <w:r>
        <w:rPr>
          <w:rFonts w:hint="eastAsia" w:hAnsi="宋体" w:cs="宋体"/>
          <w:b/>
          <w:szCs w:val="20"/>
          <w:highlight w:val="none"/>
        </w:rPr>
        <w:t>1）实质性响应技术条款（“★”项）响应表格式</w:t>
      </w:r>
    </w:p>
    <w:bookmarkEnd w:id="45"/>
    <w:p>
      <w:pPr>
        <w:spacing w:line="360" w:lineRule="auto"/>
        <w:rPr>
          <w:rFonts w:hAnsi="宋体" w:cs="宋体"/>
          <w:szCs w:val="21"/>
          <w:highlight w:val="none"/>
        </w:rPr>
      </w:pPr>
    </w:p>
    <w:p>
      <w:pPr>
        <w:spacing w:line="360" w:lineRule="auto"/>
        <w:jc w:val="center"/>
        <w:rPr>
          <w:rFonts w:hAnsi="宋体" w:cs="宋体"/>
          <w:sz w:val="28"/>
          <w:szCs w:val="28"/>
          <w:highlight w:val="none"/>
        </w:rPr>
      </w:pPr>
      <w:bookmarkStart w:id="46" w:name="_Hlk502600877"/>
      <w:r>
        <w:rPr>
          <w:rFonts w:hint="eastAsia" w:hAnsi="宋体" w:cs="宋体"/>
          <w:b/>
          <w:sz w:val="28"/>
          <w:szCs w:val="28"/>
          <w:highlight w:val="none"/>
        </w:rPr>
        <w:t>实质性响应技术条款（“★”项）</w:t>
      </w:r>
      <w:bookmarkEnd w:id="46"/>
      <w:r>
        <w:rPr>
          <w:rFonts w:hint="eastAsia" w:hAnsi="宋体" w:cs="宋体"/>
          <w:b/>
          <w:sz w:val="28"/>
          <w:szCs w:val="28"/>
          <w:highlight w:val="none"/>
        </w:rPr>
        <w:t>响应表</w:t>
      </w:r>
    </w:p>
    <w:p>
      <w:pPr>
        <w:spacing w:line="360" w:lineRule="auto"/>
        <w:rPr>
          <w:rFonts w:hAnsi="宋体" w:cs="宋体"/>
          <w:szCs w:val="21"/>
          <w:highlight w:val="none"/>
          <w:u w:val="single"/>
        </w:rPr>
      </w:pPr>
      <w:r>
        <w:rPr>
          <w:rFonts w:hint="eastAsia" w:hAnsi="宋体" w:cs="宋体"/>
          <w:szCs w:val="21"/>
          <w:highlight w:val="none"/>
        </w:rPr>
        <w:t>投标人名称：</w:t>
      </w:r>
    </w:p>
    <w:p>
      <w:pPr>
        <w:spacing w:line="360" w:lineRule="auto"/>
        <w:rPr>
          <w:rFonts w:hAnsi="宋体" w:cs="宋体"/>
          <w:szCs w:val="21"/>
          <w:highlight w:val="none"/>
        </w:rPr>
      </w:pPr>
      <w:r>
        <w:rPr>
          <w:rFonts w:hint="eastAsia" w:hAnsi="宋体" w:cs="宋体"/>
          <w:szCs w:val="21"/>
          <w:highlight w:val="none"/>
        </w:rPr>
        <w:t>项目名称：国家海洋局南海标准计量中心2023年船员服务采购项目</w:t>
      </w:r>
    </w:p>
    <w:p>
      <w:pPr>
        <w:spacing w:line="360" w:lineRule="auto"/>
        <w:rPr>
          <w:rFonts w:hAnsi="宋体" w:cs="宋体"/>
          <w:szCs w:val="21"/>
          <w:highlight w:val="none"/>
        </w:rPr>
      </w:pPr>
      <w:r>
        <w:rPr>
          <w:rFonts w:hint="eastAsia" w:hAnsi="宋体" w:cs="宋体"/>
          <w:szCs w:val="21"/>
          <w:highlight w:val="none"/>
        </w:rPr>
        <w:t xml:space="preserve">采购编号：GDYD221545    </w:t>
      </w:r>
    </w:p>
    <w:tbl>
      <w:tblPr>
        <w:tblStyle w:val="49"/>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920"/>
        <w:gridCol w:w="3588"/>
        <w:gridCol w:w="211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73" w:type="dxa"/>
            <w:vAlign w:val="center"/>
          </w:tcPr>
          <w:p>
            <w:pPr>
              <w:jc w:val="center"/>
              <w:rPr>
                <w:rFonts w:hAnsi="宋体" w:cs="宋体"/>
                <w:b/>
                <w:szCs w:val="21"/>
                <w:highlight w:val="none"/>
              </w:rPr>
            </w:pPr>
            <w:r>
              <w:rPr>
                <w:rFonts w:hint="eastAsia" w:hAnsi="宋体" w:cs="宋体"/>
                <w:b/>
                <w:szCs w:val="21"/>
                <w:highlight w:val="none"/>
              </w:rPr>
              <w:t>序号</w:t>
            </w:r>
          </w:p>
        </w:tc>
        <w:tc>
          <w:tcPr>
            <w:tcW w:w="1920" w:type="dxa"/>
            <w:vAlign w:val="center"/>
          </w:tcPr>
          <w:p>
            <w:pPr>
              <w:jc w:val="center"/>
              <w:rPr>
                <w:rFonts w:hAnsi="宋体" w:cs="宋体"/>
                <w:b/>
                <w:szCs w:val="21"/>
                <w:highlight w:val="none"/>
              </w:rPr>
            </w:pPr>
            <w:r>
              <w:rPr>
                <w:rFonts w:hint="eastAsia" w:hAnsi="宋体" w:cs="宋体"/>
                <w:b/>
                <w:szCs w:val="21"/>
                <w:highlight w:val="none"/>
              </w:rPr>
              <w:t>招标规格/要求</w:t>
            </w:r>
          </w:p>
        </w:tc>
        <w:tc>
          <w:tcPr>
            <w:tcW w:w="3588" w:type="dxa"/>
            <w:vAlign w:val="center"/>
          </w:tcPr>
          <w:p>
            <w:pPr>
              <w:jc w:val="center"/>
              <w:rPr>
                <w:rFonts w:hAnsi="宋体" w:cs="宋体"/>
                <w:b/>
                <w:szCs w:val="21"/>
                <w:highlight w:val="none"/>
              </w:rPr>
            </w:pPr>
            <w:r>
              <w:rPr>
                <w:rFonts w:hint="eastAsia" w:hAnsi="宋体" w:cs="宋体"/>
                <w:b/>
                <w:szCs w:val="21"/>
                <w:highlight w:val="none"/>
              </w:rPr>
              <w:t>投标实际参数</w:t>
            </w:r>
          </w:p>
          <w:p>
            <w:pPr>
              <w:jc w:val="center"/>
              <w:rPr>
                <w:rFonts w:hAnsi="宋体" w:cs="宋体"/>
                <w:b/>
                <w:szCs w:val="21"/>
                <w:highlight w:val="none"/>
              </w:rPr>
            </w:pPr>
            <w:r>
              <w:rPr>
                <w:rFonts w:hint="eastAsia" w:hAnsi="宋体" w:cs="宋体"/>
                <w:b/>
                <w:bCs/>
                <w:szCs w:val="21"/>
                <w:highlight w:val="none"/>
              </w:rPr>
              <w:t>(投标人应按投标服务实际数据填写，不能照抄招标要求)</w:t>
            </w:r>
          </w:p>
        </w:tc>
        <w:tc>
          <w:tcPr>
            <w:tcW w:w="2115" w:type="dxa"/>
            <w:vAlign w:val="center"/>
          </w:tcPr>
          <w:p>
            <w:pPr>
              <w:jc w:val="center"/>
              <w:rPr>
                <w:rFonts w:hAnsi="宋体" w:cs="宋体"/>
                <w:b/>
                <w:szCs w:val="21"/>
                <w:highlight w:val="none"/>
              </w:rPr>
            </w:pPr>
            <w:r>
              <w:rPr>
                <w:rFonts w:hint="eastAsia" w:hAnsi="宋体" w:cs="宋体"/>
                <w:b/>
                <w:szCs w:val="21"/>
                <w:highlight w:val="none"/>
              </w:rPr>
              <w:t>是否偏离（无偏离/正偏离/负偏离）</w:t>
            </w:r>
          </w:p>
        </w:tc>
        <w:tc>
          <w:tcPr>
            <w:tcW w:w="1295" w:type="dxa"/>
            <w:vAlign w:val="center"/>
          </w:tcPr>
          <w:p>
            <w:pPr>
              <w:jc w:val="center"/>
              <w:rPr>
                <w:rFonts w:hAnsi="宋体" w:cs="宋体"/>
                <w:b/>
                <w:szCs w:val="21"/>
                <w:highlight w:val="none"/>
              </w:rPr>
            </w:pPr>
            <w:r>
              <w:rPr>
                <w:rFonts w:hint="eastAsia" w:hAnsi="宋体" w:cs="宋体"/>
                <w:b/>
                <w:szCs w:val="21"/>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73" w:type="dxa"/>
          </w:tcPr>
          <w:p>
            <w:pPr>
              <w:jc w:val="center"/>
              <w:rPr>
                <w:rFonts w:hAnsi="宋体" w:cs="宋体"/>
                <w:szCs w:val="21"/>
                <w:highlight w:val="none"/>
              </w:rPr>
            </w:pPr>
            <w:r>
              <w:rPr>
                <w:rFonts w:hint="eastAsia" w:hAnsi="宋体" w:cs="宋体"/>
                <w:szCs w:val="21"/>
                <w:highlight w:val="none"/>
              </w:rPr>
              <w:t>1</w:t>
            </w:r>
          </w:p>
        </w:tc>
        <w:tc>
          <w:tcPr>
            <w:tcW w:w="5508" w:type="dxa"/>
            <w:gridSpan w:val="2"/>
          </w:tcPr>
          <w:p>
            <w:pPr>
              <w:rPr>
                <w:rFonts w:hAnsi="宋体" w:cs="宋体"/>
                <w:szCs w:val="21"/>
                <w:highlight w:val="none"/>
              </w:rPr>
            </w:pPr>
            <w:r>
              <w:rPr>
                <w:rFonts w:hint="eastAsia" w:hAnsi="宋体" w:cs="宋体"/>
                <w:szCs w:val="21"/>
                <w:highlight w:val="none"/>
                <w:lang w:val="en-GB"/>
              </w:rPr>
              <w:t>招标文件用户需求书中的所有实质性响应技术条款（“★”项）均完全响应，无任何偏离</w:t>
            </w:r>
          </w:p>
        </w:tc>
        <w:tc>
          <w:tcPr>
            <w:tcW w:w="2115" w:type="dxa"/>
            <w:vAlign w:val="center"/>
          </w:tcPr>
          <w:p>
            <w:pPr>
              <w:jc w:val="center"/>
              <w:rPr>
                <w:rFonts w:hAnsi="宋体" w:cs="宋体"/>
                <w:szCs w:val="21"/>
                <w:highlight w:val="none"/>
              </w:rPr>
            </w:pPr>
            <w:r>
              <w:rPr>
                <w:rFonts w:hint="eastAsia" w:hAnsi="宋体" w:cs="宋体"/>
                <w:szCs w:val="21"/>
                <w:highlight w:val="none"/>
              </w:rPr>
              <w:t>无偏离</w:t>
            </w:r>
          </w:p>
        </w:tc>
        <w:tc>
          <w:tcPr>
            <w:tcW w:w="1295" w:type="dxa"/>
          </w:tcPr>
          <w:p>
            <w:pP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73" w:type="dxa"/>
          </w:tcPr>
          <w:p>
            <w:pPr>
              <w:jc w:val="center"/>
              <w:rPr>
                <w:rFonts w:hAnsi="宋体" w:cs="宋体"/>
                <w:szCs w:val="21"/>
                <w:highlight w:val="none"/>
              </w:rPr>
            </w:pPr>
            <w:r>
              <w:rPr>
                <w:rFonts w:hint="eastAsia" w:hAnsi="宋体" w:cs="宋体"/>
                <w:szCs w:val="21"/>
                <w:highlight w:val="none"/>
              </w:rPr>
              <w:t>…</w:t>
            </w:r>
          </w:p>
        </w:tc>
        <w:tc>
          <w:tcPr>
            <w:tcW w:w="1920" w:type="dxa"/>
          </w:tcPr>
          <w:p>
            <w:pPr>
              <w:jc w:val="center"/>
              <w:rPr>
                <w:rFonts w:hAnsi="宋体" w:cs="宋体"/>
                <w:szCs w:val="21"/>
                <w:highlight w:val="none"/>
              </w:rPr>
            </w:pPr>
          </w:p>
        </w:tc>
        <w:tc>
          <w:tcPr>
            <w:tcW w:w="3588" w:type="dxa"/>
          </w:tcPr>
          <w:p>
            <w:pPr>
              <w:rPr>
                <w:rFonts w:hAnsi="宋体" w:cs="宋体"/>
                <w:szCs w:val="21"/>
                <w:highlight w:val="none"/>
              </w:rPr>
            </w:pPr>
          </w:p>
        </w:tc>
        <w:tc>
          <w:tcPr>
            <w:tcW w:w="2115" w:type="dxa"/>
          </w:tcPr>
          <w:p>
            <w:pPr>
              <w:rPr>
                <w:rFonts w:hAnsi="宋体" w:cs="宋体"/>
                <w:szCs w:val="21"/>
                <w:highlight w:val="none"/>
              </w:rPr>
            </w:pPr>
          </w:p>
        </w:tc>
        <w:tc>
          <w:tcPr>
            <w:tcW w:w="1295" w:type="dxa"/>
          </w:tcPr>
          <w:p>
            <w:pPr>
              <w:rPr>
                <w:rFonts w:hAnsi="宋体" w:cs="宋体"/>
                <w:szCs w:val="21"/>
                <w:highlight w:val="none"/>
              </w:rPr>
            </w:pPr>
          </w:p>
        </w:tc>
      </w:tr>
    </w:tbl>
    <w:p>
      <w:pPr>
        <w:snapToGrid w:val="0"/>
        <w:spacing w:line="360" w:lineRule="auto"/>
        <w:ind w:left="420" w:hanging="420" w:hangingChars="200"/>
        <w:rPr>
          <w:rFonts w:hAnsi="宋体" w:cs="宋体"/>
          <w:szCs w:val="21"/>
          <w:highlight w:val="none"/>
        </w:rPr>
      </w:pPr>
      <w:r>
        <w:rPr>
          <w:rFonts w:hint="eastAsia" w:hAnsi="宋体" w:cs="宋体"/>
          <w:szCs w:val="21"/>
          <w:highlight w:val="none"/>
        </w:rPr>
        <w:t>注：1.投标人必须对应招标文件“第四篇用户需求书”的</w:t>
      </w:r>
      <w:r>
        <w:rPr>
          <w:rFonts w:hint="eastAsia" w:hAnsi="宋体" w:cs="宋体"/>
          <w:szCs w:val="21"/>
          <w:highlight w:val="none"/>
          <w:lang w:val="en-GB"/>
        </w:rPr>
        <w:t>“★” 项</w:t>
      </w:r>
      <w:r>
        <w:rPr>
          <w:rFonts w:hint="eastAsia" w:hAnsi="宋体" w:cs="宋体"/>
          <w:szCs w:val="21"/>
          <w:highlight w:val="none"/>
        </w:rPr>
        <w:t>内容逐条响应。如有缺漏，缺漏项视同不符合招标要求。</w:t>
      </w:r>
      <w:r>
        <w:rPr>
          <w:rFonts w:hint="eastAsia" w:hAnsi="宋体" w:cs="宋体"/>
          <w:szCs w:val="21"/>
          <w:highlight w:val="none"/>
          <w:lang w:val="en-GB"/>
        </w:rPr>
        <w:t>打</w:t>
      </w:r>
      <w:bookmarkStart w:id="47" w:name="_Hlk502600843"/>
      <w:r>
        <w:rPr>
          <w:rFonts w:hint="eastAsia" w:hAnsi="宋体" w:cs="宋体"/>
          <w:szCs w:val="21"/>
          <w:highlight w:val="none"/>
          <w:lang w:val="en-GB"/>
        </w:rPr>
        <w:t>“★”</w:t>
      </w:r>
      <w:bookmarkEnd w:id="47"/>
      <w:r>
        <w:rPr>
          <w:rFonts w:hint="eastAsia" w:hAnsi="宋体" w:cs="宋体"/>
          <w:szCs w:val="21"/>
          <w:highlight w:val="none"/>
          <w:lang w:val="en-GB"/>
        </w:rPr>
        <w:t xml:space="preserve"> 项为不可负偏离(劣于)的重要项。投标人如响应所有的“★”技术条款，也可在表格中以“招标文件用户需求书中的所有实质性响应技术条款（“★”项）均完全响应，无任何偏离”的表述方式表述。</w:t>
      </w:r>
    </w:p>
    <w:p>
      <w:pPr>
        <w:snapToGrid w:val="0"/>
        <w:spacing w:line="360" w:lineRule="auto"/>
        <w:ind w:left="420" w:leftChars="200"/>
        <w:rPr>
          <w:rFonts w:hAnsi="宋体" w:cs="宋体"/>
          <w:b/>
          <w:szCs w:val="21"/>
          <w:highlight w:val="none"/>
          <w:u w:val="single"/>
        </w:rPr>
      </w:pPr>
      <w:r>
        <w:rPr>
          <w:rFonts w:hint="eastAsia" w:hAnsi="宋体" w:cs="宋体"/>
          <w:b/>
          <w:szCs w:val="21"/>
          <w:highlight w:val="none"/>
          <w:u w:val="single"/>
          <w:lang w:val="en-GB"/>
        </w:rPr>
        <w:t>2.</w:t>
      </w:r>
      <w:r>
        <w:rPr>
          <w:rFonts w:hint="eastAsia" w:hAnsi="宋体" w:cs="宋体"/>
          <w:b/>
          <w:szCs w:val="21"/>
          <w:highlight w:val="none"/>
          <w:u w:val="single"/>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20" w:firstLineChars="200"/>
        <w:rPr>
          <w:rFonts w:hAnsi="宋体"/>
          <w:szCs w:val="21"/>
          <w:highlight w:val="none"/>
        </w:rPr>
      </w:pPr>
      <w:r>
        <w:rPr>
          <w:rFonts w:hint="eastAsia" w:hAnsi="宋体"/>
          <w:szCs w:val="21"/>
          <w:highlight w:val="none"/>
          <w:lang w:val="en-GB"/>
        </w:rPr>
        <w:t>3.本表内容按各自对应所投子包的内容自行更改。</w:t>
      </w:r>
    </w:p>
    <w:p>
      <w:pPr>
        <w:spacing w:line="360" w:lineRule="auto"/>
        <w:ind w:firstLine="420" w:firstLineChars="200"/>
        <w:rPr>
          <w:rFonts w:hAnsi="宋体" w:cs="宋体"/>
          <w:szCs w:val="21"/>
          <w:highlight w:val="none"/>
        </w:rPr>
      </w:pPr>
    </w:p>
    <w:p>
      <w:pPr>
        <w:snapToGrid w:val="0"/>
        <w:spacing w:line="300" w:lineRule="auto"/>
        <w:rPr>
          <w:rFonts w:hAnsi="宋体" w:cs="宋体"/>
          <w:szCs w:val="21"/>
          <w:highlight w:val="none"/>
        </w:rPr>
      </w:pPr>
    </w:p>
    <w:p>
      <w:pPr>
        <w:snapToGrid w:val="0"/>
        <w:spacing w:line="360" w:lineRule="auto"/>
        <w:rPr>
          <w:rFonts w:hAnsi="宋体" w:cs="宋体"/>
          <w:szCs w:val="21"/>
          <w:highlight w:val="none"/>
        </w:rPr>
      </w:pPr>
      <w:r>
        <w:rPr>
          <w:rFonts w:hint="eastAsia" w:hAnsi="宋体" w:cs="宋体"/>
          <w:szCs w:val="21"/>
          <w:highlight w:val="none"/>
        </w:rPr>
        <w:t>投标人法定代表人（或法定代表人授权代表）签字：</w:t>
      </w:r>
    </w:p>
    <w:p>
      <w:pPr>
        <w:snapToGrid w:val="0"/>
        <w:spacing w:line="360" w:lineRule="auto"/>
        <w:rPr>
          <w:rFonts w:hAnsi="宋体" w:cs="宋体"/>
          <w:szCs w:val="21"/>
          <w:highlight w:val="none"/>
          <w:u w:val="single"/>
        </w:rPr>
      </w:pPr>
      <w:r>
        <w:rPr>
          <w:rFonts w:hint="eastAsia" w:hAnsi="宋体" w:cs="宋体"/>
          <w:szCs w:val="21"/>
          <w:highlight w:val="none"/>
        </w:rPr>
        <w:t>投标人名称（加盖法人公章）：</w:t>
      </w:r>
    </w:p>
    <w:p>
      <w:pPr>
        <w:snapToGrid w:val="0"/>
        <w:spacing w:line="300" w:lineRule="auto"/>
        <w:rPr>
          <w:rFonts w:hAnsi="宋体" w:cs="宋体"/>
          <w:szCs w:val="21"/>
          <w:highlight w:val="none"/>
        </w:rPr>
      </w:pPr>
      <w:r>
        <w:rPr>
          <w:rFonts w:hint="eastAsia" w:hAnsi="宋体" w:cs="宋体"/>
          <w:szCs w:val="21"/>
          <w:highlight w:val="none"/>
        </w:rPr>
        <w:t>日期：年 月 日</w:t>
      </w:r>
    </w:p>
    <w:p>
      <w:pPr>
        <w:pStyle w:val="4"/>
        <w:spacing w:after="120" w:line="480" w:lineRule="exact"/>
        <w:rPr>
          <w:rFonts w:hAnsi="宋体" w:cs="宋体"/>
          <w:b/>
          <w:bCs/>
          <w:szCs w:val="21"/>
          <w:highlight w:val="none"/>
        </w:rPr>
      </w:pPr>
      <w:r>
        <w:rPr>
          <w:rFonts w:hint="eastAsia" w:hAnsi="宋体" w:cs="宋体"/>
          <w:szCs w:val="21"/>
          <w:highlight w:val="none"/>
        </w:rPr>
        <w:br w:type="page"/>
      </w:r>
      <w:bookmarkStart w:id="48" w:name="_Hlk495873055"/>
      <w:r>
        <w:rPr>
          <w:rFonts w:hint="eastAsia" w:hAnsi="宋体" w:cs="宋体"/>
          <w:b/>
          <w:szCs w:val="20"/>
          <w:highlight w:val="none"/>
        </w:rPr>
        <w:t>（2）一般技术条款响应表格式</w:t>
      </w:r>
      <w:bookmarkEnd w:id="48"/>
    </w:p>
    <w:p>
      <w:pPr>
        <w:spacing w:line="360" w:lineRule="auto"/>
        <w:rPr>
          <w:rFonts w:hAnsi="宋体" w:cs="宋体"/>
          <w:szCs w:val="21"/>
          <w:highlight w:val="none"/>
        </w:rPr>
      </w:pPr>
    </w:p>
    <w:p>
      <w:pPr>
        <w:spacing w:line="360" w:lineRule="auto"/>
        <w:jc w:val="center"/>
        <w:rPr>
          <w:rFonts w:hAnsi="宋体" w:cs="宋体"/>
          <w:sz w:val="28"/>
          <w:szCs w:val="28"/>
          <w:highlight w:val="none"/>
        </w:rPr>
      </w:pPr>
      <w:r>
        <w:rPr>
          <w:rFonts w:hint="eastAsia" w:hAnsi="宋体" w:cs="宋体"/>
          <w:b/>
          <w:sz w:val="28"/>
          <w:szCs w:val="28"/>
          <w:highlight w:val="none"/>
        </w:rPr>
        <w:t>一般技术条款响应表</w:t>
      </w:r>
    </w:p>
    <w:p>
      <w:pPr>
        <w:spacing w:line="360" w:lineRule="auto"/>
        <w:rPr>
          <w:rFonts w:hAnsi="宋体" w:cs="宋体"/>
          <w:szCs w:val="21"/>
          <w:highlight w:val="none"/>
          <w:u w:val="single"/>
        </w:rPr>
      </w:pPr>
      <w:r>
        <w:rPr>
          <w:rFonts w:hint="eastAsia" w:hAnsi="宋体" w:cs="宋体"/>
          <w:szCs w:val="21"/>
          <w:highlight w:val="none"/>
        </w:rPr>
        <w:t>投标人名称：</w:t>
      </w:r>
    </w:p>
    <w:p>
      <w:pPr>
        <w:spacing w:line="360" w:lineRule="auto"/>
        <w:rPr>
          <w:rFonts w:hAnsi="宋体" w:cs="宋体"/>
          <w:szCs w:val="21"/>
          <w:highlight w:val="none"/>
        </w:rPr>
      </w:pPr>
      <w:r>
        <w:rPr>
          <w:rFonts w:hint="eastAsia" w:hAnsi="宋体" w:cs="宋体"/>
          <w:szCs w:val="21"/>
          <w:highlight w:val="none"/>
        </w:rPr>
        <w:t>项目名称：国家海洋局南海标准计量中心2023年船员服务采购项目</w:t>
      </w:r>
    </w:p>
    <w:p>
      <w:pPr>
        <w:spacing w:line="360" w:lineRule="auto"/>
        <w:rPr>
          <w:rFonts w:hAnsi="宋体" w:cs="宋体"/>
          <w:szCs w:val="21"/>
          <w:highlight w:val="none"/>
        </w:rPr>
      </w:pPr>
      <w:r>
        <w:rPr>
          <w:rFonts w:hint="eastAsia" w:hAnsi="宋体" w:cs="宋体"/>
          <w:szCs w:val="21"/>
          <w:highlight w:val="none"/>
        </w:rPr>
        <w:t xml:space="preserve">采购编号：GDYD221545  </w:t>
      </w:r>
    </w:p>
    <w:tbl>
      <w:tblPr>
        <w:tblStyle w:val="49"/>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920"/>
        <w:gridCol w:w="3588"/>
        <w:gridCol w:w="211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dxa"/>
            <w:vAlign w:val="center"/>
          </w:tcPr>
          <w:p>
            <w:pPr>
              <w:jc w:val="center"/>
              <w:rPr>
                <w:rFonts w:hAnsi="宋体" w:cs="宋体"/>
                <w:b/>
                <w:szCs w:val="21"/>
                <w:highlight w:val="none"/>
              </w:rPr>
            </w:pPr>
            <w:r>
              <w:rPr>
                <w:rFonts w:hint="eastAsia" w:hAnsi="宋体" w:cs="宋体"/>
                <w:b/>
                <w:szCs w:val="21"/>
                <w:highlight w:val="none"/>
              </w:rPr>
              <w:t>序号</w:t>
            </w:r>
          </w:p>
        </w:tc>
        <w:tc>
          <w:tcPr>
            <w:tcW w:w="1920" w:type="dxa"/>
            <w:vAlign w:val="center"/>
          </w:tcPr>
          <w:p>
            <w:pPr>
              <w:jc w:val="center"/>
              <w:rPr>
                <w:rFonts w:hAnsi="宋体" w:cs="宋体"/>
                <w:b/>
                <w:szCs w:val="21"/>
                <w:highlight w:val="none"/>
              </w:rPr>
            </w:pPr>
            <w:r>
              <w:rPr>
                <w:rFonts w:hint="eastAsia" w:hAnsi="宋体" w:cs="宋体"/>
                <w:b/>
                <w:szCs w:val="21"/>
                <w:highlight w:val="none"/>
              </w:rPr>
              <w:t>招标规格/要求</w:t>
            </w:r>
          </w:p>
        </w:tc>
        <w:tc>
          <w:tcPr>
            <w:tcW w:w="3588" w:type="dxa"/>
            <w:vAlign w:val="center"/>
          </w:tcPr>
          <w:p>
            <w:pPr>
              <w:jc w:val="center"/>
              <w:rPr>
                <w:rFonts w:hAnsi="宋体" w:cs="宋体"/>
                <w:b/>
                <w:szCs w:val="21"/>
                <w:highlight w:val="none"/>
              </w:rPr>
            </w:pPr>
            <w:r>
              <w:rPr>
                <w:rFonts w:hint="eastAsia" w:hAnsi="宋体" w:cs="宋体"/>
                <w:b/>
                <w:szCs w:val="21"/>
                <w:highlight w:val="none"/>
              </w:rPr>
              <w:t>投标实际参数</w:t>
            </w:r>
          </w:p>
          <w:p>
            <w:pPr>
              <w:jc w:val="center"/>
              <w:rPr>
                <w:rFonts w:hAnsi="宋体" w:cs="宋体"/>
                <w:b/>
                <w:szCs w:val="21"/>
                <w:highlight w:val="none"/>
              </w:rPr>
            </w:pPr>
            <w:r>
              <w:rPr>
                <w:rFonts w:hint="eastAsia" w:hAnsi="宋体" w:cs="宋体"/>
                <w:b/>
                <w:bCs/>
                <w:szCs w:val="21"/>
                <w:highlight w:val="none"/>
              </w:rPr>
              <w:t>(投标人应按投标服务实际数据填写，不能照抄招标要求)</w:t>
            </w:r>
          </w:p>
        </w:tc>
        <w:tc>
          <w:tcPr>
            <w:tcW w:w="2115" w:type="dxa"/>
            <w:vAlign w:val="center"/>
          </w:tcPr>
          <w:p>
            <w:pPr>
              <w:jc w:val="center"/>
              <w:rPr>
                <w:rFonts w:hAnsi="宋体" w:cs="宋体"/>
                <w:b/>
                <w:szCs w:val="21"/>
                <w:highlight w:val="none"/>
              </w:rPr>
            </w:pPr>
            <w:r>
              <w:rPr>
                <w:rFonts w:hint="eastAsia" w:hAnsi="宋体" w:cs="宋体"/>
                <w:b/>
                <w:szCs w:val="21"/>
                <w:highlight w:val="none"/>
              </w:rPr>
              <w:t>是否偏离（无偏离/正偏离/负偏离）</w:t>
            </w:r>
          </w:p>
        </w:tc>
        <w:tc>
          <w:tcPr>
            <w:tcW w:w="1295" w:type="dxa"/>
            <w:vAlign w:val="center"/>
          </w:tcPr>
          <w:p>
            <w:pPr>
              <w:jc w:val="center"/>
              <w:rPr>
                <w:rFonts w:hAnsi="宋体" w:cs="宋体"/>
                <w:b/>
                <w:szCs w:val="21"/>
                <w:highlight w:val="none"/>
              </w:rPr>
            </w:pPr>
            <w:r>
              <w:rPr>
                <w:rFonts w:hint="eastAsia" w:hAnsi="宋体" w:cs="宋体"/>
                <w:b/>
                <w:szCs w:val="21"/>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dxa"/>
            <w:vAlign w:val="center"/>
          </w:tcPr>
          <w:p>
            <w:pPr>
              <w:jc w:val="center"/>
              <w:rPr>
                <w:rFonts w:hAnsi="宋体" w:cs="宋体"/>
                <w:szCs w:val="21"/>
                <w:highlight w:val="none"/>
              </w:rPr>
            </w:pPr>
            <w:r>
              <w:rPr>
                <w:rFonts w:hint="eastAsia" w:hAnsi="宋体" w:cs="宋体"/>
                <w:szCs w:val="21"/>
                <w:highlight w:val="none"/>
              </w:rPr>
              <w:t>1</w:t>
            </w:r>
          </w:p>
        </w:tc>
        <w:tc>
          <w:tcPr>
            <w:tcW w:w="1920" w:type="dxa"/>
            <w:vAlign w:val="center"/>
          </w:tcPr>
          <w:p>
            <w:pPr>
              <w:widowControl/>
              <w:snapToGrid w:val="0"/>
              <w:spacing w:line="480" w:lineRule="auto"/>
              <w:jc w:val="center"/>
              <w:rPr>
                <w:rFonts w:hAnsi="宋体" w:cs="宋体"/>
                <w:szCs w:val="21"/>
                <w:highlight w:val="none"/>
              </w:rPr>
            </w:pPr>
          </w:p>
        </w:tc>
        <w:tc>
          <w:tcPr>
            <w:tcW w:w="3588" w:type="dxa"/>
            <w:vAlign w:val="center"/>
          </w:tcPr>
          <w:p>
            <w:pPr>
              <w:jc w:val="center"/>
              <w:rPr>
                <w:rFonts w:hAnsi="宋体" w:cs="宋体"/>
                <w:szCs w:val="21"/>
                <w:highlight w:val="none"/>
              </w:rPr>
            </w:pPr>
          </w:p>
        </w:tc>
        <w:tc>
          <w:tcPr>
            <w:tcW w:w="2115" w:type="dxa"/>
            <w:vAlign w:val="center"/>
          </w:tcPr>
          <w:p>
            <w:pPr>
              <w:jc w:val="center"/>
              <w:rPr>
                <w:rFonts w:hAnsi="宋体" w:cs="宋体"/>
                <w:szCs w:val="21"/>
                <w:highlight w:val="none"/>
              </w:rPr>
            </w:pPr>
          </w:p>
        </w:tc>
        <w:tc>
          <w:tcPr>
            <w:tcW w:w="1295" w:type="dxa"/>
            <w:vAlign w:val="center"/>
          </w:tcPr>
          <w:p>
            <w:pPr>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dxa"/>
            <w:vAlign w:val="center"/>
          </w:tcPr>
          <w:p>
            <w:pPr>
              <w:jc w:val="center"/>
              <w:rPr>
                <w:rFonts w:hAnsi="宋体" w:cs="宋体"/>
                <w:szCs w:val="21"/>
                <w:highlight w:val="none"/>
              </w:rPr>
            </w:pPr>
            <w:r>
              <w:rPr>
                <w:rFonts w:hint="eastAsia" w:hAnsi="宋体" w:cs="宋体"/>
                <w:szCs w:val="21"/>
                <w:highlight w:val="none"/>
              </w:rPr>
              <w:t>2</w:t>
            </w:r>
          </w:p>
        </w:tc>
        <w:tc>
          <w:tcPr>
            <w:tcW w:w="1920" w:type="dxa"/>
            <w:vAlign w:val="center"/>
          </w:tcPr>
          <w:p>
            <w:pPr>
              <w:widowControl/>
              <w:snapToGrid w:val="0"/>
              <w:spacing w:line="480" w:lineRule="auto"/>
              <w:jc w:val="center"/>
              <w:rPr>
                <w:rFonts w:hAnsi="宋体" w:cs="宋体"/>
                <w:szCs w:val="21"/>
                <w:highlight w:val="none"/>
              </w:rPr>
            </w:pPr>
          </w:p>
        </w:tc>
        <w:tc>
          <w:tcPr>
            <w:tcW w:w="3588" w:type="dxa"/>
            <w:vAlign w:val="center"/>
          </w:tcPr>
          <w:p>
            <w:pPr>
              <w:jc w:val="center"/>
              <w:rPr>
                <w:rFonts w:hAnsi="宋体" w:cs="宋体"/>
                <w:szCs w:val="21"/>
                <w:highlight w:val="none"/>
              </w:rPr>
            </w:pPr>
          </w:p>
        </w:tc>
        <w:tc>
          <w:tcPr>
            <w:tcW w:w="2115" w:type="dxa"/>
            <w:vAlign w:val="center"/>
          </w:tcPr>
          <w:p>
            <w:pPr>
              <w:jc w:val="center"/>
              <w:rPr>
                <w:rFonts w:hAnsi="宋体" w:cs="宋体"/>
                <w:szCs w:val="21"/>
                <w:highlight w:val="none"/>
              </w:rPr>
            </w:pPr>
          </w:p>
        </w:tc>
        <w:tc>
          <w:tcPr>
            <w:tcW w:w="1295" w:type="dxa"/>
            <w:vAlign w:val="center"/>
          </w:tcPr>
          <w:p>
            <w:pPr>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dxa"/>
            <w:vAlign w:val="center"/>
          </w:tcPr>
          <w:p>
            <w:pPr>
              <w:jc w:val="center"/>
              <w:rPr>
                <w:rFonts w:hAnsi="宋体" w:cs="宋体"/>
                <w:szCs w:val="21"/>
                <w:highlight w:val="none"/>
              </w:rPr>
            </w:pPr>
            <w:r>
              <w:rPr>
                <w:rFonts w:hint="eastAsia" w:hAnsi="宋体" w:cs="宋体"/>
                <w:szCs w:val="21"/>
                <w:highlight w:val="none"/>
              </w:rPr>
              <w:t>3</w:t>
            </w:r>
          </w:p>
        </w:tc>
        <w:tc>
          <w:tcPr>
            <w:tcW w:w="1920" w:type="dxa"/>
            <w:vAlign w:val="center"/>
          </w:tcPr>
          <w:p>
            <w:pPr>
              <w:jc w:val="center"/>
              <w:rPr>
                <w:rFonts w:hAnsi="宋体" w:cs="宋体"/>
                <w:szCs w:val="21"/>
                <w:highlight w:val="none"/>
              </w:rPr>
            </w:pPr>
            <w:r>
              <w:rPr>
                <w:rFonts w:hAnsi="宋体" w:cs="宋体"/>
                <w:szCs w:val="21"/>
                <w:highlight w:val="none"/>
              </w:rPr>
              <w:t>……</w:t>
            </w:r>
          </w:p>
        </w:tc>
        <w:tc>
          <w:tcPr>
            <w:tcW w:w="3588" w:type="dxa"/>
            <w:vAlign w:val="center"/>
          </w:tcPr>
          <w:p>
            <w:pPr>
              <w:jc w:val="center"/>
              <w:rPr>
                <w:rFonts w:hAnsi="宋体" w:cs="宋体"/>
                <w:szCs w:val="21"/>
                <w:highlight w:val="none"/>
              </w:rPr>
            </w:pPr>
          </w:p>
        </w:tc>
        <w:tc>
          <w:tcPr>
            <w:tcW w:w="2115" w:type="dxa"/>
            <w:vAlign w:val="center"/>
          </w:tcPr>
          <w:p>
            <w:pPr>
              <w:jc w:val="center"/>
              <w:rPr>
                <w:rFonts w:hAnsi="宋体" w:cs="宋体"/>
                <w:szCs w:val="21"/>
                <w:highlight w:val="none"/>
              </w:rPr>
            </w:pPr>
          </w:p>
        </w:tc>
        <w:tc>
          <w:tcPr>
            <w:tcW w:w="1295" w:type="dxa"/>
            <w:vAlign w:val="center"/>
          </w:tcPr>
          <w:p>
            <w:pPr>
              <w:jc w:val="center"/>
              <w:rPr>
                <w:rFonts w:hAnsi="宋体" w:cs="宋体"/>
                <w:szCs w:val="21"/>
                <w:highlight w:val="none"/>
              </w:rPr>
            </w:pPr>
          </w:p>
        </w:tc>
      </w:tr>
    </w:tbl>
    <w:p>
      <w:pPr>
        <w:snapToGrid w:val="0"/>
        <w:spacing w:line="360" w:lineRule="auto"/>
        <w:ind w:firstLine="420" w:firstLineChars="200"/>
        <w:rPr>
          <w:rFonts w:hAnsi="宋体" w:cs="宋体"/>
          <w:highlight w:val="none"/>
        </w:rPr>
      </w:pPr>
    </w:p>
    <w:p>
      <w:pPr>
        <w:snapToGrid w:val="0"/>
        <w:spacing w:line="360" w:lineRule="auto"/>
        <w:ind w:left="403" w:hanging="403" w:hangingChars="192"/>
        <w:rPr>
          <w:rFonts w:hAnsi="宋体" w:cs="宋体"/>
          <w:szCs w:val="21"/>
          <w:highlight w:val="none"/>
          <w:lang w:val="en-GB"/>
        </w:rPr>
      </w:pPr>
      <w:r>
        <w:rPr>
          <w:rFonts w:hint="eastAsia" w:hAnsi="宋体" w:cs="宋体"/>
          <w:szCs w:val="21"/>
          <w:highlight w:val="none"/>
        </w:rPr>
        <w:t>注：1.投标人必须对应招标文件“第四篇用户需求书”的内容逐条响应。如有缺漏，缺漏项有权视同不符合招标要求。</w:t>
      </w:r>
    </w:p>
    <w:p>
      <w:pPr>
        <w:snapToGrid w:val="0"/>
        <w:spacing w:line="360" w:lineRule="auto"/>
        <w:ind w:left="420" w:leftChars="200"/>
        <w:rPr>
          <w:rFonts w:hAnsi="宋体" w:cs="宋体"/>
          <w:b/>
          <w:szCs w:val="21"/>
          <w:highlight w:val="none"/>
          <w:u w:val="single"/>
        </w:rPr>
      </w:pPr>
      <w:r>
        <w:rPr>
          <w:rFonts w:hint="eastAsia" w:hAnsi="宋体" w:cs="宋体"/>
          <w:b/>
          <w:szCs w:val="21"/>
          <w:highlight w:val="none"/>
          <w:u w:val="single"/>
          <w:lang w:val="en-GB"/>
        </w:rPr>
        <w:t>2.</w:t>
      </w:r>
      <w:r>
        <w:rPr>
          <w:rFonts w:hint="eastAsia" w:hAnsi="宋体" w:cs="宋体"/>
          <w:b/>
          <w:szCs w:val="21"/>
          <w:highlight w:val="none"/>
          <w:u w:val="single"/>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20" w:firstLineChars="200"/>
        <w:rPr>
          <w:rFonts w:hAnsi="宋体"/>
          <w:szCs w:val="21"/>
          <w:highlight w:val="none"/>
        </w:rPr>
      </w:pPr>
      <w:r>
        <w:rPr>
          <w:rFonts w:hint="eastAsia" w:hAnsi="宋体"/>
          <w:szCs w:val="21"/>
          <w:highlight w:val="none"/>
          <w:lang w:val="en-GB"/>
        </w:rPr>
        <w:t>3.本表内容按各自对应所投子包的内容自行更改。</w:t>
      </w:r>
    </w:p>
    <w:p>
      <w:pPr>
        <w:spacing w:line="360" w:lineRule="auto"/>
        <w:rPr>
          <w:rFonts w:hAnsi="宋体" w:cs="宋体"/>
          <w:szCs w:val="21"/>
          <w:highlight w:val="none"/>
        </w:rPr>
      </w:pPr>
    </w:p>
    <w:p>
      <w:pPr>
        <w:snapToGrid w:val="0"/>
        <w:spacing w:line="300" w:lineRule="auto"/>
        <w:rPr>
          <w:rFonts w:hAnsi="宋体" w:cs="宋体"/>
          <w:szCs w:val="21"/>
          <w:highlight w:val="none"/>
        </w:rPr>
      </w:pPr>
    </w:p>
    <w:p>
      <w:pPr>
        <w:snapToGrid w:val="0"/>
        <w:spacing w:line="360" w:lineRule="auto"/>
        <w:rPr>
          <w:rFonts w:hAnsi="宋体" w:cs="宋体"/>
          <w:szCs w:val="21"/>
          <w:highlight w:val="none"/>
        </w:rPr>
      </w:pPr>
      <w:r>
        <w:rPr>
          <w:rFonts w:hint="eastAsia" w:hAnsi="宋体" w:cs="宋体"/>
          <w:szCs w:val="21"/>
          <w:highlight w:val="none"/>
        </w:rPr>
        <w:t>投标人法定代表人（或法定代表人授权代表）签字：</w:t>
      </w:r>
    </w:p>
    <w:p>
      <w:pPr>
        <w:snapToGrid w:val="0"/>
        <w:spacing w:line="360" w:lineRule="auto"/>
        <w:rPr>
          <w:rFonts w:hAnsi="宋体" w:cs="宋体"/>
          <w:szCs w:val="21"/>
          <w:highlight w:val="none"/>
          <w:u w:val="single"/>
        </w:rPr>
      </w:pPr>
      <w:r>
        <w:rPr>
          <w:rFonts w:hint="eastAsia" w:hAnsi="宋体" w:cs="宋体"/>
          <w:szCs w:val="21"/>
          <w:highlight w:val="none"/>
        </w:rPr>
        <w:t>投标人名称（加盖法人公章）：</w:t>
      </w:r>
    </w:p>
    <w:p>
      <w:pPr>
        <w:snapToGrid w:val="0"/>
        <w:spacing w:line="300" w:lineRule="auto"/>
        <w:rPr>
          <w:rFonts w:hAnsi="宋体" w:cs="宋体"/>
          <w:szCs w:val="21"/>
          <w:highlight w:val="none"/>
        </w:rPr>
      </w:pPr>
      <w:r>
        <w:rPr>
          <w:rFonts w:hint="eastAsia" w:hAnsi="宋体" w:cs="宋体"/>
          <w:szCs w:val="21"/>
          <w:highlight w:val="none"/>
        </w:rPr>
        <w:t>日期：年 月 日</w:t>
      </w:r>
    </w:p>
    <w:p>
      <w:pPr>
        <w:snapToGrid w:val="0"/>
        <w:spacing w:line="360" w:lineRule="auto"/>
        <w:rPr>
          <w:rFonts w:hAnsi="宋体" w:cs="宋体"/>
          <w:szCs w:val="21"/>
          <w:highlight w:val="none"/>
        </w:rPr>
      </w:pPr>
    </w:p>
    <w:p>
      <w:pPr>
        <w:snapToGrid w:val="0"/>
        <w:spacing w:line="360" w:lineRule="auto"/>
        <w:rPr>
          <w:rFonts w:hAnsi="宋体" w:cs="宋体"/>
          <w:szCs w:val="21"/>
          <w:highlight w:val="none"/>
        </w:rPr>
      </w:pPr>
    </w:p>
    <w:p>
      <w:pPr>
        <w:snapToGrid w:val="0"/>
        <w:spacing w:line="360" w:lineRule="auto"/>
        <w:rPr>
          <w:rFonts w:hAnsi="宋体" w:cs="宋体"/>
          <w:szCs w:val="21"/>
          <w:highlight w:val="none"/>
        </w:rPr>
      </w:pPr>
    </w:p>
    <w:p>
      <w:pPr>
        <w:snapToGrid w:val="0"/>
        <w:spacing w:line="360" w:lineRule="auto"/>
        <w:rPr>
          <w:rFonts w:hAnsi="宋体" w:cs="宋体"/>
          <w:szCs w:val="21"/>
          <w:highlight w:val="none"/>
        </w:rPr>
      </w:pPr>
    </w:p>
    <w:p>
      <w:pPr>
        <w:pStyle w:val="35"/>
        <w:rPr>
          <w:highlight w:val="none"/>
        </w:rPr>
      </w:pPr>
    </w:p>
    <w:p>
      <w:pPr>
        <w:rPr>
          <w:highlight w:val="none"/>
        </w:rPr>
      </w:pPr>
    </w:p>
    <w:p>
      <w:pPr>
        <w:pStyle w:val="35"/>
        <w:rPr>
          <w:highlight w:val="none"/>
        </w:rPr>
      </w:pPr>
    </w:p>
    <w:p>
      <w:pPr>
        <w:rPr>
          <w:highlight w:val="none"/>
        </w:rPr>
      </w:pPr>
    </w:p>
    <w:p>
      <w:pPr>
        <w:pStyle w:val="35"/>
        <w:rPr>
          <w:highlight w:val="none"/>
        </w:rPr>
      </w:pPr>
    </w:p>
    <w:p>
      <w:pPr>
        <w:rPr>
          <w:highlight w:val="none"/>
        </w:rPr>
      </w:pPr>
    </w:p>
    <w:p>
      <w:pPr>
        <w:pStyle w:val="35"/>
        <w:rPr>
          <w:highlight w:val="none"/>
        </w:rPr>
      </w:pPr>
    </w:p>
    <w:p>
      <w:pPr>
        <w:rPr>
          <w:highlight w:val="none"/>
        </w:rPr>
      </w:pPr>
    </w:p>
    <w:p>
      <w:pPr>
        <w:pStyle w:val="4"/>
        <w:spacing w:before="312" w:line="480" w:lineRule="exact"/>
        <w:jc w:val="center"/>
        <w:rPr>
          <w:rFonts w:hAnsi="宋体" w:cs="宋体"/>
          <w:b/>
          <w:sz w:val="32"/>
          <w:szCs w:val="32"/>
          <w:highlight w:val="none"/>
        </w:rPr>
      </w:pPr>
      <w:r>
        <w:rPr>
          <w:rFonts w:hint="eastAsia" w:hAnsi="宋体" w:cs="宋体"/>
          <w:b/>
          <w:sz w:val="32"/>
          <w:szCs w:val="32"/>
          <w:highlight w:val="none"/>
        </w:rPr>
        <w:t>四、经济</w:t>
      </w:r>
      <w:bookmarkStart w:id="49" w:name="_Hlt10456397"/>
      <w:bookmarkEnd w:id="49"/>
      <w:bookmarkStart w:id="50" w:name="_Hlt10519799"/>
      <w:bookmarkEnd w:id="50"/>
      <w:r>
        <w:rPr>
          <w:rFonts w:hint="eastAsia" w:hAnsi="宋体" w:cs="宋体"/>
          <w:b/>
          <w:sz w:val="32"/>
          <w:szCs w:val="32"/>
          <w:highlight w:val="none"/>
        </w:rPr>
        <w:t>部分文件</w:t>
      </w:r>
    </w:p>
    <w:p>
      <w:pPr>
        <w:pStyle w:val="4"/>
        <w:spacing w:after="120" w:line="480" w:lineRule="exact"/>
        <w:rPr>
          <w:rFonts w:hAnsi="宋体" w:cs="宋体"/>
          <w:b/>
          <w:szCs w:val="20"/>
          <w:highlight w:val="none"/>
        </w:rPr>
      </w:pPr>
      <w:r>
        <w:rPr>
          <w:rFonts w:hint="eastAsia" w:hAnsi="宋体" w:cs="宋体"/>
          <w:b/>
          <w:szCs w:val="20"/>
          <w:highlight w:val="none"/>
        </w:rPr>
        <w:t>附表4.1  投标报价总表格式</w:t>
      </w:r>
    </w:p>
    <w:p>
      <w:pPr>
        <w:pStyle w:val="2"/>
        <w:spacing w:line="480" w:lineRule="exact"/>
        <w:jc w:val="center"/>
        <w:rPr>
          <w:rFonts w:hAnsi="宋体" w:cs="宋体"/>
          <w:b/>
          <w:kern w:val="0"/>
          <w:sz w:val="32"/>
          <w:szCs w:val="32"/>
          <w:highlight w:val="none"/>
        </w:rPr>
      </w:pPr>
      <w:r>
        <w:rPr>
          <w:rFonts w:hint="eastAsia" w:hAnsi="宋体" w:cs="宋体"/>
          <w:b/>
          <w:kern w:val="0"/>
          <w:sz w:val="32"/>
          <w:szCs w:val="32"/>
          <w:highlight w:val="none"/>
        </w:rPr>
        <w:t>投标报价总表</w:t>
      </w:r>
    </w:p>
    <w:p>
      <w:pPr>
        <w:pStyle w:val="2"/>
        <w:spacing w:line="480" w:lineRule="exact"/>
        <w:jc w:val="center"/>
        <w:rPr>
          <w:rFonts w:hAnsi="宋体" w:cs="宋体"/>
          <w:sz w:val="24"/>
          <w:highlight w:val="none"/>
        </w:rPr>
      </w:pPr>
      <w:r>
        <w:rPr>
          <w:rFonts w:hint="eastAsia" w:hAnsi="宋体" w:cs="宋体"/>
          <w:highlight w:val="none"/>
        </w:rPr>
        <w:t>[货币单位：人民币元]</w:t>
      </w:r>
    </w:p>
    <w:p>
      <w:pPr>
        <w:pStyle w:val="2"/>
        <w:spacing w:line="360" w:lineRule="auto"/>
        <w:rPr>
          <w:rFonts w:hAnsi="宋体" w:cs="宋体"/>
          <w:highlight w:val="none"/>
        </w:rPr>
      </w:pPr>
      <w:r>
        <w:rPr>
          <w:rFonts w:hint="eastAsia" w:hAnsi="宋体" w:cs="宋体"/>
          <w:highlight w:val="none"/>
        </w:rPr>
        <w:t>投标人名称：</w:t>
      </w:r>
    </w:p>
    <w:p>
      <w:pPr>
        <w:spacing w:line="360" w:lineRule="auto"/>
        <w:rPr>
          <w:rFonts w:hAnsi="宋体" w:cs="宋体"/>
          <w:szCs w:val="21"/>
          <w:highlight w:val="none"/>
        </w:rPr>
      </w:pPr>
      <w:r>
        <w:rPr>
          <w:rFonts w:hint="eastAsia" w:hAnsi="宋体" w:cs="宋体"/>
          <w:szCs w:val="21"/>
          <w:highlight w:val="none"/>
        </w:rPr>
        <w:t xml:space="preserve">采购编号：GDYD221545        </w:t>
      </w:r>
    </w:p>
    <w:p>
      <w:pPr>
        <w:spacing w:line="360" w:lineRule="auto"/>
        <w:rPr>
          <w:rFonts w:hAnsi="宋体" w:cs="宋体"/>
          <w:szCs w:val="21"/>
          <w:highlight w:val="none"/>
        </w:rPr>
      </w:pPr>
      <w:r>
        <w:rPr>
          <w:rFonts w:hint="eastAsia" w:hAnsi="宋体" w:cs="宋体"/>
          <w:szCs w:val="21"/>
          <w:highlight w:val="none"/>
        </w:rPr>
        <w:t>项目名称：国家海洋局南海标准计量中心2023年船员服务采购项目</w:t>
      </w:r>
    </w:p>
    <w:p>
      <w:pPr>
        <w:pStyle w:val="2"/>
        <w:rPr>
          <w:highlight w:val="none"/>
        </w:rPr>
      </w:pPr>
    </w:p>
    <w:tbl>
      <w:tblPr>
        <w:tblStyle w:val="49"/>
        <w:tblW w:w="9682"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2269"/>
        <w:gridCol w:w="2694"/>
        <w:gridCol w:w="3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3969" w:type="dxa"/>
            <w:gridSpan w:val="2"/>
          </w:tcPr>
          <w:p>
            <w:pPr>
              <w:pStyle w:val="99"/>
              <w:spacing w:before="149"/>
              <w:ind w:left="137" w:right="119"/>
              <w:jc w:val="center"/>
              <w:rPr>
                <w:b/>
                <w:sz w:val="21"/>
                <w:highlight w:val="none"/>
              </w:rPr>
            </w:pPr>
            <w:r>
              <w:rPr>
                <w:b/>
                <w:sz w:val="21"/>
                <w:highlight w:val="none"/>
              </w:rPr>
              <w:t>采购内容</w:t>
            </w:r>
          </w:p>
        </w:tc>
        <w:tc>
          <w:tcPr>
            <w:tcW w:w="2694" w:type="dxa"/>
          </w:tcPr>
          <w:p>
            <w:pPr>
              <w:pStyle w:val="99"/>
              <w:spacing w:before="149"/>
              <w:ind w:left="126" w:right="111"/>
              <w:jc w:val="center"/>
              <w:rPr>
                <w:b/>
                <w:sz w:val="21"/>
                <w:highlight w:val="none"/>
              </w:rPr>
            </w:pPr>
            <w:r>
              <w:rPr>
                <w:b/>
                <w:sz w:val="21"/>
                <w:highlight w:val="none"/>
              </w:rPr>
              <w:t>服务期限</w:t>
            </w:r>
          </w:p>
        </w:tc>
        <w:tc>
          <w:tcPr>
            <w:tcW w:w="3019" w:type="dxa"/>
          </w:tcPr>
          <w:p>
            <w:pPr>
              <w:pStyle w:val="99"/>
              <w:spacing w:before="149"/>
              <w:ind w:left="14"/>
              <w:jc w:val="center"/>
              <w:rPr>
                <w:b/>
                <w:sz w:val="21"/>
                <w:highlight w:val="none"/>
              </w:rPr>
            </w:pPr>
            <w:r>
              <w:rPr>
                <w:rFonts w:hint="eastAsia"/>
                <w:b/>
                <w:bCs/>
                <w:highlight w:val="none"/>
              </w:rPr>
              <w:t>单船成本费用总价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700" w:type="dxa"/>
            <w:vMerge w:val="restart"/>
            <w:vAlign w:val="center"/>
          </w:tcPr>
          <w:p>
            <w:pPr>
              <w:pStyle w:val="99"/>
              <w:tabs>
                <w:tab w:val="left" w:pos="1594"/>
              </w:tabs>
              <w:spacing w:before="183"/>
              <w:ind w:left="17"/>
              <w:jc w:val="center"/>
              <w:rPr>
                <w:sz w:val="21"/>
                <w:highlight w:val="none"/>
              </w:rPr>
            </w:pPr>
            <w:r>
              <w:rPr>
                <w:rFonts w:hint="eastAsia"/>
                <w:sz w:val="21"/>
                <w:highlight w:val="none"/>
              </w:rPr>
              <w:t>船员成本费用</w:t>
            </w:r>
          </w:p>
        </w:tc>
        <w:tc>
          <w:tcPr>
            <w:tcW w:w="2269" w:type="dxa"/>
            <w:vAlign w:val="center"/>
          </w:tcPr>
          <w:p>
            <w:pPr>
              <w:pStyle w:val="99"/>
              <w:tabs>
                <w:tab w:val="left" w:pos="1594"/>
              </w:tabs>
              <w:spacing w:before="183"/>
              <w:ind w:left="17"/>
              <w:jc w:val="center"/>
              <w:rPr>
                <w:sz w:val="21"/>
                <w:highlight w:val="none"/>
              </w:rPr>
            </w:pPr>
            <w:r>
              <w:rPr>
                <w:rFonts w:hint="eastAsia"/>
                <w:sz w:val="21"/>
                <w:highlight w:val="none"/>
                <w:lang w:val="en-US"/>
              </w:rPr>
              <w:t>500吨级以上调查船组</w:t>
            </w:r>
          </w:p>
        </w:tc>
        <w:tc>
          <w:tcPr>
            <w:tcW w:w="2694" w:type="dxa"/>
            <w:vMerge w:val="restart"/>
            <w:vAlign w:val="center"/>
          </w:tcPr>
          <w:p>
            <w:pPr>
              <w:spacing w:line="360" w:lineRule="auto"/>
              <w:ind w:firstLine="424" w:firstLineChars="202"/>
              <w:rPr>
                <w:highlight w:val="none"/>
              </w:rPr>
            </w:pPr>
          </w:p>
        </w:tc>
        <w:tc>
          <w:tcPr>
            <w:tcW w:w="3019" w:type="dxa"/>
          </w:tcPr>
          <w:p>
            <w:pPr>
              <w:pStyle w:val="99"/>
              <w:tabs>
                <w:tab w:val="left" w:pos="1594"/>
              </w:tabs>
              <w:spacing w:before="183"/>
              <w:ind w:left="17"/>
              <w:jc w:val="center"/>
              <w:rPr>
                <w:sz w:val="21"/>
                <w:highlight w:val="none"/>
              </w:rPr>
            </w:pPr>
            <w:r>
              <w:rPr>
                <w:sz w:val="21"/>
                <w:highlight w:val="none"/>
              </w:rPr>
              <w:t>人民</w:t>
            </w:r>
            <w:r>
              <w:rPr>
                <w:spacing w:val="-3"/>
                <w:sz w:val="21"/>
                <w:highlight w:val="none"/>
              </w:rPr>
              <w:t>币</w:t>
            </w:r>
            <w:r>
              <w:rPr>
                <w:spacing w:val="-3"/>
                <w:sz w:val="21"/>
                <w:highlight w:val="none"/>
                <w:u w:val="single"/>
              </w:rPr>
              <w:tab/>
            </w:r>
            <w:r>
              <w:rPr>
                <w:sz w:val="21"/>
                <w:highlight w:val="none"/>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700" w:type="dxa"/>
            <w:vMerge w:val="continue"/>
            <w:vAlign w:val="center"/>
          </w:tcPr>
          <w:p>
            <w:pPr>
              <w:pStyle w:val="99"/>
              <w:tabs>
                <w:tab w:val="left" w:pos="1594"/>
              </w:tabs>
              <w:spacing w:before="183"/>
              <w:ind w:left="17"/>
              <w:jc w:val="center"/>
              <w:rPr>
                <w:sz w:val="21"/>
                <w:highlight w:val="none"/>
              </w:rPr>
            </w:pPr>
          </w:p>
        </w:tc>
        <w:tc>
          <w:tcPr>
            <w:tcW w:w="2269" w:type="dxa"/>
            <w:vAlign w:val="center"/>
          </w:tcPr>
          <w:p>
            <w:pPr>
              <w:pStyle w:val="99"/>
              <w:tabs>
                <w:tab w:val="left" w:pos="1594"/>
              </w:tabs>
              <w:spacing w:before="183"/>
              <w:ind w:left="17"/>
              <w:jc w:val="center"/>
              <w:rPr>
                <w:sz w:val="21"/>
                <w:highlight w:val="none"/>
                <w:lang w:val="en-US"/>
              </w:rPr>
            </w:pPr>
            <w:r>
              <w:rPr>
                <w:rFonts w:hint="eastAsia"/>
                <w:sz w:val="21"/>
                <w:highlight w:val="none"/>
                <w:lang w:val="en-US"/>
              </w:rPr>
              <w:t>远洋调查船组</w:t>
            </w:r>
          </w:p>
        </w:tc>
        <w:tc>
          <w:tcPr>
            <w:tcW w:w="2694" w:type="dxa"/>
            <w:vMerge w:val="continue"/>
            <w:vAlign w:val="center"/>
          </w:tcPr>
          <w:p>
            <w:pPr>
              <w:spacing w:line="360" w:lineRule="auto"/>
              <w:ind w:firstLine="424" w:firstLineChars="202"/>
              <w:rPr>
                <w:highlight w:val="none"/>
              </w:rPr>
            </w:pPr>
          </w:p>
        </w:tc>
        <w:tc>
          <w:tcPr>
            <w:tcW w:w="3019" w:type="dxa"/>
          </w:tcPr>
          <w:p>
            <w:pPr>
              <w:pStyle w:val="99"/>
              <w:tabs>
                <w:tab w:val="left" w:pos="1594"/>
              </w:tabs>
              <w:spacing w:before="183"/>
              <w:ind w:left="17"/>
              <w:jc w:val="center"/>
              <w:rPr>
                <w:sz w:val="21"/>
                <w:highlight w:val="none"/>
              </w:rPr>
            </w:pPr>
            <w:r>
              <w:rPr>
                <w:sz w:val="21"/>
                <w:highlight w:val="none"/>
              </w:rPr>
              <w:t>人民</w:t>
            </w:r>
            <w:r>
              <w:rPr>
                <w:spacing w:val="-3"/>
                <w:sz w:val="21"/>
                <w:highlight w:val="none"/>
              </w:rPr>
              <w:t>币</w:t>
            </w:r>
            <w:r>
              <w:rPr>
                <w:spacing w:val="-3"/>
                <w:sz w:val="21"/>
                <w:highlight w:val="none"/>
                <w:u w:val="single"/>
              </w:rPr>
              <w:tab/>
            </w:r>
            <w:r>
              <w:rPr>
                <w:sz w:val="21"/>
                <w:highlight w:val="none"/>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700" w:type="dxa"/>
            <w:tcBorders>
              <w:bottom w:val="single" w:color="000000" w:sz="4" w:space="0"/>
            </w:tcBorders>
            <w:vAlign w:val="center"/>
          </w:tcPr>
          <w:p>
            <w:pPr>
              <w:pStyle w:val="99"/>
              <w:tabs>
                <w:tab w:val="left" w:pos="1594"/>
              </w:tabs>
              <w:spacing w:before="183"/>
              <w:ind w:left="17"/>
              <w:jc w:val="center"/>
              <w:rPr>
                <w:sz w:val="21"/>
                <w:highlight w:val="none"/>
              </w:rPr>
            </w:pPr>
            <w:r>
              <w:rPr>
                <w:rFonts w:hint="eastAsia"/>
                <w:sz w:val="21"/>
                <w:highlight w:val="none"/>
              </w:rPr>
              <w:t>管理费</w:t>
            </w:r>
          </w:p>
        </w:tc>
        <w:tc>
          <w:tcPr>
            <w:tcW w:w="2269" w:type="dxa"/>
            <w:tcBorders>
              <w:bottom w:val="single" w:color="000000" w:sz="4" w:space="0"/>
            </w:tcBorders>
            <w:vAlign w:val="center"/>
          </w:tcPr>
          <w:p>
            <w:pPr>
              <w:pStyle w:val="99"/>
              <w:tabs>
                <w:tab w:val="left" w:pos="1594"/>
              </w:tabs>
              <w:spacing w:before="183"/>
              <w:ind w:left="17" w:leftChars="8" w:firstLine="525" w:firstLineChars="250"/>
              <w:rPr>
                <w:sz w:val="21"/>
                <w:highlight w:val="none"/>
                <w:lang w:val="en-US"/>
              </w:rPr>
            </w:pPr>
            <w:r>
              <w:rPr>
                <w:rFonts w:hint="eastAsia"/>
                <w:sz w:val="21"/>
                <w:highlight w:val="none"/>
                <w:lang w:val="en-US"/>
              </w:rPr>
              <w:t>系数：</w:t>
            </w:r>
          </w:p>
        </w:tc>
        <w:tc>
          <w:tcPr>
            <w:tcW w:w="2694" w:type="dxa"/>
            <w:vMerge w:val="continue"/>
            <w:tcBorders>
              <w:bottom w:val="single" w:color="000000" w:sz="4" w:space="0"/>
            </w:tcBorders>
            <w:vAlign w:val="center"/>
          </w:tcPr>
          <w:p>
            <w:pPr>
              <w:pStyle w:val="99"/>
              <w:tabs>
                <w:tab w:val="left" w:pos="1594"/>
              </w:tabs>
              <w:spacing w:before="183"/>
              <w:ind w:left="17"/>
              <w:jc w:val="center"/>
              <w:rPr>
                <w:sz w:val="21"/>
                <w:highlight w:val="none"/>
              </w:rPr>
            </w:pPr>
          </w:p>
        </w:tc>
        <w:tc>
          <w:tcPr>
            <w:tcW w:w="3019" w:type="dxa"/>
            <w:tcBorders>
              <w:bottom w:val="single" w:color="000000" w:sz="4" w:space="0"/>
            </w:tcBorders>
          </w:tcPr>
          <w:p>
            <w:pPr>
              <w:pStyle w:val="99"/>
              <w:tabs>
                <w:tab w:val="left" w:pos="1594"/>
              </w:tabs>
              <w:spacing w:before="183"/>
              <w:ind w:left="17"/>
              <w:jc w:val="center"/>
              <w:rPr>
                <w:sz w:val="21"/>
                <w:highlight w:val="none"/>
              </w:rPr>
            </w:pPr>
            <w:r>
              <w:rPr>
                <w:rFonts w:hint="eastAsia"/>
                <w:sz w:val="21"/>
                <w:highlight w:val="none"/>
              </w:rPr>
              <w:t>/</w:t>
            </w:r>
          </w:p>
        </w:tc>
      </w:tr>
    </w:tbl>
    <w:p>
      <w:pPr>
        <w:spacing w:line="360" w:lineRule="exact"/>
        <w:rPr>
          <w:rFonts w:hAnsi="宋体" w:cs="宋体"/>
          <w:bCs/>
          <w:kern w:val="2"/>
          <w:szCs w:val="21"/>
          <w:highlight w:val="none"/>
        </w:rPr>
      </w:pPr>
    </w:p>
    <w:p>
      <w:pPr>
        <w:spacing w:line="360" w:lineRule="exact"/>
        <w:rPr>
          <w:rFonts w:hAnsi="宋体" w:cs="宋体"/>
          <w:bCs/>
          <w:kern w:val="2"/>
          <w:szCs w:val="21"/>
          <w:highlight w:val="none"/>
        </w:rPr>
      </w:pPr>
      <w:r>
        <w:rPr>
          <w:rFonts w:hint="eastAsia" w:hAnsi="宋体" w:cs="宋体"/>
          <w:bCs/>
          <w:kern w:val="2"/>
          <w:szCs w:val="21"/>
          <w:highlight w:val="none"/>
        </w:rPr>
        <w:t>注：</w:t>
      </w:r>
    </w:p>
    <w:p>
      <w:pPr>
        <w:spacing w:line="360" w:lineRule="exact"/>
        <w:rPr>
          <w:rFonts w:hAnsi="宋体" w:cs="宋体"/>
          <w:bCs/>
          <w:kern w:val="2"/>
          <w:szCs w:val="21"/>
          <w:highlight w:val="none"/>
        </w:rPr>
      </w:pPr>
      <w:r>
        <w:rPr>
          <w:rFonts w:hint="eastAsia" w:hAnsi="宋体" w:cs="宋体"/>
          <w:bCs/>
          <w:kern w:val="2"/>
          <w:szCs w:val="21"/>
          <w:highlight w:val="none"/>
        </w:rPr>
        <w:t>1.投标人须按要求填写所有信息，不得随意更改本表格式。</w:t>
      </w:r>
    </w:p>
    <w:p>
      <w:pPr>
        <w:spacing w:line="360" w:lineRule="exact"/>
        <w:rPr>
          <w:rFonts w:hAnsi="宋体" w:cs="宋体"/>
          <w:bCs/>
          <w:kern w:val="2"/>
          <w:szCs w:val="21"/>
          <w:highlight w:val="none"/>
        </w:rPr>
      </w:pPr>
      <w:r>
        <w:rPr>
          <w:rFonts w:hint="eastAsia" w:hAnsi="宋体" w:cs="宋体"/>
          <w:bCs/>
          <w:kern w:val="2"/>
          <w:szCs w:val="21"/>
          <w:highlight w:val="none"/>
        </w:rPr>
        <w:t>2.所有价格均应以人民币报价，金额单位为元。</w:t>
      </w:r>
    </w:p>
    <w:p>
      <w:pPr>
        <w:spacing w:line="360" w:lineRule="exact"/>
        <w:rPr>
          <w:rFonts w:hAnsi="宋体" w:cs="宋体"/>
          <w:bCs/>
          <w:kern w:val="2"/>
          <w:szCs w:val="21"/>
          <w:highlight w:val="none"/>
        </w:rPr>
      </w:pPr>
      <w:r>
        <w:rPr>
          <w:rFonts w:hint="eastAsia" w:hAnsi="宋体" w:cs="宋体"/>
          <w:bCs/>
          <w:kern w:val="2"/>
          <w:szCs w:val="21"/>
          <w:highlight w:val="none"/>
        </w:rPr>
        <w:t>3.此表是投标文件的必要文件，是投标文件的组成部分，还应另附一份并与优惠声明（若有）封装在一个信封中，作为唱标之用。</w:t>
      </w:r>
    </w:p>
    <w:p>
      <w:pPr>
        <w:pStyle w:val="2"/>
        <w:rPr>
          <w:b/>
          <w:highlight w:val="none"/>
          <w:u w:val="single"/>
        </w:rPr>
      </w:pPr>
      <w:r>
        <w:rPr>
          <w:rFonts w:hint="eastAsia" w:hAnsi="宋体" w:cs="宋体"/>
          <w:b/>
          <w:szCs w:val="21"/>
          <w:highlight w:val="none"/>
          <w:u w:val="single"/>
        </w:rPr>
        <w:t>4.投标人须同时写明每个岗位的单价在</w:t>
      </w:r>
      <w:r>
        <w:rPr>
          <w:rFonts w:hint="eastAsia" w:hAnsi="宋体" w:cs="宋体"/>
          <w:b/>
          <w:highlight w:val="none"/>
          <w:u w:val="single"/>
        </w:rPr>
        <w:t>分项报价明细中。</w:t>
      </w:r>
    </w:p>
    <w:p>
      <w:pPr>
        <w:snapToGrid w:val="0"/>
        <w:spacing w:line="300" w:lineRule="auto"/>
        <w:rPr>
          <w:rFonts w:hAnsi="宋体" w:cs="宋体"/>
          <w:bCs/>
          <w:kern w:val="2"/>
          <w:szCs w:val="21"/>
          <w:highlight w:val="none"/>
        </w:rPr>
      </w:pPr>
    </w:p>
    <w:p>
      <w:pPr>
        <w:snapToGrid w:val="0"/>
        <w:spacing w:line="300" w:lineRule="auto"/>
        <w:rPr>
          <w:rFonts w:hAnsi="宋体" w:cs="宋体"/>
          <w:bCs/>
          <w:kern w:val="2"/>
          <w:szCs w:val="21"/>
          <w:highlight w:val="none"/>
        </w:rPr>
      </w:pPr>
      <w:r>
        <w:rPr>
          <w:rFonts w:hint="eastAsia" w:hAnsi="宋体" w:cs="宋体"/>
          <w:bCs/>
          <w:kern w:val="2"/>
          <w:szCs w:val="21"/>
          <w:highlight w:val="none"/>
        </w:rPr>
        <w:t xml:space="preserve">投标人法定代表人（或法定代表人授权代表）亲笔签字：                   </w:t>
      </w:r>
    </w:p>
    <w:p>
      <w:pPr>
        <w:snapToGrid w:val="0"/>
        <w:spacing w:line="300" w:lineRule="auto"/>
        <w:rPr>
          <w:rFonts w:hAnsi="宋体" w:cs="宋体"/>
          <w:bCs/>
          <w:kern w:val="2"/>
          <w:szCs w:val="21"/>
          <w:highlight w:val="none"/>
        </w:rPr>
      </w:pPr>
      <w:r>
        <w:rPr>
          <w:rFonts w:hint="eastAsia" w:hAnsi="宋体" w:cs="宋体"/>
          <w:bCs/>
          <w:kern w:val="2"/>
          <w:szCs w:val="21"/>
          <w:highlight w:val="none"/>
        </w:rPr>
        <w:t xml:space="preserve">投标人名称（加盖法人公章）：                        </w:t>
      </w:r>
    </w:p>
    <w:p>
      <w:pPr>
        <w:pStyle w:val="2"/>
        <w:spacing w:line="480" w:lineRule="exact"/>
        <w:rPr>
          <w:rFonts w:hAnsi="宋体" w:cs="宋体"/>
          <w:szCs w:val="21"/>
          <w:highlight w:val="none"/>
        </w:rPr>
      </w:pPr>
      <w:r>
        <w:rPr>
          <w:rFonts w:hint="eastAsia" w:hAnsi="宋体" w:cs="宋体"/>
          <w:bCs/>
          <w:szCs w:val="21"/>
          <w:highlight w:val="none"/>
        </w:rPr>
        <w:t>日期：   年   月   日</w:t>
      </w:r>
    </w:p>
    <w:p>
      <w:pPr>
        <w:pStyle w:val="2"/>
        <w:spacing w:line="480" w:lineRule="exact"/>
        <w:jc w:val="center"/>
        <w:rPr>
          <w:rFonts w:hAnsi="宋体" w:cs="宋体"/>
          <w:b/>
          <w:kern w:val="0"/>
          <w:sz w:val="28"/>
          <w:szCs w:val="28"/>
          <w:highlight w:val="none"/>
        </w:rPr>
      </w:pPr>
    </w:p>
    <w:p>
      <w:pPr>
        <w:pStyle w:val="2"/>
        <w:spacing w:line="480" w:lineRule="exact"/>
        <w:jc w:val="center"/>
        <w:rPr>
          <w:rFonts w:hAnsi="宋体" w:cs="宋体"/>
          <w:b/>
          <w:kern w:val="0"/>
          <w:sz w:val="28"/>
          <w:szCs w:val="28"/>
          <w:highlight w:val="none"/>
        </w:rPr>
      </w:pPr>
    </w:p>
    <w:p>
      <w:pPr>
        <w:pStyle w:val="2"/>
        <w:spacing w:line="480" w:lineRule="exact"/>
        <w:jc w:val="center"/>
        <w:rPr>
          <w:rFonts w:hAnsi="宋体" w:cs="宋体"/>
          <w:b/>
          <w:kern w:val="0"/>
          <w:sz w:val="28"/>
          <w:szCs w:val="28"/>
          <w:highlight w:val="none"/>
        </w:rPr>
      </w:pPr>
    </w:p>
    <w:p>
      <w:pPr>
        <w:pStyle w:val="2"/>
        <w:spacing w:line="480" w:lineRule="exact"/>
        <w:jc w:val="center"/>
        <w:rPr>
          <w:rFonts w:hAnsi="宋体" w:cs="宋体"/>
          <w:b/>
          <w:kern w:val="0"/>
          <w:sz w:val="28"/>
          <w:szCs w:val="28"/>
          <w:highlight w:val="none"/>
        </w:rPr>
      </w:pPr>
    </w:p>
    <w:p>
      <w:pPr>
        <w:pStyle w:val="2"/>
        <w:spacing w:line="480" w:lineRule="exact"/>
        <w:jc w:val="center"/>
        <w:rPr>
          <w:rFonts w:hAnsi="宋体" w:cs="宋体"/>
          <w:b/>
          <w:kern w:val="0"/>
          <w:sz w:val="28"/>
          <w:szCs w:val="28"/>
          <w:highlight w:val="none"/>
        </w:rPr>
      </w:pPr>
    </w:p>
    <w:p>
      <w:pPr>
        <w:pStyle w:val="2"/>
        <w:spacing w:line="480" w:lineRule="exact"/>
        <w:jc w:val="center"/>
        <w:rPr>
          <w:rFonts w:hAnsi="宋体" w:cs="宋体"/>
          <w:b/>
          <w:kern w:val="0"/>
          <w:sz w:val="28"/>
          <w:szCs w:val="28"/>
          <w:highlight w:val="none"/>
        </w:rPr>
      </w:pPr>
    </w:p>
    <w:p>
      <w:pPr>
        <w:pStyle w:val="2"/>
        <w:spacing w:line="480" w:lineRule="exact"/>
        <w:jc w:val="center"/>
        <w:rPr>
          <w:rFonts w:hAnsi="宋体" w:cs="宋体"/>
          <w:b/>
          <w:kern w:val="0"/>
          <w:sz w:val="28"/>
          <w:szCs w:val="28"/>
          <w:highlight w:val="none"/>
        </w:rPr>
      </w:pPr>
    </w:p>
    <w:p>
      <w:pPr>
        <w:pStyle w:val="2"/>
        <w:spacing w:line="480" w:lineRule="exact"/>
        <w:jc w:val="center"/>
        <w:rPr>
          <w:rFonts w:hAnsi="宋体" w:cs="宋体"/>
          <w:b/>
          <w:kern w:val="0"/>
          <w:sz w:val="28"/>
          <w:szCs w:val="28"/>
          <w:highlight w:val="none"/>
        </w:rPr>
      </w:pPr>
    </w:p>
    <w:p>
      <w:pPr>
        <w:pStyle w:val="2"/>
        <w:spacing w:line="480" w:lineRule="exact"/>
        <w:rPr>
          <w:rFonts w:hAnsi="宋体" w:cs="宋体"/>
          <w:b/>
          <w:kern w:val="0"/>
          <w:sz w:val="28"/>
          <w:szCs w:val="28"/>
          <w:highlight w:val="none"/>
        </w:rPr>
      </w:pPr>
    </w:p>
    <w:p>
      <w:pPr>
        <w:pStyle w:val="4"/>
        <w:spacing w:after="120" w:line="480" w:lineRule="exact"/>
        <w:rPr>
          <w:rFonts w:hAnsi="宋体" w:cs="宋体"/>
          <w:b/>
          <w:szCs w:val="20"/>
          <w:highlight w:val="none"/>
        </w:rPr>
      </w:pPr>
      <w:r>
        <w:rPr>
          <w:rFonts w:hint="eastAsia" w:hAnsi="宋体" w:cs="宋体"/>
          <w:b/>
          <w:szCs w:val="20"/>
          <w:highlight w:val="none"/>
        </w:rPr>
        <w:t>附表4.2  分项报价明细表格式</w:t>
      </w:r>
    </w:p>
    <w:tbl>
      <w:tblPr>
        <w:tblStyle w:val="5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304"/>
        <w:gridCol w:w="850"/>
        <w:gridCol w:w="1104"/>
        <w:gridCol w:w="1983"/>
        <w:gridCol w:w="605"/>
        <w:gridCol w:w="1151"/>
        <w:gridCol w:w="1293"/>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55" w:type="dxa"/>
            <w:gridSpan w:val="9"/>
            <w:vAlign w:val="center"/>
          </w:tcPr>
          <w:p>
            <w:pPr>
              <w:pStyle w:val="3"/>
              <w:jc w:val="center"/>
              <w:rPr>
                <w:b/>
                <w:bCs/>
                <w:highlight w:val="none"/>
              </w:rPr>
            </w:pPr>
            <w:r>
              <w:rPr>
                <w:rFonts w:hint="eastAsia"/>
                <w:b/>
                <w:bCs/>
                <w:highlight w:val="none"/>
              </w:rPr>
              <w:t>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55" w:type="dxa"/>
            <w:gridSpan w:val="9"/>
            <w:vAlign w:val="center"/>
          </w:tcPr>
          <w:p>
            <w:pPr>
              <w:pStyle w:val="3"/>
              <w:rPr>
                <w:b/>
                <w:bCs/>
                <w:highlight w:val="none"/>
              </w:rPr>
            </w:pPr>
            <w:r>
              <w:rPr>
                <w:rFonts w:hint="eastAsia"/>
                <w:b/>
                <w:bCs/>
                <w:highlight w:val="none"/>
              </w:rPr>
              <w:t>一、船员成本费用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845" w:type="dxa"/>
            <w:gridSpan w:val="5"/>
            <w:vAlign w:val="center"/>
          </w:tcPr>
          <w:p>
            <w:pPr>
              <w:pStyle w:val="3"/>
              <w:jc w:val="center"/>
              <w:rPr>
                <w:b/>
                <w:bCs/>
                <w:highlight w:val="none"/>
              </w:rPr>
            </w:pPr>
            <w:r>
              <w:rPr>
                <w:rFonts w:hint="eastAsia"/>
                <w:b/>
                <w:bCs/>
                <w:highlight w:val="none"/>
              </w:rPr>
              <w:t>远洋调查船组</w:t>
            </w:r>
          </w:p>
        </w:tc>
        <w:tc>
          <w:tcPr>
            <w:tcW w:w="5010" w:type="dxa"/>
            <w:gridSpan w:val="4"/>
            <w:vAlign w:val="center"/>
          </w:tcPr>
          <w:p>
            <w:pPr>
              <w:pStyle w:val="3"/>
              <w:jc w:val="center"/>
              <w:rPr>
                <w:b/>
                <w:bCs/>
                <w:highlight w:val="none"/>
              </w:rPr>
            </w:pPr>
            <w:r>
              <w:rPr>
                <w:rFonts w:hint="eastAsia"/>
                <w:b/>
                <w:bCs/>
                <w:highlight w:val="none"/>
              </w:rPr>
              <w:t>500吨级以上调查船组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04" w:type="dxa"/>
            <w:vAlign w:val="center"/>
          </w:tcPr>
          <w:p>
            <w:pPr>
              <w:pStyle w:val="3"/>
              <w:jc w:val="center"/>
              <w:rPr>
                <w:b/>
                <w:bCs/>
                <w:highlight w:val="none"/>
              </w:rPr>
            </w:pPr>
            <w:r>
              <w:rPr>
                <w:rFonts w:hint="eastAsia"/>
                <w:b/>
                <w:bCs/>
                <w:highlight w:val="none"/>
              </w:rPr>
              <w:t>序号</w:t>
            </w:r>
          </w:p>
        </w:tc>
        <w:tc>
          <w:tcPr>
            <w:tcW w:w="1154" w:type="dxa"/>
            <w:gridSpan w:val="2"/>
            <w:vAlign w:val="center"/>
          </w:tcPr>
          <w:p>
            <w:pPr>
              <w:pStyle w:val="3"/>
              <w:jc w:val="center"/>
              <w:rPr>
                <w:b/>
                <w:bCs/>
                <w:highlight w:val="none"/>
              </w:rPr>
            </w:pPr>
            <w:r>
              <w:rPr>
                <w:rFonts w:hint="eastAsia"/>
                <w:b/>
                <w:bCs/>
                <w:highlight w:val="none"/>
              </w:rPr>
              <w:t>职务</w:t>
            </w:r>
          </w:p>
        </w:tc>
        <w:tc>
          <w:tcPr>
            <w:tcW w:w="1104" w:type="dxa"/>
            <w:vAlign w:val="center"/>
          </w:tcPr>
          <w:p>
            <w:pPr>
              <w:pStyle w:val="3"/>
              <w:jc w:val="center"/>
              <w:rPr>
                <w:b/>
                <w:bCs/>
                <w:highlight w:val="none"/>
              </w:rPr>
            </w:pPr>
            <w:r>
              <w:rPr>
                <w:rFonts w:hint="eastAsia"/>
                <w:b/>
                <w:bCs/>
                <w:highlight w:val="none"/>
              </w:rPr>
              <w:t>每船配员标准</w:t>
            </w:r>
          </w:p>
          <w:p>
            <w:pPr>
              <w:pStyle w:val="3"/>
              <w:jc w:val="center"/>
              <w:rPr>
                <w:b/>
                <w:bCs/>
                <w:highlight w:val="none"/>
              </w:rPr>
            </w:pPr>
            <w:r>
              <w:rPr>
                <w:rFonts w:hint="eastAsia"/>
                <w:b/>
                <w:bCs/>
                <w:highlight w:val="none"/>
              </w:rPr>
              <w:t>（人）</w:t>
            </w:r>
          </w:p>
        </w:tc>
        <w:tc>
          <w:tcPr>
            <w:tcW w:w="1983" w:type="dxa"/>
            <w:vAlign w:val="center"/>
          </w:tcPr>
          <w:p>
            <w:pPr>
              <w:pStyle w:val="3"/>
              <w:jc w:val="center"/>
              <w:rPr>
                <w:b/>
                <w:bCs/>
                <w:highlight w:val="none"/>
              </w:rPr>
            </w:pPr>
            <w:r>
              <w:rPr>
                <w:rFonts w:hint="eastAsia"/>
                <w:b/>
                <w:bCs/>
                <w:highlight w:val="none"/>
              </w:rPr>
              <w:t>船员成本费用</w:t>
            </w:r>
          </w:p>
          <w:p>
            <w:pPr>
              <w:pStyle w:val="3"/>
              <w:jc w:val="center"/>
              <w:rPr>
                <w:b/>
                <w:bCs/>
                <w:highlight w:val="none"/>
              </w:rPr>
            </w:pPr>
            <w:r>
              <w:rPr>
                <w:rFonts w:hint="eastAsia"/>
                <w:b/>
                <w:bCs/>
                <w:highlight w:val="none"/>
              </w:rPr>
              <w:t>单项报价</w:t>
            </w:r>
          </w:p>
          <w:p>
            <w:pPr>
              <w:pStyle w:val="3"/>
              <w:jc w:val="center"/>
              <w:rPr>
                <w:b/>
                <w:bCs/>
                <w:highlight w:val="none"/>
              </w:rPr>
            </w:pPr>
            <w:r>
              <w:rPr>
                <w:rFonts w:hint="eastAsia"/>
                <w:b/>
                <w:bCs/>
                <w:highlight w:val="none"/>
              </w:rPr>
              <w:t>（元/每人月）</w:t>
            </w:r>
          </w:p>
        </w:tc>
        <w:tc>
          <w:tcPr>
            <w:tcW w:w="605" w:type="dxa"/>
            <w:vAlign w:val="center"/>
          </w:tcPr>
          <w:p>
            <w:pPr>
              <w:pStyle w:val="3"/>
              <w:jc w:val="center"/>
              <w:rPr>
                <w:b/>
                <w:bCs/>
                <w:highlight w:val="none"/>
              </w:rPr>
            </w:pPr>
            <w:r>
              <w:rPr>
                <w:rFonts w:hint="eastAsia"/>
                <w:b/>
                <w:bCs/>
                <w:highlight w:val="none"/>
              </w:rPr>
              <w:t>序号</w:t>
            </w:r>
          </w:p>
        </w:tc>
        <w:tc>
          <w:tcPr>
            <w:tcW w:w="1151" w:type="dxa"/>
            <w:vAlign w:val="center"/>
          </w:tcPr>
          <w:p>
            <w:pPr>
              <w:pStyle w:val="3"/>
              <w:jc w:val="center"/>
              <w:rPr>
                <w:b/>
                <w:bCs/>
                <w:highlight w:val="none"/>
              </w:rPr>
            </w:pPr>
            <w:r>
              <w:rPr>
                <w:rFonts w:hint="eastAsia"/>
                <w:b/>
                <w:bCs/>
                <w:highlight w:val="none"/>
              </w:rPr>
              <w:t>职务</w:t>
            </w:r>
          </w:p>
        </w:tc>
        <w:tc>
          <w:tcPr>
            <w:tcW w:w="1293" w:type="dxa"/>
            <w:vAlign w:val="center"/>
          </w:tcPr>
          <w:p>
            <w:pPr>
              <w:pStyle w:val="3"/>
              <w:jc w:val="center"/>
              <w:rPr>
                <w:b/>
                <w:bCs/>
                <w:highlight w:val="none"/>
              </w:rPr>
            </w:pPr>
            <w:r>
              <w:rPr>
                <w:rFonts w:hint="eastAsia"/>
                <w:b/>
                <w:bCs/>
                <w:highlight w:val="none"/>
              </w:rPr>
              <w:t>每船配员标准（人）</w:t>
            </w:r>
          </w:p>
        </w:tc>
        <w:tc>
          <w:tcPr>
            <w:tcW w:w="1961" w:type="dxa"/>
            <w:vAlign w:val="center"/>
          </w:tcPr>
          <w:p>
            <w:pPr>
              <w:pStyle w:val="3"/>
              <w:jc w:val="center"/>
              <w:rPr>
                <w:b/>
                <w:bCs/>
                <w:highlight w:val="none"/>
              </w:rPr>
            </w:pPr>
            <w:r>
              <w:rPr>
                <w:rFonts w:hint="eastAsia"/>
                <w:b/>
                <w:bCs/>
                <w:highlight w:val="none"/>
              </w:rPr>
              <w:t>船员成本费用</w:t>
            </w:r>
          </w:p>
          <w:p>
            <w:pPr>
              <w:pStyle w:val="3"/>
              <w:jc w:val="center"/>
              <w:rPr>
                <w:b/>
                <w:bCs/>
                <w:highlight w:val="none"/>
              </w:rPr>
            </w:pPr>
            <w:r>
              <w:rPr>
                <w:rFonts w:hint="eastAsia"/>
                <w:b/>
                <w:bCs/>
                <w:highlight w:val="none"/>
              </w:rPr>
              <w:t>单项报价</w:t>
            </w:r>
          </w:p>
          <w:p>
            <w:pPr>
              <w:pStyle w:val="3"/>
              <w:jc w:val="center"/>
              <w:rPr>
                <w:b/>
                <w:bCs/>
                <w:highlight w:val="none"/>
              </w:rPr>
            </w:pPr>
            <w:r>
              <w:rPr>
                <w:rFonts w:hint="eastAsia"/>
                <w:b/>
                <w:bCs/>
                <w:highlight w:val="none"/>
              </w:rPr>
              <w:t>（元/每人月）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154"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船长</w:t>
            </w:r>
          </w:p>
        </w:tc>
        <w:tc>
          <w:tcPr>
            <w:tcW w:w="11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83" w:type="dxa"/>
            <w:vAlign w:val="center"/>
          </w:tcPr>
          <w:p>
            <w:pPr>
              <w:jc w:val="center"/>
              <w:rPr>
                <w:rFonts w:ascii="仿宋_GB2312" w:hAnsi="仿宋_GB2312" w:eastAsia="仿宋_GB2312" w:cs="仿宋_GB2312"/>
                <w:iCs/>
                <w:sz w:val="24"/>
                <w:highlight w:val="none"/>
              </w:rPr>
            </w:pPr>
          </w:p>
        </w:tc>
        <w:tc>
          <w:tcPr>
            <w:tcW w:w="60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15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船长</w:t>
            </w:r>
          </w:p>
        </w:tc>
        <w:tc>
          <w:tcPr>
            <w:tcW w:w="129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61"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2</w:t>
            </w:r>
          </w:p>
        </w:tc>
        <w:tc>
          <w:tcPr>
            <w:tcW w:w="1154"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大副</w:t>
            </w:r>
          </w:p>
        </w:tc>
        <w:tc>
          <w:tcPr>
            <w:tcW w:w="11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83" w:type="dxa"/>
            <w:vAlign w:val="center"/>
          </w:tcPr>
          <w:p>
            <w:pPr>
              <w:jc w:val="center"/>
              <w:rPr>
                <w:rFonts w:ascii="仿宋_GB2312" w:hAnsi="仿宋_GB2312" w:eastAsia="仿宋_GB2312" w:cs="仿宋_GB2312"/>
                <w:iCs/>
                <w:sz w:val="24"/>
                <w:highlight w:val="none"/>
              </w:rPr>
            </w:pPr>
          </w:p>
        </w:tc>
        <w:tc>
          <w:tcPr>
            <w:tcW w:w="60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2</w:t>
            </w:r>
          </w:p>
        </w:tc>
        <w:tc>
          <w:tcPr>
            <w:tcW w:w="115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大副</w:t>
            </w:r>
          </w:p>
        </w:tc>
        <w:tc>
          <w:tcPr>
            <w:tcW w:w="129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61"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3</w:t>
            </w:r>
          </w:p>
        </w:tc>
        <w:tc>
          <w:tcPr>
            <w:tcW w:w="1154"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二副</w:t>
            </w:r>
          </w:p>
        </w:tc>
        <w:tc>
          <w:tcPr>
            <w:tcW w:w="11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83" w:type="dxa"/>
            <w:vAlign w:val="center"/>
          </w:tcPr>
          <w:p>
            <w:pPr>
              <w:jc w:val="center"/>
              <w:rPr>
                <w:rFonts w:ascii="仿宋_GB2312" w:hAnsi="仿宋_GB2312" w:eastAsia="仿宋_GB2312" w:cs="仿宋_GB2312"/>
                <w:iCs/>
                <w:sz w:val="24"/>
                <w:highlight w:val="none"/>
              </w:rPr>
            </w:pPr>
          </w:p>
        </w:tc>
        <w:tc>
          <w:tcPr>
            <w:tcW w:w="60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3</w:t>
            </w:r>
          </w:p>
        </w:tc>
        <w:tc>
          <w:tcPr>
            <w:tcW w:w="115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二副</w:t>
            </w:r>
          </w:p>
        </w:tc>
        <w:tc>
          <w:tcPr>
            <w:tcW w:w="129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61"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4</w:t>
            </w:r>
          </w:p>
        </w:tc>
        <w:tc>
          <w:tcPr>
            <w:tcW w:w="1154"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三副</w:t>
            </w:r>
          </w:p>
        </w:tc>
        <w:tc>
          <w:tcPr>
            <w:tcW w:w="11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83" w:type="dxa"/>
            <w:vAlign w:val="center"/>
          </w:tcPr>
          <w:p>
            <w:pPr>
              <w:jc w:val="center"/>
              <w:rPr>
                <w:rFonts w:ascii="仿宋_GB2312" w:hAnsi="仿宋_GB2312" w:eastAsia="仿宋_GB2312" w:cs="仿宋_GB2312"/>
                <w:iCs/>
                <w:sz w:val="24"/>
                <w:highlight w:val="none"/>
              </w:rPr>
            </w:pPr>
          </w:p>
        </w:tc>
        <w:tc>
          <w:tcPr>
            <w:tcW w:w="60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4</w:t>
            </w:r>
          </w:p>
        </w:tc>
        <w:tc>
          <w:tcPr>
            <w:tcW w:w="115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三副</w:t>
            </w:r>
          </w:p>
        </w:tc>
        <w:tc>
          <w:tcPr>
            <w:tcW w:w="129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61"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5</w:t>
            </w:r>
          </w:p>
        </w:tc>
        <w:tc>
          <w:tcPr>
            <w:tcW w:w="1154"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轮机长</w:t>
            </w:r>
          </w:p>
        </w:tc>
        <w:tc>
          <w:tcPr>
            <w:tcW w:w="11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83" w:type="dxa"/>
            <w:vAlign w:val="center"/>
          </w:tcPr>
          <w:p>
            <w:pPr>
              <w:jc w:val="center"/>
              <w:rPr>
                <w:rFonts w:ascii="仿宋_GB2312" w:hAnsi="仿宋_GB2312" w:eastAsia="仿宋_GB2312" w:cs="仿宋_GB2312"/>
                <w:iCs/>
                <w:sz w:val="24"/>
                <w:highlight w:val="none"/>
              </w:rPr>
            </w:pPr>
          </w:p>
        </w:tc>
        <w:tc>
          <w:tcPr>
            <w:tcW w:w="60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5</w:t>
            </w:r>
          </w:p>
        </w:tc>
        <w:tc>
          <w:tcPr>
            <w:tcW w:w="115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轮机长</w:t>
            </w:r>
          </w:p>
        </w:tc>
        <w:tc>
          <w:tcPr>
            <w:tcW w:w="129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61"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6</w:t>
            </w:r>
          </w:p>
        </w:tc>
        <w:tc>
          <w:tcPr>
            <w:tcW w:w="1154"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大管轮</w:t>
            </w:r>
          </w:p>
        </w:tc>
        <w:tc>
          <w:tcPr>
            <w:tcW w:w="11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83" w:type="dxa"/>
            <w:vAlign w:val="center"/>
          </w:tcPr>
          <w:p>
            <w:pPr>
              <w:jc w:val="center"/>
              <w:rPr>
                <w:rFonts w:ascii="仿宋_GB2312" w:hAnsi="仿宋_GB2312" w:eastAsia="仿宋_GB2312" w:cs="仿宋_GB2312"/>
                <w:iCs/>
                <w:sz w:val="24"/>
                <w:highlight w:val="none"/>
              </w:rPr>
            </w:pPr>
          </w:p>
        </w:tc>
        <w:tc>
          <w:tcPr>
            <w:tcW w:w="60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6</w:t>
            </w:r>
          </w:p>
        </w:tc>
        <w:tc>
          <w:tcPr>
            <w:tcW w:w="115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大管轮</w:t>
            </w:r>
          </w:p>
        </w:tc>
        <w:tc>
          <w:tcPr>
            <w:tcW w:w="129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61"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7</w:t>
            </w:r>
          </w:p>
        </w:tc>
        <w:tc>
          <w:tcPr>
            <w:tcW w:w="1154"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二管轮</w:t>
            </w:r>
          </w:p>
        </w:tc>
        <w:tc>
          <w:tcPr>
            <w:tcW w:w="11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83" w:type="dxa"/>
            <w:vAlign w:val="center"/>
          </w:tcPr>
          <w:p>
            <w:pPr>
              <w:jc w:val="center"/>
              <w:rPr>
                <w:rFonts w:ascii="仿宋_GB2312" w:hAnsi="仿宋_GB2312" w:eastAsia="仿宋_GB2312" w:cs="仿宋_GB2312"/>
                <w:iCs/>
                <w:sz w:val="24"/>
                <w:highlight w:val="none"/>
              </w:rPr>
            </w:pPr>
          </w:p>
        </w:tc>
        <w:tc>
          <w:tcPr>
            <w:tcW w:w="60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7</w:t>
            </w:r>
          </w:p>
        </w:tc>
        <w:tc>
          <w:tcPr>
            <w:tcW w:w="115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二管轮</w:t>
            </w:r>
          </w:p>
        </w:tc>
        <w:tc>
          <w:tcPr>
            <w:tcW w:w="129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61"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8</w:t>
            </w:r>
          </w:p>
        </w:tc>
        <w:tc>
          <w:tcPr>
            <w:tcW w:w="1154"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三管轮</w:t>
            </w:r>
          </w:p>
        </w:tc>
        <w:tc>
          <w:tcPr>
            <w:tcW w:w="11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83" w:type="dxa"/>
            <w:vAlign w:val="center"/>
          </w:tcPr>
          <w:p>
            <w:pPr>
              <w:jc w:val="center"/>
              <w:rPr>
                <w:rFonts w:ascii="仿宋_GB2312" w:hAnsi="仿宋_GB2312" w:eastAsia="仿宋_GB2312" w:cs="仿宋_GB2312"/>
                <w:iCs/>
                <w:sz w:val="24"/>
                <w:highlight w:val="none"/>
              </w:rPr>
            </w:pPr>
          </w:p>
        </w:tc>
        <w:tc>
          <w:tcPr>
            <w:tcW w:w="60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8</w:t>
            </w:r>
          </w:p>
        </w:tc>
        <w:tc>
          <w:tcPr>
            <w:tcW w:w="115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三管轮</w:t>
            </w:r>
          </w:p>
        </w:tc>
        <w:tc>
          <w:tcPr>
            <w:tcW w:w="129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61"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9</w:t>
            </w:r>
          </w:p>
        </w:tc>
        <w:tc>
          <w:tcPr>
            <w:tcW w:w="1154"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电机员</w:t>
            </w:r>
          </w:p>
        </w:tc>
        <w:tc>
          <w:tcPr>
            <w:tcW w:w="11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83" w:type="dxa"/>
            <w:vAlign w:val="center"/>
          </w:tcPr>
          <w:p>
            <w:pPr>
              <w:jc w:val="center"/>
              <w:rPr>
                <w:rFonts w:ascii="仿宋_GB2312" w:hAnsi="仿宋_GB2312" w:eastAsia="仿宋_GB2312" w:cs="仿宋_GB2312"/>
                <w:iCs/>
                <w:sz w:val="24"/>
                <w:highlight w:val="none"/>
              </w:rPr>
            </w:pPr>
          </w:p>
        </w:tc>
        <w:tc>
          <w:tcPr>
            <w:tcW w:w="60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9</w:t>
            </w:r>
          </w:p>
        </w:tc>
        <w:tc>
          <w:tcPr>
            <w:tcW w:w="115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水手</w:t>
            </w:r>
          </w:p>
        </w:tc>
        <w:tc>
          <w:tcPr>
            <w:tcW w:w="129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3</w:t>
            </w:r>
          </w:p>
        </w:tc>
        <w:tc>
          <w:tcPr>
            <w:tcW w:w="1961"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10</w:t>
            </w:r>
          </w:p>
        </w:tc>
        <w:tc>
          <w:tcPr>
            <w:tcW w:w="1154"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水手长</w:t>
            </w:r>
          </w:p>
        </w:tc>
        <w:tc>
          <w:tcPr>
            <w:tcW w:w="11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83" w:type="dxa"/>
            <w:vAlign w:val="center"/>
          </w:tcPr>
          <w:p>
            <w:pPr>
              <w:jc w:val="center"/>
              <w:rPr>
                <w:rFonts w:ascii="仿宋_GB2312" w:hAnsi="仿宋_GB2312" w:eastAsia="仿宋_GB2312" w:cs="仿宋_GB2312"/>
                <w:iCs/>
                <w:sz w:val="24"/>
                <w:highlight w:val="none"/>
              </w:rPr>
            </w:pPr>
          </w:p>
        </w:tc>
        <w:tc>
          <w:tcPr>
            <w:tcW w:w="60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10</w:t>
            </w:r>
          </w:p>
        </w:tc>
        <w:tc>
          <w:tcPr>
            <w:tcW w:w="115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机工</w:t>
            </w:r>
          </w:p>
        </w:tc>
        <w:tc>
          <w:tcPr>
            <w:tcW w:w="129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3</w:t>
            </w:r>
          </w:p>
        </w:tc>
        <w:tc>
          <w:tcPr>
            <w:tcW w:w="1961"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11</w:t>
            </w:r>
          </w:p>
        </w:tc>
        <w:tc>
          <w:tcPr>
            <w:tcW w:w="1154"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水手</w:t>
            </w:r>
          </w:p>
        </w:tc>
        <w:tc>
          <w:tcPr>
            <w:tcW w:w="11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4</w:t>
            </w:r>
          </w:p>
        </w:tc>
        <w:tc>
          <w:tcPr>
            <w:tcW w:w="1983" w:type="dxa"/>
            <w:vAlign w:val="center"/>
          </w:tcPr>
          <w:p>
            <w:pPr>
              <w:jc w:val="center"/>
              <w:rPr>
                <w:rFonts w:ascii="仿宋_GB2312" w:hAnsi="仿宋_GB2312" w:eastAsia="仿宋_GB2312" w:cs="仿宋_GB2312"/>
                <w:iCs/>
                <w:sz w:val="24"/>
                <w:highlight w:val="none"/>
              </w:rPr>
            </w:pPr>
          </w:p>
        </w:tc>
        <w:tc>
          <w:tcPr>
            <w:tcW w:w="60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11</w:t>
            </w:r>
          </w:p>
        </w:tc>
        <w:tc>
          <w:tcPr>
            <w:tcW w:w="115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大厨</w:t>
            </w:r>
          </w:p>
        </w:tc>
        <w:tc>
          <w:tcPr>
            <w:tcW w:w="129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61"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12</w:t>
            </w:r>
          </w:p>
        </w:tc>
        <w:tc>
          <w:tcPr>
            <w:tcW w:w="1154"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机工长</w:t>
            </w:r>
          </w:p>
        </w:tc>
        <w:tc>
          <w:tcPr>
            <w:tcW w:w="1104" w:type="dxa"/>
            <w:vAlign w:val="center"/>
          </w:tcPr>
          <w:p>
            <w:pPr>
              <w:jc w:val="center"/>
              <w:rPr>
                <w:rFonts w:ascii="仿宋_GB2312" w:hAnsi="仿宋_GB2312" w:eastAsia="仿宋_GB2312" w:cs="仿宋_GB2312"/>
                <w:iCs/>
                <w:sz w:val="24"/>
                <w:highlight w:val="none"/>
              </w:rPr>
            </w:pPr>
            <w:r>
              <w:rPr>
                <w:rFonts w:ascii="仿宋_GB2312" w:hAnsi="仿宋_GB2312" w:eastAsia="仿宋_GB2312" w:cs="仿宋_GB2312"/>
                <w:iCs/>
                <w:sz w:val="24"/>
                <w:highlight w:val="none"/>
              </w:rPr>
              <w:t>1</w:t>
            </w:r>
          </w:p>
        </w:tc>
        <w:tc>
          <w:tcPr>
            <w:tcW w:w="1983" w:type="dxa"/>
            <w:vAlign w:val="center"/>
          </w:tcPr>
          <w:p>
            <w:pPr>
              <w:jc w:val="center"/>
              <w:rPr>
                <w:rFonts w:ascii="仿宋_GB2312" w:hAnsi="仿宋_GB2312" w:eastAsia="仿宋_GB2312" w:cs="仿宋_GB2312"/>
                <w:iCs/>
                <w:sz w:val="24"/>
                <w:highlight w:val="none"/>
              </w:rPr>
            </w:pPr>
          </w:p>
        </w:tc>
        <w:tc>
          <w:tcPr>
            <w:tcW w:w="60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12</w:t>
            </w:r>
          </w:p>
        </w:tc>
        <w:tc>
          <w:tcPr>
            <w:tcW w:w="115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厨工</w:t>
            </w:r>
          </w:p>
        </w:tc>
        <w:tc>
          <w:tcPr>
            <w:tcW w:w="129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61"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1</w:t>
            </w:r>
            <w:r>
              <w:rPr>
                <w:rFonts w:ascii="仿宋_GB2312" w:hAnsi="仿宋_GB2312" w:eastAsia="仿宋_GB2312" w:cs="仿宋_GB2312"/>
                <w:iCs/>
                <w:szCs w:val="21"/>
                <w:highlight w:val="none"/>
              </w:rPr>
              <w:t>3</w:t>
            </w:r>
          </w:p>
        </w:tc>
        <w:tc>
          <w:tcPr>
            <w:tcW w:w="1154"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机工</w:t>
            </w:r>
          </w:p>
        </w:tc>
        <w:tc>
          <w:tcPr>
            <w:tcW w:w="11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4</w:t>
            </w:r>
          </w:p>
        </w:tc>
        <w:tc>
          <w:tcPr>
            <w:tcW w:w="1983" w:type="dxa"/>
            <w:vAlign w:val="center"/>
          </w:tcPr>
          <w:p>
            <w:pPr>
              <w:jc w:val="center"/>
              <w:rPr>
                <w:rFonts w:ascii="仿宋_GB2312" w:hAnsi="仿宋_GB2312" w:eastAsia="仿宋_GB2312" w:cs="仿宋_GB2312"/>
                <w:iCs/>
                <w:sz w:val="24"/>
                <w:highlight w:val="none"/>
              </w:rPr>
            </w:pPr>
          </w:p>
        </w:tc>
        <w:tc>
          <w:tcPr>
            <w:tcW w:w="60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13</w:t>
            </w:r>
          </w:p>
        </w:tc>
        <w:tc>
          <w:tcPr>
            <w:tcW w:w="1151"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服务员</w:t>
            </w:r>
          </w:p>
        </w:tc>
        <w:tc>
          <w:tcPr>
            <w:tcW w:w="129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61"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4" w:type="dxa"/>
            <w:vAlign w:val="center"/>
          </w:tcPr>
          <w:p>
            <w:pPr>
              <w:jc w:val="center"/>
              <w:rPr>
                <w:rFonts w:ascii="仿宋_GB2312" w:hAnsi="仿宋_GB2312" w:eastAsia="仿宋_GB2312" w:cs="仿宋_GB2312"/>
                <w:iCs/>
                <w:sz w:val="24"/>
                <w:highlight w:val="none"/>
              </w:rPr>
            </w:pPr>
            <w:r>
              <w:rPr>
                <w:rFonts w:ascii="仿宋_GB2312" w:hAnsi="仿宋_GB2312" w:eastAsia="仿宋_GB2312" w:cs="仿宋_GB2312"/>
                <w:iCs/>
                <w:sz w:val="24"/>
                <w:highlight w:val="none"/>
              </w:rPr>
              <w:t>14</w:t>
            </w:r>
          </w:p>
        </w:tc>
        <w:tc>
          <w:tcPr>
            <w:tcW w:w="1154"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船医</w:t>
            </w:r>
          </w:p>
        </w:tc>
        <w:tc>
          <w:tcPr>
            <w:tcW w:w="11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83" w:type="dxa"/>
            <w:vAlign w:val="center"/>
          </w:tcPr>
          <w:p>
            <w:pPr>
              <w:jc w:val="center"/>
              <w:rPr>
                <w:rFonts w:ascii="仿宋_GB2312" w:hAnsi="仿宋_GB2312" w:eastAsia="仿宋_GB2312" w:cs="仿宋_GB2312"/>
                <w:iCs/>
                <w:sz w:val="24"/>
                <w:highlight w:val="none"/>
              </w:rPr>
            </w:pPr>
          </w:p>
        </w:tc>
        <w:tc>
          <w:tcPr>
            <w:tcW w:w="5010" w:type="dxa"/>
            <w:gridSpan w:val="4"/>
            <w:vMerge w:val="restart"/>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1</w:t>
            </w:r>
            <w:r>
              <w:rPr>
                <w:rFonts w:ascii="仿宋_GB2312" w:hAnsi="仿宋_GB2312" w:eastAsia="仿宋_GB2312" w:cs="仿宋_GB2312"/>
                <w:iCs/>
                <w:szCs w:val="21"/>
                <w:highlight w:val="none"/>
              </w:rPr>
              <w:t>5</w:t>
            </w:r>
          </w:p>
        </w:tc>
        <w:tc>
          <w:tcPr>
            <w:tcW w:w="1154"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大厨</w:t>
            </w:r>
          </w:p>
        </w:tc>
        <w:tc>
          <w:tcPr>
            <w:tcW w:w="11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983" w:type="dxa"/>
            <w:vAlign w:val="center"/>
          </w:tcPr>
          <w:p>
            <w:pPr>
              <w:jc w:val="center"/>
              <w:rPr>
                <w:rFonts w:ascii="仿宋_GB2312" w:hAnsi="仿宋_GB2312" w:eastAsia="仿宋_GB2312" w:cs="仿宋_GB2312"/>
                <w:iCs/>
                <w:sz w:val="24"/>
                <w:highlight w:val="none"/>
              </w:rPr>
            </w:pPr>
          </w:p>
        </w:tc>
        <w:tc>
          <w:tcPr>
            <w:tcW w:w="5010" w:type="dxa"/>
            <w:gridSpan w:val="4"/>
            <w:vMerge w:val="continue"/>
            <w:tcBorders>
              <w:tl2br w:val="single" w:color="auto" w:sz="4" w:space="0"/>
            </w:tcBorders>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1</w:t>
            </w:r>
            <w:r>
              <w:rPr>
                <w:rFonts w:ascii="仿宋_GB2312" w:hAnsi="仿宋_GB2312" w:eastAsia="仿宋_GB2312" w:cs="仿宋_GB2312"/>
                <w:iCs/>
                <w:szCs w:val="21"/>
                <w:highlight w:val="none"/>
              </w:rPr>
              <w:t>6</w:t>
            </w:r>
          </w:p>
        </w:tc>
        <w:tc>
          <w:tcPr>
            <w:tcW w:w="1154"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厨工</w:t>
            </w:r>
          </w:p>
        </w:tc>
        <w:tc>
          <w:tcPr>
            <w:tcW w:w="11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2</w:t>
            </w:r>
          </w:p>
        </w:tc>
        <w:tc>
          <w:tcPr>
            <w:tcW w:w="1983" w:type="dxa"/>
            <w:vAlign w:val="center"/>
          </w:tcPr>
          <w:p>
            <w:pPr>
              <w:jc w:val="center"/>
              <w:rPr>
                <w:rFonts w:ascii="仿宋_GB2312" w:hAnsi="仿宋_GB2312" w:eastAsia="仿宋_GB2312" w:cs="仿宋_GB2312"/>
                <w:iCs/>
                <w:sz w:val="24"/>
                <w:highlight w:val="none"/>
              </w:rPr>
            </w:pPr>
          </w:p>
        </w:tc>
        <w:tc>
          <w:tcPr>
            <w:tcW w:w="5010" w:type="dxa"/>
            <w:gridSpan w:val="4"/>
            <w:vMerge w:val="continue"/>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1</w:t>
            </w:r>
            <w:r>
              <w:rPr>
                <w:rFonts w:ascii="仿宋_GB2312" w:hAnsi="仿宋_GB2312" w:eastAsia="仿宋_GB2312" w:cs="仿宋_GB2312"/>
                <w:iCs/>
                <w:szCs w:val="21"/>
                <w:highlight w:val="none"/>
              </w:rPr>
              <w:t>7</w:t>
            </w:r>
          </w:p>
        </w:tc>
        <w:tc>
          <w:tcPr>
            <w:tcW w:w="1154"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服务员</w:t>
            </w:r>
          </w:p>
        </w:tc>
        <w:tc>
          <w:tcPr>
            <w:tcW w:w="110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2</w:t>
            </w:r>
          </w:p>
        </w:tc>
        <w:tc>
          <w:tcPr>
            <w:tcW w:w="1983" w:type="dxa"/>
            <w:vAlign w:val="center"/>
          </w:tcPr>
          <w:p>
            <w:pPr>
              <w:jc w:val="center"/>
              <w:rPr>
                <w:rFonts w:ascii="仿宋_GB2312" w:hAnsi="仿宋_GB2312" w:eastAsia="仿宋_GB2312" w:cs="仿宋_GB2312"/>
                <w:iCs/>
                <w:sz w:val="24"/>
                <w:highlight w:val="none"/>
              </w:rPr>
            </w:pPr>
          </w:p>
        </w:tc>
        <w:tc>
          <w:tcPr>
            <w:tcW w:w="5010" w:type="dxa"/>
            <w:gridSpan w:val="4"/>
            <w:vMerge w:val="continue"/>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58" w:type="dxa"/>
            <w:gridSpan w:val="3"/>
            <w:vAlign w:val="center"/>
          </w:tcPr>
          <w:p>
            <w:pPr>
              <w:jc w:val="center"/>
              <w:rPr>
                <w:rFonts w:ascii="仿宋_GB2312" w:hAnsi="仿宋_GB2312" w:eastAsia="仿宋_GB2312" w:cs="仿宋_GB2312"/>
                <w:iCs/>
                <w:szCs w:val="21"/>
                <w:highlight w:val="none"/>
              </w:rPr>
            </w:pPr>
            <w:r>
              <w:rPr>
                <w:rFonts w:hint="eastAsia" w:ascii="仿宋_GB2312" w:hAnsi="仿宋_GB2312" w:eastAsia="仿宋_GB2312" w:cs="仿宋_GB2312"/>
                <w:iCs/>
                <w:szCs w:val="21"/>
                <w:highlight w:val="none"/>
              </w:rPr>
              <w:t>小计</w:t>
            </w:r>
          </w:p>
        </w:tc>
        <w:tc>
          <w:tcPr>
            <w:tcW w:w="1104" w:type="dxa"/>
            <w:vAlign w:val="center"/>
          </w:tcPr>
          <w:p>
            <w:pPr>
              <w:jc w:val="center"/>
              <w:rPr>
                <w:rFonts w:ascii="仿宋_GB2312" w:hAnsi="仿宋_GB2312" w:eastAsia="仿宋_GB2312" w:cs="仿宋_GB2312"/>
                <w:iCs/>
                <w:sz w:val="24"/>
                <w:highlight w:val="none"/>
              </w:rPr>
            </w:pPr>
          </w:p>
        </w:tc>
        <w:tc>
          <w:tcPr>
            <w:tcW w:w="1983" w:type="dxa"/>
            <w:vAlign w:val="center"/>
          </w:tcPr>
          <w:p>
            <w:pPr>
              <w:jc w:val="center"/>
              <w:rPr>
                <w:rFonts w:ascii="仿宋_GB2312" w:hAnsi="仿宋_GB2312" w:eastAsia="仿宋_GB2312" w:cs="仿宋_GB2312"/>
                <w:iCs/>
                <w:sz w:val="24"/>
                <w:highlight w:val="none"/>
              </w:rPr>
            </w:pPr>
          </w:p>
        </w:tc>
        <w:tc>
          <w:tcPr>
            <w:tcW w:w="1756"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小计</w:t>
            </w:r>
          </w:p>
        </w:tc>
        <w:tc>
          <w:tcPr>
            <w:tcW w:w="1293" w:type="dxa"/>
            <w:vAlign w:val="center"/>
          </w:tcPr>
          <w:p>
            <w:pPr>
              <w:jc w:val="center"/>
              <w:rPr>
                <w:rFonts w:ascii="仿宋_GB2312" w:hAnsi="仿宋_GB2312" w:eastAsia="仿宋_GB2312" w:cs="仿宋_GB2312"/>
                <w:iCs/>
                <w:sz w:val="24"/>
                <w:highlight w:val="none"/>
              </w:rPr>
            </w:pPr>
          </w:p>
        </w:tc>
        <w:tc>
          <w:tcPr>
            <w:tcW w:w="1961"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62" w:type="dxa"/>
            <w:gridSpan w:val="4"/>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合计</w:t>
            </w:r>
          </w:p>
        </w:tc>
        <w:tc>
          <w:tcPr>
            <w:tcW w:w="6993" w:type="dxa"/>
            <w:gridSpan w:val="5"/>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855" w:type="dxa"/>
            <w:gridSpan w:val="9"/>
            <w:vAlign w:val="center"/>
          </w:tcPr>
          <w:p>
            <w:pPr>
              <w:rPr>
                <w:rFonts w:ascii="仿宋_GB2312" w:hAnsi="仿宋_GB2312" w:eastAsia="仿宋_GB2312" w:cs="仿宋_GB2312"/>
                <w:iCs/>
                <w:sz w:val="24"/>
                <w:highlight w:val="none"/>
              </w:rPr>
            </w:pPr>
            <w:r>
              <w:rPr>
                <w:rFonts w:hint="eastAsia" w:ascii="仿宋" w:hAnsi="仿宋" w:eastAsia="仿宋" w:cs="仿宋"/>
                <w:b/>
                <w:sz w:val="24"/>
                <w:highlight w:val="none"/>
              </w:rPr>
              <w:t>二、管理费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845" w:type="dxa"/>
            <w:gridSpan w:val="5"/>
            <w:vAlign w:val="center"/>
          </w:tcPr>
          <w:p>
            <w:pPr>
              <w:jc w:val="center"/>
              <w:rPr>
                <w:rFonts w:ascii="仿宋_GB2312" w:hAnsi="仿宋_GB2312" w:eastAsia="仿宋_GB2312" w:cs="仿宋_GB2312"/>
                <w:iCs/>
                <w:sz w:val="24"/>
                <w:highlight w:val="none"/>
              </w:rPr>
            </w:pPr>
            <w:r>
              <w:rPr>
                <w:rFonts w:hint="eastAsia" w:ascii="仿宋" w:hAnsi="仿宋" w:eastAsia="仿宋" w:cs="仿宋"/>
                <w:b/>
                <w:sz w:val="24"/>
                <w:highlight w:val="none"/>
              </w:rPr>
              <w:t>管理费系数（%）</w:t>
            </w:r>
          </w:p>
        </w:tc>
        <w:tc>
          <w:tcPr>
            <w:tcW w:w="5010" w:type="dxa"/>
            <w:gridSpan w:val="4"/>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gridSpan w:val="2"/>
            <w:vAlign w:val="center"/>
          </w:tcPr>
          <w:p>
            <w:pPr>
              <w:spacing w:line="240" w:lineRule="atLeast"/>
              <w:jc w:val="center"/>
              <w:rPr>
                <w:rFonts w:ascii="仿宋_GB2312" w:hAnsi="仿宋_GB2312" w:eastAsia="仿宋_GB2312" w:cs="仿宋_GB2312"/>
                <w:iCs/>
                <w:sz w:val="24"/>
                <w:highlight w:val="none"/>
              </w:rPr>
            </w:pPr>
            <w:r>
              <w:rPr>
                <w:rFonts w:hint="eastAsia" w:ascii="仿宋" w:hAnsi="仿宋" w:eastAsia="仿宋" w:cs="仿宋"/>
                <w:b/>
                <w:sz w:val="24"/>
                <w:highlight w:val="none"/>
              </w:rPr>
              <w:t>说明</w:t>
            </w:r>
          </w:p>
        </w:tc>
        <w:tc>
          <w:tcPr>
            <w:tcW w:w="8947" w:type="dxa"/>
            <w:gridSpan w:val="7"/>
            <w:vAlign w:val="center"/>
          </w:tcPr>
          <w:p>
            <w:pPr>
              <w:numPr>
                <w:ilvl w:val="-1"/>
                <w:numId w:val="0"/>
              </w:numPr>
              <w:autoSpaceDE/>
              <w:autoSpaceDN/>
              <w:adjustRightInd/>
              <w:spacing w:line="240" w:lineRule="atLeast"/>
              <w:rPr>
                <w:rFonts w:ascii="仿宋" w:hAnsi="仿宋" w:eastAsia="仿宋" w:cs="仿宋"/>
                <w:b/>
                <w:bCs/>
                <w:sz w:val="24"/>
                <w:highlight w:val="none"/>
              </w:rPr>
            </w:pPr>
            <w:r>
              <w:rPr>
                <w:rFonts w:hint="eastAsia" w:ascii="仿宋" w:hAnsi="仿宋" w:eastAsia="仿宋" w:cs="仿宋"/>
                <w:b/>
                <w:bCs/>
                <w:sz w:val="24"/>
                <w:highlight w:val="none"/>
                <w:lang w:val="en-US" w:eastAsia="zh-CN"/>
              </w:rPr>
              <w:t>1.</w:t>
            </w:r>
            <w:r>
              <w:rPr>
                <w:rFonts w:hint="eastAsia" w:ascii="仿宋" w:hAnsi="仿宋" w:eastAsia="仿宋" w:cs="仿宋"/>
                <w:b/>
                <w:bCs/>
                <w:sz w:val="24"/>
                <w:highlight w:val="none"/>
              </w:rPr>
              <w:t>本项目管理费报价不能高于实际发生船员成本费用总额的15%。</w:t>
            </w:r>
          </w:p>
          <w:p>
            <w:pPr>
              <w:numPr>
                <w:ilvl w:val="-1"/>
                <w:numId w:val="0"/>
              </w:numPr>
              <w:autoSpaceDE/>
              <w:autoSpaceDN/>
              <w:adjustRightInd/>
              <w:spacing w:line="240" w:lineRule="atLeast"/>
              <w:rPr>
                <w:rFonts w:ascii="仿宋" w:hAnsi="仿宋" w:eastAsia="仿宋" w:cs="仿宋"/>
                <w:b/>
                <w:bCs/>
                <w:sz w:val="24"/>
                <w:highlight w:val="none"/>
              </w:rPr>
            </w:pPr>
            <w:r>
              <w:rPr>
                <w:rFonts w:hint="eastAsia" w:ascii="仿宋" w:hAnsi="仿宋" w:eastAsia="仿宋" w:cs="仿宋"/>
                <w:b/>
                <w:bCs/>
                <w:sz w:val="24"/>
                <w:highlight w:val="none"/>
                <w:lang w:val="en-US" w:eastAsia="zh-CN"/>
              </w:rPr>
              <w:t>2.</w:t>
            </w:r>
            <w:r>
              <w:rPr>
                <w:rFonts w:hint="eastAsia" w:ascii="仿宋" w:hAnsi="仿宋" w:eastAsia="仿宋" w:cs="仿宋"/>
                <w:b/>
                <w:bCs/>
                <w:sz w:val="24"/>
                <w:highlight w:val="none"/>
              </w:rPr>
              <w:t>管理费=实际发生的船员成本费用×管理费</w:t>
            </w:r>
            <w:r>
              <w:rPr>
                <w:rFonts w:hint="eastAsia" w:ascii="仿宋" w:hAnsi="仿宋" w:eastAsia="仿宋" w:cs="仿宋"/>
                <w:b/>
                <w:sz w:val="24"/>
                <w:highlight w:val="none"/>
              </w:rPr>
              <w:t>系数</w:t>
            </w:r>
            <w:r>
              <w:rPr>
                <w:rFonts w:hint="eastAsia" w:ascii="仿宋" w:hAnsi="仿宋" w:eastAsia="仿宋" w:cs="仿宋"/>
                <w:b/>
                <w:bCs/>
                <w:sz w:val="24"/>
                <w:highlight w:val="none"/>
              </w:rPr>
              <w:t>。</w:t>
            </w:r>
          </w:p>
          <w:p>
            <w:pPr>
              <w:numPr>
                <w:ilvl w:val="-1"/>
                <w:numId w:val="0"/>
              </w:numPr>
              <w:autoSpaceDE/>
              <w:autoSpaceDN/>
              <w:adjustRightInd/>
              <w:spacing w:line="240" w:lineRule="atLeast"/>
              <w:rPr>
                <w:rFonts w:ascii="仿宋" w:hAnsi="仿宋" w:eastAsia="仿宋" w:cs="仿宋"/>
                <w:b/>
                <w:bCs/>
                <w:sz w:val="24"/>
                <w:highlight w:val="none"/>
              </w:rPr>
            </w:pPr>
            <w:r>
              <w:rPr>
                <w:rFonts w:hint="eastAsia" w:ascii="仿宋" w:hAnsi="仿宋" w:eastAsia="仿宋" w:cs="仿宋"/>
                <w:b/>
                <w:bCs/>
                <w:sz w:val="24"/>
                <w:highlight w:val="none"/>
                <w:lang w:val="en-US" w:eastAsia="zh-CN"/>
              </w:rPr>
              <w:t>3.</w:t>
            </w:r>
            <w:r>
              <w:rPr>
                <w:rFonts w:hint="eastAsia" w:ascii="仿宋" w:hAnsi="仿宋" w:eastAsia="仿宋" w:cs="仿宋"/>
                <w:b/>
                <w:bCs/>
                <w:sz w:val="24"/>
                <w:highlight w:val="none"/>
              </w:rPr>
              <w:t>本项目报价以船员成本费用单项报价及管理费</w:t>
            </w:r>
            <w:r>
              <w:rPr>
                <w:rFonts w:hint="eastAsia" w:ascii="仿宋" w:hAnsi="仿宋" w:eastAsia="仿宋" w:cs="仿宋"/>
                <w:b/>
                <w:sz w:val="24"/>
                <w:highlight w:val="none"/>
              </w:rPr>
              <w:t>系数</w:t>
            </w:r>
            <w:r>
              <w:rPr>
                <w:rFonts w:hint="eastAsia" w:ascii="仿宋" w:hAnsi="仿宋" w:eastAsia="仿宋" w:cs="仿宋"/>
                <w:b/>
                <w:bCs/>
                <w:sz w:val="24"/>
                <w:highlight w:val="none"/>
              </w:rPr>
              <w:t>计算为准，即本项目为单价包干项目。</w:t>
            </w:r>
          </w:p>
          <w:p>
            <w:pPr>
              <w:numPr>
                <w:ilvl w:val="-1"/>
                <w:numId w:val="0"/>
              </w:numPr>
              <w:autoSpaceDE/>
              <w:autoSpaceDN/>
              <w:adjustRightInd/>
              <w:spacing w:line="240" w:lineRule="atLeast"/>
              <w:rPr>
                <w:rFonts w:ascii="仿宋" w:hAnsi="仿宋" w:eastAsia="仿宋" w:cs="仿宋"/>
                <w:b/>
                <w:bCs/>
                <w:sz w:val="24"/>
                <w:highlight w:val="none"/>
              </w:rPr>
            </w:pPr>
            <w:r>
              <w:rPr>
                <w:rFonts w:hint="eastAsia" w:ascii="仿宋" w:hAnsi="仿宋" w:eastAsia="仿宋" w:cs="仿宋"/>
                <w:b/>
                <w:bCs/>
                <w:sz w:val="24"/>
                <w:highlight w:val="none"/>
                <w:lang w:val="en-US" w:eastAsia="zh-CN"/>
              </w:rPr>
              <w:t>4.</w:t>
            </w:r>
            <w:r>
              <w:rPr>
                <w:rFonts w:hint="eastAsia" w:ascii="仿宋" w:hAnsi="仿宋" w:eastAsia="仿宋" w:cs="仿宋"/>
                <w:b/>
                <w:bCs/>
                <w:sz w:val="24"/>
                <w:highlight w:val="none"/>
              </w:rPr>
              <w:t>本项目执行总金额最高不超过最高限价，即人民币1623.97万元。</w:t>
            </w:r>
          </w:p>
          <w:p>
            <w:pPr>
              <w:numPr>
                <w:ilvl w:val="-1"/>
                <w:numId w:val="0"/>
              </w:numPr>
              <w:autoSpaceDE/>
              <w:autoSpaceDN/>
              <w:adjustRightInd/>
              <w:spacing w:line="240" w:lineRule="atLeast"/>
              <w:rPr>
                <w:rFonts w:ascii="仿宋" w:hAnsi="仿宋" w:eastAsia="仿宋" w:cs="仿宋"/>
                <w:b/>
                <w:bCs/>
                <w:sz w:val="24"/>
                <w:highlight w:val="none"/>
              </w:rPr>
            </w:pPr>
            <w:r>
              <w:rPr>
                <w:rFonts w:hint="eastAsia" w:ascii="仿宋" w:hAnsi="仿宋" w:eastAsia="仿宋" w:cs="仿宋"/>
                <w:b/>
                <w:bCs/>
                <w:sz w:val="24"/>
                <w:highlight w:val="none"/>
                <w:lang w:val="en-US" w:eastAsia="zh-CN"/>
              </w:rPr>
              <w:t>5.</w:t>
            </w:r>
            <w:r>
              <w:rPr>
                <w:rFonts w:hint="eastAsia" w:ascii="仿宋" w:hAnsi="仿宋" w:eastAsia="仿宋" w:cs="仿宋"/>
                <w:b/>
                <w:bCs/>
                <w:sz w:val="24"/>
                <w:highlight w:val="none"/>
              </w:rPr>
              <w:t>本项目执行金额达到最高限价时，合同自动终止；或本项目执行时间到2023年12月31日时，无论执行金额是否达到最高限价，合同均自动终止。</w:t>
            </w:r>
          </w:p>
        </w:tc>
      </w:tr>
    </w:tbl>
    <w:p>
      <w:pPr>
        <w:pStyle w:val="4"/>
        <w:spacing w:after="120" w:line="480" w:lineRule="exact"/>
        <w:rPr>
          <w:rFonts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附件一：评标工作大纲</w:t>
      </w:r>
    </w:p>
    <w:p>
      <w:pPr>
        <w:tabs>
          <w:tab w:val="left" w:pos="1287"/>
        </w:tabs>
        <w:snapToGrid w:val="0"/>
        <w:spacing w:line="360" w:lineRule="auto"/>
        <w:ind w:leftChars="-171" w:hanging="359" w:hangingChars="171"/>
        <w:rPr>
          <w:rFonts w:hAnsi="宋体" w:cs="宋体"/>
          <w:szCs w:val="21"/>
          <w:highlight w:val="none"/>
        </w:rPr>
      </w:pPr>
      <w:r>
        <w:rPr>
          <w:rFonts w:hint="eastAsia" w:hAnsi="宋体" w:cs="宋体"/>
          <w:szCs w:val="21"/>
          <w:highlight w:val="none"/>
        </w:rPr>
        <w:t>一、评标原则和目的</w:t>
      </w:r>
    </w:p>
    <w:p>
      <w:pPr>
        <w:numPr>
          <w:ilvl w:val="1"/>
          <w:numId w:val="19"/>
        </w:numPr>
        <w:autoSpaceDE/>
        <w:autoSpaceDN/>
        <w:adjustRightInd/>
        <w:spacing w:line="360" w:lineRule="auto"/>
        <w:jc w:val="both"/>
        <w:rPr>
          <w:rFonts w:hAnsi="宋体" w:cs="宋体"/>
          <w:szCs w:val="21"/>
          <w:highlight w:val="none"/>
        </w:rPr>
      </w:pPr>
      <w:r>
        <w:rPr>
          <w:rFonts w:hint="eastAsia" w:hAnsi="宋体" w:cs="宋体"/>
          <w:szCs w:val="21"/>
          <w:highlight w:val="none"/>
        </w:rPr>
        <w:t>“国家海洋局南海标准计量中心2023年船员服务采购项目”（采购编号：GDYD221545）的招标依照《中华人民共和国政府采购法》、《政府采购货物和服务招标投标管理办法》（财政部令第87号）及国家和地方政府关于采购的有关规定进行。评标必须遵循公开、公平、公正、诚实信用的原则。评标按照招标文件规定的内容进行，采取综合评标办法，避免纯技术或纯经济的倾向。</w:t>
      </w:r>
    </w:p>
    <w:p>
      <w:pPr>
        <w:numPr>
          <w:ilvl w:val="1"/>
          <w:numId w:val="19"/>
        </w:numPr>
        <w:autoSpaceDE/>
        <w:autoSpaceDN/>
        <w:adjustRightInd/>
        <w:spacing w:line="360" w:lineRule="auto"/>
        <w:jc w:val="both"/>
        <w:rPr>
          <w:rFonts w:hAnsi="宋体" w:cs="宋体"/>
          <w:szCs w:val="21"/>
          <w:highlight w:val="none"/>
        </w:rPr>
      </w:pPr>
      <w:r>
        <w:rPr>
          <w:rFonts w:hint="eastAsia" w:hAnsi="宋体" w:cs="宋体"/>
          <w:szCs w:val="21"/>
          <w:highlight w:val="none"/>
        </w:rPr>
        <w:t>本办法的评标对象是指投标人按照招标文件要求提供的有效投标文件，包括投标人应评标委员会要求对原投标文件作出的正式书面澄清文件。</w:t>
      </w:r>
    </w:p>
    <w:p>
      <w:pPr>
        <w:tabs>
          <w:tab w:val="left" w:pos="1287"/>
        </w:tabs>
        <w:snapToGrid w:val="0"/>
        <w:spacing w:line="360" w:lineRule="auto"/>
        <w:ind w:leftChars="-171" w:hanging="359" w:hangingChars="171"/>
        <w:rPr>
          <w:rFonts w:hAnsi="宋体" w:cs="宋体"/>
          <w:szCs w:val="21"/>
          <w:highlight w:val="none"/>
        </w:rPr>
      </w:pPr>
      <w:r>
        <w:rPr>
          <w:rFonts w:hint="eastAsia" w:hAnsi="宋体" w:cs="宋体"/>
          <w:szCs w:val="21"/>
          <w:highlight w:val="none"/>
        </w:rPr>
        <w:t>二、评标程序</w:t>
      </w:r>
    </w:p>
    <w:p>
      <w:pPr>
        <w:tabs>
          <w:tab w:val="left" w:pos="984"/>
        </w:tabs>
        <w:snapToGrid w:val="0"/>
        <w:spacing w:line="360" w:lineRule="auto"/>
        <w:ind w:left="-171" w:firstLine="210" w:firstLineChars="100"/>
        <w:rPr>
          <w:rFonts w:hAnsi="宋体" w:cs="宋体"/>
          <w:szCs w:val="21"/>
          <w:highlight w:val="none"/>
        </w:rPr>
      </w:pPr>
      <w:r>
        <w:rPr>
          <w:rFonts w:hint="eastAsia" w:hAnsi="宋体" w:cs="宋体"/>
          <w:szCs w:val="21"/>
          <w:highlight w:val="none"/>
        </w:rPr>
        <w:t>（一）对投标人的资格性检查（由招标代理机构负责）</w:t>
      </w:r>
    </w:p>
    <w:p>
      <w:pPr>
        <w:snapToGrid w:val="0"/>
        <w:spacing w:line="360" w:lineRule="auto"/>
        <w:ind w:left="-171" w:firstLine="576"/>
        <w:rPr>
          <w:rFonts w:hAnsi="宋体" w:cs="宋体"/>
          <w:szCs w:val="21"/>
          <w:highlight w:val="none"/>
        </w:rPr>
      </w:pPr>
      <w:r>
        <w:rPr>
          <w:rFonts w:hint="eastAsia" w:hAnsi="宋体" w:cs="宋体"/>
          <w:szCs w:val="21"/>
          <w:highlight w:val="none"/>
        </w:rPr>
        <w:t>评标过程应在开标后立即开始。依据法律法规和招标文件的规定，对投标文件中的资格证明等进行审查，以确定投标人是否具备投标资格</w:t>
      </w:r>
      <w:r>
        <w:rPr>
          <w:rFonts w:hint="eastAsia" w:hAnsi="宋体" w:cs="宋体"/>
          <w:szCs w:val="21"/>
          <w:highlight w:val="none"/>
          <w:lang w:val="zh-CN"/>
        </w:rPr>
        <w:t>。</w:t>
      </w:r>
      <w:r>
        <w:rPr>
          <w:rFonts w:hint="eastAsia" w:hAnsi="宋体" w:cs="宋体"/>
          <w:szCs w:val="21"/>
          <w:highlight w:val="none"/>
        </w:rPr>
        <w:t>应进行以下审核：</w:t>
      </w:r>
    </w:p>
    <w:p>
      <w:pPr>
        <w:pStyle w:val="124"/>
        <w:keepNext w:val="0"/>
        <w:numPr>
          <w:ilvl w:val="0"/>
          <w:numId w:val="20"/>
        </w:numPr>
        <w:tabs>
          <w:tab w:val="left" w:pos="960"/>
        </w:tabs>
        <w:spacing w:after="0" w:line="360" w:lineRule="auto"/>
        <w:ind w:left="960" w:hanging="480"/>
        <w:rPr>
          <w:rFonts w:ascii="宋体" w:hAnsi="宋体" w:cs="宋体"/>
          <w:bCs/>
          <w:szCs w:val="21"/>
          <w:highlight w:val="none"/>
        </w:rPr>
      </w:pPr>
      <w:r>
        <w:rPr>
          <w:rFonts w:hint="eastAsia" w:ascii="宋体" w:hAnsi="宋体" w:cs="宋体"/>
          <w:szCs w:val="21"/>
          <w:highlight w:val="none"/>
        </w:rPr>
        <w:t>法定代表人/负责人资格证明书及授权委托书</w:t>
      </w:r>
    </w:p>
    <w:p>
      <w:pPr>
        <w:pStyle w:val="124"/>
        <w:keepNext w:val="0"/>
        <w:numPr>
          <w:ilvl w:val="0"/>
          <w:numId w:val="20"/>
        </w:numPr>
        <w:tabs>
          <w:tab w:val="left" w:pos="960"/>
        </w:tabs>
        <w:spacing w:after="0" w:line="360" w:lineRule="auto"/>
        <w:ind w:left="960" w:hanging="480"/>
        <w:rPr>
          <w:rFonts w:ascii="宋体" w:hAnsi="宋体" w:cs="宋体"/>
          <w:bCs/>
          <w:szCs w:val="21"/>
          <w:highlight w:val="none"/>
        </w:rPr>
      </w:pPr>
      <w:r>
        <w:rPr>
          <w:rFonts w:hint="eastAsia" w:ascii="宋体" w:hAnsi="宋体" w:cs="宋体"/>
          <w:bCs/>
          <w:szCs w:val="21"/>
          <w:highlight w:val="none"/>
        </w:rPr>
        <w:t>营业执照副本复印件（加盖公章）</w:t>
      </w:r>
    </w:p>
    <w:p>
      <w:pPr>
        <w:pStyle w:val="124"/>
        <w:keepNext w:val="0"/>
        <w:numPr>
          <w:ilvl w:val="0"/>
          <w:numId w:val="20"/>
        </w:numPr>
        <w:tabs>
          <w:tab w:val="left" w:pos="960"/>
        </w:tabs>
        <w:spacing w:after="0" w:line="360" w:lineRule="auto"/>
        <w:ind w:left="960" w:hanging="480"/>
        <w:rPr>
          <w:rFonts w:ascii="宋体" w:hAnsi="宋体" w:cs="宋体"/>
          <w:bCs/>
          <w:szCs w:val="21"/>
          <w:highlight w:val="none"/>
        </w:rPr>
      </w:pPr>
      <w:r>
        <w:rPr>
          <w:rFonts w:hint="eastAsia" w:ascii="宋体" w:hAnsi="宋体" w:cs="宋体"/>
          <w:szCs w:val="21"/>
          <w:highlight w:val="none"/>
        </w:rPr>
        <w:t>在参与政府采购活动中未有违法违纪行为并受过处罚</w:t>
      </w:r>
    </w:p>
    <w:p>
      <w:pPr>
        <w:pStyle w:val="124"/>
        <w:keepNext w:val="0"/>
        <w:numPr>
          <w:ilvl w:val="0"/>
          <w:numId w:val="20"/>
        </w:numPr>
        <w:tabs>
          <w:tab w:val="left" w:pos="960"/>
        </w:tabs>
        <w:spacing w:after="0" w:line="360" w:lineRule="auto"/>
        <w:ind w:left="960" w:hanging="480"/>
        <w:rPr>
          <w:rFonts w:ascii="宋体" w:hAnsi="宋体" w:cs="宋体"/>
          <w:bCs/>
          <w:szCs w:val="21"/>
          <w:highlight w:val="none"/>
        </w:rPr>
      </w:pPr>
      <w:r>
        <w:rPr>
          <w:rFonts w:hint="eastAsia" w:ascii="宋体" w:hAnsi="宋体" w:cs="宋体"/>
          <w:bCs/>
          <w:szCs w:val="21"/>
          <w:highlight w:val="none"/>
        </w:rPr>
        <w:t>招标公告要求的资质资格证明复印件（加盖公章）</w:t>
      </w:r>
    </w:p>
    <w:p>
      <w:pPr>
        <w:pStyle w:val="45"/>
        <w:widowControl w:val="0"/>
        <w:spacing w:before="0" w:beforeAutospacing="0" w:after="0" w:afterAutospacing="0" w:line="360" w:lineRule="auto"/>
        <w:ind w:left="-178" w:leftChars="-85" w:firstLine="210" w:firstLineChars="100"/>
        <w:rPr>
          <w:rFonts w:cs="宋体"/>
          <w:kern w:val="2"/>
          <w:sz w:val="21"/>
          <w:szCs w:val="21"/>
          <w:highlight w:val="none"/>
        </w:rPr>
      </w:pPr>
      <w:r>
        <w:rPr>
          <w:rFonts w:hint="eastAsia" w:cs="宋体"/>
          <w:kern w:val="2"/>
          <w:sz w:val="21"/>
          <w:szCs w:val="21"/>
          <w:highlight w:val="none"/>
        </w:rPr>
        <w:t>（二）对投标人的符合性检查（由评审专家组负责）</w:t>
      </w:r>
    </w:p>
    <w:p>
      <w:pPr>
        <w:pStyle w:val="45"/>
        <w:widowControl w:val="0"/>
        <w:tabs>
          <w:tab w:val="left" w:pos="1080"/>
        </w:tabs>
        <w:spacing w:before="0" w:beforeAutospacing="0" w:after="0" w:afterAutospacing="0" w:line="360" w:lineRule="auto"/>
        <w:ind w:left="134" w:leftChars="64" w:firstLine="420" w:firstLineChars="200"/>
        <w:rPr>
          <w:rFonts w:cs="宋体"/>
          <w:kern w:val="2"/>
          <w:sz w:val="21"/>
          <w:szCs w:val="21"/>
          <w:highlight w:val="none"/>
        </w:rPr>
      </w:pPr>
      <w:r>
        <w:rPr>
          <w:rFonts w:hint="eastAsia" w:cs="宋体"/>
          <w:kern w:val="2"/>
          <w:sz w:val="21"/>
          <w:szCs w:val="21"/>
          <w:highlight w:val="none"/>
        </w:rPr>
        <w:t>符合性检查是依据招标文件的规定，从投标文件的有效性、完整性和对招标文件的响应程度进行审查，以确定是否对招标文件的实质性要求作出响应。</w:t>
      </w:r>
      <w:r>
        <w:rPr>
          <w:rFonts w:hint="eastAsia" w:cs="宋体"/>
          <w:sz w:val="21"/>
          <w:szCs w:val="21"/>
          <w:highlight w:val="none"/>
        </w:rPr>
        <w:t>应进行以下审核：</w:t>
      </w:r>
    </w:p>
    <w:p>
      <w:pPr>
        <w:pStyle w:val="124"/>
        <w:keepNext w:val="0"/>
        <w:numPr>
          <w:ilvl w:val="0"/>
          <w:numId w:val="21"/>
        </w:numPr>
        <w:tabs>
          <w:tab w:val="left" w:pos="960"/>
        </w:tabs>
        <w:spacing w:after="0" w:line="360" w:lineRule="auto"/>
        <w:ind w:hanging="9"/>
        <w:rPr>
          <w:rFonts w:ascii="宋体" w:hAnsi="宋体" w:cs="宋体"/>
          <w:bCs/>
          <w:szCs w:val="21"/>
          <w:highlight w:val="none"/>
        </w:rPr>
      </w:pPr>
      <w:r>
        <w:rPr>
          <w:rFonts w:hint="eastAsia" w:ascii="宋体" w:hAnsi="宋体" w:cs="宋体"/>
          <w:bCs/>
          <w:szCs w:val="21"/>
          <w:highlight w:val="none"/>
        </w:rPr>
        <w:t>投标报价不超过最高限价</w:t>
      </w:r>
    </w:p>
    <w:p>
      <w:pPr>
        <w:pStyle w:val="124"/>
        <w:keepNext w:val="0"/>
        <w:numPr>
          <w:ilvl w:val="0"/>
          <w:numId w:val="21"/>
        </w:numPr>
        <w:tabs>
          <w:tab w:val="left" w:pos="960"/>
        </w:tabs>
        <w:spacing w:after="0" w:line="360" w:lineRule="auto"/>
        <w:ind w:hanging="9"/>
        <w:rPr>
          <w:rFonts w:ascii="宋体" w:hAnsi="宋体" w:cs="宋体"/>
          <w:bCs/>
          <w:szCs w:val="21"/>
          <w:highlight w:val="none"/>
        </w:rPr>
      </w:pPr>
      <w:r>
        <w:rPr>
          <w:rFonts w:hint="eastAsia" w:ascii="宋体" w:hAnsi="宋体" w:cs="宋体"/>
          <w:szCs w:val="21"/>
          <w:highlight w:val="none"/>
        </w:rPr>
        <w:t>报价方案是唯一确定</w:t>
      </w:r>
    </w:p>
    <w:p>
      <w:pPr>
        <w:pStyle w:val="124"/>
        <w:keepNext w:val="0"/>
        <w:numPr>
          <w:ilvl w:val="0"/>
          <w:numId w:val="21"/>
        </w:numPr>
        <w:tabs>
          <w:tab w:val="left" w:pos="960"/>
        </w:tabs>
        <w:spacing w:after="0" w:line="360" w:lineRule="auto"/>
        <w:ind w:hanging="9"/>
        <w:rPr>
          <w:rFonts w:ascii="宋体" w:hAnsi="宋体" w:cs="宋体"/>
          <w:bCs/>
          <w:szCs w:val="21"/>
          <w:highlight w:val="none"/>
        </w:rPr>
      </w:pPr>
      <w:r>
        <w:rPr>
          <w:rFonts w:hint="eastAsia" w:ascii="宋体" w:hAnsi="宋体" w:cs="宋体"/>
          <w:szCs w:val="21"/>
          <w:highlight w:val="none"/>
        </w:rPr>
        <w:t>实质性响应招标文件中“★”号参数的商务要求</w:t>
      </w:r>
    </w:p>
    <w:p>
      <w:pPr>
        <w:pStyle w:val="124"/>
        <w:keepNext w:val="0"/>
        <w:numPr>
          <w:ilvl w:val="0"/>
          <w:numId w:val="21"/>
        </w:numPr>
        <w:tabs>
          <w:tab w:val="left" w:pos="960"/>
        </w:tabs>
        <w:spacing w:after="0" w:line="360" w:lineRule="auto"/>
        <w:ind w:hanging="9"/>
        <w:rPr>
          <w:rFonts w:ascii="宋体" w:hAnsi="宋体" w:cs="宋体"/>
          <w:bCs/>
          <w:szCs w:val="21"/>
          <w:highlight w:val="none"/>
        </w:rPr>
      </w:pPr>
      <w:r>
        <w:rPr>
          <w:rFonts w:hint="eastAsia" w:ascii="宋体" w:hAnsi="宋体" w:cs="宋体"/>
          <w:szCs w:val="21"/>
          <w:highlight w:val="none"/>
        </w:rPr>
        <w:t>实质性响应招标文件中“★”号参数的技术要求</w:t>
      </w:r>
    </w:p>
    <w:p>
      <w:pPr>
        <w:pStyle w:val="124"/>
        <w:keepNext w:val="0"/>
        <w:numPr>
          <w:ilvl w:val="0"/>
          <w:numId w:val="21"/>
        </w:numPr>
        <w:tabs>
          <w:tab w:val="left" w:pos="960"/>
        </w:tabs>
        <w:spacing w:after="0" w:line="360" w:lineRule="auto"/>
        <w:ind w:hanging="9"/>
        <w:rPr>
          <w:rFonts w:ascii="宋体" w:hAnsi="宋体" w:cs="宋体"/>
          <w:bCs/>
          <w:szCs w:val="21"/>
          <w:highlight w:val="none"/>
        </w:rPr>
      </w:pPr>
      <w:r>
        <w:rPr>
          <w:rFonts w:hint="eastAsia" w:ascii="宋体" w:hAnsi="宋体" w:cs="宋体"/>
          <w:szCs w:val="21"/>
          <w:highlight w:val="none"/>
        </w:rPr>
        <w:t>服务期符合招标文件要求</w:t>
      </w:r>
    </w:p>
    <w:p>
      <w:pPr>
        <w:pStyle w:val="124"/>
        <w:keepNext w:val="0"/>
        <w:numPr>
          <w:ilvl w:val="0"/>
          <w:numId w:val="21"/>
        </w:numPr>
        <w:tabs>
          <w:tab w:val="left" w:pos="960"/>
        </w:tabs>
        <w:spacing w:after="0" w:line="360" w:lineRule="auto"/>
        <w:ind w:hanging="9"/>
        <w:rPr>
          <w:rFonts w:ascii="宋体" w:hAnsi="宋体" w:cs="宋体"/>
          <w:bCs/>
          <w:szCs w:val="21"/>
          <w:highlight w:val="none"/>
        </w:rPr>
      </w:pPr>
      <w:r>
        <w:rPr>
          <w:rFonts w:hint="eastAsia" w:ascii="宋体" w:hAnsi="宋体" w:cs="宋体"/>
          <w:bCs/>
          <w:szCs w:val="21"/>
          <w:highlight w:val="none"/>
        </w:rPr>
        <w:t>无招标文件规定的投标无效情况</w:t>
      </w:r>
    </w:p>
    <w:p>
      <w:pPr>
        <w:pStyle w:val="124"/>
        <w:keepNext w:val="0"/>
        <w:spacing w:after="0" w:line="360" w:lineRule="auto"/>
        <w:ind w:left="435"/>
        <w:rPr>
          <w:rFonts w:ascii="宋体" w:hAnsi="宋体" w:cs="宋体"/>
          <w:bCs/>
          <w:szCs w:val="21"/>
          <w:highlight w:val="none"/>
        </w:rPr>
      </w:pPr>
    </w:p>
    <w:p>
      <w:pPr>
        <w:pStyle w:val="124"/>
        <w:keepNext w:val="0"/>
        <w:spacing w:after="0" w:line="360" w:lineRule="auto"/>
        <w:ind w:firstLine="422" w:firstLineChars="200"/>
        <w:rPr>
          <w:rFonts w:ascii="宋体" w:hAnsi="宋体" w:cs="宋体"/>
          <w:b/>
          <w:szCs w:val="21"/>
          <w:highlight w:val="none"/>
        </w:rPr>
      </w:pPr>
      <w:r>
        <w:rPr>
          <w:rFonts w:hint="eastAsia" w:ascii="宋体" w:hAnsi="宋体" w:cs="宋体"/>
          <w:b/>
          <w:szCs w:val="21"/>
          <w:highlight w:val="none"/>
        </w:rPr>
        <w:t>有下列情况之一的，投标无效：</w:t>
      </w:r>
    </w:p>
    <w:p>
      <w:pPr>
        <w:pStyle w:val="45"/>
        <w:widowControl w:val="0"/>
        <w:spacing w:before="0" w:beforeAutospacing="0" w:after="0" w:afterAutospacing="0" w:line="360" w:lineRule="auto"/>
        <w:ind w:left="538" w:leftChars="-85" w:hanging="716" w:hangingChars="341"/>
        <w:rPr>
          <w:rFonts w:cs="宋体"/>
          <w:sz w:val="21"/>
          <w:szCs w:val="21"/>
          <w:highlight w:val="none"/>
        </w:rPr>
      </w:pPr>
      <w:r>
        <w:rPr>
          <w:rFonts w:hint="eastAsia" w:cs="宋体"/>
          <w:sz w:val="21"/>
          <w:szCs w:val="21"/>
          <w:highlight w:val="none"/>
        </w:rPr>
        <w:t>　　（1）投标文件未按招标文件要求签署、盖章的；</w:t>
      </w:r>
    </w:p>
    <w:p>
      <w:pPr>
        <w:pStyle w:val="45"/>
        <w:widowControl w:val="0"/>
        <w:spacing w:before="0" w:beforeAutospacing="0" w:after="0" w:afterAutospacing="0" w:line="360" w:lineRule="auto"/>
        <w:ind w:left="538" w:leftChars="-85" w:hanging="716" w:hangingChars="341"/>
        <w:rPr>
          <w:rFonts w:cs="宋体"/>
          <w:sz w:val="21"/>
          <w:szCs w:val="21"/>
          <w:highlight w:val="none"/>
        </w:rPr>
      </w:pPr>
      <w:r>
        <w:rPr>
          <w:rFonts w:hint="eastAsia" w:cs="宋体"/>
          <w:sz w:val="21"/>
          <w:szCs w:val="21"/>
          <w:highlight w:val="none"/>
        </w:rPr>
        <w:t>　　（2）不具备招标文件中规定的资格要求的；</w:t>
      </w:r>
    </w:p>
    <w:p>
      <w:pPr>
        <w:pStyle w:val="45"/>
        <w:widowControl w:val="0"/>
        <w:spacing w:before="0" w:beforeAutospacing="0" w:after="0" w:afterAutospacing="0" w:line="360" w:lineRule="auto"/>
        <w:ind w:left="538" w:leftChars="-85" w:hanging="716" w:hangingChars="341"/>
        <w:rPr>
          <w:rFonts w:cs="宋体"/>
          <w:sz w:val="21"/>
          <w:szCs w:val="21"/>
          <w:highlight w:val="none"/>
        </w:rPr>
      </w:pPr>
      <w:r>
        <w:rPr>
          <w:rFonts w:hint="eastAsia" w:cs="宋体"/>
          <w:sz w:val="21"/>
          <w:szCs w:val="21"/>
          <w:highlight w:val="none"/>
        </w:rPr>
        <w:t>　　（4）报价超过招标文件中规定的预算金额或者最高限价的；</w:t>
      </w:r>
    </w:p>
    <w:p>
      <w:pPr>
        <w:pStyle w:val="45"/>
        <w:widowControl w:val="0"/>
        <w:spacing w:before="0" w:beforeAutospacing="0" w:after="0" w:afterAutospacing="0" w:line="360" w:lineRule="auto"/>
        <w:ind w:left="538" w:leftChars="-85" w:hanging="716" w:hangingChars="341"/>
        <w:rPr>
          <w:rFonts w:cs="宋体"/>
          <w:sz w:val="21"/>
          <w:szCs w:val="21"/>
          <w:highlight w:val="none"/>
        </w:rPr>
      </w:pPr>
      <w:r>
        <w:rPr>
          <w:rFonts w:hint="eastAsia" w:cs="宋体"/>
          <w:sz w:val="21"/>
          <w:szCs w:val="21"/>
          <w:highlight w:val="none"/>
        </w:rPr>
        <w:t>　　（4）投标文件含有采购人不能接受的附加条件的;</w:t>
      </w:r>
    </w:p>
    <w:p>
      <w:pPr>
        <w:pStyle w:val="45"/>
        <w:widowControl w:val="0"/>
        <w:spacing w:before="0" w:beforeAutospacing="0" w:after="0" w:afterAutospacing="0" w:line="360" w:lineRule="auto"/>
        <w:ind w:left="533" w:leftChars="113" w:hanging="296" w:hangingChars="141"/>
        <w:rPr>
          <w:rFonts w:cs="宋体"/>
          <w:sz w:val="21"/>
          <w:szCs w:val="21"/>
          <w:highlight w:val="none"/>
        </w:rPr>
      </w:pPr>
      <w:r>
        <w:rPr>
          <w:rFonts w:hint="eastAsia" w:cs="宋体"/>
          <w:sz w:val="21"/>
          <w:szCs w:val="21"/>
          <w:highlight w:val="none"/>
        </w:rPr>
        <w:t>（5）法律、法规和招标文件规定的其他无效情形。</w:t>
      </w:r>
    </w:p>
    <w:p>
      <w:pPr>
        <w:pStyle w:val="45"/>
        <w:widowControl w:val="0"/>
        <w:spacing w:before="0" w:beforeAutospacing="0" w:after="0" w:afterAutospacing="0" w:line="360" w:lineRule="auto"/>
        <w:ind w:left="537" w:leftChars="15" w:hanging="506" w:hangingChars="241"/>
        <w:rPr>
          <w:rFonts w:cs="宋体"/>
          <w:sz w:val="21"/>
          <w:szCs w:val="21"/>
          <w:highlight w:val="none"/>
        </w:rPr>
      </w:pPr>
      <w:r>
        <w:rPr>
          <w:rFonts w:hint="eastAsia" w:cs="宋体"/>
          <w:sz w:val="21"/>
          <w:szCs w:val="21"/>
          <w:highlight w:val="none"/>
        </w:rPr>
        <w:t>（三） 以上资格性检查、符合性检查中带部分有不合格分项的投标文件，将作废标处理。经评标委员会确认的无效投标文件，采购人和采购代理机构将予以拒绝，并且不允许通过修正或撤消其不符合要求的差异，使之成为具有符合性的投标文件。</w:t>
      </w:r>
    </w:p>
    <w:p>
      <w:pPr>
        <w:pStyle w:val="45"/>
        <w:widowControl w:val="0"/>
        <w:spacing w:before="0" w:beforeAutospacing="0" w:after="0" w:afterAutospacing="0" w:line="360" w:lineRule="auto"/>
        <w:ind w:left="409" w:leftChars="15" w:hanging="378" w:hangingChars="180"/>
        <w:rPr>
          <w:rFonts w:cs="宋体"/>
          <w:sz w:val="21"/>
          <w:szCs w:val="21"/>
          <w:highlight w:val="none"/>
        </w:rPr>
      </w:pPr>
      <w:r>
        <w:rPr>
          <w:rFonts w:hint="eastAsia" w:cs="宋体"/>
          <w:sz w:val="21"/>
          <w:szCs w:val="21"/>
          <w:highlight w:val="none"/>
        </w:rPr>
        <w:t>（四）开标之后首先由采购代理机构工作人员就投标人的投标文件进行资格性检查，资格性检查通过的投标人将由负责评标委员会进行符合性检查，经评标委员会确认具有有效投标文件的投标人不足三家时将重新组织招标。</w:t>
      </w:r>
    </w:p>
    <w:p>
      <w:pPr>
        <w:pStyle w:val="45"/>
        <w:widowControl w:val="0"/>
        <w:spacing w:before="0" w:beforeAutospacing="0" w:after="0" w:afterAutospacing="0" w:line="360" w:lineRule="auto"/>
        <w:ind w:left="409" w:leftChars="15" w:hanging="378" w:hangingChars="180"/>
        <w:rPr>
          <w:rFonts w:cs="宋体"/>
          <w:sz w:val="21"/>
          <w:szCs w:val="21"/>
          <w:highlight w:val="none"/>
        </w:rPr>
      </w:pPr>
      <w:r>
        <w:rPr>
          <w:rFonts w:hint="eastAsia" w:cs="宋体"/>
          <w:sz w:val="21"/>
          <w:szCs w:val="21"/>
          <w:highlight w:val="none"/>
        </w:rPr>
        <w:t>（五）现场澄清：按招标文件第二篇。</w:t>
      </w:r>
    </w:p>
    <w:p>
      <w:pPr>
        <w:pStyle w:val="45"/>
        <w:widowControl w:val="0"/>
        <w:spacing w:before="0" w:beforeAutospacing="0" w:after="0" w:afterAutospacing="0" w:line="360" w:lineRule="auto"/>
        <w:ind w:left="409" w:leftChars="15" w:hanging="378" w:hangingChars="180"/>
        <w:rPr>
          <w:rFonts w:cs="宋体"/>
          <w:sz w:val="21"/>
          <w:szCs w:val="21"/>
          <w:highlight w:val="none"/>
        </w:rPr>
      </w:pPr>
      <w:r>
        <w:rPr>
          <w:rFonts w:hint="eastAsia" w:cs="宋体"/>
          <w:sz w:val="21"/>
          <w:szCs w:val="21"/>
          <w:highlight w:val="none"/>
        </w:rPr>
        <w:t>（六）细微偏差修正</w:t>
      </w:r>
    </w:p>
    <w:p>
      <w:pPr>
        <w:spacing w:line="360" w:lineRule="auto"/>
        <w:ind w:firstLine="420" w:firstLineChars="200"/>
        <w:rPr>
          <w:highlight w:val="none"/>
        </w:rPr>
      </w:pPr>
      <w:r>
        <w:rPr>
          <w:rFonts w:hint="eastAsia"/>
          <w:highlight w:val="none"/>
        </w:rPr>
        <w:t>1.投标文件中开标一览表（报价表）内容与投标文件中相应内容不一致的，以开标一览表（报价表）为准；</w:t>
      </w:r>
    </w:p>
    <w:p>
      <w:pPr>
        <w:spacing w:line="360" w:lineRule="auto"/>
        <w:ind w:firstLine="420" w:firstLineChars="200"/>
        <w:rPr>
          <w:highlight w:val="none"/>
        </w:rPr>
      </w:pPr>
      <w:r>
        <w:rPr>
          <w:rFonts w:hint="eastAsia"/>
          <w:highlight w:val="none"/>
        </w:rPr>
        <w:t>2.大写金额和小写金额不一致的，以大写金额为准；</w:t>
      </w:r>
    </w:p>
    <w:p>
      <w:pPr>
        <w:spacing w:line="360" w:lineRule="auto"/>
        <w:ind w:firstLine="420" w:firstLineChars="200"/>
        <w:rPr>
          <w:highlight w:val="none"/>
        </w:rPr>
      </w:pPr>
      <w:r>
        <w:rPr>
          <w:rFonts w:hint="eastAsia"/>
          <w:highlight w:val="none"/>
        </w:rPr>
        <w:t>3.单价金额小数点或者百分比有明显错位的，以开标一览表的总价为准，并修改单价；</w:t>
      </w:r>
    </w:p>
    <w:p>
      <w:pPr>
        <w:spacing w:line="360" w:lineRule="auto"/>
        <w:ind w:firstLine="420" w:firstLineChars="200"/>
        <w:rPr>
          <w:highlight w:val="none"/>
        </w:rPr>
      </w:pPr>
      <w:r>
        <w:rPr>
          <w:rFonts w:hint="eastAsia"/>
          <w:highlight w:val="none"/>
        </w:rPr>
        <w:t>4.总价金额与按单价汇总金额不一致的，以单价金额计算结果为准。</w:t>
      </w:r>
    </w:p>
    <w:p>
      <w:pPr>
        <w:pStyle w:val="45"/>
        <w:widowControl w:val="0"/>
        <w:spacing w:before="0" w:beforeAutospacing="0" w:after="0" w:afterAutospacing="0" w:line="360" w:lineRule="auto"/>
        <w:ind w:left="859" w:leftChars="257" w:hanging="319" w:hangingChars="152"/>
        <w:rPr>
          <w:rFonts w:cs="宋体"/>
          <w:sz w:val="21"/>
          <w:szCs w:val="21"/>
          <w:highlight w:val="none"/>
        </w:rPr>
      </w:pPr>
      <w:r>
        <w:rPr>
          <w:rFonts w:hint="eastAsia" w:cs="宋体"/>
          <w:sz w:val="21"/>
          <w:szCs w:val="21"/>
          <w:highlight w:val="none"/>
        </w:rPr>
        <w:t>　　同时出现两种以上不一致的，按照前款规定的顺序修正。修正后的报价按照《政府采购货物和服务招标投标管理办法》（财政部令第87号）第五十一条第二款的规定经投标人确认后产生约束力，投标人不确认的，其投标无效。</w:t>
      </w:r>
    </w:p>
    <w:p>
      <w:pPr>
        <w:snapToGrid w:val="0"/>
        <w:spacing w:line="360" w:lineRule="auto"/>
        <w:rPr>
          <w:rFonts w:hAnsi="宋体" w:cs="宋体"/>
          <w:szCs w:val="21"/>
          <w:highlight w:val="none"/>
        </w:rPr>
      </w:pPr>
      <w:r>
        <w:rPr>
          <w:rFonts w:hint="eastAsia" w:hAnsi="宋体" w:cs="宋体"/>
          <w:szCs w:val="21"/>
          <w:highlight w:val="none"/>
        </w:rPr>
        <w:t>（七）评标委员会根据《关于印发中小企业划型标准规定的通知》（工信部联企业[2011]300号）、《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的有关规定，对通过资格性检查和符合性检查的投标文件进行相对应的审核工作(如需要)。</w:t>
      </w:r>
    </w:p>
    <w:p>
      <w:pPr>
        <w:spacing w:line="360" w:lineRule="auto"/>
        <w:rPr>
          <w:rFonts w:hAnsi="宋体" w:cs="宋体"/>
          <w:szCs w:val="21"/>
          <w:highlight w:val="none"/>
        </w:rPr>
      </w:pPr>
      <w:r>
        <w:rPr>
          <w:rFonts w:hint="eastAsia" w:hAnsi="宋体" w:cs="宋体"/>
          <w:szCs w:val="21"/>
          <w:highlight w:val="none"/>
        </w:rPr>
        <w:t>（八）得分统计及推荐中标候选人名单</w:t>
      </w:r>
    </w:p>
    <w:p>
      <w:pPr>
        <w:spacing w:line="360" w:lineRule="auto"/>
        <w:ind w:left="554" w:leftChars="264" w:firstLine="525" w:firstLineChars="250"/>
        <w:rPr>
          <w:rFonts w:hAnsi="宋体" w:cs="宋体"/>
          <w:szCs w:val="21"/>
          <w:highlight w:val="none"/>
        </w:rPr>
      </w:pPr>
      <w:r>
        <w:rPr>
          <w:rFonts w:hint="eastAsia" w:hAnsi="宋体" w:cs="宋体"/>
          <w:szCs w:val="21"/>
          <w:highlight w:val="none"/>
        </w:rPr>
        <w:t>1.评标委员会按照采购文件确定的评审标准、程序和方法，对投标文件进行评审，提出书面评标报告。</w:t>
      </w:r>
    </w:p>
    <w:p>
      <w:pPr>
        <w:spacing w:line="360" w:lineRule="auto"/>
        <w:ind w:left="554" w:leftChars="264" w:firstLine="525" w:firstLineChars="250"/>
        <w:rPr>
          <w:rFonts w:hAnsi="宋体" w:cs="宋体"/>
          <w:szCs w:val="21"/>
          <w:highlight w:val="none"/>
        </w:rPr>
      </w:pPr>
      <w:r>
        <w:rPr>
          <w:rFonts w:hint="eastAsia" w:hAnsi="宋体" w:cs="宋体"/>
          <w:szCs w:val="21"/>
          <w:highlight w:val="none"/>
        </w:rPr>
        <w:t>2.采用综合评分法，按照评标程序、评分标准以及权重分配的规定，评标委员会各成员分别首先就各个投标人的技术状况、商务状况及其对招标文件要求的响应情况进行评议和比较，评出其商务评分和技术评分，所有评委各投标人的商务得分和技术得分应为各评委的评分相加，再除以评委人数，得出平均得分，将各投标人的商务得分、技术得分和价格得分相加得出其综合得分。</w:t>
      </w:r>
    </w:p>
    <w:p>
      <w:pPr>
        <w:spacing w:line="360" w:lineRule="auto"/>
        <w:ind w:left="554" w:leftChars="264" w:firstLine="525" w:firstLineChars="250"/>
        <w:rPr>
          <w:rFonts w:hAnsi="宋体" w:cs="宋体"/>
          <w:szCs w:val="21"/>
          <w:highlight w:val="none"/>
        </w:rPr>
      </w:pPr>
      <w:r>
        <w:rPr>
          <w:rFonts w:hint="eastAsia" w:hAnsi="宋体" w:cs="宋体"/>
          <w:szCs w:val="21"/>
          <w:highlight w:val="none"/>
        </w:rPr>
        <w:t>3.投标人的最终评标得分＝商务得分+技术得分+价格得分,评分统计的结果数据须经评委验算审核并签名确认。</w:t>
      </w:r>
    </w:p>
    <w:p>
      <w:pPr>
        <w:spacing w:line="360" w:lineRule="auto"/>
        <w:ind w:left="554" w:leftChars="264" w:firstLine="525" w:firstLineChars="250"/>
        <w:rPr>
          <w:rFonts w:hAnsi="宋体" w:cs="宋体"/>
          <w:szCs w:val="21"/>
          <w:highlight w:val="none"/>
        </w:rPr>
      </w:pPr>
      <w:r>
        <w:rPr>
          <w:rFonts w:hint="eastAsia" w:hAnsi="宋体" w:cs="宋体"/>
          <w:szCs w:val="21"/>
          <w:highlight w:val="none"/>
        </w:rPr>
        <w:t>4.评标委员会按评审后综合评分由高到低顺序排列。综合评分相同的投标人，如条件相等，则评标价格低的投标人排序优先。综合得分相同且评标价相同的，则技术部分评分得分高的优先。综合评分相同，名次由评委会投票决定。评委会按上述排列向采购人推荐综合总得分第一名为中标候选供应商，第二名为第二中标候选供应商。第二名报价高于第一名报价20％以上的，只推荐一名中标候选人。第一中标候选人不得随意放弃中标资格。</w:t>
      </w:r>
    </w:p>
    <w:p>
      <w:pPr>
        <w:spacing w:line="360" w:lineRule="auto"/>
        <w:rPr>
          <w:rFonts w:hAnsi="宋体" w:cs="宋体"/>
          <w:szCs w:val="21"/>
          <w:highlight w:val="none"/>
        </w:rPr>
      </w:pPr>
      <w:r>
        <w:rPr>
          <w:rFonts w:hint="eastAsia" w:hAnsi="宋体" w:cs="宋体"/>
          <w:szCs w:val="21"/>
          <w:highlight w:val="none"/>
        </w:rPr>
        <w:t>（九）编制评标报告。</w:t>
      </w:r>
    </w:p>
    <w:p>
      <w:pPr>
        <w:spacing w:line="360" w:lineRule="auto"/>
        <w:ind w:left="554" w:leftChars="264" w:firstLine="420" w:firstLineChars="200"/>
        <w:rPr>
          <w:rFonts w:hAnsi="宋体" w:cs="宋体"/>
          <w:szCs w:val="21"/>
          <w:highlight w:val="none"/>
        </w:rPr>
      </w:pPr>
      <w:r>
        <w:rPr>
          <w:rFonts w:hint="eastAsia" w:hAnsi="宋体" w:cs="宋体"/>
          <w:szCs w:val="21"/>
          <w:highlight w:val="none"/>
        </w:rPr>
        <w:t>评标委员会根据评标结果撰写评标报告。评标报告是评标委员会根据全体评标成员签字的原始评标记录和评标结果编写的报告，其主要内容包括：</w:t>
      </w:r>
    </w:p>
    <w:p>
      <w:pPr>
        <w:spacing w:line="360" w:lineRule="auto"/>
        <w:rPr>
          <w:rFonts w:hAnsi="宋体" w:cs="宋体"/>
          <w:szCs w:val="21"/>
          <w:highlight w:val="none"/>
        </w:rPr>
      </w:pPr>
      <w:r>
        <w:rPr>
          <w:rFonts w:hint="eastAsia" w:hAnsi="宋体" w:cs="宋体"/>
          <w:szCs w:val="21"/>
          <w:highlight w:val="none"/>
        </w:rPr>
        <w:t>　　  1.招标公告刊登的媒体名称、开标日期和地点；</w:t>
      </w:r>
    </w:p>
    <w:p>
      <w:pPr>
        <w:spacing w:line="360" w:lineRule="auto"/>
        <w:rPr>
          <w:rFonts w:hAnsi="宋体" w:cs="宋体"/>
          <w:szCs w:val="21"/>
          <w:highlight w:val="none"/>
        </w:rPr>
      </w:pPr>
      <w:r>
        <w:rPr>
          <w:rFonts w:hint="eastAsia" w:hAnsi="宋体" w:cs="宋体"/>
          <w:szCs w:val="21"/>
          <w:highlight w:val="none"/>
        </w:rPr>
        <w:t>　　  2.购买招标文件的投标人名单和评标委员会成员名单；</w:t>
      </w:r>
    </w:p>
    <w:p>
      <w:pPr>
        <w:spacing w:line="360" w:lineRule="auto"/>
        <w:rPr>
          <w:rFonts w:hAnsi="宋体" w:cs="宋体"/>
          <w:szCs w:val="21"/>
          <w:highlight w:val="none"/>
        </w:rPr>
      </w:pPr>
      <w:r>
        <w:rPr>
          <w:rFonts w:hint="eastAsia" w:hAnsi="宋体" w:cs="宋体"/>
          <w:szCs w:val="21"/>
          <w:highlight w:val="none"/>
        </w:rPr>
        <w:t>　　  3.评标方法和标准；</w:t>
      </w:r>
    </w:p>
    <w:p>
      <w:pPr>
        <w:spacing w:line="360" w:lineRule="auto"/>
        <w:rPr>
          <w:rFonts w:hAnsi="宋体" w:cs="宋体"/>
          <w:szCs w:val="21"/>
          <w:highlight w:val="none"/>
        </w:rPr>
      </w:pPr>
      <w:r>
        <w:rPr>
          <w:rFonts w:hint="eastAsia" w:hAnsi="宋体" w:cs="宋体"/>
          <w:szCs w:val="21"/>
          <w:highlight w:val="none"/>
        </w:rPr>
        <w:t>　　  4.开标记录和评标情况及说明，包括投标无效投标人名单及原因；</w:t>
      </w:r>
    </w:p>
    <w:p>
      <w:pPr>
        <w:spacing w:line="360" w:lineRule="auto"/>
        <w:rPr>
          <w:rFonts w:hAnsi="宋体" w:cs="宋体"/>
          <w:szCs w:val="21"/>
          <w:highlight w:val="none"/>
        </w:rPr>
      </w:pPr>
      <w:r>
        <w:rPr>
          <w:rFonts w:hint="eastAsia" w:hAnsi="宋体" w:cs="宋体"/>
          <w:szCs w:val="21"/>
          <w:highlight w:val="none"/>
        </w:rPr>
        <w:t>　　  5.评标结果和中标候选供应商排序表；</w:t>
      </w:r>
    </w:p>
    <w:p>
      <w:pPr>
        <w:pStyle w:val="2"/>
        <w:spacing w:line="360" w:lineRule="auto"/>
        <w:ind w:firstLine="630" w:firstLineChars="300"/>
        <w:rPr>
          <w:rFonts w:hAnsi="宋体" w:cs="宋体"/>
          <w:szCs w:val="21"/>
          <w:highlight w:val="none"/>
        </w:rPr>
        <w:sectPr>
          <w:headerReference r:id="rId6" w:type="first"/>
          <w:footerReference r:id="rId7" w:type="even"/>
          <w:pgSz w:w="11907" w:h="16840"/>
          <w:pgMar w:top="1304" w:right="1134" w:bottom="1247" w:left="1134" w:header="709" w:footer="697" w:gutter="0"/>
          <w:pgBorders>
            <w:top w:val="none" w:sz="0" w:space="0"/>
            <w:left w:val="none" w:sz="0" w:space="0"/>
            <w:bottom w:val="none" w:sz="0" w:space="0"/>
            <w:right w:val="none" w:sz="0" w:space="0"/>
          </w:pgBorders>
          <w:cols w:space="720" w:num="1"/>
          <w:docGrid w:linePitch="285" w:charSpace="0"/>
        </w:sectPr>
      </w:pPr>
      <w:r>
        <w:rPr>
          <w:rFonts w:hint="eastAsia" w:hAnsi="宋体" w:cs="宋体"/>
          <w:szCs w:val="21"/>
          <w:highlight w:val="none"/>
        </w:rPr>
        <w:t>6.评标委员会的授标建议。</w:t>
      </w:r>
    </w:p>
    <w:p>
      <w:pPr>
        <w:pStyle w:val="4"/>
        <w:spacing w:after="120" w:line="480" w:lineRule="exact"/>
        <w:rPr>
          <w:rFonts w:hAnsi="宋体" w:cs="宋体"/>
          <w:b/>
          <w:sz w:val="28"/>
          <w:szCs w:val="28"/>
          <w:highlight w:val="none"/>
        </w:rPr>
      </w:pPr>
      <w:r>
        <w:rPr>
          <w:rFonts w:hint="eastAsia" w:hAnsi="宋体" w:cs="宋体"/>
          <w:b/>
          <w:sz w:val="28"/>
          <w:szCs w:val="28"/>
          <w:highlight w:val="none"/>
        </w:rPr>
        <w:t>资格性检查表：</w:t>
      </w:r>
    </w:p>
    <w:p>
      <w:pPr>
        <w:rPr>
          <w:rFonts w:hAnsi="宋体" w:cs="宋体"/>
          <w:szCs w:val="21"/>
          <w:highlight w:val="none"/>
        </w:rPr>
      </w:pPr>
    </w:p>
    <w:p>
      <w:pPr>
        <w:spacing w:line="360" w:lineRule="auto"/>
        <w:rPr>
          <w:rFonts w:hAnsi="宋体" w:cs="宋体"/>
          <w:szCs w:val="21"/>
          <w:highlight w:val="none"/>
        </w:rPr>
      </w:pPr>
      <w:r>
        <w:rPr>
          <w:rFonts w:hint="eastAsia" w:hAnsi="宋体" w:cs="宋体"/>
          <w:szCs w:val="21"/>
          <w:highlight w:val="none"/>
        </w:rPr>
        <w:t xml:space="preserve">采购编号：GDYD221545                            </w:t>
      </w:r>
    </w:p>
    <w:p>
      <w:pPr>
        <w:spacing w:line="360" w:lineRule="auto"/>
        <w:rPr>
          <w:rFonts w:hAnsi="宋体" w:cs="宋体"/>
          <w:szCs w:val="21"/>
          <w:highlight w:val="none"/>
        </w:rPr>
      </w:pPr>
      <w:r>
        <w:rPr>
          <w:rFonts w:hint="eastAsia" w:hAnsi="宋体" w:cs="宋体"/>
          <w:szCs w:val="21"/>
          <w:highlight w:val="none"/>
        </w:rPr>
        <w:t>项目名称：国家海洋局南海标准计量中心2023年船员服务采购项目</w:t>
      </w:r>
    </w:p>
    <w:tbl>
      <w:tblPr>
        <w:tblStyle w:val="49"/>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3937"/>
        <w:gridCol w:w="1115"/>
        <w:gridCol w:w="1115"/>
        <w:gridCol w:w="1115"/>
        <w:gridCol w:w="1115"/>
        <w:gridCol w:w="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27" w:type="dxa"/>
            <w:vAlign w:val="center"/>
          </w:tcPr>
          <w:p>
            <w:pPr>
              <w:pStyle w:val="14"/>
              <w:tabs>
                <w:tab w:val="left" w:pos="7740"/>
              </w:tabs>
              <w:snapToGrid w:val="0"/>
              <w:ind w:firstLine="0" w:firstLineChars="0"/>
              <w:rPr>
                <w:rFonts w:ascii="宋体" w:hAnsi="宋体" w:cs="宋体"/>
                <w:sz w:val="21"/>
                <w:szCs w:val="21"/>
                <w:highlight w:val="none"/>
              </w:rPr>
            </w:pPr>
          </w:p>
        </w:tc>
        <w:tc>
          <w:tcPr>
            <w:tcW w:w="3937" w:type="dxa"/>
            <w:tcBorders>
              <w:tl2br w:val="single" w:color="auto" w:sz="4" w:space="0"/>
            </w:tcBorders>
            <w:vAlign w:val="center"/>
          </w:tcPr>
          <w:p>
            <w:pPr>
              <w:pStyle w:val="14"/>
              <w:tabs>
                <w:tab w:val="left" w:pos="7740"/>
              </w:tabs>
              <w:snapToGrid w:val="0"/>
              <w:ind w:firstLine="0" w:firstLineChars="0"/>
              <w:rPr>
                <w:rFonts w:ascii="宋体" w:hAnsi="宋体" w:cs="宋体"/>
                <w:sz w:val="21"/>
                <w:szCs w:val="21"/>
                <w:highlight w:val="none"/>
              </w:rPr>
            </w:pPr>
            <w:r>
              <w:rPr>
                <w:rFonts w:hint="eastAsia" w:ascii="宋体" w:hAnsi="宋体" w:cs="宋体"/>
                <w:sz w:val="21"/>
                <w:szCs w:val="21"/>
                <w:highlight w:val="none"/>
              </w:rPr>
              <w:t>审查内容                                    投标人名称</w:t>
            </w:r>
          </w:p>
        </w:tc>
        <w:tc>
          <w:tcPr>
            <w:tcW w:w="1115" w:type="dxa"/>
            <w:vAlign w:val="center"/>
          </w:tcPr>
          <w:p>
            <w:pPr>
              <w:pStyle w:val="14"/>
              <w:tabs>
                <w:tab w:val="left" w:pos="7740"/>
              </w:tabs>
              <w:snapToGrid w:val="0"/>
              <w:ind w:firstLine="0" w:firstLineChars="0"/>
              <w:jc w:val="center"/>
              <w:rPr>
                <w:rFonts w:ascii="宋体" w:hAnsi="宋体" w:cs="宋体"/>
                <w:sz w:val="21"/>
                <w:szCs w:val="21"/>
                <w:highlight w:val="none"/>
                <w:lang w:val="hr-HR"/>
              </w:rPr>
            </w:pPr>
            <w:r>
              <w:rPr>
                <w:rFonts w:hint="eastAsia" w:ascii="宋体" w:hAnsi="宋体" w:cs="宋体"/>
                <w:sz w:val="21"/>
                <w:szCs w:val="21"/>
                <w:highlight w:val="none"/>
              </w:rPr>
              <w:t>投标人1</w:t>
            </w:r>
          </w:p>
        </w:tc>
        <w:tc>
          <w:tcPr>
            <w:tcW w:w="1115" w:type="dxa"/>
            <w:vAlign w:val="center"/>
          </w:tcPr>
          <w:p>
            <w:pPr>
              <w:snapToGrid w:val="0"/>
              <w:jc w:val="center"/>
              <w:rPr>
                <w:rFonts w:hAnsi="宋体" w:cs="宋体"/>
                <w:szCs w:val="21"/>
                <w:highlight w:val="none"/>
              </w:rPr>
            </w:pPr>
            <w:r>
              <w:rPr>
                <w:rFonts w:hint="eastAsia" w:hAnsi="宋体" w:cs="宋体"/>
                <w:szCs w:val="21"/>
                <w:highlight w:val="none"/>
              </w:rPr>
              <w:t>投标人2</w:t>
            </w:r>
          </w:p>
        </w:tc>
        <w:tc>
          <w:tcPr>
            <w:tcW w:w="1115" w:type="dxa"/>
            <w:vAlign w:val="center"/>
          </w:tcPr>
          <w:p>
            <w:pPr>
              <w:snapToGrid w:val="0"/>
              <w:jc w:val="center"/>
              <w:rPr>
                <w:rFonts w:hAnsi="宋体" w:cs="宋体"/>
                <w:szCs w:val="21"/>
                <w:highlight w:val="none"/>
              </w:rPr>
            </w:pPr>
            <w:r>
              <w:rPr>
                <w:rFonts w:hint="eastAsia" w:hAnsi="宋体" w:cs="宋体"/>
                <w:szCs w:val="21"/>
                <w:highlight w:val="none"/>
              </w:rPr>
              <w:t>投标人3</w:t>
            </w:r>
          </w:p>
        </w:tc>
        <w:tc>
          <w:tcPr>
            <w:tcW w:w="1115" w:type="dxa"/>
            <w:vAlign w:val="center"/>
          </w:tcPr>
          <w:p>
            <w:pPr>
              <w:snapToGrid w:val="0"/>
              <w:jc w:val="center"/>
              <w:rPr>
                <w:rFonts w:hAnsi="宋体" w:cs="宋体"/>
                <w:szCs w:val="21"/>
                <w:highlight w:val="none"/>
              </w:rPr>
            </w:pPr>
            <w:r>
              <w:rPr>
                <w:rFonts w:hint="eastAsia" w:hAnsi="宋体" w:cs="宋体"/>
                <w:szCs w:val="21"/>
                <w:highlight w:val="none"/>
              </w:rPr>
              <w:t>投标人4</w:t>
            </w:r>
          </w:p>
        </w:tc>
        <w:tc>
          <w:tcPr>
            <w:tcW w:w="465" w:type="dxa"/>
            <w:vAlign w:val="center"/>
          </w:tcPr>
          <w:p>
            <w:pPr>
              <w:pStyle w:val="14"/>
              <w:tabs>
                <w:tab w:val="left" w:pos="7740"/>
              </w:tabs>
              <w:snapToGrid w:val="0"/>
              <w:ind w:firstLine="0" w:firstLineChars="0"/>
              <w:jc w:val="center"/>
              <w:rPr>
                <w:rFonts w:ascii="宋体" w:hAnsi="宋体" w:cs="宋体"/>
                <w:sz w:val="21"/>
                <w:szCs w:val="21"/>
                <w:highlight w:val="none"/>
                <w:lang w:val="hr-HR"/>
              </w:rPr>
            </w:pPr>
            <w:r>
              <w:rPr>
                <w:rFonts w:hint="eastAsia" w:ascii="宋体" w:hAnsi="宋体" w:cs="宋体"/>
                <w:sz w:val="21"/>
                <w:szCs w:val="21"/>
                <w:highlight w:val="none"/>
                <w:lang w:val="hr-H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 w:type="dxa"/>
            <w:vMerge w:val="restart"/>
            <w:vAlign w:val="center"/>
          </w:tcPr>
          <w:p>
            <w:pPr>
              <w:pStyle w:val="14"/>
              <w:tabs>
                <w:tab w:val="left" w:pos="7740"/>
              </w:tabs>
              <w:snapToGrid w:val="0"/>
              <w:ind w:firstLine="0" w:firstLineChars="0"/>
              <w:jc w:val="center"/>
              <w:rPr>
                <w:rFonts w:ascii="宋体" w:hAnsi="宋体" w:cs="宋体"/>
                <w:b/>
                <w:sz w:val="21"/>
                <w:szCs w:val="21"/>
                <w:highlight w:val="none"/>
              </w:rPr>
            </w:pPr>
            <w:r>
              <w:rPr>
                <w:rFonts w:hint="eastAsia" w:ascii="宋体" w:hAnsi="宋体" w:cs="宋体"/>
                <w:b/>
                <w:sz w:val="21"/>
                <w:szCs w:val="21"/>
                <w:highlight w:val="none"/>
              </w:rPr>
              <w:t>资</w:t>
            </w:r>
          </w:p>
          <w:p>
            <w:pPr>
              <w:pStyle w:val="14"/>
              <w:tabs>
                <w:tab w:val="left" w:pos="7740"/>
              </w:tabs>
              <w:snapToGrid w:val="0"/>
              <w:ind w:firstLine="0" w:firstLineChars="0"/>
              <w:jc w:val="center"/>
              <w:rPr>
                <w:rFonts w:ascii="宋体" w:hAnsi="宋体" w:cs="宋体"/>
                <w:b/>
                <w:sz w:val="21"/>
                <w:szCs w:val="21"/>
                <w:highlight w:val="none"/>
              </w:rPr>
            </w:pPr>
            <w:r>
              <w:rPr>
                <w:rFonts w:hint="eastAsia" w:ascii="宋体" w:hAnsi="宋体" w:cs="宋体"/>
                <w:b/>
                <w:sz w:val="21"/>
                <w:szCs w:val="21"/>
                <w:highlight w:val="none"/>
              </w:rPr>
              <w:t>格</w:t>
            </w:r>
          </w:p>
          <w:p>
            <w:pPr>
              <w:pStyle w:val="14"/>
              <w:tabs>
                <w:tab w:val="left" w:pos="7740"/>
              </w:tabs>
              <w:snapToGrid w:val="0"/>
              <w:ind w:firstLine="0" w:firstLineChars="0"/>
              <w:jc w:val="center"/>
              <w:rPr>
                <w:rFonts w:ascii="宋体" w:hAnsi="宋体" w:cs="宋体"/>
                <w:b/>
                <w:sz w:val="21"/>
                <w:szCs w:val="21"/>
                <w:highlight w:val="none"/>
              </w:rPr>
            </w:pPr>
            <w:r>
              <w:rPr>
                <w:rFonts w:hint="eastAsia" w:ascii="宋体" w:hAnsi="宋体" w:cs="宋体"/>
                <w:b/>
                <w:sz w:val="21"/>
                <w:szCs w:val="21"/>
                <w:highlight w:val="none"/>
              </w:rPr>
              <w:t>性</w:t>
            </w:r>
          </w:p>
          <w:p>
            <w:pPr>
              <w:pStyle w:val="14"/>
              <w:tabs>
                <w:tab w:val="left" w:pos="7740"/>
              </w:tabs>
              <w:snapToGrid w:val="0"/>
              <w:ind w:firstLine="0" w:firstLineChars="0"/>
              <w:jc w:val="center"/>
              <w:rPr>
                <w:rFonts w:ascii="宋体" w:hAnsi="宋体" w:cs="宋体"/>
                <w:b/>
                <w:sz w:val="21"/>
                <w:szCs w:val="21"/>
                <w:highlight w:val="none"/>
              </w:rPr>
            </w:pPr>
            <w:r>
              <w:rPr>
                <w:rFonts w:hint="eastAsia" w:ascii="宋体" w:hAnsi="宋体" w:cs="宋体"/>
                <w:b/>
                <w:sz w:val="21"/>
                <w:szCs w:val="21"/>
                <w:highlight w:val="none"/>
              </w:rPr>
              <w:t>检</w:t>
            </w:r>
          </w:p>
          <w:p>
            <w:pPr>
              <w:pStyle w:val="14"/>
              <w:tabs>
                <w:tab w:val="left" w:pos="7740"/>
              </w:tabs>
              <w:snapToGrid w:val="0"/>
              <w:ind w:firstLine="0" w:firstLineChars="0"/>
              <w:jc w:val="center"/>
              <w:rPr>
                <w:rFonts w:ascii="宋体" w:hAnsi="宋体" w:cs="宋体"/>
                <w:b/>
                <w:sz w:val="21"/>
                <w:szCs w:val="21"/>
                <w:highlight w:val="none"/>
              </w:rPr>
            </w:pPr>
            <w:r>
              <w:rPr>
                <w:rFonts w:hint="eastAsia" w:ascii="宋体" w:hAnsi="宋体" w:cs="宋体"/>
                <w:b/>
                <w:sz w:val="21"/>
                <w:szCs w:val="21"/>
                <w:highlight w:val="none"/>
              </w:rPr>
              <w:t>查</w:t>
            </w:r>
          </w:p>
        </w:tc>
        <w:tc>
          <w:tcPr>
            <w:tcW w:w="3937" w:type="dxa"/>
            <w:vAlign w:val="center"/>
          </w:tcPr>
          <w:p>
            <w:pPr>
              <w:pStyle w:val="14"/>
              <w:tabs>
                <w:tab w:val="left" w:pos="7740"/>
              </w:tabs>
              <w:snapToGrid w:val="0"/>
              <w:ind w:firstLine="0" w:firstLineChars="0"/>
              <w:jc w:val="both"/>
              <w:rPr>
                <w:rFonts w:ascii="宋体" w:hAnsi="宋体" w:cs="宋体"/>
                <w:sz w:val="21"/>
                <w:szCs w:val="21"/>
                <w:highlight w:val="none"/>
              </w:rPr>
            </w:pPr>
            <w:r>
              <w:rPr>
                <w:rFonts w:hint="eastAsia" w:ascii="宋体" w:hAnsi="宋体" w:cs="宋体"/>
                <w:sz w:val="21"/>
                <w:szCs w:val="21"/>
                <w:highlight w:val="none"/>
              </w:rPr>
              <w:t>法定代表人/负责人资格证明书及授权委托书</w:t>
            </w:r>
          </w:p>
        </w:tc>
        <w:tc>
          <w:tcPr>
            <w:tcW w:w="1115" w:type="dxa"/>
          </w:tcPr>
          <w:p>
            <w:pPr>
              <w:tabs>
                <w:tab w:val="left" w:pos="146"/>
              </w:tabs>
              <w:ind w:left="146" w:hanging="180"/>
              <w:jc w:val="both"/>
              <w:rPr>
                <w:rFonts w:hAnsi="宋体" w:cs="宋体"/>
                <w:b/>
                <w:bCs/>
                <w:szCs w:val="21"/>
                <w:highlight w:val="none"/>
              </w:rPr>
            </w:pPr>
          </w:p>
        </w:tc>
        <w:tc>
          <w:tcPr>
            <w:tcW w:w="1115" w:type="dxa"/>
          </w:tcPr>
          <w:p>
            <w:pPr>
              <w:tabs>
                <w:tab w:val="left" w:pos="0"/>
              </w:tabs>
              <w:jc w:val="both"/>
              <w:rPr>
                <w:rFonts w:hAnsi="宋体" w:cs="宋体"/>
                <w:b/>
                <w:bCs/>
                <w:szCs w:val="21"/>
                <w:highlight w:val="none"/>
              </w:rPr>
            </w:pPr>
          </w:p>
        </w:tc>
        <w:tc>
          <w:tcPr>
            <w:tcW w:w="1115"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p>
        </w:tc>
        <w:tc>
          <w:tcPr>
            <w:tcW w:w="1115"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p>
        </w:tc>
        <w:tc>
          <w:tcPr>
            <w:tcW w:w="465"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 w:type="dxa"/>
            <w:vMerge w:val="continue"/>
            <w:vAlign w:val="center"/>
          </w:tcPr>
          <w:p>
            <w:pPr>
              <w:pStyle w:val="14"/>
              <w:tabs>
                <w:tab w:val="left" w:pos="7740"/>
              </w:tabs>
              <w:snapToGrid w:val="0"/>
              <w:ind w:firstLine="0" w:firstLineChars="0"/>
              <w:jc w:val="center"/>
              <w:rPr>
                <w:rFonts w:ascii="宋体" w:hAnsi="宋体" w:cs="宋体"/>
                <w:b/>
                <w:sz w:val="21"/>
                <w:szCs w:val="21"/>
                <w:highlight w:val="none"/>
              </w:rPr>
            </w:pPr>
          </w:p>
        </w:tc>
        <w:tc>
          <w:tcPr>
            <w:tcW w:w="3937"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r>
              <w:rPr>
                <w:rFonts w:ascii="宋体" w:eastAsia="宋体" w:cs="宋体"/>
                <w:bCs/>
                <w:szCs w:val="21"/>
                <w:highlight w:val="none"/>
              </w:rPr>
              <w:t>营业执照副本复印件（加盖公章）</w:t>
            </w:r>
          </w:p>
        </w:tc>
        <w:tc>
          <w:tcPr>
            <w:tcW w:w="1115" w:type="dxa"/>
          </w:tcPr>
          <w:p>
            <w:pPr>
              <w:tabs>
                <w:tab w:val="left" w:pos="146"/>
              </w:tabs>
              <w:ind w:left="146" w:hanging="180"/>
              <w:jc w:val="both"/>
              <w:rPr>
                <w:rFonts w:hAnsi="宋体" w:cs="宋体"/>
                <w:b/>
                <w:bCs/>
                <w:szCs w:val="21"/>
                <w:highlight w:val="none"/>
              </w:rPr>
            </w:pPr>
          </w:p>
        </w:tc>
        <w:tc>
          <w:tcPr>
            <w:tcW w:w="1115" w:type="dxa"/>
          </w:tcPr>
          <w:p>
            <w:pPr>
              <w:tabs>
                <w:tab w:val="left" w:pos="0"/>
              </w:tabs>
              <w:jc w:val="both"/>
              <w:rPr>
                <w:rFonts w:hAnsi="宋体" w:cs="宋体"/>
                <w:b/>
                <w:bCs/>
                <w:szCs w:val="21"/>
                <w:highlight w:val="none"/>
              </w:rPr>
            </w:pPr>
          </w:p>
        </w:tc>
        <w:tc>
          <w:tcPr>
            <w:tcW w:w="1115"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p>
        </w:tc>
        <w:tc>
          <w:tcPr>
            <w:tcW w:w="1115"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p>
        </w:tc>
        <w:tc>
          <w:tcPr>
            <w:tcW w:w="465"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 w:type="dxa"/>
            <w:vMerge w:val="continue"/>
            <w:vAlign w:val="center"/>
          </w:tcPr>
          <w:p>
            <w:pPr>
              <w:pStyle w:val="14"/>
              <w:tabs>
                <w:tab w:val="left" w:pos="7740"/>
              </w:tabs>
              <w:snapToGrid w:val="0"/>
              <w:ind w:firstLine="0" w:firstLineChars="0"/>
              <w:jc w:val="center"/>
              <w:rPr>
                <w:rFonts w:ascii="宋体" w:hAnsi="宋体" w:cs="宋体"/>
                <w:b/>
                <w:sz w:val="21"/>
                <w:szCs w:val="21"/>
                <w:highlight w:val="none"/>
              </w:rPr>
            </w:pPr>
          </w:p>
        </w:tc>
        <w:tc>
          <w:tcPr>
            <w:tcW w:w="3937" w:type="dxa"/>
            <w:vAlign w:val="center"/>
          </w:tcPr>
          <w:p>
            <w:pPr>
              <w:pStyle w:val="119"/>
              <w:tabs>
                <w:tab w:val="left" w:pos="7740"/>
              </w:tabs>
              <w:snapToGrid w:val="0"/>
              <w:spacing w:before="0" w:beforeAutospacing="0" w:after="0" w:afterAutospacing="0"/>
              <w:jc w:val="both"/>
              <w:rPr>
                <w:rFonts w:hint="default" w:ascii="宋体" w:eastAsia="宋体" w:cs="宋体"/>
                <w:bCs/>
                <w:szCs w:val="21"/>
                <w:highlight w:val="none"/>
              </w:rPr>
            </w:pPr>
            <w:r>
              <w:rPr>
                <w:rFonts w:ascii="宋体" w:eastAsia="宋体" w:cs="宋体"/>
                <w:szCs w:val="21"/>
                <w:highlight w:val="none"/>
              </w:rPr>
              <w:t>在参与政府采购活动中未有违法违纪行为并受过处罚</w:t>
            </w:r>
          </w:p>
        </w:tc>
        <w:tc>
          <w:tcPr>
            <w:tcW w:w="1115" w:type="dxa"/>
          </w:tcPr>
          <w:p>
            <w:pPr>
              <w:tabs>
                <w:tab w:val="left" w:pos="146"/>
              </w:tabs>
              <w:ind w:left="146" w:hanging="180"/>
              <w:jc w:val="both"/>
              <w:rPr>
                <w:rFonts w:hAnsi="宋体" w:cs="宋体"/>
                <w:b/>
                <w:bCs/>
                <w:szCs w:val="21"/>
                <w:highlight w:val="none"/>
              </w:rPr>
            </w:pPr>
          </w:p>
        </w:tc>
        <w:tc>
          <w:tcPr>
            <w:tcW w:w="1115" w:type="dxa"/>
          </w:tcPr>
          <w:p>
            <w:pPr>
              <w:tabs>
                <w:tab w:val="left" w:pos="0"/>
              </w:tabs>
              <w:jc w:val="both"/>
              <w:rPr>
                <w:rFonts w:hAnsi="宋体" w:cs="宋体"/>
                <w:b/>
                <w:bCs/>
                <w:szCs w:val="21"/>
                <w:highlight w:val="none"/>
              </w:rPr>
            </w:pPr>
          </w:p>
        </w:tc>
        <w:tc>
          <w:tcPr>
            <w:tcW w:w="1115"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p>
        </w:tc>
        <w:tc>
          <w:tcPr>
            <w:tcW w:w="1115"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p>
        </w:tc>
        <w:tc>
          <w:tcPr>
            <w:tcW w:w="465"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 w:type="dxa"/>
            <w:vMerge w:val="continue"/>
            <w:vAlign w:val="center"/>
          </w:tcPr>
          <w:p>
            <w:pPr>
              <w:pStyle w:val="14"/>
              <w:tabs>
                <w:tab w:val="left" w:pos="7740"/>
              </w:tabs>
              <w:snapToGrid w:val="0"/>
              <w:ind w:firstLine="0" w:firstLineChars="0"/>
              <w:jc w:val="center"/>
              <w:rPr>
                <w:rFonts w:ascii="宋体" w:hAnsi="宋体" w:cs="宋体"/>
                <w:sz w:val="21"/>
                <w:szCs w:val="21"/>
                <w:highlight w:val="none"/>
              </w:rPr>
            </w:pPr>
          </w:p>
        </w:tc>
        <w:tc>
          <w:tcPr>
            <w:tcW w:w="3937" w:type="dxa"/>
            <w:vAlign w:val="center"/>
          </w:tcPr>
          <w:p>
            <w:pPr>
              <w:pStyle w:val="14"/>
              <w:tabs>
                <w:tab w:val="left" w:pos="7740"/>
              </w:tabs>
              <w:snapToGrid w:val="0"/>
              <w:ind w:firstLine="0" w:firstLineChars="0"/>
              <w:jc w:val="both"/>
              <w:rPr>
                <w:rFonts w:ascii="宋体" w:hAnsi="宋体" w:cs="宋体"/>
                <w:sz w:val="21"/>
                <w:szCs w:val="21"/>
                <w:highlight w:val="none"/>
              </w:rPr>
            </w:pPr>
            <w:r>
              <w:rPr>
                <w:rFonts w:hint="eastAsia" w:ascii="宋体" w:hAnsi="宋体" w:cs="宋体"/>
                <w:bCs/>
                <w:sz w:val="21"/>
                <w:szCs w:val="21"/>
                <w:highlight w:val="none"/>
              </w:rPr>
              <w:t>招标公告要求的资质资格证明复印件（加盖公章）</w:t>
            </w:r>
          </w:p>
        </w:tc>
        <w:tc>
          <w:tcPr>
            <w:tcW w:w="1115" w:type="dxa"/>
            <w:vAlign w:val="center"/>
          </w:tcPr>
          <w:p>
            <w:pPr>
              <w:pStyle w:val="14"/>
              <w:tabs>
                <w:tab w:val="left" w:pos="7740"/>
              </w:tabs>
              <w:snapToGrid w:val="0"/>
              <w:ind w:firstLine="0" w:firstLineChars="0"/>
              <w:rPr>
                <w:rFonts w:ascii="宋体" w:hAnsi="宋体" w:cs="宋体"/>
                <w:sz w:val="21"/>
                <w:szCs w:val="21"/>
                <w:highlight w:val="none"/>
              </w:rPr>
            </w:pPr>
          </w:p>
        </w:tc>
        <w:tc>
          <w:tcPr>
            <w:tcW w:w="1115" w:type="dxa"/>
            <w:vAlign w:val="center"/>
          </w:tcPr>
          <w:p>
            <w:pPr>
              <w:pStyle w:val="14"/>
              <w:tabs>
                <w:tab w:val="left" w:pos="7740"/>
              </w:tabs>
              <w:snapToGrid w:val="0"/>
              <w:ind w:firstLine="0" w:firstLineChars="0"/>
              <w:rPr>
                <w:rFonts w:ascii="宋体" w:hAnsi="宋体" w:cs="宋体"/>
                <w:sz w:val="21"/>
                <w:szCs w:val="21"/>
                <w:highlight w:val="none"/>
              </w:rPr>
            </w:pPr>
          </w:p>
        </w:tc>
        <w:tc>
          <w:tcPr>
            <w:tcW w:w="1115" w:type="dxa"/>
            <w:vAlign w:val="center"/>
          </w:tcPr>
          <w:p>
            <w:pPr>
              <w:pStyle w:val="14"/>
              <w:tabs>
                <w:tab w:val="left" w:pos="7740"/>
              </w:tabs>
              <w:snapToGrid w:val="0"/>
              <w:ind w:firstLine="0" w:firstLineChars="0"/>
              <w:jc w:val="both"/>
              <w:rPr>
                <w:rFonts w:ascii="宋体" w:hAnsi="宋体" w:cs="宋体"/>
                <w:sz w:val="21"/>
                <w:szCs w:val="21"/>
                <w:highlight w:val="none"/>
              </w:rPr>
            </w:pPr>
          </w:p>
        </w:tc>
        <w:tc>
          <w:tcPr>
            <w:tcW w:w="1115" w:type="dxa"/>
            <w:vAlign w:val="center"/>
          </w:tcPr>
          <w:p>
            <w:pPr>
              <w:pStyle w:val="14"/>
              <w:tabs>
                <w:tab w:val="left" w:pos="7740"/>
              </w:tabs>
              <w:snapToGrid w:val="0"/>
              <w:ind w:firstLine="0" w:firstLineChars="0"/>
              <w:jc w:val="both"/>
              <w:rPr>
                <w:rFonts w:ascii="宋体" w:hAnsi="宋体" w:cs="宋体"/>
                <w:sz w:val="21"/>
                <w:szCs w:val="21"/>
                <w:highlight w:val="none"/>
              </w:rPr>
            </w:pPr>
          </w:p>
        </w:tc>
        <w:tc>
          <w:tcPr>
            <w:tcW w:w="465" w:type="dxa"/>
            <w:vAlign w:val="center"/>
          </w:tcPr>
          <w:p>
            <w:pPr>
              <w:pStyle w:val="14"/>
              <w:tabs>
                <w:tab w:val="left" w:pos="7740"/>
              </w:tabs>
              <w:snapToGrid w:val="0"/>
              <w:ind w:firstLine="0" w:firstLineChars="0"/>
              <w:jc w:val="both"/>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89" w:type="dxa"/>
            <w:gridSpan w:val="7"/>
          </w:tcPr>
          <w:p>
            <w:pPr>
              <w:pStyle w:val="14"/>
              <w:tabs>
                <w:tab w:val="left" w:pos="7740"/>
              </w:tabs>
              <w:snapToGrid w:val="0"/>
              <w:ind w:firstLine="140" w:firstLineChars="67"/>
              <w:rPr>
                <w:rFonts w:ascii="宋体" w:hAnsi="宋体" w:cs="宋体"/>
                <w:sz w:val="21"/>
                <w:szCs w:val="21"/>
                <w:highlight w:val="none"/>
              </w:rPr>
            </w:pPr>
            <w:r>
              <w:rPr>
                <w:rFonts w:hint="eastAsia" w:ascii="宋体" w:hAnsi="宋体" w:cs="宋体"/>
                <w:sz w:val="21"/>
                <w:szCs w:val="21"/>
                <w:highlight w:val="none"/>
              </w:rPr>
              <w:t>注：符合要求的打“√”，不符合要求的打“×”</w:t>
            </w:r>
          </w:p>
        </w:tc>
      </w:tr>
    </w:tbl>
    <w:p>
      <w:pPr>
        <w:rPr>
          <w:rFonts w:hAnsi="宋体" w:cs="宋体"/>
          <w:szCs w:val="21"/>
          <w:highlight w:val="none"/>
        </w:rPr>
      </w:pPr>
    </w:p>
    <w:p>
      <w:pPr>
        <w:rPr>
          <w:rFonts w:hAnsi="宋体" w:cs="宋体"/>
          <w:szCs w:val="21"/>
          <w:highlight w:val="none"/>
        </w:rPr>
      </w:pPr>
      <w:r>
        <w:rPr>
          <w:rFonts w:hint="eastAsia" w:hAnsi="宋体" w:cs="宋体"/>
          <w:szCs w:val="21"/>
          <w:highlight w:val="none"/>
        </w:rPr>
        <w:t>采购代理机构工作人员签名：</w:t>
      </w:r>
    </w:p>
    <w:p>
      <w:pPr>
        <w:rPr>
          <w:rFonts w:hAnsi="宋体" w:cs="宋体"/>
          <w:szCs w:val="21"/>
          <w:highlight w:val="none"/>
        </w:rPr>
      </w:pPr>
      <w:r>
        <w:rPr>
          <w:rFonts w:hint="eastAsia" w:hAnsi="宋体" w:cs="宋体"/>
          <w:szCs w:val="21"/>
          <w:highlight w:val="none"/>
        </w:rPr>
        <w:t>采购代理机构监督员签名：</w:t>
      </w:r>
    </w:p>
    <w:p>
      <w:pPr>
        <w:rPr>
          <w:rFonts w:hAnsi="宋体" w:cs="宋体"/>
          <w:sz w:val="28"/>
          <w:szCs w:val="28"/>
          <w:highlight w:val="none"/>
        </w:rPr>
      </w:pPr>
      <w:r>
        <w:rPr>
          <w:rFonts w:hint="eastAsia" w:hAnsi="宋体" w:cs="宋体"/>
          <w:highlight w:val="none"/>
        </w:rPr>
        <w:t>日期：</w:t>
      </w:r>
    </w:p>
    <w:p>
      <w:pPr>
        <w:pStyle w:val="14"/>
        <w:tabs>
          <w:tab w:val="left" w:pos="7740"/>
        </w:tabs>
        <w:spacing w:line="300" w:lineRule="auto"/>
        <w:ind w:firstLine="0" w:firstLineChars="0"/>
        <w:rPr>
          <w:rFonts w:ascii="宋体" w:hAnsi="宋体" w:cs="宋体"/>
          <w:sz w:val="28"/>
          <w:szCs w:val="28"/>
          <w:highlight w:val="none"/>
        </w:rPr>
      </w:pPr>
    </w:p>
    <w:p>
      <w:pPr>
        <w:pStyle w:val="4"/>
        <w:spacing w:after="120" w:line="480" w:lineRule="exact"/>
        <w:rPr>
          <w:rFonts w:hAnsi="宋体" w:cs="宋体"/>
          <w:b/>
          <w:sz w:val="28"/>
          <w:szCs w:val="28"/>
          <w:highlight w:val="none"/>
        </w:rPr>
      </w:pPr>
      <w:r>
        <w:rPr>
          <w:rFonts w:hint="eastAsia" w:hAnsi="宋体" w:cs="宋体"/>
          <w:b/>
          <w:sz w:val="28"/>
          <w:szCs w:val="28"/>
          <w:highlight w:val="none"/>
        </w:rPr>
        <w:t>符合性检查表：</w:t>
      </w:r>
    </w:p>
    <w:p>
      <w:pPr>
        <w:rPr>
          <w:rFonts w:hAnsi="宋体" w:cs="宋体"/>
          <w:szCs w:val="21"/>
          <w:highlight w:val="none"/>
        </w:rPr>
      </w:pPr>
    </w:p>
    <w:p>
      <w:pPr>
        <w:spacing w:line="360" w:lineRule="auto"/>
        <w:rPr>
          <w:rFonts w:hAnsi="宋体" w:cs="宋体"/>
          <w:szCs w:val="21"/>
          <w:highlight w:val="none"/>
        </w:rPr>
      </w:pPr>
      <w:r>
        <w:rPr>
          <w:rFonts w:hint="eastAsia" w:hAnsi="宋体" w:cs="宋体"/>
          <w:szCs w:val="21"/>
          <w:highlight w:val="none"/>
        </w:rPr>
        <w:t xml:space="preserve">采购编号：GDYD221545                            </w:t>
      </w:r>
    </w:p>
    <w:p>
      <w:pPr>
        <w:spacing w:line="360" w:lineRule="auto"/>
        <w:rPr>
          <w:rFonts w:hAnsi="宋体" w:cs="宋体"/>
          <w:szCs w:val="21"/>
          <w:highlight w:val="none"/>
        </w:rPr>
      </w:pPr>
      <w:r>
        <w:rPr>
          <w:rFonts w:hint="eastAsia" w:hAnsi="宋体" w:cs="宋体"/>
          <w:szCs w:val="21"/>
          <w:highlight w:val="none"/>
        </w:rPr>
        <w:t>项目名称：国家海洋局南海标准计量中心2023年船员服务采购项目</w:t>
      </w:r>
    </w:p>
    <w:tbl>
      <w:tblPr>
        <w:tblStyle w:val="49"/>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3937"/>
        <w:gridCol w:w="1115"/>
        <w:gridCol w:w="1115"/>
        <w:gridCol w:w="1115"/>
        <w:gridCol w:w="1115"/>
        <w:gridCol w:w="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27" w:type="dxa"/>
            <w:vAlign w:val="center"/>
          </w:tcPr>
          <w:p>
            <w:pPr>
              <w:pStyle w:val="14"/>
              <w:tabs>
                <w:tab w:val="left" w:pos="7740"/>
              </w:tabs>
              <w:snapToGrid w:val="0"/>
              <w:ind w:firstLine="0" w:firstLineChars="0"/>
              <w:rPr>
                <w:rFonts w:ascii="宋体" w:hAnsi="宋体" w:cs="宋体"/>
                <w:sz w:val="21"/>
                <w:szCs w:val="21"/>
                <w:highlight w:val="none"/>
              </w:rPr>
            </w:pPr>
          </w:p>
        </w:tc>
        <w:tc>
          <w:tcPr>
            <w:tcW w:w="3937" w:type="dxa"/>
            <w:tcBorders>
              <w:tl2br w:val="single" w:color="auto" w:sz="4" w:space="0"/>
            </w:tcBorders>
            <w:vAlign w:val="center"/>
          </w:tcPr>
          <w:p>
            <w:pPr>
              <w:pStyle w:val="14"/>
              <w:tabs>
                <w:tab w:val="left" w:pos="7740"/>
              </w:tabs>
              <w:snapToGrid w:val="0"/>
              <w:ind w:firstLine="0" w:firstLineChars="0"/>
              <w:rPr>
                <w:rFonts w:ascii="宋体" w:hAnsi="宋体" w:cs="宋体"/>
                <w:sz w:val="21"/>
                <w:szCs w:val="21"/>
                <w:highlight w:val="none"/>
              </w:rPr>
            </w:pPr>
            <w:r>
              <w:rPr>
                <w:rFonts w:hint="eastAsia" w:ascii="宋体" w:hAnsi="宋体" w:cs="宋体"/>
                <w:sz w:val="21"/>
                <w:szCs w:val="21"/>
                <w:highlight w:val="none"/>
              </w:rPr>
              <w:t>审查内容                                    投标人名称</w:t>
            </w:r>
          </w:p>
        </w:tc>
        <w:tc>
          <w:tcPr>
            <w:tcW w:w="1115" w:type="dxa"/>
            <w:vAlign w:val="center"/>
          </w:tcPr>
          <w:p>
            <w:pPr>
              <w:pStyle w:val="14"/>
              <w:tabs>
                <w:tab w:val="left" w:pos="7740"/>
              </w:tabs>
              <w:snapToGrid w:val="0"/>
              <w:ind w:firstLine="0" w:firstLineChars="0"/>
              <w:jc w:val="center"/>
              <w:rPr>
                <w:rFonts w:ascii="宋体" w:hAnsi="宋体" w:cs="宋体"/>
                <w:sz w:val="21"/>
                <w:szCs w:val="21"/>
                <w:highlight w:val="none"/>
                <w:lang w:val="hr-HR"/>
              </w:rPr>
            </w:pPr>
            <w:r>
              <w:rPr>
                <w:rFonts w:hint="eastAsia" w:ascii="宋体" w:hAnsi="宋体" w:cs="宋体"/>
                <w:sz w:val="21"/>
                <w:szCs w:val="21"/>
                <w:highlight w:val="none"/>
              </w:rPr>
              <w:t>投标人1</w:t>
            </w:r>
          </w:p>
        </w:tc>
        <w:tc>
          <w:tcPr>
            <w:tcW w:w="1115" w:type="dxa"/>
            <w:vAlign w:val="center"/>
          </w:tcPr>
          <w:p>
            <w:pPr>
              <w:snapToGrid w:val="0"/>
              <w:jc w:val="center"/>
              <w:rPr>
                <w:rFonts w:hAnsi="宋体" w:cs="宋体"/>
                <w:szCs w:val="21"/>
                <w:highlight w:val="none"/>
              </w:rPr>
            </w:pPr>
            <w:r>
              <w:rPr>
                <w:rFonts w:hint="eastAsia" w:hAnsi="宋体" w:cs="宋体"/>
                <w:szCs w:val="21"/>
                <w:highlight w:val="none"/>
              </w:rPr>
              <w:t>投标人2</w:t>
            </w:r>
          </w:p>
        </w:tc>
        <w:tc>
          <w:tcPr>
            <w:tcW w:w="1115" w:type="dxa"/>
            <w:vAlign w:val="center"/>
          </w:tcPr>
          <w:p>
            <w:pPr>
              <w:snapToGrid w:val="0"/>
              <w:jc w:val="center"/>
              <w:rPr>
                <w:rFonts w:hAnsi="宋体" w:cs="宋体"/>
                <w:szCs w:val="21"/>
                <w:highlight w:val="none"/>
              </w:rPr>
            </w:pPr>
            <w:r>
              <w:rPr>
                <w:rFonts w:hint="eastAsia" w:hAnsi="宋体" w:cs="宋体"/>
                <w:szCs w:val="21"/>
                <w:highlight w:val="none"/>
              </w:rPr>
              <w:t>投标人3</w:t>
            </w:r>
          </w:p>
        </w:tc>
        <w:tc>
          <w:tcPr>
            <w:tcW w:w="1115" w:type="dxa"/>
            <w:vAlign w:val="center"/>
          </w:tcPr>
          <w:p>
            <w:pPr>
              <w:snapToGrid w:val="0"/>
              <w:jc w:val="center"/>
              <w:rPr>
                <w:rFonts w:hAnsi="宋体" w:cs="宋体"/>
                <w:szCs w:val="21"/>
                <w:highlight w:val="none"/>
              </w:rPr>
            </w:pPr>
            <w:r>
              <w:rPr>
                <w:rFonts w:hint="eastAsia" w:hAnsi="宋体" w:cs="宋体"/>
                <w:szCs w:val="21"/>
                <w:highlight w:val="none"/>
              </w:rPr>
              <w:t>投标人4</w:t>
            </w:r>
          </w:p>
        </w:tc>
        <w:tc>
          <w:tcPr>
            <w:tcW w:w="465" w:type="dxa"/>
            <w:vAlign w:val="center"/>
          </w:tcPr>
          <w:p>
            <w:pPr>
              <w:pStyle w:val="14"/>
              <w:tabs>
                <w:tab w:val="left" w:pos="7740"/>
              </w:tabs>
              <w:snapToGrid w:val="0"/>
              <w:ind w:firstLine="0" w:firstLineChars="0"/>
              <w:jc w:val="center"/>
              <w:rPr>
                <w:rFonts w:ascii="宋体" w:hAnsi="宋体" w:cs="宋体"/>
                <w:sz w:val="21"/>
                <w:szCs w:val="21"/>
                <w:highlight w:val="none"/>
                <w:lang w:val="hr-HR"/>
              </w:rPr>
            </w:pPr>
            <w:r>
              <w:rPr>
                <w:rFonts w:hint="eastAsia" w:ascii="宋体" w:hAnsi="宋体" w:cs="宋体"/>
                <w:sz w:val="21"/>
                <w:szCs w:val="21"/>
                <w:highlight w:val="none"/>
                <w:lang w:val="hr-H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 w:type="dxa"/>
            <w:vMerge w:val="restart"/>
            <w:vAlign w:val="center"/>
          </w:tcPr>
          <w:p>
            <w:pPr>
              <w:pStyle w:val="119"/>
              <w:tabs>
                <w:tab w:val="left" w:pos="7740"/>
              </w:tabs>
              <w:snapToGrid w:val="0"/>
              <w:spacing w:before="0" w:beforeAutospacing="0" w:after="0" w:afterAutospacing="0"/>
              <w:rPr>
                <w:rFonts w:hint="default" w:ascii="宋体" w:eastAsia="宋体" w:cs="宋体"/>
                <w:b/>
                <w:szCs w:val="21"/>
                <w:highlight w:val="none"/>
              </w:rPr>
            </w:pPr>
            <w:r>
              <w:rPr>
                <w:rFonts w:ascii="宋体" w:eastAsia="宋体" w:cs="宋体"/>
                <w:b/>
                <w:szCs w:val="21"/>
                <w:highlight w:val="none"/>
              </w:rPr>
              <w:t>符</w:t>
            </w:r>
          </w:p>
          <w:p>
            <w:pPr>
              <w:pStyle w:val="119"/>
              <w:tabs>
                <w:tab w:val="left" w:pos="7740"/>
              </w:tabs>
              <w:snapToGrid w:val="0"/>
              <w:spacing w:before="0" w:beforeAutospacing="0" w:after="0" w:afterAutospacing="0"/>
              <w:rPr>
                <w:rFonts w:hint="default" w:ascii="宋体" w:eastAsia="宋体" w:cs="宋体"/>
                <w:b/>
                <w:szCs w:val="21"/>
                <w:highlight w:val="none"/>
              </w:rPr>
            </w:pPr>
            <w:r>
              <w:rPr>
                <w:rFonts w:ascii="宋体" w:eastAsia="宋体" w:cs="宋体"/>
                <w:b/>
                <w:szCs w:val="21"/>
                <w:highlight w:val="none"/>
              </w:rPr>
              <w:t>合</w:t>
            </w:r>
          </w:p>
          <w:p>
            <w:pPr>
              <w:pStyle w:val="119"/>
              <w:tabs>
                <w:tab w:val="left" w:pos="7740"/>
              </w:tabs>
              <w:snapToGrid w:val="0"/>
              <w:spacing w:before="0" w:beforeAutospacing="0" w:after="0" w:afterAutospacing="0"/>
              <w:rPr>
                <w:rFonts w:hint="default" w:ascii="宋体" w:eastAsia="宋体" w:cs="宋体"/>
                <w:b/>
                <w:szCs w:val="21"/>
                <w:highlight w:val="none"/>
              </w:rPr>
            </w:pPr>
            <w:r>
              <w:rPr>
                <w:rFonts w:ascii="宋体" w:eastAsia="宋体" w:cs="宋体"/>
                <w:b/>
                <w:szCs w:val="21"/>
                <w:highlight w:val="none"/>
              </w:rPr>
              <w:t>性</w:t>
            </w:r>
          </w:p>
          <w:p>
            <w:pPr>
              <w:pStyle w:val="119"/>
              <w:tabs>
                <w:tab w:val="left" w:pos="7740"/>
              </w:tabs>
              <w:snapToGrid w:val="0"/>
              <w:spacing w:before="0" w:beforeAutospacing="0" w:after="0" w:afterAutospacing="0"/>
              <w:rPr>
                <w:rFonts w:hint="default" w:ascii="宋体" w:eastAsia="宋体" w:cs="宋体"/>
                <w:b/>
                <w:szCs w:val="21"/>
                <w:highlight w:val="none"/>
              </w:rPr>
            </w:pPr>
            <w:r>
              <w:rPr>
                <w:rFonts w:ascii="宋体" w:eastAsia="宋体" w:cs="宋体"/>
                <w:b/>
                <w:szCs w:val="21"/>
                <w:highlight w:val="none"/>
              </w:rPr>
              <w:t>检</w:t>
            </w:r>
          </w:p>
          <w:p>
            <w:pPr>
              <w:pStyle w:val="119"/>
              <w:tabs>
                <w:tab w:val="left" w:pos="7740"/>
              </w:tabs>
              <w:snapToGrid w:val="0"/>
              <w:spacing w:before="0" w:beforeAutospacing="0" w:after="0" w:afterAutospacing="0"/>
              <w:rPr>
                <w:rFonts w:hint="default" w:ascii="宋体" w:eastAsia="宋体" w:cs="宋体"/>
                <w:szCs w:val="21"/>
                <w:highlight w:val="none"/>
              </w:rPr>
            </w:pPr>
            <w:r>
              <w:rPr>
                <w:rFonts w:ascii="宋体" w:eastAsia="宋体" w:cs="宋体"/>
                <w:b/>
                <w:szCs w:val="21"/>
                <w:highlight w:val="none"/>
              </w:rPr>
              <w:t>查</w:t>
            </w:r>
          </w:p>
        </w:tc>
        <w:tc>
          <w:tcPr>
            <w:tcW w:w="3937"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r>
              <w:rPr>
                <w:rFonts w:ascii="宋体" w:eastAsia="宋体" w:cs="宋体"/>
                <w:bCs/>
                <w:szCs w:val="21"/>
                <w:highlight w:val="none"/>
              </w:rPr>
              <w:t>投标报价不超过最高限价</w:t>
            </w:r>
          </w:p>
        </w:tc>
        <w:tc>
          <w:tcPr>
            <w:tcW w:w="1115" w:type="dxa"/>
            <w:vAlign w:val="center"/>
          </w:tcPr>
          <w:p>
            <w:pPr>
              <w:rPr>
                <w:rFonts w:hAnsi="宋体" w:cs="宋体"/>
                <w:szCs w:val="21"/>
                <w:highlight w:val="none"/>
              </w:rPr>
            </w:pPr>
          </w:p>
        </w:tc>
        <w:tc>
          <w:tcPr>
            <w:tcW w:w="1115" w:type="dxa"/>
            <w:vAlign w:val="center"/>
          </w:tcPr>
          <w:p>
            <w:pPr>
              <w:tabs>
                <w:tab w:val="left" w:pos="0"/>
              </w:tabs>
              <w:rPr>
                <w:rFonts w:hAnsi="宋体" w:cs="宋体"/>
                <w:b/>
                <w:bCs/>
                <w:szCs w:val="21"/>
                <w:highlight w:val="none"/>
              </w:rPr>
            </w:pPr>
          </w:p>
        </w:tc>
        <w:tc>
          <w:tcPr>
            <w:tcW w:w="1115" w:type="dxa"/>
            <w:vAlign w:val="center"/>
          </w:tcPr>
          <w:p>
            <w:pPr>
              <w:pStyle w:val="109"/>
              <w:tabs>
                <w:tab w:val="left" w:pos="7740"/>
              </w:tabs>
              <w:snapToGrid w:val="0"/>
              <w:spacing w:before="0" w:beforeAutospacing="0" w:after="0" w:afterAutospacing="0"/>
              <w:jc w:val="both"/>
              <w:rPr>
                <w:sz w:val="21"/>
                <w:szCs w:val="21"/>
                <w:highlight w:val="none"/>
              </w:rPr>
            </w:pPr>
          </w:p>
        </w:tc>
        <w:tc>
          <w:tcPr>
            <w:tcW w:w="1115" w:type="dxa"/>
            <w:vAlign w:val="center"/>
          </w:tcPr>
          <w:p>
            <w:pPr>
              <w:pStyle w:val="109"/>
              <w:tabs>
                <w:tab w:val="left" w:pos="7740"/>
              </w:tabs>
              <w:snapToGrid w:val="0"/>
              <w:spacing w:before="0" w:beforeAutospacing="0" w:after="0" w:afterAutospacing="0"/>
              <w:jc w:val="both"/>
              <w:rPr>
                <w:sz w:val="21"/>
                <w:szCs w:val="21"/>
                <w:highlight w:val="none"/>
              </w:rPr>
            </w:pPr>
          </w:p>
        </w:tc>
        <w:tc>
          <w:tcPr>
            <w:tcW w:w="465" w:type="dxa"/>
            <w:vAlign w:val="center"/>
          </w:tcPr>
          <w:p>
            <w:pPr>
              <w:pStyle w:val="109"/>
              <w:tabs>
                <w:tab w:val="left" w:pos="7740"/>
              </w:tabs>
              <w:snapToGrid w:val="0"/>
              <w:spacing w:before="0" w:beforeAutospacing="0" w:after="0" w:afterAutospacing="0"/>
              <w:jc w:val="both"/>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 w:type="dxa"/>
            <w:vMerge w:val="continue"/>
          </w:tcPr>
          <w:p>
            <w:pPr>
              <w:pStyle w:val="119"/>
              <w:tabs>
                <w:tab w:val="left" w:pos="7740"/>
              </w:tabs>
              <w:snapToGrid w:val="0"/>
              <w:spacing w:before="0" w:beforeAutospacing="0" w:after="0" w:afterAutospacing="0"/>
              <w:rPr>
                <w:rFonts w:hint="default" w:ascii="宋体" w:eastAsia="宋体" w:cs="宋体"/>
                <w:szCs w:val="21"/>
                <w:highlight w:val="none"/>
              </w:rPr>
            </w:pPr>
          </w:p>
        </w:tc>
        <w:tc>
          <w:tcPr>
            <w:tcW w:w="3937" w:type="dxa"/>
            <w:vAlign w:val="center"/>
          </w:tcPr>
          <w:p>
            <w:pPr>
              <w:pStyle w:val="119"/>
              <w:tabs>
                <w:tab w:val="left" w:pos="7740"/>
              </w:tabs>
              <w:snapToGrid w:val="0"/>
              <w:spacing w:before="0" w:beforeAutospacing="0" w:after="0" w:afterAutospacing="0"/>
              <w:jc w:val="both"/>
              <w:rPr>
                <w:rFonts w:hint="default" w:ascii="宋体" w:eastAsia="宋体" w:cs="宋体"/>
                <w:bCs/>
                <w:szCs w:val="21"/>
                <w:highlight w:val="none"/>
              </w:rPr>
            </w:pPr>
            <w:r>
              <w:rPr>
                <w:rFonts w:ascii="宋体" w:eastAsia="宋体" w:cs="宋体"/>
                <w:szCs w:val="21"/>
                <w:highlight w:val="none"/>
              </w:rPr>
              <w:t>报价方案是唯一确定</w:t>
            </w:r>
          </w:p>
        </w:tc>
        <w:tc>
          <w:tcPr>
            <w:tcW w:w="1115" w:type="dxa"/>
            <w:vAlign w:val="center"/>
          </w:tcPr>
          <w:p>
            <w:pPr>
              <w:tabs>
                <w:tab w:val="left" w:pos="146"/>
              </w:tabs>
              <w:ind w:left="146" w:hanging="180"/>
              <w:rPr>
                <w:rFonts w:hAnsi="宋体" w:cs="宋体"/>
                <w:b/>
                <w:bCs/>
                <w:szCs w:val="21"/>
                <w:highlight w:val="none"/>
              </w:rPr>
            </w:pPr>
          </w:p>
        </w:tc>
        <w:tc>
          <w:tcPr>
            <w:tcW w:w="1115" w:type="dxa"/>
            <w:vAlign w:val="center"/>
          </w:tcPr>
          <w:p>
            <w:pPr>
              <w:tabs>
                <w:tab w:val="left" w:pos="0"/>
              </w:tabs>
              <w:rPr>
                <w:rFonts w:hAnsi="宋体" w:cs="宋体"/>
                <w:b/>
                <w:bCs/>
                <w:szCs w:val="21"/>
                <w:highlight w:val="none"/>
              </w:rPr>
            </w:pPr>
          </w:p>
        </w:tc>
        <w:tc>
          <w:tcPr>
            <w:tcW w:w="1115"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p>
        </w:tc>
        <w:tc>
          <w:tcPr>
            <w:tcW w:w="1115"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p>
        </w:tc>
        <w:tc>
          <w:tcPr>
            <w:tcW w:w="465"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 w:type="dxa"/>
            <w:vMerge w:val="continue"/>
          </w:tcPr>
          <w:p>
            <w:pPr>
              <w:pStyle w:val="119"/>
              <w:tabs>
                <w:tab w:val="left" w:pos="7740"/>
              </w:tabs>
              <w:snapToGrid w:val="0"/>
              <w:spacing w:before="0" w:beforeAutospacing="0" w:after="0" w:afterAutospacing="0"/>
              <w:rPr>
                <w:rFonts w:hint="default" w:ascii="宋体" w:eastAsia="宋体" w:cs="宋体"/>
                <w:szCs w:val="21"/>
                <w:highlight w:val="none"/>
              </w:rPr>
            </w:pPr>
          </w:p>
        </w:tc>
        <w:tc>
          <w:tcPr>
            <w:tcW w:w="3937" w:type="dxa"/>
            <w:vAlign w:val="center"/>
          </w:tcPr>
          <w:p>
            <w:pPr>
              <w:pStyle w:val="119"/>
              <w:tabs>
                <w:tab w:val="left" w:pos="7740"/>
              </w:tabs>
              <w:snapToGrid w:val="0"/>
              <w:spacing w:before="0" w:beforeAutospacing="0" w:after="0" w:afterAutospacing="0"/>
              <w:jc w:val="both"/>
              <w:rPr>
                <w:rFonts w:hint="default" w:ascii="宋体" w:eastAsia="宋体" w:cs="宋体"/>
                <w:bCs/>
                <w:szCs w:val="21"/>
                <w:highlight w:val="none"/>
              </w:rPr>
            </w:pPr>
            <w:r>
              <w:rPr>
                <w:rFonts w:ascii="宋体" w:eastAsia="宋体" w:cs="宋体"/>
                <w:szCs w:val="21"/>
                <w:highlight w:val="none"/>
              </w:rPr>
              <w:t>实质性响应招标文件中“★”号参数的商务要求</w:t>
            </w:r>
          </w:p>
        </w:tc>
        <w:tc>
          <w:tcPr>
            <w:tcW w:w="1115" w:type="dxa"/>
            <w:vAlign w:val="center"/>
          </w:tcPr>
          <w:p>
            <w:pPr>
              <w:tabs>
                <w:tab w:val="left" w:pos="146"/>
              </w:tabs>
              <w:ind w:left="146" w:hanging="180"/>
              <w:rPr>
                <w:rFonts w:hAnsi="宋体" w:cs="宋体"/>
                <w:b/>
                <w:bCs/>
                <w:szCs w:val="21"/>
                <w:highlight w:val="none"/>
              </w:rPr>
            </w:pPr>
          </w:p>
        </w:tc>
        <w:tc>
          <w:tcPr>
            <w:tcW w:w="1115" w:type="dxa"/>
            <w:vAlign w:val="center"/>
          </w:tcPr>
          <w:p>
            <w:pPr>
              <w:tabs>
                <w:tab w:val="left" w:pos="0"/>
              </w:tabs>
              <w:rPr>
                <w:rFonts w:hAnsi="宋体" w:cs="宋体"/>
                <w:b/>
                <w:bCs/>
                <w:szCs w:val="21"/>
                <w:highlight w:val="none"/>
              </w:rPr>
            </w:pPr>
          </w:p>
        </w:tc>
        <w:tc>
          <w:tcPr>
            <w:tcW w:w="1115"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p>
        </w:tc>
        <w:tc>
          <w:tcPr>
            <w:tcW w:w="1115"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p>
        </w:tc>
        <w:tc>
          <w:tcPr>
            <w:tcW w:w="465"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 w:type="dxa"/>
            <w:vMerge w:val="continue"/>
          </w:tcPr>
          <w:p>
            <w:pPr>
              <w:pStyle w:val="119"/>
              <w:tabs>
                <w:tab w:val="left" w:pos="7740"/>
              </w:tabs>
              <w:snapToGrid w:val="0"/>
              <w:spacing w:before="0" w:beforeAutospacing="0" w:after="0" w:afterAutospacing="0"/>
              <w:rPr>
                <w:rFonts w:hint="default" w:ascii="宋体" w:eastAsia="宋体" w:cs="宋体"/>
                <w:szCs w:val="21"/>
                <w:highlight w:val="none"/>
              </w:rPr>
            </w:pPr>
          </w:p>
        </w:tc>
        <w:tc>
          <w:tcPr>
            <w:tcW w:w="3937"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r>
              <w:rPr>
                <w:rFonts w:ascii="宋体" w:eastAsia="宋体" w:cs="宋体"/>
                <w:szCs w:val="21"/>
                <w:highlight w:val="none"/>
              </w:rPr>
              <w:t>实质性响应招标文件中“★”号参数的技术要求</w:t>
            </w:r>
          </w:p>
        </w:tc>
        <w:tc>
          <w:tcPr>
            <w:tcW w:w="1115" w:type="dxa"/>
            <w:vAlign w:val="center"/>
          </w:tcPr>
          <w:p>
            <w:pPr>
              <w:tabs>
                <w:tab w:val="left" w:pos="146"/>
              </w:tabs>
              <w:ind w:left="146" w:hanging="180"/>
              <w:rPr>
                <w:rFonts w:hAnsi="宋体" w:cs="宋体"/>
                <w:b/>
                <w:bCs/>
                <w:szCs w:val="21"/>
                <w:highlight w:val="none"/>
              </w:rPr>
            </w:pPr>
          </w:p>
        </w:tc>
        <w:tc>
          <w:tcPr>
            <w:tcW w:w="1115" w:type="dxa"/>
            <w:vAlign w:val="center"/>
          </w:tcPr>
          <w:p>
            <w:pPr>
              <w:tabs>
                <w:tab w:val="left" w:pos="0"/>
              </w:tabs>
              <w:rPr>
                <w:rFonts w:hAnsi="宋体" w:cs="宋体"/>
                <w:b/>
                <w:bCs/>
                <w:szCs w:val="21"/>
                <w:highlight w:val="none"/>
              </w:rPr>
            </w:pPr>
          </w:p>
        </w:tc>
        <w:tc>
          <w:tcPr>
            <w:tcW w:w="1115"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p>
        </w:tc>
        <w:tc>
          <w:tcPr>
            <w:tcW w:w="1115"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p>
        </w:tc>
        <w:tc>
          <w:tcPr>
            <w:tcW w:w="465"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 w:type="dxa"/>
            <w:vMerge w:val="continue"/>
          </w:tcPr>
          <w:p>
            <w:pPr>
              <w:pStyle w:val="119"/>
              <w:tabs>
                <w:tab w:val="left" w:pos="7740"/>
              </w:tabs>
              <w:snapToGrid w:val="0"/>
              <w:spacing w:before="0" w:beforeAutospacing="0" w:after="0" w:afterAutospacing="0"/>
              <w:rPr>
                <w:rFonts w:hint="default" w:ascii="宋体" w:eastAsia="宋体" w:cs="宋体"/>
                <w:szCs w:val="21"/>
                <w:highlight w:val="none"/>
              </w:rPr>
            </w:pPr>
          </w:p>
        </w:tc>
        <w:tc>
          <w:tcPr>
            <w:tcW w:w="3937"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r>
              <w:rPr>
                <w:rFonts w:ascii="宋体" w:eastAsia="宋体" w:cs="宋体"/>
                <w:szCs w:val="21"/>
                <w:highlight w:val="none"/>
              </w:rPr>
              <w:t>服务期符合招标文件的要求</w:t>
            </w:r>
          </w:p>
        </w:tc>
        <w:tc>
          <w:tcPr>
            <w:tcW w:w="1115" w:type="dxa"/>
            <w:vAlign w:val="center"/>
          </w:tcPr>
          <w:p>
            <w:pPr>
              <w:tabs>
                <w:tab w:val="left" w:pos="146"/>
              </w:tabs>
              <w:ind w:left="146" w:hanging="180"/>
              <w:rPr>
                <w:rFonts w:hAnsi="宋体" w:cs="宋体"/>
                <w:szCs w:val="21"/>
                <w:highlight w:val="none"/>
              </w:rPr>
            </w:pPr>
          </w:p>
        </w:tc>
        <w:tc>
          <w:tcPr>
            <w:tcW w:w="1115" w:type="dxa"/>
            <w:vAlign w:val="center"/>
          </w:tcPr>
          <w:p>
            <w:pPr>
              <w:tabs>
                <w:tab w:val="left" w:pos="0"/>
              </w:tabs>
              <w:rPr>
                <w:rFonts w:hAnsi="宋体" w:cs="宋体"/>
                <w:szCs w:val="21"/>
                <w:highlight w:val="none"/>
              </w:rPr>
            </w:pPr>
          </w:p>
        </w:tc>
        <w:tc>
          <w:tcPr>
            <w:tcW w:w="1115"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p>
        </w:tc>
        <w:tc>
          <w:tcPr>
            <w:tcW w:w="1115"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p>
        </w:tc>
        <w:tc>
          <w:tcPr>
            <w:tcW w:w="465" w:type="dxa"/>
            <w:vAlign w:val="center"/>
          </w:tcPr>
          <w:p>
            <w:pPr>
              <w:pStyle w:val="119"/>
              <w:tabs>
                <w:tab w:val="left" w:pos="7740"/>
              </w:tabs>
              <w:snapToGrid w:val="0"/>
              <w:spacing w:before="0" w:beforeAutospacing="0" w:after="0" w:afterAutospacing="0"/>
              <w:jc w:val="both"/>
              <w:rPr>
                <w:rFonts w:hint="default" w:asci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7" w:type="dxa"/>
            <w:vMerge w:val="continue"/>
          </w:tcPr>
          <w:p>
            <w:pPr>
              <w:pStyle w:val="14"/>
              <w:tabs>
                <w:tab w:val="left" w:pos="7740"/>
              </w:tabs>
              <w:snapToGrid w:val="0"/>
              <w:ind w:firstLine="0" w:firstLineChars="0"/>
              <w:rPr>
                <w:rFonts w:ascii="宋体" w:hAnsi="宋体" w:cs="宋体"/>
                <w:sz w:val="21"/>
                <w:szCs w:val="21"/>
                <w:highlight w:val="none"/>
              </w:rPr>
            </w:pPr>
          </w:p>
        </w:tc>
        <w:tc>
          <w:tcPr>
            <w:tcW w:w="3937" w:type="dxa"/>
            <w:vAlign w:val="center"/>
          </w:tcPr>
          <w:p>
            <w:pPr>
              <w:pStyle w:val="14"/>
              <w:tabs>
                <w:tab w:val="left" w:pos="7740"/>
              </w:tabs>
              <w:snapToGrid w:val="0"/>
              <w:ind w:firstLine="0" w:firstLineChars="0"/>
              <w:jc w:val="both"/>
              <w:rPr>
                <w:rFonts w:ascii="宋体" w:hAnsi="宋体" w:cs="宋体"/>
                <w:sz w:val="21"/>
                <w:szCs w:val="21"/>
                <w:highlight w:val="none"/>
              </w:rPr>
            </w:pPr>
            <w:r>
              <w:rPr>
                <w:rFonts w:hint="eastAsia" w:ascii="宋体" w:hAnsi="宋体" w:cs="宋体"/>
                <w:bCs/>
                <w:sz w:val="21"/>
                <w:szCs w:val="21"/>
                <w:highlight w:val="none"/>
              </w:rPr>
              <w:t>无招标文件规定的投标无效情况</w:t>
            </w:r>
          </w:p>
        </w:tc>
        <w:tc>
          <w:tcPr>
            <w:tcW w:w="1115" w:type="dxa"/>
            <w:vAlign w:val="center"/>
          </w:tcPr>
          <w:p>
            <w:pPr>
              <w:pStyle w:val="14"/>
              <w:tabs>
                <w:tab w:val="left" w:pos="7740"/>
              </w:tabs>
              <w:snapToGrid w:val="0"/>
              <w:ind w:firstLine="0" w:firstLineChars="0"/>
              <w:rPr>
                <w:rFonts w:ascii="宋体" w:hAnsi="宋体" w:cs="宋体"/>
                <w:sz w:val="21"/>
                <w:szCs w:val="21"/>
                <w:highlight w:val="none"/>
              </w:rPr>
            </w:pPr>
          </w:p>
        </w:tc>
        <w:tc>
          <w:tcPr>
            <w:tcW w:w="1115" w:type="dxa"/>
            <w:vAlign w:val="center"/>
          </w:tcPr>
          <w:p>
            <w:pPr>
              <w:pStyle w:val="14"/>
              <w:tabs>
                <w:tab w:val="left" w:pos="7740"/>
              </w:tabs>
              <w:snapToGrid w:val="0"/>
              <w:ind w:firstLine="0" w:firstLineChars="0"/>
              <w:rPr>
                <w:rFonts w:ascii="宋体" w:hAnsi="宋体" w:cs="宋体"/>
                <w:sz w:val="21"/>
                <w:szCs w:val="21"/>
                <w:highlight w:val="none"/>
              </w:rPr>
            </w:pPr>
          </w:p>
        </w:tc>
        <w:tc>
          <w:tcPr>
            <w:tcW w:w="1115" w:type="dxa"/>
            <w:vAlign w:val="center"/>
          </w:tcPr>
          <w:p>
            <w:pPr>
              <w:pStyle w:val="14"/>
              <w:tabs>
                <w:tab w:val="left" w:pos="7740"/>
              </w:tabs>
              <w:snapToGrid w:val="0"/>
              <w:ind w:firstLine="0" w:firstLineChars="0"/>
              <w:jc w:val="both"/>
              <w:rPr>
                <w:rFonts w:ascii="宋体" w:hAnsi="宋体" w:cs="宋体"/>
                <w:sz w:val="21"/>
                <w:szCs w:val="21"/>
                <w:highlight w:val="none"/>
              </w:rPr>
            </w:pPr>
          </w:p>
        </w:tc>
        <w:tc>
          <w:tcPr>
            <w:tcW w:w="1115" w:type="dxa"/>
            <w:vAlign w:val="center"/>
          </w:tcPr>
          <w:p>
            <w:pPr>
              <w:pStyle w:val="14"/>
              <w:tabs>
                <w:tab w:val="left" w:pos="7740"/>
              </w:tabs>
              <w:snapToGrid w:val="0"/>
              <w:ind w:firstLine="0" w:firstLineChars="0"/>
              <w:jc w:val="both"/>
              <w:rPr>
                <w:rFonts w:ascii="宋体" w:hAnsi="宋体" w:cs="宋体"/>
                <w:sz w:val="21"/>
                <w:szCs w:val="21"/>
                <w:highlight w:val="none"/>
              </w:rPr>
            </w:pPr>
          </w:p>
        </w:tc>
        <w:tc>
          <w:tcPr>
            <w:tcW w:w="465" w:type="dxa"/>
            <w:vAlign w:val="center"/>
          </w:tcPr>
          <w:p>
            <w:pPr>
              <w:pStyle w:val="14"/>
              <w:tabs>
                <w:tab w:val="left" w:pos="7740"/>
              </w:tabs>
              <w:snapToGrid w:val="0"/>
              <w:ind w:firstLine="0" w:firstLineChars="0"/>
              <w:jc w:val="both"/>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89" w:type="dxa"/>
            <w:gridSpan w:val="7"/>
          </w:tcPr>
          <w:p>
            <w:pPr>
              <w:pStyle w:val="14"/>
              <w:tabs>
                <w:tab w:val="left" w:pos="7740"/>
              </w:tabs>
              <w:snapToGrid w:val="0"/>
              <w:ind w:firstLine="140" w:firstLineChars="67"/>
              <w:rPr>
                <w:rFonts w:ascii="宋体" w:hAnsi="宋体" w:cs="宋体"/>
                <w:sz w:val="21"/>
                <w:szCs w:val="21"/>
                <w:highlight w:val="none"/>
              </w:rPr>
            </w:pPr>
            <w:r>
              <w:rPr>
                <w:rFonts w:hint="eastAsia" w:ascii="宋体" w:hAnsi="宋体" w:cs="宋体"/>
                <w:sz w:val="21"/>
                <w:szCs w:val="21"/>
                <w:highlight w:val="none"/>
              </w:rPr>
              <w:t>注：符合要求的打“√”，不符合要求的打“×”</w:t>
            </w:r>
          </w:p>
        </w:tc>
      </w:tr>
    </w:tbl>
    <w:p>
      <w:pPr>
        <w:rPr>
          <w:rFonts w:hAnsi="宋体" w:cs="宋体"/>
          <w:szCs w:val="21"/>
          <w:highlight w:val="none"/>
        </w:rPr>
      </w:pPr>
    </w:p>
    <w:p>
      <w:pPr>
        <w:rPr>
          <w:rFonts w:hAnsi="宋体" w:cs="宋体"/>
          <w:szCs w:val="21"/>
          <w:highlight w:val="none"/>
        </w:rPr>
      </w:pPr>
      <w:r>
        <w:rPr>
          <w:rFonts w:hint="eastAsia" w:hAnsi="宋体" w:cs="宋体"/>
          <w:szCs w:val="21"/>
          <w:highlight w:val="none"/>
        </w:rPr>
        <w:t>评委签名：</w:t>
      </w:r>
    </w:p>
    <w:p>
      <w:pPr>
        <w:rPr>
          <w:rFonts w:hAnsi="宋体" w:cs="宋体"/>
          <w:sz w:val="28"/>
          <w:szCs w:val="28"/>
          <w:highlight w:val="none"/>
        </w:rPr>
        <w:sectPr>
          <w:headerReference r:id="rId8" w:type="default"/>
          <w:type w:val="nextColumn"/>
          <w:pgSz w:w="11906" w:h="16838"/>
          <w:pgMar w:top="1440" w:right="1418" w:bottom="1440" w:left="1411" w:header="851" w:footer="868" w:gutter="0"/>
          <w:pgBorders>
            <w:top w:val="none" w:sz="0" w:space="0"/>
            <w:left w:val="none" w:sz="0" w:space="0"/>
            <w:bottom w:val="none" w:sz="0" w:space="0"/>
            <w:right w:val="none" w:sz="0" w:space="0"/>
          </w:pgBorders>
          <w:cols w:space="720" w:num="1"/>
          <w:docGrid w:type="linesAndChars" w:linePitch="312" w:charSpace="0"/>
        </w:sectPr>
      </w:pPr>
      <w:r>
        <w:rPr>
          <w:rFonts w:hint="eastAsia" w:hAnsi="宋体" w:cs="宋体"/>
          <w:highlight w:val="none"/>
        </w:rPr>
        <w:t>日期：</w:t>
      </w:r>
    </w:p>
    <w:p>
      <w:pPr>
        <w:autoSpaceDE/>
        <w:autoSpaceDN/>
        <w:adjustRightInd/>
        <w:spacing w:line="400" w:lineRule="atLeast"/>
        <w:jc w:val="both"/>
        <w:outlineLvl w:val="1"/>
        <w:rPr>
          <w:rFonts w:hAnsi="宋体" w:cs="宋体"/>
          <w:b/>
          <w:bCs/>
          <w:szCs w:val="21"/>
          <w:highlight w:val="none"/>
        </w:rPr>
      </w:pPr>
      <w:r>
        <w:rPr>
          <w:rFonts w:hint="eastAsia" w:hAnsi="宋体" w:cs="宋体"/>
          <w:b/>
          <w:bCs/>
          <w:szCs w:val="21"/>
          <w:highlight w:val="none"/>
        </w:rPr>
        <w:t>附件1.1 《评分标准和细则》</w:t>
      </w:r>
    </w:p>
    <w:p>
      <w:pPr>
        <w:pStyle w:val="2"/>
        <w:rPr>
          <w:rFonts w:hAnsi="宋体" w:cs="宋体"/>
          <w:b/>
          <w:bCs/>
          <w:szCs w:val="21"/>
          <w:highlight w:val="none"/>
        </w:rPr>
      </w:pPr>
    </w:p>
    <w:p>
      <w:pPr>
        <w:tabs>
          <w:tab w:val="left" w:pos="480"/>
          <w:tab w:val="left" w:pos="720"/>
        </w:tabs>
        <w:autoSpaceDE/>
        <w:autoSpaceDN/>
        <w:adjustRightInd/>
        <w:spacing w:line="360" w:lineRule="auto"/>
        <w:jc w:val="both"/>
        <w:rPr>
          <w:rFonts w:hAnsi="宋体" w:cs="宋体"/>
          <w:b/>
          <w:bCs/>
          <w:szCs w:val="21"/>
          <w:highlight w:val="none"/>
        </w:rPr>
      </w:pPr>
      <w:r>
        <w:rPr>
          <w:rFonts w:hint="eastAsia" w:hAnsi="宋体" w:cs="宋体"/>
          <w:b/>
          <w:bCs/>
          <w:szCs w:val="21"/>
          <w:highlight w:val="none"/>
        </w:rPr>
        <w:t>一、分因素及分值</w:t>
      </w:r>
    </w:p>
    <w:p>
      <w:pPr>
        <w:numPr>
          <w:ilvl w:val="0"/>
          <w:numId w:val="22"/>
        </w:numPr>
        <w:tabs>
          <w:tab w:val="left" w:pos="660"/>
        </w:tabs>
        <w:autoSpaceDE/>
        <w:autoSpaceDN/>
        <w:adjustRightInd/>
        <w:spacing w:line="360" w:lineRule="auto"/>
        <w:ind w:left="480" w:hanging="480"/>
        <w:jc w:val="both"/>
        <w:rPr>
          <w:rFonts w:hAnsi="宋体" w:cs="宋体"/>
          <w:szCs w:val="21"/>
          <w:highlight w:val="none"/>
        </w:rPr>
      </w:pPr>
      <w:r>
        <w:rPr>
          <w:rFonts w:hint="eastAsia" w:hAnsi="宋体" w:cs="宋体"/>
          <w:szCs w:val="21"/>
          <w:highlight w:val="none"/>
        </w:rPr>
        <w:t>评委考核打分的评分因素及分值:总分100分</w:t>
      </w:r>
    </w:p>
    <w:tbl>
      <w:tblPr>
        <w:tblStyle w:val="49"/>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3168"/>
        <w:gridCol w:w="4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37" w:type="dxa"/>
            <w:tcBorders>
              <w:right w:val="single" w:color="auto" w:sz="6" w:space="0"/>
            </w:tcBorders>
            <w:vAlign w:val="center"/>
          </w:tcPr>
          <w:p>
            <w:pPr>
              <w:spacing w:line="360" w:lineRule="auto"/>
              <w:jc w:val="center"/>
              <w:rPr>
                <w:rFonts w:hAnsi="宋体" w:cs="宋体"/>
                <w:szCs w:val="21"/>
                <w:highlight w:val="none"/>
              </w:rPr>
            </w:pPr>
            <w:r>
              <w:rPr>
                <w:rFonts w:hint="eastAsia" w:hAnsi="宋体" w:cs="宋体"/>
                <w:szCs w:val="21"/>
                <w:highlight w:val="none"/>
              </w:rPr>
              <w:t>序号</w:t>
            </w:r>
          </w:p>
        </w:tc>
        <w:tc>
          <w:tcPr>
            <w:tcW w:w="3168" w:type="dxa"/>
            <w:tcBorders>
              <w:left w:val="single" w:color="auto" w:sz="6" w:space="0"/>
            </w:tcBorders>
            <w:vAlign w:val="center"/>
          </w:tcPr>
          <w:p>
            <w:pPr>
              <w:spacing w:line="360" w:lineRule="auto"/>
              <w:jc w:val="center"/>
              <w:rPr>
                <w:rFonts w:hAnsi="宋体" w:cs="宋体"/>
                <w:szCs w:val="21"/>
                <w:highlight w:val="none"/>
              </w:rPr>
            </w:pPr>
            <w:r>
              <w:rPr>
                <w:rFonts w:hint="eastAsia" w:hAnsi="宋体" w:cs="宋体"/>
                <w:szCs w:val="21"/>
                <w:highlight w:val="none"/>
              </w:rPr>
              <w:t>评分因素</w:t>
            </w:r>
          </w:p>
        </w:tc>
        <w:tc>
          <w:tcPr>
            <w:tcW w:w="4580" w:type="dxa"/>
            <w:vAlign w:val="center"/>
          </w:tcPr>
          <w:p>
            <w:pPr>
              <w:spacing w:line="360" w:lineRule="auto"/>
              <w:jc w:val="center"/>
              <w:rPr>
                <w:rFonts w:hAnsi="宋体" w:cs="宋体"/>
                <w:szCs w:val="21"/>
                <w:highlight w:val="none"/>
              </w:rPr>
            </w:pPr>
            <w:r>
              <w:rPr>
                <w:rFonts w:hint="eastAsia" w:hAnsi="宋体" w:cs="宋体"/>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37" w:type="dxa"/>
            <w:tcBorders>
              <w:right w:val="single" w:color="auto" w:sz="6" w:space="0"/>
            </w:tcBorders>
            <w:vAlign w:val="center"/>
          </w:tcPr>
          <w:p>
            <w:pPr>
              <w:spacing w:line="360" w:lineRule="auto"/>
              <w:jc w:val="center"/>
              <w:rPr>
                <w:rFonts w:hAnsi="宋体" w:cs="宋体"/>
                <w:szCs w:val="21"/>
                <w:highlight w:val="none"/>
              </w:rPr>
            </w:pPr>
            <w:r>
              <w:rPr>
                <w:rFonts w:hint="eastAsia" w:hAnsi="宋体" w:cs="宋体"/>
                <w:szCs w:val="21"/>
                <w:highlight w:val="none"/>
              </w:rPr>
              <w:t>1</w:t>
            </w:r>
          </w:p>
        </w:tc>
        <w:tc>
          <w:tcPr>
            <w:tcW w:w="3168" w:type="dxa"/>
            <w:tcBorders>
              <w:left w:val="single" w:color="auto" w:sz="6" w:space="0"/>
            </w:tcBorders>
            <w:vAlign w:val="center"/>
          </w:tcPr>
          <w:p>
            <w:pPr>
              <w:spacing w:line="360" w:lineRule="auto"/>
              <w:jc w:val="center"/>
              <w:rPr>
                <w:rFonts w:hAnsi="宋体" w:cs="宋体"/>
                <w:szCs w:val="21"/>
                <w:highlight w:val="none"/>
              </w:rPr>
            </w:pPr>
            <w:r>
              <w:rPr>
                <w:rFonts w:hint="eastAsia" w:hAnsi="宋体" w:cs="宋体"/>
                <w:szCs w:val="21"/>
                <w:highlight w:val="none"/>
              </w:rPr>
              <w:t>商务</w:t>
            </w:r>
          </w:p>
        </w:tc>
        <w:tc>
          <w:tcPr>
            <w:tcW w:w="4580" w:type="dxa"/>
            <w:vAlign w:val="center"/>
          </w:tcPr>
          <w:p>
            <w:pPr>
              <w:spacing w:line="360" w:lineRule="auto"/>
              <w:jc w:val="center"/>
              <w:rPr>
                <w:rFonts w:hAnsi="宋体" w:cs="宋体"/>
                <w:szCs w:val="21"/>
                <w:highlight w:val="none"/>
              </w:rPr>
            </w:pPr>
            <w:r>
              <w:rPr>
                <w:rFonts w:hint="eastAsia" w:hAnsi="宋体" w:cs="宋体"/>
                <w:szCs w:val="21"/>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37" w:type="dxa"/>
            <w:tcBorders>
              <w:right w:val="single" w:color="auto" w:sz="6" w:space="0"/>
            </w:tcBorders>
            <w:vAlign w:val="center"/>
          </w:tcPr>
          <w:p>
            <w:pPr>
              <w:spacing w:line="360" w:lineRule="auto"/>
              <w:jc w:val="center"/>
              <w:rPr>
                <w:rFonts w:hAnsi="宋体" w:cs="宋体"/>
                <w:szCs w:val="21"/>
                <w:highlight w:val="none"/>
              </w:rPr>
            </w:pPr>
            <w:r>
              <w:rPr>
                <w:rFonts w:hint="eastAsia" w:hAnsi="宋体" w:cs="宋体"/>
                <w:szCs w:val="21"/>
                <w:highlight w:val="none"/>
              </w:rPr>
              <w:t>2</w:t>
            </w:r>
          </w:p>
        </w:tc>
        <w:tc>
          <w:tcPr>
            <w:tcW w:w="3168" w:type="dxa"/>
            <w:tcBorders>
              <w:left w:val="single" w:color="auto" w:sz="6" w:space="0"/>
            </w:tcBorders>
            <w:vAlign w:val="center"/>
          </w:tcPr>
          <w:p>
            <w:pPr>
              <w:spacing w:line="360" w:lineRule="auto"/>
              <w:jc w:val="center"/>
              <w:rPr>
                <w:rFonts w:hAnsi="宋体" w:cs="宋体"/>
                <w:szCs w:val="21"/>
                <w:highlight w:val="none"/>
              </w:rPr>
            </w:pPr>
            <w:r>
              <w:rPr>
                <w:rFonts w:hint="eastAsia" w:hAnsi="宋体" w:cs="宋体"/>
                <w:szCs w:val="21"/>
                <w:highlight w:val="none"/>
              </w:rPr>
              <w:t>技术</w:t>
            </w:r>
          </w:p>
        </w:tc>
        <w:tc>
          <w:tcPr>
            <w:tcW w:w="4580" w:type="dxa"/>
            <w:vAlign w:val="center"/>
          </w:tcPr>
          <w:p>
            <w:pPr>
              <w:spacing w:line="360" w:lineRule="auto"/>
              <w:jc w:val="center"/>
              <w:rPr>
                <w:rFonts w:hAnsi="宋体" w:cs="宋体"/>
                <w:szCs w:val="21"/>
                <w:highlight w:val="none"/>
              </w:rPr>
            </w:pPr>
            <w:r>
              <w:rPr>
                <w:rFonts w:hAnsi="宋体" w:cs="宋体"/>
                <w:szCs w:val="21"/>
                <w:highlight w:val="none"/>
              </w:rPr>
              <w:t>4</w:t>
            </w:r>
            <w:r>
              <w:rPr>
                <w:rFonts w:hint="eastAsia" w:hAnsi="宋体" w:cs="宋体"/>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37" w:type="dxa"/>
            <w:tcBorders>
              <w:right w:val="single" w:color="auto" w:sz="6" w:space="0"/>
            </w:tcBorders>
            <w:vAlign w:val="center"/>
          </w:tcPr>
          <w:p>
            <w:pPr>
              <w:spacing w:line="360" w:lineRule="auto"/>
              <w:jc w:val="center"/>
              <w:rPr>
                <w:rFonts w:hAnsi="宋体" w:cs="宋体"/>
                <w:szCs w:val="21"/>
                <w:highlight w:val="none"/>
              </w:rPr>
            </w:pPr>
            <w:r>
              <w:rPr>
                <w:rFonts w:hint="eastAsia" w:hAnsi="宋体" w:cs="宋体"/>
                <w:szCs w:val="21"/>
                <w:highlight w:val="none"/>
              </w:rPr>
              <w:t>3</w:t>
            </w:r>
          </w:p>
        </w:tc>
        <w:tc>
          <w:tcPr>
            <w:tcW w:w="3168" w:type="dxa"/>
            <w:tcBorders>
              <w:left w:val="single" w:color="auto" w:sz="6" w:space="0"/>
            </w:tcBorders>
            <w:vAlign w:val="center"/>
          </w:tcPr>
          <w:p>
            <w:pPr>
              <w:spacing w:line="360" w:lineRule="auto"/>
              <w:jc w:val="center"/>
              <w:rPr>
                <w:rFonts w:hAnsi="宋体" w:cs="宋体"/>
                <w:szCs w:val="21"/>
                <w:highlight w:val="none"/>
              </w:rPr>
            </w:pPr>
            <w:r>
              <w:rPr>
                <w:rFonts w:hint="eastAsia" w:hAnsi="宋体" w:cs="宋体"/>
                <w:szCs w:val="21"/>
                <w:highlight w:val="none"/>
              </w:rPr>
              <w:t>价格</w:t>
            </w:r>
          </w:p>
        </w:tc>
        <w:tc>
          <w:tcPr>
            <w:tcW w:w="4580" w:type="dxa"/>
            <w:vAlign w:val="center"/>
          </w:tcPr>
          <w:p>
            <w:pPr>
              <w:spacing w:line="360" w:lineRule="auto"/>
              <w:jc w:val="center"/>
              <w:rPr>
                <w:rFonts w:hAnsi="宋体" w:cs="宋体"/>
                <w:szCs w:val="21"/>
                <w:highlight w:val="none"/>
              </w:rPr>
            </w:pPr>
            <w:r>
              <w:rPr>
                <w:rFonts w:hint="eastAsia" w:hAnsi="宋体" w:cs="宋体"/>
                <w:szCs w:val="21"/>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805" w:type="dxa"/>
            <w:gridSpan w:val="2"/>
            <w:vAlign w:val="center"/>
          </w:tcPr>
          <w:p>
            <w:pPr>
              <w:spacing w:line="360" w:lineRule="auto"/>
              <w:jc w:val="center"/>
              <w:rPr>
                <w:rFonts w:hAnsi="宋体" w:cs="宋体"/>
                <w:szCs w:val="21"/>
                <w:highlight w:val="none"/>
              </w:rPr>
            </w:pPr>
            <w:r>
              <w:rPr>
                <w:rFonts w:hint="eastAsia" w:hAnsi="宋体" w:cs="宋体"/>
                <w:szCs w:val="21"/>
                <w:highlight w:val="none"/>
              </w:rPr>
              <w:t>总  分</w:t>
            </w:r>
          </w:p>
        </w:tc>
        <w:tc>
          <w:tcPr>
            <w:tcW w:w="4580" w:type="dxa"/>
            <w:vAlign w:val="center"/>
          </w:tcPr>
          <w:p>
            <w:pPr>
              <w:spacing w:line="360" w:lineRule="auto"/>
              <w:jc w:val="center"/>
              <w:rPr>
                <w:rFonts w:hAnsi="宋体" w:cs="宋体"/>
                <w:szCs w:val="21"/>
                <w:highlight w:val="none"/>
              </w:rPr>
            </w:pPr>
            <w:r>
              <w:rPr>
                <w:rFonts w:hint="eastAsia" w:hAnsi="宋体" w:cs="宋体"/>
                <w:szCs w:val="21"/>
                <w:highlight w:val="none"/>
              </w:rPr>
              <w:t>100分</w:t>
            </w:r>
          </w:p>
        </w:tc>
      </w:tr>
    </w:tbl>
    <w:p>
      <w:pPr>
        <w:jc w:val="both"/>
        <w:rPr>
          <w:b/>
          <w:bCs/>
          <w:highlight w:val="none"/>
        </w:rPr>
      </w:pPr>
    </w:p>
    <w:p>
      <w:pPr>
        <w:numPr>
          <w:ilvl w:val="0"/>
          <w:numId w:val="23"/>
        </w:numPr>
        <w:tabs>
          <w:tab w:val="left" w:pos="480"/>
          <w:tab w:val="left" w:pos="720"/>
        </w:tabs>
        <w:autoSpaceDE/>
        <w:autoSpaceDN/>
        <w:adjustRightInd/>
        <w:spacing w:line="360" w:lineRule="auto"/>
        <w:jc w:val="both"/>
        <w:rPr>
          <w:rFonts w:hAnsi="宋体" w:cs="宋体"/>
          <w:b/>
          <w:bCs/>
          <w:szCs w:val="21"/>
          <w:highlight w:val="none"/>
        </w:rPr>
      </w:pPr>
      <w:r>
        <w:rPr>
          <w:rFonts w:hint="eastAsia" w:hAnsi="宋体" w:cs="宋体"/>
          <w:b/>
          <w:bCs/>
          <w:szCs w:val="21"/>
          <w:highlight w:val="none"/>
        </w:rPr>
        <w:t>评分因素分值的具体分配：</w:t>
      </w:r>
    </w:p>
    <w:p>
      <w:pPr>
        <w:pStyle w:val="124"/>
        <w:keepNext w:val="0"/>
        <w:tabs>
          <w:tab w:val="left" w:pos="0"/>
        </w:tabs>
        <w:spacing w:after="0" w:line="360" w:lineRule="auto"/>
        <w:outlineLvl w:val="2"/>
        <w:rPr>
          <w:szCs w:val="21"/>
          <w:highlight w:val="none"/>
        </w:rPr>
      </w:pPr>
      <w:r>
        <w:rPr>
          <w:rFonts w:hint="eastAsia" w:ascii="宋体" w:hAnsi="宋体" w:cs="宋体"/>
          <w:b/>
          <w:szCs w:val="21"/>
          <w:highlight w:val="none"/>
        </w:rPr>
        <w:t>1.商务评分标准：（总分：30分）</w:t>
      </w:r>
    </w:p>
    <w:tbl>
      <w:tblPr>
        <w:tblStyle w:val="49"/>
        <w:tblW w:w="88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7"/>
        <w:gridCol w:w="1743"/>
        <w:gridCol w:w="642"/>
        <w:gridCol w:w="59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8862" w:type="dxa"/>
            <w:gridSpan w:val="4"/>
            <w:vAlign w:val="center"/>
          </w:tcPr>
          <w:p>
            <w:pPr>
              <w:autoSpaceDE/>
              <w:autoSpaceDN/>
              <w:adjustRightInd/>
              <w:spacing w:line="360" w:lineRule="auto"/>
              <w:jc w:val="center"/>
              <w:rPr>
                <w:rFonts w:hAnsi="宋体" w:cs="仿宋_GB2312"/>
                <w:b/>
                <w:bCs/>
                <w:szCs w:val="21"/>
                <w:highlight w:val="none"/>
              </w:rPr>
            </w:pPr>
            <w:r>
              <w:rPr>
                <w:rFonts w:hint="eastAsia" w:hAnsi="宋体" w:cs="仿宋_GB2312"/>
                <w:b/>
                <w:bCs/>
                <w:szCs w:val="21"/>
                <w:highlight w:val="none"/>
              </w:rPr>
              <w:t>商务评分（30分）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6" w:hRule="atLeast"/>
          <w:jc w:val="center"/>
        </w:trPr>
        <w:tc>
          <w:tcPr>
            <w:tcW w:w="517" w:type="dxa"/>
            <w:vAlign w:val="center"/>
          </w:tcPr>
          <w:p>
            <w:pPr>
              <w:snapToGrid w:val="0"/>
              <w:spacing w:line="288" w:lineRule="auto"/>
              <w:jc w:val="center"/>
              <w:rPr>
                <w:rFonts w:hAnsi="宋体"/>
                <w:szCs w:val="21"/>
                <w:highlight w:val="none"/>
              </w:rPr>
            </w:pPr>
            <w:r>
              <w:rPr>
                <w:rFonts w:hint="eastAsia" w:hAnsi="宋体"/>
                <w:szCs w:val="21"/>
                <w:highlight w:val="none"/>
              </w:rPr>
              <w:t>1</w:t>
            </w:r>
          </w:p>
        </w:tc>
        <w:tc>
          <w:tcPr>
            <w:tcW w:w="1743" w:type="dxa"/>
            <w:vAlign w:val="center"/>
          </w:tcPr>
          <w:p>
            <w:pPr>
              <w:snapToGrid w:val="0"/>
              <w:spacing w:line="288" w:lineRule="auto"/>
              <w:jc w:val="center"/>
              <w:rPr>
                <w:rFonts w:hAnsi="宋体"/>
                <w:b/>
                <w:bCs/>
                <w:szCs w:val="21"/>
                <w:highlight w:val="none"/>
              </w:rPr>
            </w:pPr>
            <w:r>
              <w:rPr>
                <w:szCs w:val="21"/>
                <w:highlight w:val="none"/>
              </w:rPr>
              <w:t>投标人资质</w:t>
            </w:r>
          </w:p>
        </w:tc>
        <w:tc>
          <w:tcPr>
            <w:tcW w:w="642" w:type="dxa"/>
            <w:vAlign w:val="center"/>
          </w:tcPr>
          <w:p>
            <w:pPr>
              <w:snapToGrid w:val="0"/>
              <w:spacing w:line="288" w:lineRule="auto"/>
              <w:jc w:val="center"/>
              <w:rPr>
                <w:rFonts w:hAnsi="宋体"/>
                <w:szCs w:val="21"/>
                <w:highlight w:val="none"/>
              </w:rPr>
            </w:pPr>
            <w:r>
              <w:rPr>
                <w:rFonts w:hint="eastAsia" w:hAnsi="宋体"/>
                <w:szCs w:val="21"/>
                <w:highlight w:val="none"/>
              </w:rPr>
              <w:t>2</w:t>
            </w:r>
          </w:p>
        </w:tc>
        <w:tc>
          <w:tcPr>
            <w:tcW w:w="5960" w:type="dxa"/>
            <w:vAlign w:val="center"/>
          </w:tcPr>
          <w:p>
            <w:pPr>
              <w:snapToGrid w:val="0"/>
              <w:rPr>
                <w:szCs w:val="21"/>
                <w:highlight w:val="none"/>
              </w:rPr>
            </w:pPr>
            <w:r>
              <w:rPr>
                <w:rFonts w:hint="eastAsia"/>
                <w:szCs w:val="21"/>
                <w:highlight w:val="none"/>
              </w:rPr>
              <w:t>1.具有ISM资质认证证书（提供证书复印件），得1分；</w:t>
            </w:r>
          </w:p>
          <w:p>
            <w:pPr>
              <w:snapToGrid w:val="0"/>
              <w:rPr>
                <w:szCs w:val="21"/>
                <w:highlight w:val="none"/>
              </w:rPr>
            </w:pPr>
            <w:r>
              <w:rPr>
                <w:rFonts w:hint="eastAsia"/>
                <w:szCs w:val="21"/>
                <w:highlight w:val="none"/>
              </w:rPr>
              <w:t>2.具有科考船安全管理体系且已经在船实施的，得1分。</w:t>
            </w:r>
          </w:p>
          <w:p>
            <w:pPr>
              <w:snapToGrid w:val="0"/>
              <w:spacing w:line="288" w:lineRule="auto"/>
              <w:rPr>
                <w:szCs w:val="21"/>
                <w:highlight w:val="none"/>
              </w:rPr>
            </w:pPr>
            <w:r>
              <w:rPr>
                <w:rFonts w:hint="eastAsia"/>
                <w:szCs w:val="21"/>
                <w:highlight w:val="none"/>
              </w:rPr>
              <w:t>无或其他，得0分。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0" w:hRule="atLeast"/>
          <w:jc w:val="center"/>
        </w:trPr>
        <w:tc>
          <w:tcPr>
            <w:tcW w:w="517" w:type="dxa"/>
            <w:vAlign w:val="center"/>
          </w:tcPr>
          <w:p>
            <w:pPr>
              <w:snapToGrid w:val="0"/>
              <w:spacing w:line="288" w:lineRule="auto"/>
              <w:jc w:val="center"/>
              <w:rPr>
                <w:rFonts w:hAnsi="宋体"/>
                <w:szCs w:val="21"/>
                <w:highlight w:val="none"/>
              </w:rPr>
            </w:pPr>
            <w:r>
              <w:rPr>
                <w:rFonts w:hint="eastAsia" w:hAnsi="宋体"/>
                <w:szCs w:val="21"/>
                <w:highlight w:val="none"/>
              </w:rPr>
              <w:t>2</w:t>
            </w:r>
          </w:p>
        </w:tc>
        <w:tc>
          <w:tcPr>
            <w:tcW w:w="1743" w:type="dxa"/>
            <w:vAlign w:val="center"/>
          </w:tcPr>
          <w:p>
            <w:pPr>
              <w:snapToGrid w:val="0"/>
              <w:spacing w:line="288" w:lineRule="auto"/>
              <w:jc w:val="center"/>
              <w:rPr>
                <w:rFonts w:hAnsi="宋体"/>
                <w:szCs w:val="21"/>
                <w:highlight w:val="none"/>
              </w:rPr>
            </w:pPr>
            <w:r>
              <w:rPr>
                <w:rFonts w:hint="eastAsia"/>
                <w:spacing w:val="-15"/>
                <w:szCs w:val="21"/>
                <w:highlight w:val="none"/>
              </w:rPr>
              <w:t>ISO管理体系认证</w:t>
            </w:r>
          </w:p>
        </w:tc>
        <w:tc>
          <w:tcPr>
            <w:tcW w:w="642" w:type="dxa"/>
            <w:vAlign w:val="center"/>
          </w:tcPr>
          <w:p>
            <w:pPr>
              <w:snapToGrid w:val="0"/>
              <w:spacing w:line="288" w:lineRule="auto"/>
              <w:jc w:val="center"/>
              <w:rPr>
                <w:rFonts w:hAnsi="宋体"/>
                <w:szCs w:val="21"/>
                <w:highlight w:val="none"/>
              </w:rPr>
            </w:pPr>
            <w:r>
              <w:rPr>
                <w:rFonts w:hint="eastAsia" w:hAnsi="宋体"/>
                <w:szCs w:val="21"/>
                <w:highlight w:val="none"/>
              </w:rPr>
              <w:t>7</w:t>
            </w:r>
          </w:p>
        </w:tc>
        <w:tc>
          <w:tcPr>
            <w:tcW w:w="5960" w:type="dxa"/>
            <w:vAlign w:val="center"/>
          </w:tcPr>
          <w:p>
            <w:pPr>
              <w:pStyle w:val="99"/>
              <w:ind w:left="0"/>
              <w:rPr>
                <w:szCs w:val="21"/>
                <w:highlight w:val="none"/>
                <w:lang w:bidi="zh-CN"/>
              </w:rPr>
            </w:pPr>
            <w:r>
              <w:rPr>
                <w:rFonts w:hint="eastAsia"/>
                <w:szCs w:val="21"/>
                <w:highlight w:val="none"/>
                <w:lang w:bidi="zh-CN"/>
              </w:rPr>
              <w:t xml:space="preserve">投标人具有有效期内的 </w:t>
            </w:r>
          </w:p>
          <w:p>
            <w:pPr>
              <w:pStyle w:val="99"/>
              <w:numPr>
                <w:ilvl w:val="0"/>
                <w:numId w:val="24"/>
              </w:numPr>
              <w:rPr>
                <w:szCs w:val="21"/>
                <w:highlight w:val="none"/>
                <w:lang w:val="en-US"/>
              </w:rPr>
            </w:pPr>
            <w:r>
              <w:rPr>
                <w:rFonts w:hint="eastAsia"/>
                <w:szCs w:val="21"/>
                <w:highlight w:val="none"/>
                <w:lang w:bidi="zh-CN"/>
              </w:rPr>
              <w:t>质量管理体系认证证书，</w:t>
            </w:r>
            <w:r>
              <w:rPr>
                <w:rFonts w:hint="eastAsia"/>
                <w:szCs w:val="21"/>
                <w:highlight w:val="none"/>
                <w:lang w:val="en-US"/>
              </w:rPr>
              <w:t>有得1分，无或不符合则不得分；</w:t>
            </w:r>
          </w:p>
          <w:p>
            <w:pPr>
              <w:pStyle w:val="99"/>
              <w:numPr>
                <w:ilvl w:val="0"/>
                <w:numId w:val="24"/>
              </w:numPr>
              <w:rPr>
                <w:szCs w:val="21"/>
                <w:highlight w:val="none"/>
                <w:lang w:val="en-US"/>
              </w:rPr>
            </w:pPr>
            <w:r>
              <w:rPr>
                <w:rFonts w:hint="eastAsia"/>
                <w:szCs w:val="21"/>
                <w:highlight w:val="none"/>
                <w:lang w:bidi="zh-CN"/>
              </w:rPr>
              <w:t>环境管理体系认证证书，</w:t>
            </w:r>
            <w:r>
              <w:rPr>
                <w:rFonts w:hint="eastAsia"/>
                <w:szCs w:val="21"/>
                <w:highlight w:val="none"/>
                <w:lang w:val="en-US"/>
              </w:rPr>
              <w:t>有得1分，无或不符合则不得分；</w:t>
            </w:r>
          </w:p>
          <w:p>
            <w:pPr>
              <w:pStyle w:val="99"/>
              <w:numPr>
                <w:ilvl w:val="0"/>
                <w:numId w:val="24"/>
              </w:numPr>
              <w:rPr>
                <w:szCs w:val="21"/>
                <w:highlight w:val="none"/>
                <w:lang w:bidi="zh-CN"/>
              </w:rPr>
            </w:pPr>
            <w:r>
              <w:rPr>
                <w:rFonts w:hint="eastAsia"/>
                <w:szCs w:val="21"/>
                <w:highlight w:val="none"/>
                <w:lang w:bidi="zh-CN"/>
              </w:rPr>
              <w:t>职业健康安全管理体系认证证书。</w:t>
            </w:r>
            <w:r>
              <w:rPr>
                <w:rFonts w:hint="eastAsia"/>
                <w:szCs w:val="21"/>
                <w:highlight w:val="none"/>
                <w:lang w:val="en-US"/>
              </w:rPr>
              <w:t>有得1分，无或不符合则不得分；，</w:t>
            </w:r>
          </w:p>
          <w:p>
            <w:pPr>
              <w:pStyle w:val="99"/>
              <w:numPr>
                <w:ilvl w:val="0"/>
                <w:numId w:val="24"/>
              </w:numPr>
              <w:rPr>
                <w:szCs w:val="21"/>
                <w:highlight w:val="none"/>
                <w:lang w:bidi="zh-CN"/>
              </w:rPr>
            </w:pPr>
            <w:r>
              <w:rPr>
                <w:rFonts w:hint="eastAsia"/>
                <w:szCs w:val="21"/>
                <w:highlight w:val="none"/>
                <w:lang w:bidi="zh-CN"/>
              </w:rPr>
              <w:t>投标人所管理的科考船持有SMC（国际船舶安全营运和防止污染管理规则内要求的船舶安全管理证书）的，每提供一个得2分，最高得4分，须提供有效期内的认证证书复印件并加盖公章。</w:t>
            </w:r>
          </w:p>
          <w:p>
            <w:pPr>
              <w:pStyle w:val="99"/>
              <w:ind w:left="0"/>
              <w:rPr>
                <w:rFonts w:cs="仿宋_GB2312"/>
                <w:sz w:val="21"/>
                <w:szCs w:val="21"/>
                <w:highlight w:val="none"/>
              </w:rPr>
            </w:pPr>
            <w:r>
              <w:rPr>
                <w:rFonts w:hint="eastAsia" w:hAnsi="Times New Roman" w:cs="Times New Roman"/>
                <w:sz w:val="21"/>
                <w:szCs w:val="21"/>
                <w:highlight w:val="none"/>
              </w:rPr>
              <w:t>注：以上证书提供复印件并加盖公章。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0" w:hRule="atLeast"/>
          <w:jc w:val="center"/>
        </w:trPr>
        <w:tc>
          <w:tcPr>
            <w:tcW w:w="517" w:type="dxa"/>
            <w:vMerge w:val="restart"/>
            <w:vAlign w:val="center"/>
          </w:tcPr>
          <w:p>
            <w:pPr>
              <w:snapToGrid w:val="0"/>
              <w:spacing w:line="288" w:lineRule="auto"/>
              <w:jc w:val="center"/>
              <w:rPr>
                <w:rFonts w:hAnsi="宋体"/>
                <w:szCs w:val="21"/>
                <w:highlight w:val="none"/>
              </w:rPr>
            </w:pPr>
            <w:r>
              <w:rPr>
                <w:rFonts w:hint="eastAsia" w:hAnsi="宋体"/>
                <w:szCs w:val="21"/>
                <w:highlight w:val="none"/>
              </w:rPr>
              <w:t>3</w:t>
            </w:r>
          </w:p>
        </w:tc>
        <w:tc>
          <w:tcPr>
            <w:tcW w:w="1743" w:type="dxa"/>
            <w:vMerge w:val="restart"/>
            <w:vAlign w:val="center"/>
          </w:tcPr>
          <w:p>
            <w:pPr>
              <w:snapToGrid w:val="0"/>
              <w:spacing w:line="288" w:lineRule="auto"/>
              <w:rPr>
                <w:spacing w:val="-15"/>
                <w:szCs w:val="21"/>
                <w:highlight w:val="none"/>
              </w:rPr>
            </w:pPr>
            <w:r>
              <w:rPr>
                <w:rFonts w:hint="eastAsia"/>
                <w:szCs w:val="21"/>
                <w:highlight w:val="none"/>
              </w:rPr>
              <w:t>投标人2020年至今完成的同类项目情况</w:t>
            </w:r>
          </w:p>
        </w:tc>
        <w:tc>
          <w:tcPr>
            <w:tcW w:w="642" w:type="dxa"/>
            <w:vAlign w:val="center"/>
          </w:tcPr>
          <w:p>
            <w:pPr>
              <w:snapToGrid w:val="0"/>
              <w:spacing w:line="288" w:lineRule="auto"/>
              <w:jc w:val="center"/>
              <w:rPr>
                <w:rFonts w:hAnsi="宋体"/>
                <w:szCs w:val="21"/>
                <w:highlight w:val="none"/>
              </w:rPr>
            </w:pPr>
            <w:r>
              <w:rPr>
                <w:rFonts w:hAnsi="宋体"/>
                <w:szCs w:val="21"/>
                <w:highlight w:val="none"/>
              </w:rPr>
              <w:t>8</w:t>
            </w:r>
          </w:p>
        </w:tc>
        <w:tc>
          <w:tcPr>
            <w:tcW w:w="5960" w:type="dxa"/>
            <w:vAlign w:val="center"/>
          </w:tcPr>
          <w:p>
            <w:pPr>
              <w:autoSpaceDE/>
              <w:autoSpaceDN/>
              <w:adjustRightInd/>
              <w:snapToGrid w:val="0"/>
              <w:spacing w:line="288" w:lineRule="auto"/>
              <w:jc w:val="both"/>
              <w:rPr>
                <w:highlight w:val="none"/>
                <w:lang w:val="zh-CN"/>
              </w:rPr>
            </w:pPr>
            <w:r>
              <w:rPr>
                <w:rFonts w:hint="eastAsia"/>
                <w:highlight w:val="none"/>
              </w:rPr>
              <w:t>投标人从2020年1月1日起至今，</w:t>
            </w:r>
            <w:r>
              <w:rPr>
                <w:rFonts w:hint="eastAsia"/>
                <w:highlight w:val="none"/>
                <w:lang w:val="zh-CN"/>
              </w:rPr>
              <w:t>每提供一份同类</w:t>
            </w:r>
            <w:r>
              <w:rPr>
                <w:rFonts w:hint="eastAsia"/>
                <w:highlight w:val="none"/>
              </w:rPr>
              <w:t>科考船</w:t>
            </w:r>
            <w:r>
              <w:rPr>
                <w:rFonts w:hint="eastAsia"/>
                <w:highlight w:val="none"/>
                <w:lang w:val="zh-CN"/>
              </w:rPr>
              <w:t>船员服务相关项目业绩得</w:t>
            </w:r>
            <w:r>
              <w:rPr>
                <w:rFonts w:hint="eastAsia"/>
                <w:highlight w:val="none"/>
              </w:rPr>
              <w:t>1</w:t>
            </w:r>
            <w:r>
              <w:rPr>
                <w:rFonts w:hint="eastAsia"/>
                <w:highlight w:val="none"/>
                <w:lang w:val="zh-CN"/>
              </w:rPr>
              <w:t>分，最高得</w:t>
            </w:r>
            <w:r>
              <w:rPr>
                <w:highlight w:val="none"/>
              </w:rPr>
              <w:t>8</w:t>
            </w:r>
            <w:r>
              <w:rPr>
                <w:rFonts w:hint="eastAsia"/>
                <w:highlight w:val="none"/>
                <w:lang w:val="zh-CN"/>
              </w:rPr>
              <w:t xml:space="preserve">分。  </w:t>
            </w:r>
          </w:p>
          <w:p>
            <w:pPr>
              <w:snapToGrid w:val="0"/>
              <w:spacing w:line="288" w:lineRule="auto"/>
              <w:rPr>
                <w:szCs w:val="21"/>
                <w:highlight w:val="none"/>
              </w:rPr>
            </w:pPr>
            <w:r>
              <w:rPr>
                <w:rFonts w:hint="eastAsia"/>
                <w:szCs w:val="21"/>
                <w:highlight w:val="none"/>
                <w:lang w:val="zh-CN"/>
              </w:rPr>
              <w:t>注：须提供合同/协议关键页（含签订合同双方的单位名称、合同项目名称、签订合同双方的落款盖章、签订日期的关键页） 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0" w:hRule="atLeast"/>
          <w:jc w:val="center"/>
        </w:trPr>
        <w:tc>
          <w:tcPr>
            <w:tcW w:w="517" w:type="dxa"/>
            <w:vMerge w:val="continue"/>
            <w:vAlign w:val="center"/>
          </w:tcPr>
          <w:p>
            <w:pPr>
              <w:snapToGrid w:val="0"/>
              <w:spacing w:line="288" w:lineRule="auto"/>
              <w:jc w:val="center"/>
              <w:rPr>
                <w:rFonts w:hAnsi="宋体"/>
                <w:szCs w:val="21"/>
                <w:highlight w:val="none"/>
              </w:rPr>
            </w:pPr>
          </w:p>
        </w:tc>
        <w:tc>
          <w:tcPr>
            <w:tcW w:w="1743" w:type="dxa"/>
            <w:vMerge w:val="continue"/>
            <w:vAlign w:val="center"/>
          </w:tcPr>
          <w:p>
            <w:pPr>
              <w:snapToGrid w:val="0"/>
              <w:spacing w:line="288" w:lineRule="auto"/>
              <w:rPr>
                <w:szCs w:val="21"/>
                <w:highlight w:val="none"/>
              </w:rPr>
            </w:pPr>
          </w:p>
        </w:tc>
        <w:tc>
          <w:tcPr>
            <w:tcW w:w="642" w:type="dxa"/>
            <w:vAlign w:val="center"/>
          </w:tcPr>
          <w:p>
            <w:pPr>
              <w:snapToGrid w:val="0"/>
              <w:spacing w:line="288" w:lineRule="auto"/>
              <w:jc w:val="center"/>
              <w:rPr>
                <w:rFonts w:hAnsi="宋体"/>
                <w:szCs w:val="21"/>
                <w:highlight w:val="none"/>
              </w:rPr>
            </w:pPr>
            <w:r>
              <w:rPr>
                <w:rFonts w:hAnsi="宋体"/>
                <w:szCs w:val="21"/>
                <w:highlight w:val="none"/>
              </w:rPr>
              <w:t>4</w:t>
            </w:r>
          </w:p>
        </w:tc>
        <w:tc>
          <w:tcPr>
            <w:tcW w:w="5960" w:type="dxa"/>
            <w:vAlign w:val="center"/>
          </w:tcPr>
          <w:p>
            <w:pPr>
              <w:snapToGrid w:val="0"/>
              <w:spacing w:line="288" w:lineRule="auto"/>
              <w:rPr>
                <w:szCs w:val="21"/>
                <w:highlight w:val="none"/>
                <w:lang w:val="zh-CN"/>
              </w:rPr>
            </w:pPr>
            <w:r>
              <w:rPr>
                <w:rFonts w:hint="eastAsia"/>
                <w:szCs w:val="21"/>
                <w:highlight w:val="none"/>
                <w:lang w:val="zh-CN"/>
              </w:rPr>
              <w:t>“同类船员服务相关项目”的客户服务满意评价情况，每提供一个客户评价为良好或以上（含同等意义的评价，如80分或以上、满意或以上等）的证明材料，得</w:t>
            </w:r>
            <w:r>
              <w:rPr>
                <w:szCs w:val="21"/>
                <w:highlight w:val="none"/>
              </w:rPr>
              <w:t>1</w:t>
            </w:r>
            <w:r>
              <w:rPr>
                <w:rFonts w:hint="eastAsia"/>
                <w:szCs w:val="21"/>
                <w:highlight w:val="none"/>
                <w:lang w:val="zh-CN"/>
              </w:rPr>
              <w:t>分，最多得</w:t>
            </w:r>
            <w:r>
              <w:rPr>
                <w:szCs w:val="21"/>
                <w:highlight w:val="none"/>
              </w:rPr>
              <w:t>4</w:t>
            </w:r>
            <w:r>
              <w:rPr>
                <w:rFonts w:hint="eastAsia"/>
                <w:szCs w:val="21"/>
                <w:highlight w:val="none"/>
                <w:lang w:val="zh-CN"/>
              </w:rPr>
              <w:t>分。</w:t>
            </w:r>
          </w:p>
          <w:p>
            <w:pPr>
              <w:snapToGrid w:val="0"/>
              <w:spacing w:line="288" w:lineRule="auto"/>
              <w:rPr>
                <w:szCs w:val="21"/>
                <w:highlight w:val="none"/>
                <w:lang w:val="zh-CN"/>
              </w:rPr>
            </w:pPr>
            <w:r>
              <w:rPr>
                <w:rFonts w:hint="eastAsia"/>
                <w:szCs w:val="21"/>
                <w:highlight w:val="none"/>
                <w:lang w:val="zh-CN"/>
              </w:rPr>
              <w:t>注：须提供真实客户服务满意评价情况证明资料复印件作为证明资料。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0" w:hRule="atLeast"/>
          <w:jc w:val="center"/>
        </w:trPr>
        <w:tc>
          <w:tcPr>
            <w:tcW w:w="517" w:type="dxa"/>
            <w:vAlign w:val="center"/>
          </w:tcPr>
          <w:p>
            <w:pPr>
              <w:snapToGrid w:val="0"/>
              <w:spacing w:line="288" w:lineRule="auto"/>
              <w:jc w:val="center"/>
              <w:rPr>
                <w:rFonts w:hAnsi="宋体"/>
                <w:szCs w:val="21"/>
                <w:highlight w:val="none"/>
              </w:rPr>
            </w:pPr>
            <w:r>
              <w:rPr>
                <w:rFonts w:hint="eastAsia" w:hAnsi="宋体"/>
                <w:szCs w:val="21"/>
                <w:highlight w:val="none"/>
              </w:rPr>
              <w:t>4</w:t>
            </w:r>
          </w:p>
        </w:tc>
        <w:tc>
          <w:tcPr>
            <w:tcW w:w="1743" w:type="dxa"/>
            <w:vAlign w:val="center"/>
          </w:tcPr>
          <w:p>
            <w:pPr>
              <w:snapToGrid w:val="0"/>
              <w:jc w:val="center"/>
              <w:rPr>
                <w:rFonts w:hAnsi="宋体"/>
                <w:szCs w:val="21"/>
                <w:highlight w:val="none"/>
              </w:rPr>
            </w:pPr>
            <w:r>
              <w:rPr>
                <w:rFonts w:hint="eastAsia"/>
                <w:szCs w:val="21"/>
                <w:highlight w:val="none"/>
              </w:rPr>
              <w:t>投标人拟服务于本项目的人员情况</w:t>
            </w:r>
          </w:p>
        </w:tc>
        <w:tc>
          <w:tcPr>
            <w:tcW w:w="642" w:type="dxa"/>
            <w:vAlign w:val="center"/>
          </w:tcPr>
          <w:p>
            <w:pPr>
              <w:snapToGrid w:val="0"/>
              <w:spacing w:line="288" w:lineRule="auto"/>
              <w:jc w:val="center"/>
              <w:rPr>
                <w:rFonts w:hAnsi="宋体"/>
                <w:szCs w:val="21"/>
                <w:highlight w:val="none"/>
              </w:rPr>
            </w:pPr>
            <w:r>
              <w:rPr>
                <w:rFonts w:hint="eastAsia" w:hAnsi="宋体"/>
                <w:szCs w:val="21"/>
                <w:highlight w:val="none"/>
              </w:rPr>
              <w:t>5</w:t>
            </w:r>
          </w:p>
        </w:tc>
        <w:tc>
          <w:tcPr>
            <w:tcW w:w="5960" w:type="dxa"/>
            <w:vAlign w:val="center"/>
          </w:tcPr>
          <w:p>
            <w:pPr>
              <w:numPr>
                <w:ilvl w:val="0"/>
                <w:numId w:val="25"/>
              </w:numPr>
              <w:snapToGrid w:val="0"/>
              <w:spacing w:line="288" w:lineRule="auto"/>
              <w:rPr>
                <w:szCs w:val="21"/>
                <w:highlight w:val="none"/>
              </w:rPr>
            </w:pPr>
            <w:r>
              <w:rPr>
                <w:rFonts w:hint="eastAsia"/>
                <w:szCs w:val="21"/>
                <w:highlight w:val="none"/>
              </w:rPr>
              <w:t xml:space="preserve">招标文件需求的人员类别投标人均有储备且数量满足招标需求、人员资质齐全，均已签订劳动合同，得5分；            </w:t>
            </w:r>
          </w:p>
          <w:p>
            <w:pPr>
              <w:snapToGrid w:val="0"/>
              <w:spacing w:line="288" w:lineRule="auto"/>
              <w:rPr>
                <w:szCs w:val="21"/>
                <w:highlight w:val="none"/>
              </w:rPr>
            </w:pPr>
            <w:r>
              <w:rPr>
                <w:rFonts w:hint="eastAsia"/>
                <w:szCs w:val="21"/>
                <w:highlight w:val="none"/>
              </w:rPr>
              <w:t>2.招标文件需求的人员类别投标人均有储备、人员资质齐全， 均已签订劳动合同，得3分；</w:t>
            </w:r>
          </w:p>
          <w:p>
            <w:pPr>
              <w:snapToGrid w:val="0"/>
              <w:spacing w:line="288" w:lineRule="auto"/>
              <w:rPr>
                <w:rFonts w:hAnsi="宋体" w:cs="仿宋_GB2312"/>
                <w:szCs w:val="21"/>
                <w:highlight w:val="none"/>
              </w:rPr>
            </w:pPr>
            <w:r>
              <w:rPr>
                <w:rFonts w:hint="eastAsia"/>
                <w:szCs w:val="21"/>
                <w:highlight w:val="none"/>
              </w:rPr>
              <w:t>3.有储备2个或以上招标文件需求的人员类别、人员资质较为</w:t>
            </w:r>
            <w:r>
              <w:rPr>
                <w:rFonts w:hint="eastAsia" w:hAnsi="宋体" w:cs="仿宋_GB2312"/>
                <w:szCs w:val="21"/>
                <w:highlight w:val="none"/>
              </w:rPr>
              <w:t>齐全，均已签订劳动合同，得1分；</w:t>
            </w:r>
          </w:p>
          <w:p>
            <w:pPr>
              <w:snapToGrid w:val="0"/>
              <w:spacing w:line="288" w:lineRule="auto"/>
              <w:rPr>
                <w:rFonts w:hAnsi="宋体" w:cs="仿宋_GB2312"/>
                <w:szCs w:val="21"/>
                <w:highlight w:val="none"/>
              </w:rPr>
            </w:pPr>
            <w:r>
              <w:rPr>
                <w:rFonts w:hint="eastAsia" w:hAnsi="宋体" w:cs="仿宋_GB2312"/>
                <w:szCs w:val="21"/>
                <w:highlight w:val="none"/>
              </w:rPr>
              <w:t>4.没有储备人才、须要再组织招募的，得0分。</w:t>
            </w:r>
          </w:p>
          <w:p>
            <w:pPr>
              <w:snapToGrid w:val="0"/>
              <w:spacing w:line="288" w:lineRule="auto"/>
              <w:rPr>
                <w:szCs w:val="21"/>
                <w:highlight w:val="none"/>
              </w:rPr>
            </w:pPr>
            <w:r>
              <w:rPr>
                <w:rFonts w:hint="eastAsia" w:hAnsi="宋体" w:cs="仿宋_GB2312"/>
                <w:szCs w:val="21"/>
                <w:highlight w:val="none"/>
              </w:rPr>
              <w:t>注：人员资质须达到用户需求书中的“服务人员基本要求”和“执证要求”，须提供投标人与服务人员签订的合同/协议以及人员学历、从业资格证书复印件。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0" w:hRule="atLeast"/>
          <w:jc w:val="center"/>
        </w:trPr>
        <w:tc>
          <w:tcPr>
            <w:tcW w:w="517" w:type="dxa"/>
            <w:vAlign w:val="center"/>
          </w:tcPr>
          <w:p>
            <w:pPr>
              <w:snapToGrid w:val="0"/>
              <w:spacing w:line="288" w:lineRule="auto"/>
              <w:jc w:val="center"/>
              <w:rPr>
                <w:rFonts w:hAnsi="宋体"/>
                <w:szCs w:val="21"/>
                <w:highlight w:val="none"/>
              </w:rPr>
            </w:pPr>
            <w:r>
              <w:rPr>
                <w:rFonts w:hint="eastAsia" w:hAnsi="宋体"/>
                <w:szCs w:val="21"/>
                <w:highlight w:val="none"/>
              </w:rPr>
              <w:t>5</w:t>
            </w:r>
          </w:p>
        </w:tc>
        <w:tc>
          <w:tcPr>
            <w:tcW w:w="1743" w:type="dxa"/>
            <w:vAlign w:val="center"/>
          </w:tcPr>
          <w:p>
            <w:pPr>
              <w:snapToGrid w:val="0"/>
              <w:spacing w:line="288" w:lineRule="auto"/>
              <w:jc w:val="center"/>
              <w:rPr>
                <w:rFonts w:hAnsi="宋体"/>
                <w:szCs w:val="21"/>
                <w:highlight w:val="none"/>
              </w:rPr>
            </w:pPr>
            <w:r>
              <w:rPr>
                <w:rFonts w:hint="eastAsia"/>
                <w:szCs w:val="21"/>
                <w:highlight w:val="none"/>
              </w:rPr>
              <w:t>项目管理团队资格情况</w:t>
            </w:r>
          </w:p>
        </w:tc>
        <w:tc>
          <w:tcPr>
            <w:tcW w:w="642" w:type="dxa"/>
            <w:vAlign w:val="center"/>
          </w:tcPr>
          <w:p>
            <w:pPr>
              <w:snapToGrid w:val="0"/>
              <w:spacing w:line="288" w:lineRule="auto"/>
              <w:jc w:val="center"/>
              <w:rPr>
                <w:rFonts w:hAnsi="宋体"/>
                <w:szCs w:val="21"/>
                <w:highlight w:val="none"/>
              </w:rPr>
            </w:pPr>
            <w:r>
              <w:rPr>
                <w:rFonts w:hint="eastAsia" w:hAnsi="宋体"/>
                <w:szCs w:val="21"/>
                <w:highlight w:val="none"/>
              </w:rPr>
              <w:t>4</w:t>
            </w:r>
          </w:p>
        </w:tc>
        <w:tc>
          <w:tcPr>
            <w:tcW w:w="5960" w:type="dxa"/>
            <w:vAlign w:val="center"/>
          </w:tcPr>
          <w:p>
            <w:pPr>
              <w:snapToGrid w:val="0"/>
              <w:spacing w:line="288" w:lineRule="auto"/>
              <w:rPr>
                <w:rFonts w:hAnsi="宋体" w:cs="仿宋_GB2312"/>
                <w:szCs w:val="21"/>
                <w:highlight w:val="none"/>
              </w:rPr>
            </w:pPr>
            <w:r>
              <w:rPr>
                <w:rFonts w:hint="eastAsia" w:hAnsi="宋体" w:cs="仿宋_GB2312"/>
                <w:szCs w:val="21"/>
                <w:highlight w:val="none"/>
              </w:rPr>
              <w:t>投标人管理团队中的船长、轮机长，持有无限航区高级船长/高级轮机长资质证书，或者持有国家级、省级人才认定证书的，每提供一个人资质证书得1分，最高得4分。需提供高级船长/轮机长职称认定证书扫描件加盖公章，或国家级、省级人才认定证书扫描件加盖公章，以及人员在本单位缴纳近6个月的社保证明加盖公章。（若一人满足多项，按一项计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0" w:hRule="atLeast"/>
          <w:jc w:val="center"/>
        </w:trPr>
        <w:tc>
          <w:tcPr>
            <w:tcW w:w="2260" w:type="dxa"/>
            <w:gridSpan w:val="2"/>
            <w:vAlign w:val="center"/>
          </w:tcPr>
          <w:p>
            <w:pPr>
              <w:snapToGrid w:val="0"/>
              <w:spacing w:line="288" w:lineRule="auto"/>
              <w:jc w:val="center"/>
              <w:rPr>
                <w:rFonts w:cs="宋体"/>
                <w:szCs w:val="21"/>
                <w:highlight w:val="none"/>
              </w:rPr>
            </w:pPr>
            <w:r>
              <w:rPr>
                <w:rFonts w:hint="eastAsia" w:cs="宋体"/>
                <w:szCs w:val="21"/>
                <w:highlight w:val="none"/>
              </w:rPr>
              <w:t>总分</w:t>
            </w:r>
          </w:p>
        </w:tc>
        <w:tc>
          <w:tcPr>
            <w:tcW w:w="642" w:type="dxa"/>
            <w:vAlign w:val="center"/>
          </w:tcPr>
          <w:p>
            <w:pPr>
              <w:snapToGrid w:val="0"/>
              <w:spacing w:line="288" w:lineRule="auto"/>
              <w:jc w:val="center"/>
              <w:rPr>
                <w:rFonts w:hAnsi="宋体"/>
                <w:szCs w:val="21"/>
                <w:highlight w:val="none"/>
              </w:rPr>
            </w:pPr>
            <w:r>
              <w:rPr>
                <w:rFonts w:hint="eastAsia" w:hAnsi="宋体"/>
                <w:szCs w:val="21"/>
                <w:highlight w:val="none"/>
              </w:rPr>
              <w:t>30</w:t>
            </w:r>
          </w:p>
        </w:tc>
        <w:tc>
          <w:tcPr>
            <w:tcW w:w="5960" w:type="dxa"/>
            <w:vAlign w:val="center"/>
          </w:tcPr>
          <w:p>
            <w:pPr>
              <w:snapToGrid w:val="0"/>
              <w:spacing w:line="288" w:lineRule="auto"/>
              <w:rPr>
                <w:rFonts w:hAnsi="宋体" w:cs="仿宋_GB2312"/>
                <w:szCs w:val="21"/>
                <w:highlight w:val="none"/>
              </w:rPr>
            </w:pPr>
          </w:p>
        </w:tc>
      </w:tr>
    </w:tbl>
    <w:p>
      <w:pPr>
        <w:pStyle w:val="2"/>
        <w:rPr>
          <w:highlight w:val="none"/>
        </w:rPr>
      </w:pPr>
    </w:p>
    <w:p>
      <w:pPr>
        <w:pStyle w:val="124"/>
        <w:keepNext w:val="0"/>
        <w:tabs>
          <w:tab w:val="left" w:pos="0"/>
        </w:tabs>
        <w:spacing w:after="0" w:line="360" w:lineRule="auto"/>
        <w:outlineLvl w:val="2"/>
        <w:rPr>
          <w:rFonts w:ascii="宋体" w:hAnsi="宋体" w:cs="宋体"/>
          <w:b/>
          <w:szCs w:val="21"/>
          <w:highlight w:val="none"/>
        </w:rPr>
      </w:pPr>
      <w:r>
        <w:rPr>
          <w:rFonts w:hint="eastAsia" w:ascii="宋体" w:hAnsi="宋体" w:cs="宋体"/>
          <w:b/>
          <w:szCs w:val="21"/>
          <w:highlight w:val="none"/>
        </w:rPr>
        <w:t>2.技术评分标准：（总分：40分）</w:t>
      </w:r>
    </w:p>
    <w:tbl>
      <w:tblPr>
        <w:tblStyle w:val="49"/>
        <w:tblW w:w="88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7"/>
        <w:gridCol w:w="1743"/>
        <w:gridCol w:w="642"/>
        <w:gridCol w:w="59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8862" w:type="dxa"/>
            <w:gridSpan w:val="4"/>
            <w:vAlign w:val="center"/>
          </w:tcPr>
          <w:p>
            <w:pPr>
              <w:snapToGrid w:val="0"/>
              <w:spacing w:line="288" w:lineRule="auto"/>
              <w:jc w:val="center"/>
              <w:rPr>
                <w:rFonts w:hAnsi="宋体" w:cs="仿宋_GB2312"/>
                <w:szCs w:val="21"/>
                <w:highlight w:val="none"/>
              </w:rPr>
            </w:pPr>
            <w:r>
              <w:rPr>
                <w:rFonts w:hint="eastAsia" w:hAnsi="宋体" w:cs="仿宋_GB2312"/>
                <w:b/>
                <w:bCs/>
                <w:szCs w:val="21"/>
                <w:highlight w:val="none"/>
              </w:rPr>
              <w:t>技术评分（40分）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6" w:hRule="atLeast"/>
          <w:jc w:val="center"/>
        </w:trPr>
        <w:tc>
          <w:tcPr>
            <w:tcW w:w="517" w:type="dxa"/>
            <w:vMerge w:val="restart"/>
            <w:vAlign w:val="center"/>
          </w:tcPr>
          <w:p>
            <w:pPr>
              <w:snapToGrid w:val="0"/>
              <w:spacing w:line="288" w:lineRule="auto"/>
              <w:jc w:val="center"/>
              <w:rPr>
                <w:rFonts w:hAnsi="宋体"/>
                <w:szCs w:val="21"/>
                <w:highlight w:val="none"/>
              </w:rPr>
            </w:pPr>
            <w:r>
              <w:rPr>
                <w:rFonts w:hint="eastAsia" w:hAnsi="宋体"/>
                <w:szCs w:val="21"/>
                <w:highlight w:val="none"/>
              </w:rPr>
              <w:t>1</w:t>
            </w:r>
          </w:p>
        </w:tc>
        <w:tc>
          <w:tcPr>
            <w:tcW w:w="1743" w:type="dxa"/>
            <w:vMerge w:val="restart"/>
            <w:vAlign w:val="center"/>
          </w:tcPr>
          <w:p>
            <w:pPr>
              <w:snapToGrid w:val="0"/>
              <w:spacing w:line="288" w:lineRule="auto"/>
              <w:jc w:val="center"/>
              <w:rPr>
                <w:rFonts w:hAnsi="宋体"/>
                <w:szCs w:val="21"/>
                <w:highlight w:val="none"/>
              </w:rPr>
            </w:pPr>
            <w:r>
              <w:rPr>
                <w:highlight w:val="none"/>
              </w:rPr>
              <w:t>服务总体方案</w:t>
            </w:r>
          </w:p>
        </w:tc>
        <w:tc>
          <w:tcPr>
            <w:tcW w:w="642" w:type="dxa"/>
            <w:vAlign w:val="center"/>
          </w:tcPr>
          <w:p>
            <w:pPr>
              <w:snapToGrid w:val="0"/>
              <w:spacing w:line="288" w:lineRule="auto"/>
              <w:jc w:val="center"/>
              <w:rPr>
                <w:rFonts w:hAnsi="宋体"/>
                <w:szCs w:val="21"/>
                <w:highlight w:val="none"/>
              </w:rPr>
            </w:pPr>
            <w:r>
              <w:rPr>
                <w:rFonts w:hint="eastAsia" w:hAnsi="宋体"/>
                <w:szCs w:val="21"/>
                <w:highlight w:val="none"/>
              </w:rPr>
              <w:t>5</w:t>
            </w:r>
          </w:p>
        </w:tc>
        <w:tc>
          <w:tcPr>
            <w:tcW w:w="5960" w:type="dxa"/>
            <w:vAlign w:val="center"/>
          </w:tcPr>
          <w:p>
            <w:pPr>
              <w:snapToGrid w:val="0"/>
              <w:spacing w:line="288" w:lineRule="auto"/>
              <w:rPr>
                <w:spacing w:val="-3"/>
                <w:highlight w:val="none"/>
              </w:rPr>
            </w:pPr>
            <w:r>
              <w:rPr>
                <w:rFonts w:hint="eastAsia"/>
                <w:spacing w:val="-3"/>
                <w:highlight w:val="none"/>
              </w:rPr>
              <w:t xml:space="preserve">根据各投标人提供的服务内容、服务流程、管理服务架构、方法及招聘、人员档案、薪资管理等方案进行综合评价：  </w:t>
            </w:r>
          </w:p>
          <w:p>
            <w:pPr>
              <w:snapToGrid w:val="0"/>
              <w:spacing w:line="288" w:lineRule="auto"/>
              <w:rPr>
                <w:spacing w:val="-3"/>
                <w:highlight w:val="none"/>
              </w:rPr>
            </w:pPr>
            <w:r>
              <w:rPr>
                <w:rFonts w:hint="eastAsia"/>
                <w:spacing w:val="-3"/>
                <w:highlight w:val="none"/>
              </w:rPr>
              <w:t>1.服务内容全面、服务流程完善、管理服务架构合理、管理方法较为先进、有自有的招聘平台、人员档案管理制度全面合理、薪资管理合理，建立多套ISO体系并有效实施,熟练运用ISO体系管理规则，得5分；</w:t>
            </w:r>
          </w:p>
          <w:p>
            <w:pPr>
              <w:snapToGrid w:val="0"/>
              <w:spacing w:line="288" w:lineRule="auto"/>
              <w:rPr>
                <w:spacing w:val="-3"/>
                <w:highlight w:val="none"/>
              </w:rPr>
            </w:pPr>
            <w:r>
              <w:rPr>
                <w:rFonts w:hint="eastAsia"/>
                <w:spacing w:val="-3"/>
                <w:highlight w:val="none"/>
              </w:rPr>
              <w:t>2.服务内容较为全面、服务流程较为完善、管理服务架构较为合理、管理方法欠合理、有稳定合作的招聘渠道、人员档案管理制度合理、薪资管理合理，具有建立ISO体系的能力，熟悉ISO体系管理规则，得4分；</w:t>
            </w:r>
          </w:p>
          <w:p>
            <w:pPr>
              <w:snapToGrid w:val="0"/>
              <w:spacing w:line="288" w:lineRule="auto"/>
              <w:rPr>
                <w:spacing w:val="-3"/>
                <w:highlight w:val="none"/>
              </w:rPr>
            </w:pPr>
            <w:r>
              <w:rPr>
                <w:rFonts w:hint="eastAsia"/>
                <w:spacing w:val="-3"/>
                <w:highlight w:val="none"/>
              </w:rPr>
              <w:t>3.服务内容不全面、服务流程欠完善、管理服务架构欠合理、管理方法保守、有承诺为项目开设招聘渠道、人员档案管理制度一般、薪资管理欠合理，知晓ISO体系管理规则，得2分；</w:t>
            </w:r>
          </w:p>
          <w:p>
            <w:pPr>
              <w:snapToGrid w:val="0"/>
              <w:spacing w:line="288" w:lineRule="auto"/>
              <w:rPr>
                <w:rFonts w:cs="宋体"/>
                <w:szCs w:val="21"/>
                <w:highlight w:val="none"/>
              </w:rPr>
            </w:pPr>
            <w:r>
              <w:rPr>
                <w:rFonts w:hint="eastAsia"/>
                <w:spacing w:val="-3"/>
                <w:highlight w:val="none"/>
              </w:rPr>
              <w:t>4.服务内容及服务流程简单、管理服务架构不合理、管理方法落后、没有招聘渠道、人员档案管理制度不合理、薪资管理不合理，或者均为通用说明、不具有针对性的，无ISO体系管理经验的得1分。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6" w:hRule="atLeast"/>
          <w:jc w:val="center"/>
        </w:trPr>
        <w:tc>
          <w:tcPr>
            <w:tcW w:w="517" w:type="dxa"/>
            <w:vMerge w:val="continue"/>
            <w:vAlign w:val="center"/>
          </w:tcPr>
          <w:p>
            <w:pPr>
              <w:snapToGrid w:val="0"/>
              <w:spacing w:line="288" w:lineRule="auto"/>
              <w:jc w:val="center"/>
              <w:rPr>
                <w:rFonts w:hAnsi="宋体"/>
                <w:szCs w:val="21"/>
                <w:highlight w:val="none"/>
              </w:rPr>
            </w:pPr>
          </w:p>
        </w:tc>
        <w:tc>
          <w:tcPr>
            <w:tcW w:w="1743" w:type="dxa"/>
            <w:vMerge w:val="continue"/>
            <w:vAlign w:val="center"/>
          </w:tcPr>
          <w:p>
            <w:pPr>
              <w:snapToGrid w:val="0"/>
              <w:spacing w:line="288" w:lineRule="auto"/>
              <w:jc w:val="center"/>
              <w:rPr>
                <w:highlight w:val="none"/>
              </w:rPr>
            </w:pPr>
          </w:p>
        </w:tc>
        <w:tc>
          <w:tcPr>
            <w:tcW w:w="642" w:type="dxa"/>
            <w:vAlign w:val="center"/>
          </w:tcPr>
          <w:p>
            <w:pPr>
              <w:snapToGrid w:val="0"/>
              <w:spacing w:line="288" w:lineRule="auto"/>
              <w:jc w:val="center"/>
              <w:rPr>
                <w:rFonts w:hAnsi="宋体"/>
                <w:szCs w:val="21"/>
                <w:highlight w:val="none"/>
              </w:rPr>
            </w:pPr>
            <w:r>
              <w:rPr>
                <w:rFonts w:hint="eastAsia" w:hAnsi="宋体"/>
                <w:szCs w:val="21"/>
                <w:highlight w:val="none"/>
              </w:rPr>
              <w:t>4</w:t>
            </w:r>
          </w:p>
        </w:tc>
        <w:tc>
          <w:tcPr>
            <w:tcW w:w="5960" w:type="dxa"/>
            <w:vAlign w:val="center"/>
          </w:tcPr>
          <w:p>
            <w:pPr>
              <w:snapToGrid w:val="0"/>
              <w:spacing w:line="288" w:lineRule="auto"/>
              <w:rPr>
                <w:spacing w:val="-3"/>
                <w:highlight w:val="none"/>
              </w:rPr>
            </w:pPr>
            <w:r>
              <w:rPr>
                <w:rFonts w:hint="eastAsia"/>
                <w:spacing w:val="-3"/>
                <w:highlight w:val="none"/>
              </w:rPr>
              <w:t xml:space="preserve">客户服务及关系维护方案（含风险防范、增值服务等）： </w:t>
            </w:r>
          </w:p>
          <w:p>
            <w:pPr>
              <w:snapToGrid w:val="0"/>
              <w:spacing w:line="288" w:lineRule="auto"/>
              <w:rPr>
                <w:spacing w:val="-3"/>
                <w:highlight w:val="none"/>
              </w:rPr>
            </w:pPr>
            <w:r>
              <w:rPr>
                <w:rFonts w:hint="eastAsia"/>
                <w:spacing w:val="-3"/>
                <w:highlight w:val="none"/>
              </w:rPr>
              <w:t>1.风险防范全面、且均有合理的应对措施，提供的增值服务有利于项目实施，得4分；</w:t>
            </w:r>
          </w:p>
          <w:p>
            <w:pPr>
              <w:snapToGrid w:val="0"/>
              <w:spacing w:line="288" w:lineRule="auto"/>
              <w:rPr>
                <w:spacing w:val="-3"/>
                <w:highlight w:val="none"/>
              </w:rPr>
            </w:pPr>
            <w:r>
              <w:rPr>
                <w:rFonts w:hint="eastAsia"/>
                <w:spacing w:val="-3"/>
                <w:highlight w:val="none"/>
              </w:rPr>
              <w:t>2.风险防范较为全面、且均有应对措施，提供的增值服务较为利于项目实施，得3分；</w:t>
            </w:r>
          </w:p>
          <w:p>
            <w:pPr>
              <w:snapToGrid w:val="0"/>
              <w:spacing w:line="288" w:lineRule="auto"/>
              <w:rPr>
                <w:spacing w:val="-3"/>
                <w:highlight w:val="none"/>
              </w:rPr>
            </w:pPr>
            <w:r>
              <w:rPr>
                <w:rFonts w:hint="eastAsia"/>
                <w:spacing w:val="-3"/>
                <w:highlight w:val="none"/>
              </w:rPr>
              <w:t>3.风险防范不全面、没有应对措施，提供的增值服务对项目实施并无益，得2分；</w:t>
            </w:r>
          </w:p>
          <w:p>
            <w:pPr>
              <w:snapToGrid w:val="0"/>
              <w:spacing w:line="288" w:lineRule="auto"/>
              <w:rPr>
                <w:spacing w:val="-3"/>
                <w:highlight w:val="none"/>
              </w:rPr>
            </w:pPr>
            <w:r>
              <w:rPr>
                <w:rFonts w:hint="eastAsia"/>
                <w:spacing w:val="-3"/>
                <w:highlight w:val="none"/>
              </w:rPr>
              <w:t>4.风险防范较为不全面、没有应对措施，没有增值服务，或者均为通用说明，不具有针对性的，得1分。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6" w:hRule="atLeast"/>
          <w:jc w:val="center"/>
        </w:trPr>
        <w:tc>
          <w:tcPr>
            <w:tcW w:w="517" w:type="dxa"/>
            <w:vAlign w:val="center"/>
          </w:tcPr>
          <w:p>
            <w:pPr>
              <w:snapToGrid w:val="0"/>
              <w:spacing w:line="288" w:lineRule="auto"/>
              <w:jc w:val="center"/>
              <w:rPr>
                <w:rFonts w:hAnsi="宋体"/>
                <w:szCs w:val="21"/>
                <w:highlight w:val="none"/>
              </w:rPr>
            </w:pPr>
            <w:r>
              <w:rPr>
                <w:rFonts w:hint="eastAsia" w:hAnsi="宋体"/>
                <w:szCs w:val="21"/>
                <w:highlight w:val="none"/>
              </w:rPr>
              <w:t>2</w:t>
            </w:r>
          </w:p>
        </w:tc>
        <w:tc>
          <w:tcPr>
            <w:tcW w:w="1743" w:type="dxa"/>
            <w:vAlign w:val="center"/>
          </w:tcPr>
          <w:p>
            <w:pPr>
              <w:snapToGrid w:val="0"/>
              <w:spacing w:line="288" w:lineRule="auto"/>
              <w:jc w:val="center"/>
              <w:rPr>
                <w:rFonts w:hAnsi="宋体"/>
                <w:szCs w:val="21"/>
                <w:highlight w:val="none"/>
              </w:rPr>
            </w:pPr>
            <w:r>
              <w:rPr>
                <w:highlight w:val="none"/>
              </w:rPr>
              <w:t>临时突击性工作及突发事件应急保障措施</w:t>
            </w:r>
          </w:p>
        </w:tc>
        <w:tc>
          <w:tcPr>
            <w:tcW w:w="642" w:type="dxa"/>
            <w:vAlign w:val="center"/>
          </w:tcPr>
          <w:p>
            <w:pPr>
              <w:snapToGrid w:val="0"/>
              <w:spacing w:line="288" w:lineRule="auto"/>
              <w:jc w:val="center"/>
              <w:rPr>
                <w:rFonts w:hAnsi="宋体"/>
                <w:szCs w:val="21"/>
                <w:highlight w:val="none"/>
              </w:rPr>
            </w:pPr>
            <w:r>
              <w:rPr>
                <w:rFonts w:hint="eastAsia" w:hAnsi="宋体"/>
                <w:szCs w:val="21"/>
                <w:highlight w:val="none"/>
              </w:rPr>
              <w:t>6</w:t>
            </w:r>
          </w:p>
        </w:tc>
        <w:tc>
          <w:tcPr>
            <w:tcW w:w="5960" w:type="dxa"/>
            <w:vAlign w:val="center"/>
          </w:tcPr>
          <w:p>
            <w:pPr>
              <w:snapToGrid w:val="0"/>
              <w:spacing w:line="288" w:lineRule="auto"/>
              <w:rPr>
                <w:rFonts w:hAnsi="宋体" w:cs="仿宋_GB2312"/>
                <w:szCs w:val="21"/>
                <w:highlight w:val="none"/>
              </w:rPr>
            </w:pPr>
            <w:r>
              <w:rPr>
                <w:rFonts w:hint="eastAsia" w:hAnsi="宋体" w:cs="仿宋_GB2312"/>
                <w:szCs w:val="21"/>
                <w:highlight w:val="none"/>
              </w:rPr>
              <w:t>根据各投标人提供的临时突击性工作及突发事件应急保障措施（含人员补给、调配方案、应急预案、应急规章制度和职责、应急技能培训和演练及相应的条件和流程等）进行综合评价：</w:t>
            </w:r>
          </w:p>
          <w:p>
            <w:pPr>
              <w:snapToGrid w:val="0"/>
              <w:spacing w:line="288" w:lineRule="auto"/>
              <w:rPr>
                <w:rFonts w:hAnsi="宋体" w:cs="仿宋_GB2312"/>
                <w:szCs w:val="21"/>
                <w:highlight w:val="none"/>
              </w:rPr>
            </w:pPr>
            <w:r>
              <w:rPr>
                <w:rFonts w:hint="eastAsia" w:hAnsi="宋体" w:cs="仿宋_GB2312"/>
                <w:szCs w:val="21"/>
                <w:highlight w:val="none"/>
              </w:rPr>
              <w:t>1.方案合理全面，可实施性强，得6分；</w:t>
            </w:r>
          </w:p>
          <w:p>
            <w:pPr>
              <w:snapToGrid w:val="0"/>
              <w:spacing w:line="288" w:lineRule="auto"/>
              <w:rPr>
                <w:rFonts w:hAnsi="宋体" w:cs="仿宋_GB2312"/>
                <w:szCs w:val="21"/>
                <w:highlight w:val="none"/>
              </w:rPr>
            </w:pPr>
            <w:r>
              <w:rPr>
                <w:rFonts w:hint="eastAsia" w:hAnsi="宋体" w:cs="仿宋_GB2312"/>
                <w:szCs w:val="21"/>
                <w:highlight w:val="none"/>
              </w:rPr>
              <w:t>2.方案较合理，可实践实施，得4分；</w:t>
            </w:r>
          </w:p>
          <w:p>
            <w:pPr>
              <w:snapToGrid w:val="0"/>
              <w:spacing w:line="288" w:lineRule="auto"/>
              <w:rPr>
                <w:rFonts w:hAnsi="宋体" w:cs="仿宋_GB2312"/>
                <w:szCs w:val="21"/>
                <w:highlight w:val="none"/>
              </w:rPr>
            </w:pPr>
            <w:r>
              <w:rPr>
                <w:rFonts w:hint="eastAsia" w:hAnsi="宋体" w:cs="仿宋_GB2312"/>
                <w:szCs w:val="21"/>
                <w:highlight w:val="none"/>
              </w:rPr>
              <w:t>3.方案一般，具有一定的可实践实施性，得2分；</w:t>
            </w:r>
          </w:p>
          <w:p>
            <w:pPr>
              <w:snapToGrid w:val="0"/>
              <w:spacing w:line="288" w:lineRule="auto"/>
              <w:rPr>
                <w:rFonts w:cs="宋体"/>
                <w:szCs w:val="21"/>
                <w:highlight w:val="none"/>
              </w:rPr>
            </w:pPr>
            <w:r>
              <w:rPr>
                <w:rFonts w:hint="eastAsia" w:hAnsi="宋体" w:cs="仿宋_GB2312"/>
                <w:szCs w:val="21"/>
                <w:highlight w:val="none"/>
              </w:rPr>
              <w:t>4.方案较差、均为通用性的说明、不具有实践实施性，得1分。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6" w:hRule="atLeast"/>
          <w:jc w:val="center"/>
        </w:trPr>
        <w:tc>
          <w:tcPr>
            <w:tcW w:w="517" w:type="dxa"/>
            <w:vAlign w:val="center"/>
          </w:tcPr>
          <w:p>
            <w:pPr>
              <w:snapToGrid w:val="0"/>
              <w:spacing w:line="288" w:lineRule="auto"/>
              <w:jc w:val="center"/>
              <w:rPr>
                <w:rFonts w:hAnsi="宋体"/>
                <w:szCs w:val="21"/>
                <w:highlight w:val="none"/>
              </w:rPr>
            </w:pPr>
            <w:r>
              <w:rPr>
                <w:rFonts w:hint="eastAsia" w:hAnsi="宋体"/>
                <w:szCs w:val="21"/>
                <w:highlight w:val="none"/>
              </w:rPr>
              <w:t>3</w:t>
            </w:r>
          </w:p>
        </w:tc>
        <w:tc>
          <w:tcPr>
            <w:tcW w:w="1743" w:type="dxa"/>
            <w:vAlign w:val="center"/>
          </w:tcPr>
          <w:p>
            <w:pPr>
              <w:snapToGrid w:val="0"/>
              <w:spacing w:line="288" w:lineRule="auto"/>
              <w:jc w:val="center"/>
              <w:rPr>
                <w:rFonts w:hAnsi="宋体"/>
                <w:szCs w:val="21"/>
                <w:highlight w:val="none"/>
              </w:rPr>
            </w:pPr>
            <w:r>
              <w:rPr>
                <w:rFonts w:hint="eastAsia"/>
                <w:highlight w:val="none"/>
              </w:rPr>
              <w:t>船员培训和考核</w:t>
            </w:r>
            <w:r>
              <w:rPr>
                <w:highlight w:val="none"/>
              </w:rPr>
              <w:t>保障措施</w:t>
            </w:r>
          </w:p>
        </w:tc>
        <w:tc>
          <w:tcPr>
            <w:tcW w:w="642" w:type="dxa"/>
            <w:vAlign w:val="center"/>
          </w:tcPr>
          <w:p>
            <w:pPr>
              <w:snapToGrid w:val="0"/>
              <w:spacing w:line="288" w:lineRule="auto"/>
              <w:jc w:val="center"/>
              <w:rPr>
                <w:rFonts w:hAnsi="宋体"/>
                <w:szCs w:val="21"/>
                <w:highlight w:val="none"/>
              </w:rPr>
            </w:pPr>
            <w:r>
              <w:rPr>
                <w:rFonts w:hint="eastAsia" w:hAnsi="宋体"/>
                <w:szCs w:val="21"/>
                <w:highlight w:val="none"/>
              </w:rPr>
              <w:t>10</w:t>
            </w:r>
          </w:p>
        </w:tc>
        <w:tc>
          <w:tcPr>
            <w:tcW w:w="5960" w:type="dxa"/>
            <w:vAlign w:val="center"/>
          </w:tcPr>
          <w:p>
            <w:pPr>
              <w:snapToGrid w:val="0"/>
              <w:spacing w:line="288" w:lineRule="auto"/>
              <w:rPr>
                <w:rFonts w:hAnsi="宋体" w:cs="仿宋_GB2312"/>
                <w:szCs w:val="21"/>
                <w:highlight w:val="none"/>
              </w:rPr>
            </w:pPr>
            <w:r>
              <w:rPr>
                <w:rFonts w:hint="eastAsia" w:hAnsi="宋体" w:cs="仿宋_GB2312"/>
                <w:szCs w:val="21"/>
                <w:highlight w:val="none"/>
              </w:rPr>
              <w:t>根据各投标人提供的船员培训和考核保障措施进行综合评分：</w:t>
            </w:r>
          </w:p>
          <w:p>
            <w:pPr>
              <w:snapToGrid w:val="0"/>
              <w:spacing w:line="288" w:lineRule="auto"/>
              <w:rPr>
                <w:rFonts w:hAnsi="宋体" w:cs="仿宋_GB2312"/>
                <w:szCs w:val="21"/>
                <w:highlight w:val="none"/>
              </w:rPr>
            </w:pPr>
            <w:r>
              <w:rPr>
                <w:rFonts w:hint="eastAsia" w:hAnsi="宋体" w:cs="仿宋_GB2312"/>
                <w:szCs w:val="21"/>
                <w:highlight w:val="none"/>
              </w:rPr>
              <w:t>1.具有适用科学考察船的船员培训、考核措施和制度，制度成熟实用； 管理团队配置有专业能力的培训人员和管理人员，培训经验丰富，考核制度有效运行，得10分；</w:t>
            </w:r>
          </w:p>
          <w:p>
            <w:pPr>
              <w:snapToGrid w:val="0"/>
              <w:spacing w:line="288" w:lineRule="auto"/>
              <w:rPr>
                <w:rFonts w:hAnsi="宋体" w:cs="仿宋_GB2312"/>
                <w:szCs w:val="21"/>
                <w:highlight w:val="none"/>
              </w:rPr>
            </w:pPr>
            <w:r>
              <w:rPr>
                <w:rFonts w:hint="eastAsia" w:hAnsi="宋体" w:cs="仿宋_GB2312"/>
                <w:szCs w:val="21"/>
                <w:highlight w:val="none"/>
              </w:rPr>
              <w:t>2.具有适用科学考察船的船员培训、考核措施和制度，制度较为实用；管理团队配置有专业能力的培训人员和管理人员，培训经验较为丰富，考核制度可实践实施，得5分；</w:t>
            </w:r>
          </w:p>
          <w:p>
            <w:pPr>
              <w:snapToGrid w:val="0"/>
              <w:spacing w:line="288" w:lineRule="auto"/>
              <w:rPr>
                <w:rFonts w:hAnsi="宋体" w:cs="仿宋_GB2312"/>
                <w:szCs w:val="21"/>
                <w:highlight w:val="none"/>
              </w:rPr>
            </w:pPr>
            <w:r>
              <w:rPr>
                <w:rFonts w:hint="eastAsia" w:hAnsi="宋体" w:cs="仿宋_GB2312"/>
                <w:szCs w:val="21"/>
                <w:highlight w:val="none"/>
              </w:rPr>
              <w:t>3.具有适用科学考察船的船员培训、考核措施和制度，制度可操作；管理团队配置有专业能力的培训人员，培训经验一般，考核制度可操作性不强，得1分；</w:t>
            </w:r>
          </w:p>
          <w:p>
            <w:pPr>
              <w:snapToGrid w:val="0"/>
              <w:spacing w:line="288" w:lineRule="auto"/>
              <w:rPr>
                <w:rFonts w:hAnsi="宋体" w:cs="仿宋_GB2312"/>
                <w:szCs w:val="21"/>
                <w:highlight w:val="none"/>
              </w:rPr>
            </w:pPr>
            <w:r>
              <w:rPr>
                <w:rFonts w:hint="eastAsia" w:hAnsi="宋体" w:cs="仿宋_GB2312"/>
                <w:szCs w:val="21"/>
                <w:highlight w:val="none"/>
              </w:rPr>
              <w:t>4.没有适用科学考察船的船员培训、考核措施和制度，得0分。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6" w:hRule="atLeast"/>
          <w:jc w:val="center"/>
        </w:trPr>
        <w:tc>
          <w:tcPr>
            <w:tcW w:w="517" w:type="dxa"/>
            <w:vAlign w:val="center"/>
          </w:tcPr>
          <w:p>
            <w:pPr>
              <w:snapToGrid w:val="0"/>
              <w:spacing w:line="288" w:lineRule="auto"/>
              <w:jc w:val="center"/>
              <w:rPr>
                <w:rFonts w:hAnsi="宋体"/>
                <w:szCs w:val="21"/>
                <w:highlight w:val="none"/>
              </w:rPr>
            </w:pPr>
            <w:r>
              <w:rPr>
                <w:rFonts w:hint="eastAsia" w:hAnsi="宋体"/>
                <w:szCs w:val="21"/>
                <w:highlight w:val="none"/>
              </w:rPr>
              <w:t>4</w:t>
            </w:r>
          </w:p>
        </w:tc>
        <w:tc>
          <w:tcPr>
            <w:tcW w:w="1743" w:type="dxa"/>
            <w:vAlign w:val="center"/>
          </w:tcPr>
          <w:p>
            <w:pPr>
              <w:snapToGrid w:val="0"/>
              <w:spacing w:line="288" w:lineRule="auto"/>
              <w:jc w:val="center"/>
              <w:rPr>
                <w:rFonts w:hAnsi="宋体"/>
                <w:szCs w:val="21"/>
                <w:highlight w:val="none"/>
              </w:rPr>
            </w:pPr>
            <w:r>
              <w:rPr>
                <w:rFonts w:hint="eastAsia"/>
                <w:highlight w:val="none"/>
              </w:rPr>
              <w:t>人文关怀和激励</w:t>
            </w:r>
            <w:r>
              <w:rPr>
                <w:highlight w:val="none"/>
              </w:rPr>
              <w:t>保障措施</w:t>
            </w:r>
          </w:p>
        </w:tc>
        <w:tc>
          <w:tcPr>
            <w:tcW w:w="642" w:type="dxa"/>
            <w:vAlign w:val="center"/>
          </w:tcPr>
          <w:p>
            <w:pPr>
              <w:snapToGrid w:val="0"/>
              <w:spacing w:line="288" w:lineRule="auto"/>
              <w:jc w:val="center"/>
              <w:rPr>
                <w:rFonts w:hAnsi="宋体"/>
                <w:szCs w:val="21"/>
                <w:highlight w:val="none"/>
              </w:rPr>
            </w:pPr>
            <w:r>
              <w:rPr>
                <w:rFonts w:hint="eastAsia" w:hAnsi="宋体"/>
                <w:szCs w:val="21"/>
                <w:highlight w:val="none"/>
              </w:rPr>
              <w:t>10</w:t>
            </w:r>
          </w:p>
        </w:tc>
        <w:tc>
          <w:tcPr>
            <w:tcW w:w="5960" w:type="dxa"/>
            <w:vAlign w:val="center"/>
          </w:tcPr>
          <w:p>
            <w:pPr>
              <w:snapToGrid w:val="0"/>
              <w:spacing w:line="288" w:lineRule="auto"/>
              <w:rPr>
                <w:rFonts w:hAnsi="宋体" w:cs="仿宋_GB2312"/>
                <w:szCs w:val="21"/>
                <w:highlight w:val="none"/>
              </w:rPr>
            </w:pPr>
            <w:r>
              <w:rPr>
                <w:rFonts w:hint="eastAsia" w:hAnsi="宋体" w:cs="仿宋_GB2312"/>
                <w:szCs w:val="21"/>
                <w:highlight w:val="none"/>
              </w:rPr>
              <w:t xml:space="preserve">根据各投标人提供的船员人文关怀和激励保障措施进行综合评分： </w:t>
            </w:r>
          </w:p>
          <w:p>
            <w:pPr>
              <w:snapToGrid w:val="0"/>
              <w:spacing w:line="288" w:lineRule="auto"/>
              <w:rPr>
                <w:rFonts w:hAnsi="宋体" w:cs="仿宋_GB2312"/>
                <w:szCs w:val="21"/>
                <w:highlight w:val="none"/>
              </w:rPr>
            </w:pPr>
            <w:r>
              <w:rPr>
                <w:rFonts w:hint="eastAsia" w:hAnsi="宋体" w:cs="仿宋_GB2312"/>
                <w:szCs w:val="21"/>
                <w:highlight w:val="none"/>
              </w:rPr>
              <w:t>1.具有船员人文关怀、激励措施和制度，制度成熟实用； 具有丰富人文关怀活动实例，得10分；</w:t>
            </w:r>
          </w:p>
          <w:p>
            <w:pPr>
              <w:snapToGrid w:val="0"/>
              <w:spacing w:line="288" w:lineRule="auto"/>
              <w:rPr>
                <w:rFonts w:hAnsi="宋体" w:cs="仿宋_GB2312"/>
                <w:szCs w:val="21"/>
                <w:highlight w:val="none"/>
              </w:rPr>
            </w:pPr>
            <w:r>
              <w:rPr>
                <w:rFonts w:hint="eastAsia" w:hAnsi="宋体" w:cs="仿宋_GB2312"/>
                <w:szCs w:val="21"/>
                <w:highlight w:val="none"/>
              </w:rPr>
              <w:t>2.具有船员人文关怀、激励措施和制度，制度较为实用； 具有一定的人文关怀活动实例，得6分；</w:t>
            </w:r>
          </w:p>
          <w:p>
            <w:pPr>
              <w:snapToGrid w:val="0"/>
              <w:spacing w:line="288" w:lineRule="auto"/>
              <w:rPr>
                <w:rFonts w:hAnsi="宋体" w:cs="仿宋_GB2312"/>
                <w:szCs w:val="21"/>
                <w:highlight w:val="none"/>
              </w:rPr>
            </w:pPr>
            <w:r>
              <w:rPr>
                <w:rFonts w:hint="eastAsia" w:hAnsi="宋体" w:cs="仿宋_GB2312"/>
                <w:szCs w:val="21"/>
                <w:highlight w:val="none"/>
              </w:rPr>
              <w:t>3.具有船员人文关怀、激励措施和制度，制度具有一定的可实践实施性，无人文关怀活动实例，得2分。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6" w:hRule="atLeast"/>
          <w:jc w:val="center"/>
        </w:trPr>
        <w:tc>
          <w:tcPr>
            <w:tcW w:w="517" w:type="dxa"/>
            <w:vAlign w:val="center"/>
          </w:tcPr>
          <w:p>
            <w:pPr>
              <w:snapToGrid w:val="0"/>
              <w:spacing w:line="288" w:lineRule="auto"/>
              <w:jc w:val="center"/>
              <w:rPr>
                <w:rFonts w:hAnsi="宋体"/>
                <w:szCs w:val="21"/>
                <w:highlight w:val="none"/>
              </w:rPr>
            </w:pPr>
            <w:r>
              <w:rPr>
                <w:rFonts w:hint="eastAsia" w:hAnsi="宋体"/>
                <w:szCs w:val="21"/>
                <w:highlight w:val="none"/>
              </w:rPr>
              <w:t>5</w:t>
            </w:r>
          </w:p>
        </w:tc>
        <w:tc>
          <w:tcPr>
            <w:tcW w:w="1743" w:type="dxa"/>
            <w:vAlign w:val="center"/>
          </w:tcPr>
          <w:p>
            <w:pPr>
              <w:snapToGrid w:val="0"/>
              <w:spacing w:line="288" w:lineRule="auto"/>
              <w:jc w:val="center"/>
              <w:rPr>
                <w:rFonts w:hAnsi="宋体"/>
                <w:szCs w:val="21"/>
                <w:highlight w:val="none"/>
              </w:rPr>
            </w:pPr>
            <w:r>
              <w:rPr>
                <w:highlight w:val="none"/>
              </w:rPr>
              <w:t>船员待遇保障水平</w:t>
            </w:r>
          </w:p>
        </w:tc>
        <w:tc>
          <w:tcPr>
            <w:tcW w:w="642" w:type="dxa"/>
            <w:vAlign w:val="center"/>
          </w:tcPr>
          <w:p>
            <w:pPr>
              <w:snapToGrid w:val="0"/>
              <w:spacing w:line="288" w:lineRule="auto"/>
              <w:jc w:val="center"/>
              <w:rPr>
                <w:rFonts w:hAnsi="宋体"/>
                <w:szCs w:val="21"/>
                <w:highlight w:val="none"/>
              </w:rPr>
            </w:pPr>
            <w:r>
              <w:rPr>
                <w:rFonts w:hint="eastAsia" w:hAnsi="宋体"/>
                <w:szCs w:val="21"/>
                <w:highlight w:val="none"/>
              </w:rPr>
              <w:t>5</w:t>
            </w:r>
          </w:p>
        </w:tc>
        <w:tc>
          <w:tcPr>
            <w:tcW w:w="5960" w:type="dxa"/>
            <w:vAlign w:val="center"/>
          </w:tcPr>
          <w:p>
            <w:pPr>
              <w:snapToGrid w:val="0"/>
              <w:spacing w:line="288" w:lineRule="auto"/>
              <w:rPr>
                <w:rFonts w:cs="宋体"/>
                <w:szCs w:val="21"/>
                <w:highlight w:val="none"/>
              </w:rPr>
            </w:pPr>
            <w:r>
              <w:rPr>
                <w:rFonts w:hint="eastAsia" w:cs="宋体"/>
                <w:szCs w:val="21"/>
                <w:highlight w:val="none"/>
              </w:rPr>
              <w:t>根据投标单位在不低于国家相关薪酬待遇的最低标准上所提供针对船员薪酬待遇保障方案进行评审，保障方案全面合理，条款有全面针对性的得5分，保障方案较好，条款有一定针对性的得3分，保障方案一般，条款无针对性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6" w:hRule="atLeast"/>
          <w:jc w:val="center"/>
        </w:trPr>
        <w:tc>
          <w:tcPr>
            <w:tcW w:w="2260" w:type="dxa"/>
            <w:gridSpan w:val="2"/>
            <w:vAlign w:val="center"/>
          </w:tcPr>
          <w:p>
            <w:pPr>
              <w:snapToGrid w:val="0"/>
              <w:spacing w:line="288" w:lineRule="auto"/>
              <w:jc w:val="center"/>
              <w:rPr>
                <w:rFonts w:hAnsi="宋体"/>
                <w:szCs w:val="21"/>
                <w:highlight w:val="none"/>
              </w:rPr>
            </w:pPr>
            <w:r>
              <w:rPr>
                <w:rFonts w:hint="eastAsia" w:hAnsi="宋体"/>
                <w:szCs w:val="21"/>
                <w:highlight w:val="none"/>
              </w:rPr>
              <w:t>总分</w:t>
            </w:r>
          </w:p>
        </w:tc>
        <w:tc>
          <w:tcPr>
            <w:tcW w:w="642" w:type="dxa"/>
            <w:vAlign w:val="center"/>
          </w:tcPr>
          <w:p>
            <w:pPr>
              <w:snapToGrid w:val="0"/>
              <w:spacing w:line="288" w:lineRule="auto"/>
              <w:jc w:val="center"/>
              <w:rPr>
                <w:rFonts w:hAnsi="宋体"/>
                <w:szCs w:val="21"/>
                <w:highlight w:val="none"/>
              </w:rPr>
            </w:pPr>
            <w:r>
              <w:rPr>
                <w:rFonts w:hint="eastAsia" w:hAnsi="宋体"/>
                <w:szCs w:val="21"/>
                <w:highlight w:val="none"/>
              </w:rPr>
              <w:t>40</w:t>
            </w:r>
          </w:p>
        </w:tc>
        <w:tc>
          <w:tcPr>
            <w:tcW w:w="5960" w:type="dxa"/>
            <w:vAlign w:val="center"/>
          </w:tcPr>
          <w:p>
            <w:pPr>
              <w:snapToGrid w:val="0"/>
              <w:spacing w:line="288" w:lineRule="auto"/>
              <w:rPr>
                <w:rFonts w:hAnsi="宋体" w:cs="宋体"/>
                <w:szCs w:val="21"/>
                <w:highlight w:val="none"/>
              </w:rPr>
            </w:pPr>
          </w:p>
        </w:tc>
      </w:tr>
    </w:tbl>
    <w:p>
      <w:pPr>
        <w:pStyle w:val="2"/>
        <w:rPr>
          <w:highlight w:val="none"/>
        </w:rPr>
      </w:pPr>
    </w:p>
    <w:p>
      <w:pPr>
        <w:spacing w:line="360" w:lineRule="auto"/>
        <w:rPr>
          <w:rFonts w:hAnsi="宋体" w:cs="宋体"/>
          <w:b/>
          <w:szCs w:val="21"/>
          <w:highlight w:val="none"/>
        </w:rPr>
      </w:pPr>
    </w:p>
    <w:p>
      <w:pPr>
        <w:pStyle w:val="2"/>
        <w:rPr>
          <w:highlight w:val="none"/>
        </w:rPr>
      </w:pPr>
    </w:p>
    <w:p>
      <w:pPr>
        <w:pStyle w:val="3"/>
        <w:rPr>
          <w:highlight w:val="none"/>
        </w:rPr>
      </w:pPr>
    </w:p>
    <w:p>
      <w:pPr>
        <w:spacing w:line="360" w:lineRule="auto"/>
        <w:rPr>
          <w:rFonts w:hAnsi="宋体" w:cs="宋体"/>
          <w:b/>
          <w:szCs w:val="21"/>
          <w:highlight w:val="none"/>
        </w:rPr>
      </w:pPr>
      <w:r>
        <w:rPr>
          <w:rFonts w:hint="eastAsia" w:hAnsi="宋体" w:cs="宋体"/>
          <w:b/>
          <w:szCs w:val="21"/>
          <w:highlight w:val="none"/>
        </w:rPr>
        <w:t>2.价格分值：30分</w:t>
      </w:r>
    </w:p>
    <w:p>
      <w:pPr>
        <w:spacing w:line="360" w:lineRule="auto"/>
        <w:rPr>
          <w:rFonts w:hAnsi="宋体" w:cs="宋体"/>
          <w:szCs w:val="21"/>
          <w:highlight w:val="none"/>
        </w:rPr>
      </w:pPr>
      <w:r>
        <w:rPr>
          <w:rFonts w:hint="eastAsia" w:hAnsi="宋体" w:cs="宋体"/>
          <w:szCs w:val="21"/>
          <w:highlight w:val="none"/>
        </w:rPr>
        <w:t>投标报价得分=船员成本费用报价得分 + 管理费报价得分</w:t>
      </w:r>
    </w:p>
    <w:p>
      <w:pPr>
        <w:spacing w:line="360" w:lineRule="auto"/>
        <w:rPr>
          <w:rFonts w:hAnsi="宋体" w:cs="宋体"/>
          <w:szCs w:val="21"/>
          <w:highlight w:val="none"/>
        </w:rPr>
      </w:pPr>
      <w:r>
        <w:rPr>
          <w:rFonts w:hint="eastAsia" w:hAnsi="宋体" w:cs="宋体"/>
          <w:szCs w:val="21"/>
          <w:highlight w:val="none"/>
        </w:rPr>
        <w:t>本项目的价格分采用低价优先法计算，按以下标准计算：</w:t>
      </w:r>
    </w:p>
    <w:p>
      <w:pPr>
        <w:numPr>
          <w:ilvl w:val="0"/>
          <w:numId w:val="26"/>
        </w:numPr>
        <w:spacing w:line="360" w:lineRule="auto"/>
        <w:rPr>
          <w:rFonts w:hAnsi="宋体" w:cs="宋体"/>
          <w:b/>
          <w:szCs w:val="21"/>
          <w:highlight w:val="none"/>
        </w:rPr>
      </w:pPr>
      <w:r>
        <w:rPr>
          <w:rFonts w:hint="eastAsia" w:hAnsi="宋体" w:cs="宋体"/>
          <w:b/>
          <w:bCs/>
          <w:szCs w:val="21"/>
          <w:highlight w:val="none"/>
        </w:rPr>
        <w:t>船员成本费用投标报价得分：</w:t>
      </w:r>
      <w:r>
        <w:rPr>
          <w:rFonts w:hint="eastAsia" w:hAnsi="宋体" w:cs="宋体"/>
          <w:szCs w:val="21"/>
          <w:highlight w:val="none"/>
        </w:rPr>
        <w:t>根据通过本项目资格性检查与符合性检查且最后报船</w:t>
      </w:r>
      <w:r>
        <w:rPr>
          <w:rFonts w:hint="eastAsia" w:hAnsi="宋体" w:cs="宋体"/>
          <w:bCs/>
          <w:szCs w:val="21"/>
          <w:highlight w:val="none"/>
        </w:rPr>
        <w:t>员成本费用最低</w:t>
      </w:r>
      <w:r>
        <w:rPr>
          <w:rFonts w:hint="eastAsia" w:hAnsi="宋体" w:cs="宋体"/>
          <w:szCs w:val="21"/>
          <w:highlight w:val="none"/>
        </w:rPr>
        <w:t>的投标报价为评标基准价，其</w:t>
      </w:r>
      <w:r>
        <w:rPr>
          <w:rFonts w:hint="eastAsia" w:hAnsi="宋体" w:cs="宋体"/>
          <w:b/>
          <w:bCs/>
          <w:szCs w:val="21"/>
          <w:highlight w:val="none"/>
        </w:rPr>
        <w:t>船员成本费用投标报价</w:t>
      </w:r>
      <w:r>
        <w:rPr>
          <w:rFonts w:hint="eastAsia" w:hAnsi="宋体" w:cs="宋体"/>
          <w:szCs w:val="21"/>
          <w:highlight w:val="none"/>
        </w:rPr>
        <w:t>价格分满分为</w:t>
      </w:r>
      <w:r>
        <w:rPr>
          <w:rFonts w:hAnsi="宋体" w:cs="宋体"/>
          <w:szCs w:val="21"/>
          <w:highlight w:val="none"/>
        </w:rPr>
        <w:t>20</w:t>
      </w:r>
      <w:r>
        <w:rPr>
          <w:rFonts w:hint="eastAsia" w:hAnsi="宋体" w:cs="宋体"/>
          <w:szCs w:val="21"/>
          <w:highlight w:val="none"/>
        </w:rPr>
        <w:t>分，计算公式为：</w:t>
      </w:r>
      <w:r>
        <w:rPr>
          <w:rFonts w:hint="eastAsia" w:hAnsi="宋体" w:cs="宋体"/>
          <w:b/>
          <w:bCs/>
          <w:szCs w:val="21"/>
          <w:highlight w:val="none"/>
        </w:rPr>
        <w:t>船员成本费用投标报价得分=(</w:t>
      </w:r>
      <w:r>
        <w:rPr>
          <w:rFonts w:hint="eastAsia" w:hAnsi="宋体" w:cs="宋体"/>
          <w:b/>
          <w:szCs w:val="21"/>
          <w:highlight w:val="none"/>
        </w:rPr>
        <w:t>评标基准价／投标报价)×</w:t>
      </w:r>
      <w:r>
        <w:rPr>
          <w:rFonts w:hAnsi="宋体" w:cs="宋体"/>
          <w:b/>
          <w:szCs w:val="21"/>
          <w:highlight w:val="none"/>
        </w:rPr>
        <w:t>20</w:t>
      </w:r>
      <w:r>
        <w:rPr>
          <w:rFonts w:hint="eastAsia" w:hAnsi="宋体" w:cs="宋体"/>
          <w:b/>
          <w:szCs w:val="21"/>
          <w:highlight w:val="none"/>
        </w:rPr>
        <w:t>。</w:t>
      </w:r>
    </w:p>
    <w:p>
      <w:pPr>
        <w:numPr>
          <w:ilvl w:val="0"/>
          <w:numId w:val="26"/>
        </w:numPr>
        <w:spacing w:line="360" w:lineRule="auto"/>
        <w:rPr>
          <w:rFonts w:hAnsi="宋体" w:cs="宋体"/>
          <w:szCs w:val="21"/>
          <w:highlight w:val="none"/>
        </w:rPr>
      </w:pPr>
      <w:r>
        <w:rPr>
          <w:rFonts w:hint="eastAsia" w:hAnsi="宋体" w:cs="宋体"/>
          <w:b/>
          <w:szCs w:val="21"/>
          <w:highlight w:val="none"/>
        </w:rPr>
        <w:t>管理费</w:t>
      </w:r>
      <w:r>
        <w:rPr>
          <w:rFonts w:hint="eastAsia" w:hAnsi="宋体" w:cs="宋体"/>
          <w:b/>
          <w:bCs/>
          <w:szCs w:val="21"/>
          <w:highlight w:val="none"/>
        </w:rPr>
        <w:t>投标报价得分</w:t>
      </w:r>
      <w:r>
        <w:rPr>
          <w:rFonts w:hint="eastAsia" w:hAnsi="宋体" w:cs="宋体"/>
          <w:b/>
          <w:szCs w:val="21"/>
          <w:highlight w:val="none"/>
        </w:rPr>
        <w:t>：</w:t>
      </w:r>
      <w:r>
        <w:rPr>
          <w:rFonts w:hint="eastAsia" w:hAnsi="宋体" w:cs="宋体"/>
          <w:bCs/>
          <w:szCs w:val="21"/>
          <w:highlight w:val="none"/>
        </w:rPr>
        <w:t>根据</w:t>
      </w:r>
      <w:r>
        <w:rPr>
          <w:rFonts w:hint="eastAsia" w:hAnsi="宋体" w:cs="宋体"/>
          <w:szCs w:val="21"/>
          <w:highlight w:val="none"/>
        </w:rPr>
        <w:t>通过本项目资格性检查与符合性检查且</w:t>
      </w:r>
      <w:r>
        <w:rPr>
          <w:rFonts w:hint="eastAsia" w:hAnsi="宋体" w:cs="宋体"/>
          <w:b/>
          <w:szCs w:val="21"/>
          <w:highlight w:val="none"/>
        </w:rPr>
        <w:t>管理费系数最低</w:t>
      </w:r>
      <w:r>
        <w:rPr>
          <w:rFonts w:hint="eastAsia" w:hAnsi="宋体" w:cs="宋体"/>
          <w:szCs w:val="21"/>
          <w:highlight w:val="none"/>
        </w:rPr>
        <w:t>的投标报价为评标基准价，其</w:t>
      </w:r>
      <w:r>
        <w:rPr>
          <w:rFonts w:hint="eastAsia" w:hAnsi="宋体" w:cs="宋体"/>
          <w:b/>
          <w:szCs w:val="21"/>
          <w:highlight w:val="none"/>
        </w:rPr>
        <w:t>管理费</w:t>
      </w:r>
      <w:r>
        <w:rPr>
          <w:rFonts w:hint="eastAsia" w:hAnsi="宋体" w:cs="宋体"/>
          <w:b/>
          <w:bCs/>
          <w:szCs w:val="21"/>
          <w:highlight w:val="none"/>
        </w:rPr>
        <w:t>投标报价</w:t>
      </w:r>
      <w:r>
        <w:rPr>
          <w:rFonts w:hint="eastAsia" w:hAnsi="宋体" w:cs="宋体"/>
          <w:szCs w:val="21"/>
          <w:highlight w:val="none"/>
        </w:rPr>
        <w:t>价格分满分为1</w:t>
      </w:r>
      <w:r>
        <w:rPr>
          <w:rFonts w:hAnsi="宋体" w:cs="宋体"/>
          <w:szCs w:val="21"/>
          <w:highlight w:val="none"/>
        </w:rPr>
        <w:t>0</w:t>
      </w:r>
      <w:r>
        <w:rPr>
          <w:rFonts w:hint="eastAsia" w:hAnsi="宋体" w:cs="宋体"/>
          <w:szCs w:val="21"/>
          <w:highlight w:val="none"/>
        </w:rPr>
        <w:t>分，其他投标人的价格分统一按照下列公式计算：</w:t>
      </w:r>
      <w:r>
        <w:rPr>
          <w:rFonts w:hint="eastAsia" w:hAnsi="宋体" w:cs="宋体"/>
          <w:b/>
          <w:szCs w:val="21"/>
          <w:highlight w:val="none"/>
        </w:rPr>
        <w:t>管理费</w:t>
      </w:r>
      <w:r>
        <w:rPr>
          <w:rFonts w:hint="eastAsia" w:hAnsi="宋体" w:cs="宋体"/>
          <w:b/>
          <w:bCs/>
          <w:szCs w:val="21"/>
          <w:highlight w:val="none"/>
        </w:rPr>
        <w:t>投标报价</w:t>
      </w:r>
      <w:r>
        <w:rPr>
          <w:rFonts w:hint="eastAsia" w:hAnsi="宋体" w:cs="宋体"/>
          <w:b/>
          <w:szCs w:val="21"/>
          <w:highlight w:val="none"/>
        </w:rPr>
        <w:t>得分=(评标基准价／管理费投标报价)×1</w:t>
      </w:r>
      <w:r>
        <w:rPr>
          <w:rFonts w:hAnsi="宋体" w:cs="宋体"/>
          <w:b/>
          <w:szCs w:val="21"/>
          <w:highlight w:val="none"/>
        </w:rPr>
        <w:t>0</w:t>
      </w:r>
      <w:r>
        <w:rPr>
          <w:rFonts w:hint="eastAsia" w:hAnsi="宋体" w:cs="宋体"/>
          <w:szCs w:val="21"/>
          <w:highlight w:val="none"/>
        </w:rPr>
        <w:t>。</w:t>
      </w:r>
    </w:p>
    <w:p>
      <w:pPr>
        <w:pStyle w:val="45"/>
        <w:widowControl w:val="0"/>
        <w:spacing w:before="0" w:beforeAutospacing="0" w:after="0" w:afterAutospacing="0" w:line="360" w:lineRule="auto"/>
        <w:ind w:firstLine="420" w:firstLineChars="200"/>
        <w:rPr>
          <w:rFonts w:cs="宋体"/>
          <w:sz w:val="21"/>
          <w:szCs w:val="21"/>
          <w:highlight w:val="none"/>
        </w:rPr>
      </w:pPr>
    </w:p>
    <w:p>
      <w:pPr>
        <w:pStyle w:val="45"/>
        <w:widowControl w:val="0"/>
        <w:spacing w:before="0" w:beforeAutospacing="0" w:after="0" w:afterAutospacing="0" w:line="360" w:lineRule="auto"/>
        <w:ind w:firstLine="420" w:firstLineChars="200"/>
        <w:rPr>
          <w:rFonts w:cs="宋体"/>
          <w:sz w:val="21"/>
          <w:szCs w:val="21"/>
          <w:highlight w:val="none"/>
        </w:rPr>
      </w:pPr>
      <w:r>
        <w:rPr>
          <w:rFonts w:hint="eastAsia" w:cs="宋体"/>
          <w:sz w:val="21"/>
          <w:szCs w:val="21"/>
          <w:highlight w:val="none"/>
        </w:rPr>
        <w:t>备注：</w:t>
      </w:r>
    </w:p>
    <w:p>
      <w:pPr>
        <w:pStyle w:val="45"/>
        <w:widowControl w:val="0"/>
        <w:spacing w:before="0" w:beforeAutospacing="0" w:after="0" w:afterAutospacing="0" w:line="360" w:lineRule="auto"/>
        <w:ind w:firstLine="420" w:firstLineChars="200"/>
        <w:rPr>
          <w:rFonts w:cs="宋体"/>
          <w:sz w:val="21"/>
          <w:szCs w:val="21"/>
          <w:highlight w:val="none"/>
        </w:rPr>
      </w:pPr>
      <w:r>
        <w:rPr>
          <w:rFonts w:hint="eastAsia" w:cs="宋体"/>
          <w:sz w:val="21"/>
          <w:szCs w:val="21"/>
          <w:highlight w:val="none"/>
        </w:rPr>
        <w:t>1）价格修正：投标人的投标报价中经评标委员会确定为供货范围（包括货物、工程和服务）缺漏项，而进行调整的，调整价为该项目在其他有效投标中的最高报价。</w:t>
      </w:r>
    </w:p>
    <w:p>
      <w:pPr>
        <w:pStyle w:val="45"/>
        <w:widowControl w:val="0"/>
        <w:spacing w:before="0" w:beforeAutospacing="0" w:after="0" w:afterAutospacing="0" w:line="360" w:lineRule="auto"/>
        <w:ind w:firstLine="420" w:firstLineChars="200"/>
        <w:rPr>
          <w:rFonts w:cs="宋体"/>
          <w:sz w:val="21"/>
          <w:szCs w:val="21"/>
          <w:highlight w:val="none"/>
        </w:rPr>
      </w:pPr>
      <w:r>
        <w:rPr>
          <w:rFonts w:hint="eastAsia" w:cs="宋体"/>
          <w:sz w:val="21"/>
          <w:szCs w:val="21"/>
          <w:highlight w:val="none"/>
        </w:rPr>
        <w:t>2）评标委员会将按照上述修正错误的方法调整该投标人的投标文件中的投标报价，调整后的价格对投标人具有约束力。如果投标人不接受修正后的投标价格，则其投标将被拒绝。</w:t>
      </w:r>
    </w:p>
    <w:p>
      <w:pPr>
        <w:pStyle w:val="2"/>
        <w:rPr>
          <w:highlight w:val="none"/>
        </w:rPr>
      </w:pPr>
    </w:p>
    <w:p>
      <w:pPr>
        <w:pStyle w:val="3"/>
        <w:rPr>
          <w:highlight w:val="none"/>
        </w:rPr>
      </w:pPr>
    </w:p>
    <w:p>
      <w:pPr>
        <w:widowControl/>
        <w:autoSpaceDE/>
        <w:autoSpaceDN/>
        <w:adjustRightInd/>
        <w:rPr>
          <w:rFonts w:cs="宋体"/>
          <w:color w:val="000000"/>
          <w:sz w:val="24"/>
          <w:highlight w:val="none"/>
        </w:rPr>
      </w:pPr>
      <w:r>
        <w:rPr>
          <w:highlight w:val="none"/>
        </w:rPr>
        <w:br w:type="page"/>
      </w:r>
    </w:p>
    <w:p>
      <w:pPr>
        <w:pStyle w:val="3"/>
        <w:rPr>
          <w:highlight w:val="none"/>
        </w:rPr>
      </w:pPr>
    </w:p>
    <w:p>
      <w:pPr>
        <w:pStyle w:val="3"/>
        <w:rPr>
          <w:highlight w:val="none"/>
        </w:rPr>
      </w:pPr>
    </w:p>
    <w:tbl>
      <w:tblPr>
        <w:tblStyle w:val="4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017"/>
        <w:gridCol w:w="866"/>
        <w:gridCol w:w="1775"/>
        <w:gridCol w:w="552"/>
        <w:gridCol w:w="1081"/>
        <w:gridCol w:w="65"/>
        <w:gridCol w:w="849"/>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519" w:type="dxa"/>
            <w:gridSpan w:val="9"/>
            <w:vAlign w:val="center"/>
          </w:tcPr>
          <w:p>
            <w:pPr>
              <w:pStyle w:val="3"/>
              <w:spacing w:line="480" w:lineRule="exact"/>
              <w:jc w:val="center"/>
              <w:rPr>
                <w:rFonts w:hAnsi="Courier New"/>
                <w:b/>
                <w:bCs/>
                <w:kern w:val="2"/>
                <w:sz w:val="21"/>
                <w:szCs w:val="21"/>
                <w:highlight w:val="none"/>
              </w:rPr>
            </w:pPr>
            <w:r>
              <w:rPr>
                <w:rFonts w:hint="eastAsia" w:hAnsi="Courier New"/>
                <w:b/>
                <w:bCs/>
                <w:kern w:val="2"/>
                <w:highlight w:val="none"/>
              </w:rPr>
              <w:t>船员配员标准及单船成本费用最高限额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236" w:type="dxa"/>
            <w:gridSpan w:val="4"/>
            <w:vAlign w:val="center"/>
          </w:tcPr>
          <w:p>
            <w:pPr>
              <w:pStyle w:val="3"/>
              <w:spacing w:line="480" w:lineRule="exact"/>
              <w:jc w:val="center"/>
              <w:rPr>
                <w:rFonts w:hAnsi="Courier New"/>
                <w:b/>
                <w:bCs/>
                <w:kern w:val="2"/>
                <w:sz w:val="21"/>
                <w:szCs w:val="21"/>
                <w:highlight w:val="none"/>
              </w:rPr>
            </w:pPr>
            <w:r>
              <w:rPr>
                <w:rFonts w:hint="eastAsia" w:hAnsi="Courier New"/>
                <w:b/>
                <w:bCs/>
                <w:kern w:val="2"/>
                <w:sz w:val="21"/>
                <w:szCs w:val="21"/>
                <w:highlight w:val="none"/>
              </w:rPr>
              <w:t>远洋调查船组</w:t>
            </w:r>
          </w:p>
        </w:tc>
        <w:tc>
          <w:tcPr>
            <w:tcW w:w="4283" w:type="dxa"/>
            <w:gridSpan w:val="5"/>
            <w:vAlign w:val="center"/>
          </w:tcPr>
          <w:p>
            <w:pPr>
              <w:pStyle w:val="3"/>
              <w:spacing w:line="480" w:lineRule="exact"/>
              <w:jc w:val="center"/>
              <w:rPr>
                <w:rFonts w:hAnsi="Courier New"/>
                <w:b/>
                <w:bCs/>
                <w:kern w:val="2"/>
                <w:sz w:val="21"/>
                <w:szCs w:val="21"/>
                <w:highlight w:val="none"/>
              </w:rPr>
            </w:pPr>
            <w:r>
              <w:rPr>
                <w:rFonts w:hint="eastAsia" w:hAnsi="Courier New"/>
                <w:b/>
                <w:bCs/>
                <w:kern w:val="2"/>
                <w:sz w:val="21"/>
                <w:szCs w:val="21"/>
                <w:highlight w:val="none"/>
              </w:rPr>
              <w:t>500吨级以上调查船组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578" w:type="dxa"/>
            <w:vAlign w:val="center"/>
          </w:tcPr>
          <w:p>
            <w:pPr>
              <w:pStyle w:val="3"/>
              <w:jc w:val="center"/>
              <w:rPr>
                <w:rFonts w:hAnsi="Courier New"/>
                <w:b/>
                <w:bCs/>
                <w:kern w:val="2"/>
                <w:sz w:val="21"/>
                <w:szCs w:val="21"/>
                <w:highlight w:val="none"/>
              </w:rPr>
            </w:pPr>
            <w:r>
              <w:rPr>
                <w:rFonts w:hint="eastAsia" w:hAnsi="Courier New"/>
                <w:b/>
                <w:bCs/>
                <w:kern w:val="2"/>
                <w:sz w:val="21"/>
                <w:szCs w:val="21"/>
                <w:highlight w:val="none"/>
              </w:rPr>
              <w:t>序号</w:t>
            </w:r>
          </w:p>
        </w:tc>
        <w:tc>
          <w:tcPr>
            <w:tcW w:w="1017" w:type="dxa"/>
            <w:vAlign w:val="center"/>
          </w:tcPr>
          <w:p>
            <w:pPr>
              <w:pStyle w:val="3"/>
              <w:jc w:val="center"/>
              <w:rPr>
                <w:rFonts w:hAnsi="Courier New"/>
                <w:b/>
                <w:bCs/>
                <w:kern w:val="2"/>
                <w:sz w:val="21"/>
                <w:szCs w:val="21"/>
                <w:highlight w:val="none"/>
              </w:rPr>
            </w:pPr>
            <w:r>
              <w:rPr>
                <w:rFonts w:hint="eastAsia" w:hAnsi="Courier New"/>
                <w:b/>
                <w:bCs/>
                <w:kern w:val="2"/>
                <w:sz w:val="21"/>
                <w:szCs w:val="21"/>
                <w:highlight w:val="none"/>
              </w:rPr>
              <w:t>职务</w:t>
            </w:r>
          </w:p>
        </w:tc>
        <w:tc>
          <w:tcPr>
            <w:tcW w:w="866" w:type="dxa"/>
            <w:vAlign w:val="center"/>
          </w:tcPr>
          <w:p>
            <w:pPr>
              <w:pStyle w:val="3"/>
              <w:jc w:val="center"/>
              <w:rPr>
                <w:rFonts w:hAnsi="Courier New"/>
                <w:b/>
                <w:bCs/>
                <w:kern w:val="2"/>
                <w:sz w:val="21"/>
                <w:szCs w:val="21"/>
                <w:highlight w:val="none"/>
              </w:rPr>
            </w:pPr>
            <w:r>
              <w:rPr>
                <w:rFonts w:hint="eastAsia" w:hAnsi="Courier New"/>
                <w:b/>
                <w:bCs/>
                <w:kern w:val="2"/>
                <w:highlight w:val="none"/>
              </w:rPr>
              <w:t>每船配员标准（人）</w:t>
            </w:r>
          </w:p>
        </w:tc>
        <w:tc>
          <w:tcPr>
            <w:tcW w:w="1775" w:type="dxa"/>
            <w:vAlign w:val="center"/>
          </w:tcPr>
          <w:p>
            <w:pPr>
              <w:pStyle w:val="3"/>
              <w:jc w:val="center"/>
              <w:rPr>
                <w:rFonts w:hAnsi="Courier New"/>
                <w:b/>
                <w:bCs/>
                <w:kern w:val="2"/>
                <w:sz w:val="21"/>
                <w:szCs w:val="21"/>
                <w:highlight w:val="none"/>
              </w:rPr>
            </w:pPr>
            <w:r>
              <w:rPr>
                <w:rFonts w:hint="eastAsia" w:hAnsi="Courier New"/>
                <w:b/>
                <w:bCs/>
                <w:kern w:val="2"/>
                <w:sz w:val="21"/>
                <w:szCs w:val="21"/>
                <w:highlight w:val="none"/>
              </w:rPr>
              <w:t>船员成本费用</w:t>
            </w:r>
          </w:p>
          <w:p>
            <w:pPr>
              <w:pStyle w:val="3"/>
              <w:jc w:val="center"/>
              <w:rPr>
                <w:rFonts w:hAnsi="Courier New"/>
                <w:b/>
                <w:bCs/>
                <w:kern w:val="2"/>
                <w:sz w:val="21"/>
                <w:szCs w:val="21"/>
                <w:highlight w:val="none"/>
              </w:rPr>
            </w:pPr>
            <w:r>
              <w:rPr>
                <w:rFonts w:hint="eastAsia" w:hAnsi="Courier New"/>
                <w:b/>
                <w:bCs/>
                <w:kern w:val="2"/>
                <w:sz w:val="21"/>
                <w:szCs w:val="21"/>
                <w:highlight w:val="none"/>
              </w:rPr>
              <w:t>单项报价</w:t>
            </w:r>
          </w:p>
          <w:p>
            <w:pPr>
              <w:pStyle w:val="3"/>
              <w:jc w:val="center"/>
              <w:rPr>
                <w:rFonts w:hAnsi="Courier New"/>
                <w:b/>
                <w:bCs/>
                <w:kern w:val="2"/>
                <w:sz w:val="21"/>
                <w:szCs w:val="21"/>
                <w:highlight w:val="none"/>
              </w:rPr>
            </w:pPr>
            <w:r>
              <w:rPr>
                <w:rFonts w:hint="eastAsia" w:hAnsi="Courier New"/>
                <w:b/>
                <w:bCs/>
                <w:kern w:val="2"/>
                <w:sz w:val="21"/>
                <w:szCs w:val="21"/>
                <w:highlight w:val="none"/>
              </w:rPr>
              <w:t>（元/每船月）</w:t>
            </w:r>
          </w:p>
        </w:tc>
        <w:tc>
          <w:tcPr>
            <w:tcW w:w="552" w:type="dxa"/>
            <w:vAlign w:val="center"/>
          </w:tcPr>
          <w:p>
            <w:pPr>
              <w:pStyle w:val="3"/>
              <w:jc w:val="center"/>
              <w:rPr>
                <w:rFonts w:hAnsi="Courier New"/>
                <w:b/>
                <w:bCs/>
                <w:kern w:val="2"/>
                <w:sz w:val="21"/>
                <w:szCs w:val="21"/>
                <w:highlight w:val="none"/>
              </w:rPr>
            </w:pPr>
            <w:r>
              <w:rPr>
                <w:rFonts w:hint="eastAsia" w:hAnsi="Courier New"/>
                <w:b/>
                <w:bCs/>
                <w:kern w:val="2"/>
                <w:sz w:val="21"/>
                <w:szCs w:val="21"/>
                <w:highlight w:val="none"/>
              </w:rPr>
              <w:t>序号</w:t>
            </w:r>
          </w:p>
        </w:tc>
        <w:tc>
          <w:tcPr>
            <w:tcW w:w="1081" w:type="dxa"/>
            <w:vAlign w:val="center"/>
          </w:tcPr>
          <w:p>
            <w:pPr>
              <w:pStyle w:val="3"/>
              <w:jc w:val="center"/>
              <w:rPr>
                <w:rFonts w:hAnsi="Courier New"/>
                <w:b/>
                <w:bCs/>
                <w:kern w:val="2"/>
                <w:sz w:val="21"/>
                <w:szCs w:val="21"/>
                <w:highlight w:val="none"/>
              </w:rPr>
            </w:pPr>
            <w:r>
              <w:rPr>
                <w:rFonts w:hint="eastAsia" w:hAnsi="Courier New"/>
                <w:b/>
                <w:bCs/>
                <w:kern w:val="2"/>
                <w:sz w:val="21"/>
                <w:szCs w:val="21"/>
                <w:highlight w:val="none"/>
              </w:rPr>
              <w:t>职务</w:t>
            </w:r>
          </w:p>
        </w:tc>
        <w:tc>
          <w:tcPr>
            <w:tcW w:w="914" w:type="dxa"/>
            <w:gridSpan w:val="2"/>
            <w:vAlign w:val="center"/>
          </w:tcPr>
          <w:p>
            <w:pPr>
              <w:pStyle w:val="3"/>
              <w:jc w:val="center"/>
              <w:rPr>
                <w:rFonts w:hAnsi="Courier New"/>
                <w:b/>
                <w:bCs/>
                <w:kern w:val="2"/>
                <w:sz w:val="21"/>
                <w:szCs w:val="21"/>
                <w:highlight w:val="none"/>
              </w:rPr>
            </w:pPr>
            <w:r>
              <w:rPr>
                <w:rFonts w:hint="eastAsia" w:hAnsi="Courier New"/>
                <w:b/>
                <w:bCs/>
                <w:kern w:val="2"/>
                <w:highlight w:val="none"/>
              </w:rPr>
              <w:t>每船配员标准（人）</w:t>
            </w:r>
          </w:p>
        </w:tc>
        <w:tc>
          <w:tcPr>
            <w:tcW w:w="1736" w:type="dxa"/>
            <w:vAlign w:val="center"/>
          </w:tcPr>
          <w:p>
            <w:pPr>
              <w:pStyle w:val="3"/>
              <w:jc w:val="center"/>
              <w:rPr>
                <w:rFonts w:hAnsi="Courier New"/>
                <w:b/>
                <w:bCs/>
                <w:kern w:val="2"/>
                <w:sz w:val="21"/>
                <w:szCs w:val="21"/>
                <w:highlight w:val="none"/>
              </w:rPr>
            </w:pPr>
            <w:r>
              <w:rPr>
                <w:rFonts w:hint="eastAsia" w:hAnsi="Courier New"/>
                <w:b/>
                <w:bCs/>
                <w:kern w:val="2"/>
                <w:sz w:val="21"/>
                <w:szCs w:val="21"/>
                <w:highlight w:val="none"/>
              </w:rPr>
              <w:t>船员成本费用</w:t>
            </w:r>
          </w:p>
          <w:p>
            <w:pPr>
              <w:pStyle w:val="3"/>
              <w:jc w:val="center"/>
              <w:rPr>
                <w:rFonts w:hAnsi="Courier New"/>
                <w:b/>
                <w:bCs/>
                <w:kern w:val="2"/>
                <w:sz w:val="21"/>
                <w:szCs w:val="21"/>
                <w:highlight w:val="none"/>
              </w:rPr>
            </w:pPr>
            <w:r>
              <w:rPr>
                <w:rFonts w:hint="eastAsia" w:hAnsi="Courier New"/>
                <w:b/>
                <w:bCs/>
                <w:kern w:val="2"/>
                <w:sz w:val="21"/>
                <w:szCs w:val="21"/>
                <w:highlight w:val="none"/>
              </w:rPr>
              <w:t>单项报价</w:t>
            </w:r>
          </w:p>
          <w:p>
            <w:pPr>
              <w:pStyle w:val="3"/>
              <w:jc w:val="center"/>
              <w:rPr>
                <w:rFonts w:hAnsi="Courier New"/>
                <w:b/>
                <w:bCs/>
                <w:kern w:val="2"/>
                <w:sz w:val="21"/>
                <w:szCs w:val="21"/>
                <w:highlight w:val="none"/>
              </w:rPr>
            </w:pPr>
            <w:r>
              <w:rPr>
                <w:rFonts w:hint="eastAsia" w:hAnsi="Courier New"/>
                <w:b/>
                <w:bCs/>
                <w:kern w:val="2"/>
                <w:sz w:val="21"/>
                <w:szCs w:val="21"/>
                <w:highlight w:val="none"/>
              </w:rPr>
              <w:t>（元/每船月）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8"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1</w:t>
            </w:r>
          </w:p>
        </w:tc>
        <w:tc>
          <w:tcPr>
            <w:tcW w:w="1017"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船长</w:t>
            </w:r>
          </w:p>
        </w:tc>
        <w:tc>
          <w:tcPr>
            <w:tcW w:w="866"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1</w:t>
            </w:r>
          </w:p>
        </w:tc>
        <w:tc>
          <w:tcPr>
            <w:tcW w:w="1775" w:type="dxa"/>
            <w:vMerge w:val="restart"/>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37</w:t>
            </w:r>
            <w:r>
              <w:rPr>
                <w:rFonts w:ascii="仿宋_GB2312" w:hAnsi="仿宋_GB2312" w:eastAsia="仿宋_GB2312" w:cs="仿宋_GB2312"/>
                <w:iCs/>
                <w:kern w:val="2"/>
                <w:sz w:val="24"/>
                <w:highlight w:val="none"/>
              </w:rPr>
              <w:t>0</w:t>
            </w:r>
            <w:r>
              <w:rPr>
                <w:rFonts w:hint="eastAsia" w:ascii="仿宋_GB2312" w:hAnsi="仿宋_GB2312" w:eastAsia="仿宋_GB2312" w:cs="仿宋_GB2312"/>
                <w:iCs/>
                <w:kern w:val="2"/>
                <w:sz w:val="24"/>
                <w:highlight w:val="none"/>
              </w:rPr>
              <w:t>,</w:t>
            </w:r>
            <w:r>
              <w:rPr>
                <w:rFonts w:ascii="仿宋_GB2312" w:hAnsi="仿宋_GB2312" w:eastAsia="仿宋_GB2312" w:cs="仿宋_GB2312"/>
                <w:iCs/>
                <w:kern w:val="2"/>
                <w:sz w:val="24"/>
                <w:highlight w:val="none"/>
              </w:rPr>
              <w:t>000</w:t>
            </w:r>
            <w:r>
              <w:rPr>
                <w:rFonts w:hint="eastAsia" w:ascii="仿宋_GB2312" w:hAnsi="仿宋_GB2312" w:eastAsia="仿宋_GB2312" w:cs="仿宋_GB2312"/>
                <w:iCs/>
                <w:kern w:val="2"/>
                <w:sz w:val="24"/>
                <w:highlight w:val="none"/>
              </w:rPr>
              <w:t>.00</w:t>
            </w:r>
          </w:p>
        </w:tc>
        <w:tc>
          <w:tcPr>
            <w:tcW w:w="552"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1</w:t>
            </w:r>
          </w:p>
        </w:tc>
        <w:tc>
          <w:tcPr>
            <w:tcW w:w="1081"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船长</w:t>
            </w:r>
          </w:p>
        </w:tc>
        <w:tc>
          <w:tcPr>
            <w:tcW w:w="914" w:type="dxa"/>
            <w:gridSpan w:val="2"/>
            <w:vAlign w:val="center"/>
          </w:tcPr>
          <w:p>
            <w:pPr>
              <w:widowControl/>
              <w:jc w:val="center"/>
              <w:textAlignment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1</w:t>
            </w:r>
          </w:p>
        </w:tc>
        <w:tc>
          <w:tcPr>
            <w:tcW w:w="1736" w:type="dxa"/>
            <w:vMerge w:val="restart"/>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2</w:t>
            </w:r>
            <w:r>
              <w:rPr>
                <w:rFonts w:ascii="仿宋_GB2312" w:hAnsi="仿宋_GB2312" w:eastAsia="仿宋_GB2312" w:cs="仿宋_GB2312"/>
                <w:iCs/>
                <w:kern w:val="2"/>
                <w:sz w:val="24"/>
                <w:highlight w:val="none"/>
              </w:rPr>
              <w:t>4</w:t>
            </w:r>
            <w:r>
              <w:rPr>
                <w:rFonts w:hint="eastAsia" w:ascii="仿宋_GB2312" w:hAnsi="仿宋_GB2312" w:eastAsia="仿宋_GB2312" w:cs="仿宋_GB2312"/>
                <w:iCs/>
                <w:kern w:val="2"/>
                <w:sz w:val="24"/>
                <w:highlight w:val="none"/>
              </w:rPr>
              <w:t>5,</w:t>
            </w:r>
            <w:r>
              <w:rPr>
                <w:rFonts w:ascii="仿宋_GB2312" w:hAnsi="仿宋_GB2312" w:eastAsia="仿宋_GB2312" w:cs="仿宋_GB2312"/>
                <w:iCs/>
                <w:kern w:val="2"/>
                <w:sz w:val="24"/>
                <w:highlight w:val="none"/>
              </w:rPr>
              <w:t>00</w:t>
            </w:r>
            <w:r>
              <w:rPr>
                <w:rFonts w:hint="eastAsia" w:ascii="仿宋_GB2312" w:hAnsi="仿宋_GB2312" w:eastAsia="仿宋_GB2312" w:cs="仿宋_GB2312"/>
                <w:iCs/>
                <w:kern w:val="2"/>
                <w:sz w:val="24"/>
                <w:highlight w:val="none"/>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8"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2</w:t>
            </w:r>
          </w:p>
        </w:tc>
        <w:tc>
          <w:tcPr>
            <w:tcW w:w="1017"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大副</w:t>
            </w:r>
          </w:p>
        </w:tc>
        <w:tc>
          <w:tcPr>
            <w:tcW w:w="866"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1</w:t>
            </w:r>
          </w:p>
        </w:tc>
        <w:tc>
          <w:tcPr>
            <w:tcW w:w="1775" w:type="dxa"/>
            <w:vMerge w:val="continue"/>
            <w:vAlign w:val="center"/>
          </w:tcPr>
          <w:p>
            <w:pPr>
              <w:spacing w:line="480" w:lineRule="exact"/>
              <w:jc w:val="center"/>
              <w:rPr>
                <w:rFonts w:ascii="仿宋_GB2312" w:hAnsi="仿宋_GB2312" w:eastAsia="仿宋_GB2312" w:cs="仿宋_GB2312"/>
                <w:iCs/>
                <w:kern w:val="2"/>
                <w:szCs w:val="21"/>
                <w:highlight w:val="none"/>
              </w:rPr>
            </w:pPr>
          </w:p>
        </w:tc>
        <w:tc>
          <w:tcPr>
            <w:tcW w:w="552"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2</w:t>
            </w:r>
          </w:p>
        </w:tc>
        <w:tc>
          <w:tcPr>
            <w:tcW w:w="1081"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大副</w:t>
            </w:r>
          </w:p>
        </w:tc>
        <w:tc>
          <w:tcPr>
            <w:tcW w:w="914" w:type="dxa"/>
            <w:gridSpan w:val="2"/>
            <w:vAlign w:val="center"/>
          </w:tcPr>
          <w:p>
            <w:pPr>
              <w:widowControl/>
              <w:jc w:val="center"/>
              <w:textAlignment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1</w:t>
            </w:r>
          </w:p>
        </w:tc>
        <w:tc>
          <w:tcPr>
            <w:tcW w:w="1736" w:type="dxa"/>
            <w:vMerge w:val="continue"/>
            <w:vAlign w:val="center"/>
          </w:tcPr>
          <w:p>
            <w:pPr>
              <w:spacing w:line="480" w:lineRule="exact"/>
              <w:jc w:val="center"/>
              <w:rPr>
                <w:rFonts w:ascii="仿宋_GB2312" w:hAnsi="仿宋_GB2312" w:eastAsia="仿宋_GB2312" w:cs="仿宋_GB2312"/>
                <w:iCs/>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8"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3</w:t>
            </w:r>
          </w:p>
        </w:tc>
        <w:tc>
          <w:tcPr>
            <w:tcW w:w="1017"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二副</w:t>
            </w:r>
          </w:p>
        </w:tc>
        <w:tc>
          <w:tcPr>
            <w:tcW w:w="866"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1</w:t>
            </w:r>
          </w:p>
        </w:tc>
        <w:tc>
          <w:tcPr>
            <w:tcW w:w="1775" w:type="dxa"/>
            <w:vMerge w:val="continue"/>
            <w:vAlign w:val="center"/>
          </w:tcPr>
          <w:p>
            <w:pPr>
              <w:spacing w:line="480" w:lineRule="exact"/>
              <w:jc w:val="center"/>
              <w:rPr>
                <w:rFonts w:ascii="仿宋_GB2312" w:hAnsi="仿宋_GB2312" w:eastAsia="仿宋_GB2312" w:cs="仿宋_GB2312"/>
                <w:iCs/>
                <w:kern w:val="2"/>
                <w:szCs w:val="21"/>
                <w:highlight w:val="none"/>
              </w:rPr>
            </w:pPr>
          </w:p>
        </w:tc>
        <w:tc>
          <w:tcPr>
            <w:tcW w:w="552"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3</w:t>
            </w:r>
          </w:p>
        </w:tc>
        <w:tc>
          <w:tcPr>
            <w:tcW w:w="1081"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二副</w:t>
            </w:r>
          </w:p>
        </w:tc>
        <w:tc>
          <w:tcPr>
            <w:tcW w:w="914" w:type="dxa"/>
            <w:gridSpan w:val="2"/>
            <w:vAlign w:val="center"/>
          </w:tcPr>
          <w:p>
            <w:pPr>
              <w:widowControl/>
              <w:jc w:val="center"/>
              <w:textAlignment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1</w:t>
            </w:r>
          </w:p>
        </w:tc>
        <w:tc>
          <w:tcPr>
            <w:tcW w:w="1736" w:type="dxa"/>
            <w:vMerge w:val="continue"/>
            <w:vAlign w:val="center"/>
          </w:tcPr>
          <w:p>
            <w:pPr>
              <w:spacing w:line="480" w:lineRule="exact"/>
              <w:jc w:val="center"/>
              <w:rPr>
                <w:rFonts w:ascii="仿宋_GB2312" w:hAnsi="仿宋_GB2312" w:eastAsia="仿宋_GB2312" w:cs="仿宋_GB2312"/>
                <w:iCs/>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78"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4</w:t>
            </w:r>
          </w:p>
        </w:tc>
        <w:tc>
          <w:tcPr>
            <w:tcW w:w="1017"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三副</w:t>
            </w:r>
          </w:p>
        </w:tc>
        <w:tc>
          <w:tcPr>
            <w:tcW w:w="866"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1</w:t>
            </w:r>
          </w:p>
        </w:tc>
        <w:tc>
          <w:tcPr>
            <w:tcW w:w="1775" w:type="dxa"/>
            <w:vMerge w:val="continue"/>
            <w:vAlign w:val="center"/>
          </w:tcPr>
          <w:p>
            <w:pPr>
              <w:spacing w:line="480" w:lineRule="exact"/>
              <w:jc w:val="center"/>
              <w:rPr>
                <w:rFonts w:ascii="仿宋_GB2312" w:hAnsi="仿宋_GB2312" w:eastAsia="仿宋_GB2312" w:cs="仿宋_GB2312"/>
                <w:iCs/>
                <w:kern w:val="2"/>
                <w:szCs w:val="21"/>
                <w:highlight w:val="none"/>
              </w:rPr>
            </w:pPr>
          </w:p>
        </w:tc>
        <w:tc>
          <w:tcPr>
            <w:tcW w:w="552"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4</w:t>
            </w:r>
          </w:p>
        </w:tc>
        <w:tc>
          <w:tcPr>
            <w:tcW w:w="1081"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三副</w:t>
            </w:r>
          </w:p>
        </w:tc>
        <w:tc>
          <w:tcPr>
            <w:tcW w:w="914" w:type="dxa"/>
            <w:gridSpan w:val="2"/>
            <w:vAlign w:val="center"/>
          </w:tcPr>
          <w:p>
            <w:pPr>
              <w:widowControl/>
              <w:jc w:val="center"/>
              <w:textAlignment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1</w:t>
            </w:r>
          </w:p>
        </w:tc>
        <w:tc>
          <w:tcPr>
            <w:tcW w:w="1736" w:type="dxa"/>
            <w:vMerge w:val="continue"/>
            <w:vAlign w:val="center"/>
          </w:tcPr>
          <w:p>
            <w:pPr>
              <w:spacing w:line="480" w:lineRule="exact"/>
              <w:jc w:val="center"/>
              <w:rPr>
                <w:rFonts w:ascii="仿宋_GB2312" w:hAnsi="仿宋_GB2312" w:eastAsia="仿宋_GB2312" w:cs="仿宋_GB2312"/>
                <w:iCs/>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8"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5</w:t>
            </w:r>
          </w:p>
        </w:tc>
        <w:tc>
          <w:tcPr>
            <w:tcW w:w="1017"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轮机长</w:t>
            </w:r>
          </w:p>
        </w:tc>
        <w:tc>
          <w:tcPr>
            <w:tcW w:w="866"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1</w:t>
            </w:r>
          </w:p>
        </w:tc>
        <w:tc>
          <w:tcPr>
            <w:tcW w:w="1775" w:type="dxa"/>
            <w:vMerge w:val="continue"/>
            <w:vAlign w:val="center"/>
          </w:tcPr>
          <w:p>
            <w:pPr>
              <w:spacing w:line="480" w:lineRule="exact"/>
              <w:jc w:val="center"/>
              <w:rPr>
                <w:rFonts w:ascii="仿宋_GB2312" w:hAnsi="仿宋_GB2312" w:eastAsia="仿宋_GB2312" w:cs="仿宋_GB2312"/>
                <w:iCs/>
                <w:kern w:val="2"/>
                <w:szCs w:val="21"/>
                <w:highlight w:val="none"/>
              </w:rPr>
            </w:pPr>
          </w:p>
        </w:tc>
        <w:tc>
          <w:tcPr>
            <w:tcW w:w="552"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5</w:t>
            </w:r>
          </w:p>
        </w:tc>
        <w:tc>
          <w:tcPr>
            <w:tcW w:w="1081"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轮机长</w:t>
            </w:r>
          </w:p>
        </w:tc>
        <w:tc>
          <w:tcPr>
            <w:tcW w:w="914" w:type="dxa"/>
            <w:gridSpan w:val="2"/>
            <w:vAlign w:val="center"/>
          </w:tcPr>
          <w:p>
            <w:pPr>
              <w:widowControl/>
              <w:jc w:val="center"/>
              <w:textAlignment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1</w:t>
            </w:r>
          </w:p>
        </w:tc>
        <w:tc>
          <w:tcPr>
            <w:tcW w:w="1736" w:type="dxa"/>
            <w:vMerge w:val="continue"/>
            <w:vAlign w:val="center"/>
          </w:tcPr>
          <w:p>
            <w:pPr>
              <w:spacing w:line="480" w:lineRule="exact"/>
              <w:jc w:val="center"/>
              <w:rPr>
                <w:rFonts w:ascii="仿宋_GB2312" w:hAnsi="仿宋_GB2312" w:eastAsia="仿宋_GB2312" w:cs="仿宋_GB2312"/>
                <w:iCs/>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8"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6</w:t>
            </w:r>
          </w:p>
        </w:tc>
        <w:tc>
          <w:tcPr>
            <w:tcW w:w="1017"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大管轮</w:t>
            </w:r>
          </w:p>
        </w:tc>
        <w:tc>
          <w:tcPr>
            <w:tcW w:w="866"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1</w:t>
            </w:r>
          </w:p>
        </w:tc>
        <w:tc>
          <w:tcPr>
            <w:tcW w:w="1775" w:type="dxa"/>
            <w:vMerge w:val="continue"/>
            <w:vAlign w:val="center"/>
          </w:tcPr>
          <w:p>
            <w:pPr>
              <w:spacing w:line="480" w:lineRule="exact"/>
              <w:jc w:val="center"/>
              <w:rPr>
                <w:rFonts w:ascii="仿宋_GB2312" w:hAnsi="仿宋_GB2312" w:eastAsia="仿宋_GB2312" w:cs="仿宋_GB2312"/>
                <w:iCs/>
                <w:kern w:val="2"/>
                <w:szCs w:val="21"/>
                <w:highlight w:val="none"/>
              </w:rPr>
            </w:pPr>
          </w:p>
        </w:tc>
        <w:tc>
          <w:tcPr>
            <w:tcW w:w="552"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6</w:t>
            </w:r>
          </w:p>
        </w:tc>
        <w:tc>
          <w:tcPr>
            <w:tcW w:w="1081"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大管轮</w:t>
            </w:r>
          </w:p>
        </w:tc>
        <w:tc>
          <w:tcPr>
            <w:tcW w:w="914" w:type="dxa"/>
            <w:gridSpan w:val="2"/>
            <w:vAlign w:val="center"/>
          </w:tcPr>
          <w:p>
            <w:pPr>
              <w:widowControl/>
              <w:jc w:val="center"/>
              <w:textAlignment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1</w:t>
            </w:r>
          </w:p>
        </w:tc>
        <w:tc>
          <w:tcPr>
            <w:tcW w:w="1736" w:type="dxa"/>
            <w:vMerge w:val="continue"/>
            <w:vAlign w:val="center"/>
          </w:tcPr>
          <w:p>
            <w:pPr>
              <w:spacing w:line="480" w:lineRule="exact"/>
              <w:jc w:val="center"/>
              <w:rPr>
                <w:rFonts w:ascii="仿宋_GB2312" w:hAnsi="仿宋_GB2312" w:eastAsia="仿宋_GB2312" w:cs="仿宋_GB2312"/>
                <w:iCs/>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8"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7</w:t>
            </w:r>
          </w:p>
        </w:tc>
        <w:tc>
          <w:tcPr>
            <w:tcW w:w="1017"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二管轮</w:t>
            </w:r>
          </w:p>
        </w:tc>
        <w:tc>
          <w:tcPr>
            <w:tcW w:w="866"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1</w:t>
            </w:r>
          </w:p>
        </w:tc>
        <w:tc>
          <w:tcPr>
            <w:tcW w:w="1775" w:type="dxa"/>
            <w:vMerge w:val="continue"/>
            <w:vAlign w:val="center"/>
          </w:tcPr>
          <w:p>
            <w:pPr>
              <w:spacing w:line="480" w:lineRule="exact"/>
              <w:jc w:val="center"/>
              <w:rPr>
                <w:rFonts w:ascii="仿宋_GB2312" w:hAnsi="仿宋_GB2312" w:eastAsia="仿宋_GB2312" w:cs="仿宋_GB2312"/>
                <w:iCs/>
                <w:kern w:val="2"/>
                <w:szCs w:val="21"/>
                <w:highlight w:val="none"/>
              </w:rPr>
            </w:pPr>
          </w:p>
        </w:tc>
        <w:tc>
          <w:tcPr>
            <w:tcW w:w="552"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7</w:t>
            </w:r>
          </w:p>
        </w:tc>
        <w:tc>
          <w:tcPr>
            <w:tcW w:w="1081"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二管轮</w:t>
            </w:r>
          </w:p>
        </w:tc>
        <w:tc>
          <w:tcPr>
            <w:tcW w:w="914" w:type="dxa"/>
            <w:gridSpan w:val="2"/>
            <w:vAlign w:val="center"/>
          </w:tcPr>
          <w:p>
            <w:pPr>
              <w:widowControl/>
              <w:jc w:val="center"/>
              <w:textAlignment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1</w:t>
            </w:r>
          </w:p>
        </w:tc>
        <w:tc>
          <w:tcPr>
            <w:tcW w:w="1736" w:type="dxa"/>
            <w:vMerge w:val="continue"/>
            <w:vAlign w:val="center"/>
          </w:tcPr>
          <w:p>
            <w:pPr>
              <w:spacing w:line="480" w:lineRule="exact"/>
              <w:jc w:val="center"/>
              <w:rPr>
                <w:rFonts w:ascii="仿宋_GB2312" w:hAnsi="仿宋_GB2312" w:eastAsia="仿宋_GB2312" w:cs="仿宋_GB2312"/>
                <w:iCs/>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8"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8</w:t>
            </w:r>
          </w:p>
        </w:tc>
        <w:tc>
          <w:tcPr>
            <w:tcW w:w="1017"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三管轮</w:t>
            </w:r>
          </w:p>
        </w:tc>
        <w:tc>
          <w:tcPr>
            <w:tcW w:w="866"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1</w:t>
            </w:r>
          </w:p>
        </w:tc>
        <w:tc>
          <w:tcPr>
            <w:tcW w:w="1775" w:type="dxa"/>
            <w:vMerge w:val="continue"/>
            <w:vAlign w:val="center"/>
          </w:tcPr>
          <w:p>
            <w:pPr>
              <w:spacing w:line="480" w:lineRule="exact"/>
              <w:jc w:val="center"/>
              <w:rPr>
                <w:rFonts w:ascii="仿宋_GB2312" w:hAnsi="仿宋_GB2312" w:eastAsia="仿宋_GB2312" w:cs="仿宋_GB2312"/>
                <w:iCs/>
                <w:kern w:val="2"/>
                <w:szCs w:val="21"/>
                <w:highlight w:val="none"/>
              </w:rPr>
            </w:pPr>
          </w:p>
        </w:tc>
        <w:tc>
          <w:tcPr>
            <w:tcW w:w="552"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8</w:t>
            </w:r>
          </w:p>
        </w:tc>
        <w:tc>
          <w:tcPr>
            <w:tcW w:w="1081"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三管轮</w:t>
            </w:r>
          </w:p>
        </w:tc>
        <w:tc>
          <w:tcPr>
            <w:tcW w:w="914" w:type="dxa"/>
            <w:gridSpan w:val="2"/>
            <w:vAlign w:val="center"/>
          </w:tcPr>
          <w:p>
            <w:pPr>
              <w:widowControl/>
              <w:jc w:val="center"/>
              <w:textAlignment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1</w:t>
            </w:r>
          </w:p>
        </w:tc>
        <w:tc>
          <w:tcPr>
            <w:tcW w:w="1736" w:type="dxa"/>
            <w:vMerge w:val="continue"/>
            <w:vAlign w:val="center"/>
          </w:tcPr>
          <w:p>
            <w:pPr>
              <w:spacing w:line="480" w:lineRule="exact"/>
              <w:jc w:val="center"/>
              <w:rPr>
                <w:rFonts w:ascii="仿宋_GB2312" w:hAnsi="仿宋_GB2312" w:eastAsia="仿宋_GB2312" w:cs="仿宋_GB2312"/>
                <w:iCs/>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8"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9</w:t>
            </w:r>
          </w:p>
        </w:tc>
        <w:tc>
          <w:tcPr>
            <w:tcW w:w="1017"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电机员</w:t>
            </w:r>
          </w:p>
        </w:tc>
        <w:tc>
          <w:tcPr>
            <w:tcW w:w="866"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1</w:t>
            </w:r>
          </w:p>
        </w:tc>
        <w:tc>
          <w:tcPr>
            <w:tcW w:w="1775" w:type="dxa"/>
            <w:vMerge w:val="continue"/>
            <w:vAlign w:val="center"/>
          </w:tcPr>
          <w:p>
            <w:pPr>
              <w:spacing w:line="480" w:lineRule="exact"/>
              <w:jc w:val="center"/>
              <w:rPr>
                <w:rFonts w:ascii="仿宋_GB2312" w:hAnsi="仿宋_GB2312" w:eastAsia="仿宋_GB2312" w:cs="仿宋_GB2312"/>
                <w:iCs/>
                <w:kern w:val="2"/>
                <w:szCs w:val="21"/>
                <w:highlight w:val="none"/>
              </w:rPr>
            </w:pPr>
          </w:p>
        </w:tc>
        <w:tc>
          <w:tcPr>
            <w:tcW w:w="552"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9</w:t>
            </w:r>
          </w:p>
        </w:tc>
        <w:tc>
          <w:tcPr>
            <w:tcW w:w="1081"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水手</w:t>
            </w:r>
          </w:p>
        </w:tc>
        <w:tc>
          <w:tcPr>
            <w:tcW w:w="914" w:type="dxa"/>
            <w:gridSpan w:val="2"/>
            <w:vAlign w:val="center"/>
          </w:tcPr>
          <w:p>
            <w:pPr>
              <w:widowControl/>
              <w:jc w:val="center"/>
              <w:textAlignment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3</w:t>
            </w:r>
          </w:p>
        </w:tc>
        <w:tc>
          <w:tcPr>
            <w:tcW w:w="1736" w:type="dxa"/>
            <w:vMerge w:val="continue"/>
            <w:vAlign w:val="center"/>
          </w:tcPr>
          <w:p>
            <w:pPr>
              <w:spacing w:line="480" w:lineRule="exact"/>
              <w:jc w:val="center"/>
              <w:rPr>
                <w:rFonts w:ascii="仿宋_GB2312" w:hAnsi="仿宋_GB2312" w:eastAsia="仿宋_GB2312" w:cs="仿宋_GB2312"/>
                <w:iCs/>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8"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10</w:t>
            </w:r>
          </w:p>
        </w:tc>
        <w:tc>
          <w:tcPr>
            <w:tcW w:w="1017"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水手长</w:t>
            </w:r>
          </w:p>
        </w:tc>
        <w:tc>
          <w:tcPr>
            <w:tcW w:w="866"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1</w:t>
            </w:r>
          </w:p>
        </w:tc>
        <w:tc>
          <w:tcPr>
            <w:tcW w:w="1775" w:type="dxa"/>
            <w:vMerge w:val="continue"/>
            <w:vAlign w:val="center"/>
          </w:tcPr>
          <w:p>
            <w:pPr>
              <w:spacing w:line="480" w:lineRule="exact"/>
              <w:jc w:val="center"/>
              <w:rPr>
                <w:rFonts w:ascii="仿宋_GB2312" w:hAnsi="仿宋_GB2312" w:eastAsia="仿宋_GB2312" w:cs="仿宋_GB2312"/>
                <w:iCs/>
                <w:kern w:val="2"/>
                <w:szCs w:val="21"/>
                <w:highlight w:val="none"/>
              </w:rPr>
            </w:pPr>
          </w:p>
        </w:tc>
        <w:tc>
          <w:tcPr>
            <w:tcW w:w="552"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10</w:t>
            </w:r>
          </w:p>
        </w:tc>
        <w:tc>
          <w:tcPr>
            <w:tcW w:w="1081"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机工</w:t>
            </w:r>
          </w:p>
        </w:tc>
        <w:tc>
          <w:tcPr>
            <w:tcW w:w="914" w:type="dxa"/>
            <w:gridSpan w:val="2"/>
            <w:vAlign w:val="center"/>
          </w:tcPr>
          <w:p>
            <w:pPr>
              <w:widowControl/>
              <w:jc w:val="center"/>
              <w:textAlignment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3</w:t>
            </w:r>
          </w:p>
        </w:tc>
        <w:tc>
          <w:tcPr>
            <w:tcW w:w="1736" w:type="dxa"/>
            <w:vMerge w:val="continue"/>
            <w:vAlign w:val="center"/>
          </w:tcPr>
          <w:p>
            <w:pPr>
              <w:spacing w:line="480" w:lineRule="exact"/>
              <w:jc w:val="center"/>
              <w:rPr>
                <w:rFonts w:ascii="仿宋_GB2312" w:hAnsi="仿宋_GB2312" w:eastAsia="仿宋_GB2312" w:cs="仿宋_GB2312"/>
                <w:iCs/>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8"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11</w:t>
            </w:r>
          </w:p>
        </w:tc>
        <w:tc>
          <w:tcPr>
            <w:tcW w:w="1017"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水手</w:t>
            </w:r>
          </w:p>
        </w:tc>
        <w:tc>
          <w:tcPr>
            <w:tcW w:w="866"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4</w:t>
            </w:r>
          </w:p>
        </w:tc>
        <w:tc>
          <w:tcPr>
            <w:tcW w:w="1775" w:type="dxa"/>
            <w:vMerge w:val="continue"/>
            <w:vAlign w:val="center"/>
          </w:tcPr>
          <w:p>
            <w:pPr>
              <w:spacing w:line="480" w:lineRule="exact"/>
              <w:jc w:val="center"/>
              <w:rPr>
                <w:rFonts w:ascii="仿宋_GB2312" w:hAnsi="仿宋_GB2312" w:eastAsia="仿宋_GB2312" w:cs="仿宋_GB2312"/>
                <w:iCs/>
                <w:kern w:val="2"/>
                <w:szCs w:val="21"/>
                <w:highlight w:val="none"/>
              </w:rPr>
            </w:pPr>
          </w:p>
        </w:tc>
        <w:tc>
          <w:tcPr>
            <w:tcW w:w="552"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11</w:t>
            </w:r>
          </w:p>
        </w:tc>
        <w:tc>
          <w:tcPr>
            <w:tcW w:w="1081"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大厨</w:t>
            </w:r>
          </w:p>
        </w:tc>
        <w:tc>
          <w:tcPr>
            <w:tcW w:w="914" w:type="dxa"/>
            <w:gridSpan w:val="2"/>
            <w:vAlign w:val="center"/>
          </w:tcPr>
          <w:p>
            <w:pPr>
              <w:widowControl/>
              <w:jc w:val="center"/>
              <w:textAlignment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1</w:t>
            </w:r>
          </w:p>
        </w:tc>
        <w:tc>
          <w:tcPr>
            <w:tcW w:w="1736" w:type="dxa"/>
            <w:vMerge w:val="continue"/>
            <w:vAlign w:val="center"/>
          </w:tcPr>
          <w:p>
            <w:pPr>
              <w:spacing w:line="480" w:lineRule="exact"/>
              <w:jc w:val="center"/>
              <w:rPr>
                <w:rFonts w:ascii="仿宋_GB2312" w:hAnsi="仿宋_GB2312" w:eastAsia="仿宋_GB2312" w:cs="仿宋_GB2312"/>
                <w:iCs/>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8"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12</w:t>
            </w:r>
          </w:p>
        </w:tc>
        <w:tc>
          <w:tcPr>
            <w:tcW w:w="1017"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机工长</w:t>
            </w:r>
          </w:p>
        </w:tc>
        <w:tc>
          <w:tcPr>
            <w:tcW w:w="866" w:type="dxa"/>
            <w:vAlign w:val="center"/>
          </w:tcPr>
          <w:p>
            <w:pPr>
              <w:spacing w:line="480" w:lineRule="exact"/>
              <w:jc w:val="center"/>
              <w:rPr>
                <w:rFonts w:ascii="仿宋_GB2312" w:hAnsi="仿宋_GB2312" w:eastAsia="仿宋_GB2312" w:cs="仿宋_GB2312"/>
                <w:iCs/>
                <w:kern w:val="2"/>
                <w:szCs w:val="21"/>
                <w:highlight w:val="none"/>
              </w:rPr>
            </w:pPr>
            <w:r>
              <w:rPr>
                <w:rFonts w:ascii="仿宋_GB2312" w:hAnsi="仿宋_GB2312" w:eastAsia="仿宋_GB2312" w:cs="仿宋_GB2312"/>
                <w:iCs/>
                <w:kern w:val="2"/>
                <w:sz w:val="24"/>
                <w:highlight w:val="none"/>
              </w:rPr>
              <w:t>1</w:t>
            </w:r>
          </w:p>
        </w:tc>
        <w:tc>
          <w:tcPr>
            <w:tcW w:w="1775" w:type="dxa"/>
            <w:vMerge w:val="continue"/>
            <w:vAlign w:val="center"/>
          </w:tcPr>
          <w:p>
            <w:pPr>
              <w:spacing w:line="480" w:lineRule="exact"/>
              <w:jc w:val="center"/>
              <w:rPr>
                <w:rFonts w:ascii="仿宋_GB2312" w:hAnsi="仿宋_GB2312" w:eastAsia="仿宋_GB2312" w:cs="仿宋_GB2312"/>
                <w:iCs/>
                <w:kern w:val="2"/>
                <w:szCs w:val="21"/>
                <w:highlight w:val="none"/>
              </w:rPr>
            </w:pPr>
          </w:p>
        </w:tc>
        <w:tc>
          <w:tcPr>
            <w:tcW w:w="552"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12</w:t>
            </w:r>
          </w:p>
        </w:tc>
        <w:tc>
          <w:tcPr>
            <w:tcW w:w="1081"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厨工</w:t>
            </w:r>
          </w:p>
        </w:tc>
        <w:tc>
          <w:tcPr>
            <w:tcW w:w="914" w:type="dxa"/>
            <w:gridSpan w:val="2"/>
            <w:vAlign w:val="center"/>
          </w:tcPr>
          <w:p>
            <w:pPr>
              <w:widowControl/>
              <w:jc w:val="center"/>
              <w:textAlignment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1</w:t>
            </w:r>
          </w:p>
        </w:tc>
        <w:tc>
          <w:tcPr>
            <w:tcW w:w="1736" w:type="dxa"/>
            <w:vMerge w:val="continue"/>
            <w:vAlign w:val="center"/>
          </w:tcPr>
          <w:p>
            <w:pPr>
              <w:spacing w:line="480" w:lineRule="exact"/>
              <w:jc w:val="center"/>
              <w:rPr>
                <w:rFonts w:ascii="仿宋_GB2312" w:hAnsi="仿宋_GB2312" w:eastAsia="仿宋_GB2312" w:cs="仿宋_GB2312"/>
                <w:iCs/>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8"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1</w:t>
            </w:r>
            <w:r>
              <w:rPr>
                <w:rFonts w:ascii="仿宋_GB2312" w:hAnsi="仿宋_GB2312" w:eastAsia="仿宋_GB2312" w:cs="仿宋_GB2312"/>
                <w:iCs/>
                <w:kern w:val="2"/>
                <w:szCs w:val="21"/>
                <w:highlight w:val="none"/>
              </w:rPr>
              <w:t>3</w:t>
            </w:r>
          </w:p>
        </w:tc>
        <w:tc>
          <w:tcPr>
            <w:tcW w:w="1017"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机工</w:t>
            </w:r>
          </w:p>
        </w:tc>
        <w:tc>
          <w:tcPr>
            <w:tcW w:w="866"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4</w:t>
            </w:r>
          </w:p>
        </w:tc>
        <w:tc>
          <w:tcPr>
            <w:tcW w:w="1775" w:type="dxa"/>
            <w:vMerge w:val="continue"/>
            <w:vAlign w:val="center"/>
          </w:tcPr>
          <w:p>
            <w:pPr>
              <w:spacing w:line="480" w:lineRule="exact"/>
              <w:jc w:val="center"/>
              <w:rPr>
                <w:rFonts w:ascii="仿宋_GB2312" w:hAnsi="仿宋_GB2312" w:eastAsia="仿宋_GB2312" w:cs="仿宋_GB2312"/>
                <w:iCs/>
                <w:kern w:val="2"/>
                <w:szCs w:val="21"/>
                <w:highlight w:val="none"/>
              </w:rPr>
            </w:pPr>
          </w:p>
        </w:tc>
        <w:tc>
          <w:tcPr>
            <w:tcW w:w="552"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13</w:t>
            </w:r>
          </w:p>
        </w:tc>
        <w:tc>
          <w:tcPr>
            <w:tcW w:w="1081"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服务员</w:t>
            </w:r>
          </w:p>
        </w:tc>
        <w:tc>
          <w:tcPr>
            <w:tcW w:w="914" w:type="dxa"/>
            <w:gridSpan w:val="2"/>
            <w:vAlign w:val="center"/>
          </w:tcPr>
          <w:p>
            <w:pPr>
              <w:widowControl/>
              <w:jc w:val="center"/>
              <w:textAlignment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1</w:t>
            </w:r>
          </w:p>
        </w:tc>
        <w:tc>
          <w:tcPr>
            <w:tcW w:w="1736" w:type="dxa"/>
            <w:vMerge w:val="continue"/>
            <w:vAlign w:val="center"/>
          </w:tcPr>
          <w:p>
            <w:pPr>
              <w:spacing w:line="480" w:lineRule="exact"/>
              <w:jc w:val="center"/>
              <w:rPr>
                <w:rFonts w:ascii="仿宋_GB2312" w:hAnsi="仿宋_GB2312" w:eastAsia="仿宋_GB2312" w:cs="仿宋_GB2312"/>
                <w:iCs/>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8"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1</w:t>
            </w:r>
            <w:r>
              <w:rPr>
                <w:rFonts w:ascii="仿宋_GB2312" w:hAnsi="仿宋_GB2312" w:eastAsia="仿宋_GB2312" w:cs="仿宋_GB2312"/>
                <w:iCs/>
                <w:kern w:val="2"/>
                <w:szCs w:val="21"/>
                <w:highlight w:val="none"/>
              </w:rPr>
              <w:t>4</w:t>
            </w:r>
          </w:p>
        </w:tc>
        <w:tc>
          <w:tcPr>
            <w:tcW w:w="1017"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船医</w:t>
            </w:r>
          </w:p>
        </w:tc>
        <w:tc>
          <w:tcPr>
            <w:tcW w:w="866"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1</w:t>
            </w:r>
          </w:p>
        </w:tc>
        <w:tc>
          <w:tcPr>
            <w:tcW w:w="1775" w:type="dxa"/>
            <w:vMerge w:val="continue"/>
            <w:vAlign w:val="center"/>
          </w:tcPr>
          <w:p>
            <w:pPr>
              <w:spacing w:line="480" w:lineRule="exact"/>
              <w:jc w:val="center"/>
              <w:rPr>
                <w:rFonts w:ascii="仿宋_GB2312" w:hAnsi="仿宋_GB2312" w:eastAsia="仿宋_GB2312" w:cs="仿宋_GB2312"/>
                <w:iCs/>
                <w:kern w:val="2"/>
                <w:szCs w:val="21"/>
                <w:highlight w:val="none"/>
              </w:rPr>
            </w:pPr>
          </w:p>
        </w:tc>
        <w:tc>
          <w:tcPr>
            <w:tcW w:w="4283" w:type="dxa"/>
            <w:gridSpan w:val="5"/>
            <w:vMerge w:val="restart"/>
            <w:tcBorders>
              <w:tl2br w:val="single" w:color="auto" w:sz="4" w:space="0"/>
            </w:tcBorders>
            <w:vAlign w:val="center"/>
          </w:tcPr>
          <w:p>
            <w:pPr>
              <w:spacing w:line="480" w:lineRule="exact"/>
              <w:jc w:val="center"/>
              <w:rPr>
                <w:rFonts w:ascii="仿宋_GB2312" w:hAnsi="仿宋_GB2312" w:eastAsia="仿宋_GB2312" w:cs="仿宋_GB2312"/>
                <w:iCs/>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8"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1</w:t>
            </w:r>
            <w:r>
              <w:rPr>
                <w:rFonts w:ascii="仿宋_GB2312" w:hAnsi="仿宋_GB2312" w:eastAsia="仿宋_GB2312" w:cs="仿宋_GB2312"/>
                <w:iCs/>
                <w:kern w:val="2"/>
                <w:szCs w:val="21"/>
                <w:highlight w:val="none"/>
              </w:rPr>
              <w:t>5</w:t>
            </w:r>
          </w:p>
        </w:tc>
        <w:tc>
          <w:tcPr>
            <w:tcW w:w="1017"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大厨</w:t>
            </w:r>
          </w:p>
        </w:tc>
        <w:tc>
          <w:tcPr>
            <w:tcW w:w="866"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1</w:t>
            </w:r>
          </w:p>
        </w:tc>
        <w:tc>
          <w:tcPr>
            <w:tcW w:w="1775" w:type="dxa"/>
            <w:vMerge w:val="continue"/>
            <w:vAlign w:val="center"/>
          </w:tcPr>
          <w:p>
            <w:pPr>
              <w:spacing w:line="480" w:lineRule="exact"/>
              <w:jc w:val="center"/>
              <w:rPr>
                <w:rFonts w:ascii="仿宋_GB2312" w:hAnsi="仿宋_GB2312" w:eastAsia="仿宋_GB2312" w:cs="仿宋_GB2312"/>
                <w:iCs/>
                <w:kern w:val="2"/>
                <w:szCs w:val="21"/>
                <w:highlight w:val="none"/>
              </w:rPr>
            </w:pPr>
          </w:p>
        </w:tc>
        <w:tc>
          <w:tcPr>
            <w:tcW w:w="4283" w:type="dxa"/>
            <w:gridSpan w:val="5"/>
            <w:vMerge w:val="continue"/>
            <w:tcBorders>
              <w:tl2br w:val="single" w:color="auto" w:sz="4" w:space="0"/>
            </w:tcBorders>
            <w:vAlign w:val="center"/>
          </w:tcPr>
          <w:p>
            <w:pPr>
              <w:spacing w:line="480" w:lineRule="exact"/>
              <w:jc w:val="center"/>
              <w:rPr>
                <w:rFonts w:ascii="仿宋_GB2312" w:hAnsi="仿宋_GB2312" w:eastAsia="仿宋_GB2312" w:cs="仿宋_GB2312"/>
                <w:iCs/>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8"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1</w:t>
            </w:r>
            <w:r>
              <w:rPr>
                <w:rFonts w:ascii="仿宋_GB2312" w:hAnsi="仿宋_GB2312" w:eastAsia="仿宋_GB2312" w:cs="仿宋_GB2312"/>
                <w:iCs/>
                <w:kern w:val="2"/>
                <w:szCs w:val="21"/>
                <w:highlight w:val="none"/>
              </w:rPr>
              <w:t>6</w:t>
            </w:r>
          </w:p>
        </w:tc>
        <w:tc>
          <w:tcPr>
            <w:tcW w:w="1017"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厨工</w:t>
            </w:r>
          </w:p>
        </w:tc>
        <w:tc>
          <w:tcPr>
            <w:tcW w:w="866"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2</w:t>
            </w:r>
          </w:p>
        </w:tc>
        <w:tc>
          <w:tcPr>
            <w:tcW w:w="1775" w:type="dxa"/>
            <w:vMerge w:val="continue"/>
            <w:vAlign w:val="center"/>
          </w:tcPr>
          <w:p>
            <w:pPr>
              <w:spacing w:line="480" w:lineRule="exact"/>
              <w:jc w:val="center"/>
              <w:rPr>
                <w:rFonts w:ascii="仿宋_GB2312" w:hAnsi="仿宋_GB2312" w:eastAsia="仿宋_GB2312" w:cs="仿宋_GB2312"/>
                <w:iCs/>
                <w:kern w:val="2"/>
                <w:szCs w:val="21"/>
                <w:highlight w:val="none"/>
              </w:rPr>
            </w:pPr>
          </w:p>
        </w:tc>
        <w:tc>
          <w:tcPr>
            <w:tcW w:w="4283" w:type="dxa"/>
            <w:gridSpan w:val="5"/>
            <w:vMerge w:val="continue"/>
            <w:tcBorders>
              <w:tl2br w:val="single" w:color="auto" w:sz="4" w:space="0"/>
            </w:tcBorders>
            <w:vAlign w:val="center"/>
          </w:tcPr>
          <w:p>
            <w:pPr>
              <w:spacing w:line="480" w:lineRule="exact"/>
              <w:jc w:val="center"/>
              <w:rPr>
                <w:rFonts w:ascii="仿宋_GB2312" w:hAnsi="仿宋_GB2312" w:eastAsia="仿宋_GB2312" w:cs="仿宋_GB2312"/>
                <w:iCs/>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8"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1</w:t>
            </w:r>
            <w:r>
              <w:rPr>
                <w:rFonts w:ascii="仿宋_GB2312" w:hAnsi="仿宋_GB2312" w:eastAsia="仿宋_GB2312" w:cs="仿宋_GB2312"/>
                <w:iCs/>
                <w:kern w:val="2"/>
                <w:szCs w:val="21"/>
                <w:highlight w:val="none"/>
              </w:rPr>
              <w:t>7</w:t>
            </w:r>
          </w:p>
        </w:tc>
        <w:tc>
          <w:tcPr>
            <w:tcW w:w="1017"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服务员</w:t>
            </w:r>
          </w:p>
        </w:tc>
        <w:tc>
          <w:tcPr>
            <w:tcW w:w="866"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2</w:t>
            </w:r>
          </w:p>
        </w:tc>
        <w:tc>
          <w:tcPr>
            <w:tcW w:w="1775" w:type="dxa"/>
            <w:vMerge w:val="continue"/>
            <w:vAlign w:val="center"/>
          </w:tcPr>
          <w:p>
            <w:pPr>
              <w:spacing w:line="480" w:lineRule="exact"/>
              <w:jc w:val="center"/>
              <w:rPr>
                <w:rFonts w:ascii="仿宋_GB2312" w:hAnsi="仿宋_GB2312" w:eastAsia="仿宋_GB2312" w:cs="仿宋_GB2312"/>
                <w:iCs/>
                <w:kern w:val="2"/>
                <w:szCs w:val="21"/>
                <w:highlight w:val="none"/>
              </w:rPr>
            </w:pPr>
          </w:p>
        </w:tc>
        <w:tc>
          <w:tcPr>
            <w:tcW w:w="4283" w:type="dxa"/>
            <w:gridSpan w:val="5"/>
            <w:vMerge w:val="continue"/>
            <w:vAlign w:val="center"/>
          </w:tcPr>
          <w:p>
            <w:pPr>
              <w:spacing w:line="480" w:lineRule="exact"/>
              <w:jc w:val="center"/>
              <w:rPr>
                <w:rFonts w:ascii="仿宋_GB2312" w:hAnsi="仿宋_GB2312" w:eastAsia="仿宋_GB2312" w:cs="仿宋_GB2312"/>
                <w:iCs/>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5" w:type="dxa"/>
            <w:gridSpan w:val="2"/>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小计</w:t>
            </w:r>
          </w:p>
        </w:tc>
        <w:tc>
          <w:tcPr>
            <w:tcW w:w="866"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2</w:t>
            </w:r>
            <w:r>
              <w:rPr>
                <w:rFonts w:ascii="仿宋_GB2312" w:hAnsi="仿宋_GB2312" w:eastAsia="仿宋_GB2312" w:cs="仿宋_GB2312"/>
                <w:iCs/>
                <w:kern w:val="2"/>
                <w:szCs w:val="21"/>
                <w:highlight w:val="none"/>
              </w:rPr>
              <w:t>5</w:t>
            </w:r>
          </w:p>
        </w:tc>
        <w:tc>
          <w:tcPr>
            <w:tcW w:w="1775"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37</w:t>
            </w:r>
            <w:r>
              <w:rPr>
                <w:rFonts w:ascii="仿宋_GB2312" w:hAnsi="仿宋_GB2312" w:eastAsia="仿宋_GB2312" w:cs="仿宋_GB2312"/>
                <w:iCs/>
                <w:kern w:val="2"/>
                <w:sz w:val="24"/>
                <w:highlight w:val="none"/>
              </w:rPr>
              <w:t>0</w:t>
            </w:r>
            <w:r>
              <w:rPr>
                <w:rFonts w:hint="eastAsia" w:ascii="仿宋_GB2312" w:hAnsi="仿宋_GB2312" w:eastAsia="仿宋_GB2312" w:cs="仿宋_GB2312"/>
                <w:iCs/>
                <w:kern w:val="2"/>
                <w:sz w:val="24"/>
                <w:highlight w:val="none"/>
              </w:rPr>
              <w:t>,</w:t>
            </w:r>
            <w:r>
              <w:rPr>
                <w:rFonts w:ascii="仿宋_GB2312" w:hAnsi="仿宋_GB2312" w:eastAsia="仿宋_GB2312" w:cs="仿宋_GB2312"/>
                <w:iCs/>
                <w:kern w:val="2"/>
                <w:sz w:val="24"/>
                <w:highlight w:val="none"/>
              </w:rPr>
              <w:t>000</w:t>
            </w:r>
            <w:r>
              <w:rPr>
                <w:rFonts w:hint="eastAsia" w:ascii="仿宋_GB2312" w:hAnsi="仿宋_GB2312" w:eastAsia="仿宋_GB2312" w:cs="仿宋_GB2312"/>
                <w:iCs/>
                <w:kern w:val="2"/>
                <w:sz w:val="24"/>
                <w:highlight w:val="none"/>
              </w:rPr>
              <w:t>.00</w:t>
            </w:r>
          </w:p>
        </w:tc>
        <w:tc>
          <w:tcPr>
            <w:tcW w:w="1698" w:type="dxa"/>
            <w:gridSpan w:val="3"/>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小计</w:t>
            </w:r>
          </w:p>
        </w:tc>
        <w:tc>
          <w:tcPr>
            <w:tcW w:w="849"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Cs w:val="21"/>
                <w:highlight w:val="none"/>
              </w:rPr>
              <w:t>17</w:t>
            </w:r>
          </w:p>
        </w:tc>
        <w:tc>
          <w:tcPr>
            <w:tcW w:w="1736" w:type="dxa"/>
            <w:vAlign w:val="center"/>
          </w:tcPr>
          <w:p>
            <w:pPr>
              <w:spacing w:line="480" w:lineRule="exact"/>
              <w:jc w:val="center"/>
              <w:rPr>
                <w:rFonts w:ascii="仿宋_GB2312" w:hAnsi="仿宋_GB2312" w:eastAsia="仿宋_GB2312" w:cs="仿宋_GB2312"/>
                <w:iCs/>
                <w:kern w:val="2"/>
                <w:szCs w:val="21"/>
                <w:highlight w:val="none"/>
              </w:rPr>
            </w:pPr>
            <w:r>
              <w:rPr>
                <w:rFonts w:hint="eastAsia" w:ascii="仿宋_GB2312" w:hAnsi="仿宋_GB2312" w:eastAsia="仿宋_GB2312" w:cs="仿宋_GB2312"/>
                <w:iCs/>
                <w:kern w:val="2"/>
                <w:sz w:val="24"/>
                <w:highlight w:val="none"/>
              </w:rPr>
              <w:t>2</w:t>
            </w:r>
            <w:r>
              <w:rPr>
                <w:rFonts w:ascii="仿宋_GB2312" w:hAnsi="仿宋_GB2312" w:eastAsia="仿宋_GB2312" w:cs="仿宋_GB2312"/>
                <w:iCs/>
                <w:kern w:val="2"/>
                <w:sz w:val="24"/>
                <w:highlight w:val="none"/>
              </w:rPr>
              <w:t>4</w:t>
            </w:r>
            <w:r>
              <w:rPr>
                <w:rFonts w:hint="eastAsia" w:ascii="仿宋_GB2312" w:hAnsi="仿宋_GB2312" w:eastAsia="仿宋_GB2312" w:cs="仿宋_GB2312"/>
                <w:iCs/>
                <w:kern w:val="2"/>
                <w:sz w:val="24"/>
                <w:highlight w:val="none"/>
              </w:rPr>
              <w:t>5,</w:t>
            </w:r>
            <w:r>
              <w:rPr>
                <w:rFonts w:ascii="仿宋_GB2312" w:hAnsi="仿宋_GB2312" w:eastAsia="仿宋_GB2312" w:cs="仿宋_GB2312"/>
                <w:iCs/>
                <w:kern w:val="2"/>
                <w:sz w:val="24"/>
                <w:highlight w:val="none"/>
              </w:rPr>
              <w:t>00</w:t>
            </w:r>
            <w:r>
              <w:rPr>
                <w:rFonts w:hint="eastAsia" w:ascii="仿宋_GB2312" w:hAnsi="仿宋_GB2312" w:eastAsia="仿宋_GB2312" w:cs="仿宋_GB2312"/>
                <w:iCs/>
                <w:kern w:val="2"/>
                <w:sz w:val="24"/>
                <w:highlight w:val="none"/>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6" w:type="dxa"/>
            <w:gridSpan w:val="4"/>
            <w:vAlign w:val="center"/>
          </w:tcPr>
          <w:p>
            <w:pPr>
              <w:spacing w:line="480" w:lineRule="exact"/>
              <w:jc w:val="center"/>
              <w:rPr>
                <w:rFonts w:ascii="仿宋_GB2312" w:hAnsi="仿宋_GB2312" w:eastAsia="仿宋_GB2312" w:cs="仿宋_GB2312"/>
                <w:iCs/>
                <w:kern w:val="2"/>
                <w:sz w:val="24"/>
                <w:highlight w:val="none"/>
              </w:rPr>
            </w:pPr>
            <w:r>
              <w:rPr>
                <w:rFonts w:hint="eastAsia" w:ascii="仿宋_GB2312" w:hAnsi="仿宋_GB2312" w:eastAsia="仿宋_GB2312" w:cs="仿宋_GB2312"/>
                <w:iCs/>
                <w:kern w:val="2"/>
                <w:szCs w:val="21"/>
                <w:highlight w:val="none"/>
              </w:rPr>
              <w:t>合计</w:t>
            </w:r>
          </w:p>
        </w:tc>
        <w:tc>
          <w:tcPr>
            <w:tcW w:w="4283" w:type="dxa"/>
            <w:gridSpan w:val="5"/>
            <w:vAlign w:val="center"/>
          </w:tcPr>
          <w:p>
            <w:pPr>
              <w:spacing w:line="480" w:lineRule="exact"/>
              <w:jc w:val="center"/>
              <w:rPr>
                <w:rFonts w:ascii="仿宋_GB2312" w:hAnsi="仿宋_GB2312" w:eastAsia="仿宋_GB2312" w:cs="仿宋_GB2312"/>
                <w:iCs/>
                <w:kern w:val="2"/>
                <w:sz w:val="24"/>
                <w:highlight w:val="none"/>
              </w:rPr>
            </w:pPr>
            <w:r>
              <w:rPr>
                <w:rFonts w:ascii="仿宋_GB2312" w:hAnsi="仿宋_GB2312" w:eastAsia="仿宋_GB2312" w:cs="仿宋_GB2312"/>
                <w:iCs/>
                <w:kern w:val="2"/>
                <w:sz w:val="24"/>
                <w:highlight w:val="none"/>
              </w:rPr>
              <w:t>615,000</w:t>
            </w:r>
            <w:r>
              <w:rPr>
                <w:rFonts w:hint="eastAsia" w:ascii="仿宋_GB2312" w:hAnsi="仿宋_GB2312" w:eastAsia="仿宋_GB2312" w:cs="仿宋_GB2312"/>
                <w:iCs/>
                <w:kern w:val="2"/>
                <w:sz w:val="24"/>
                <w:highlight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9"/>
            <w:vAlign w:val="center"/>
          </w:tcPr>
          <w:p>
            <w:pPr>
              <w:spacing w:line="480" w:lineRule="exact"/>
              <w:rPr>
                <w:rFonts w:hAnsi="Courier New"/>
                <w:b/>
                <w:bCs/>
                <w:kern w:val="2"/>
                <w:highlight w:val="none"/>
              </w:rPr>
            </w:pPr>
            <w:r>
              <w:rPr>
                <w:rFonts w:hint="eastAsia" w:hAnsi="Courier New"/>
                <w:b/>
                <w:bCs/>
                <w:kern w:val="2"/>
                <w:highlight w:val="none"/>
              </w:rPr>
              <w:t>船员成本费用单船报价超过最高限额视为无效报价。</w:t>
            </w:r>
          </w:p>
          <w:p>
            <w:pPr>
              <w:spacing w:line="480" w:lineRule="exact"/>
              <w:rPr>
                <w:rFonts w:hAnsi="Courier New"/>
                <w:b/>
                <w:bCs/>
                <w:kern w:val="2"/>
                <w:highlight w:val="none"/>
              </w:rPr>
            </w:pPr>
          </w:p>
        </w:tc>
      </w:tr>
    </w:tbl>
    <w:p>
      <w:pPr>
        <w:pStyle w:val="2"/>
        <w:rPr>
          <w:highlight w:val="none"/>
        </w:rPr>
      </w:pPr>
    </w:p>
    <w:p>
      <w:pPr>
        <w:widowControl/>
        <w:autoSpaceDE/>
        <w:autoSpaceDN/>
        <w:adjustRightInd/>
        <w:rPr>
          <w:rFonts w:cs="宋体"/>
          <w:sz w:val="24"/>
          <w:highlight w:val="none"/>
        </w:rPr>
      </w:pPr>
      <w:r>
        <w:rPr>
          <w:highlight w:val="none"/>
        </w:rPr>
        <w:br w:type="page"/>
      </w:r>
    </w:p>
    <w:tbl>
      <w:tblPr>
        <w:tblStyle w:val="50"/>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261"/>
        <w:gridCol w:w="735"/>
        <w:gridCol w:w="954"/>
        <w:gridCol w:w="1714"/>
        <w:gridCol w:w="523"/>
        <w:gridCol w:w="995"/>
        <w:gridCol w:w="1118"/>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3" w:type="dxa"/>
            <w:gridSpan w:val="9"/>
            <w:vAlign w:val="center"/>
          </w:tcPr>
          <w:p>
            <w:pPr>
              <w:pStyle w:val="3"/>
              <w:jc w:val="center"/>
              <w:rPr>
                <w:b/>
                <w:bCs/>
                <w:highlight w:val="none"/>
              </w:rPr>
            </w:pPr>
            <w:r>
              <w:rPr>
                <w:rFonts w:hint="eastAsia"/>
                <w:b/>
                <w:bCs/>
                <w:highlight w:val="none"/>
              </w:rPr>
              <w:t>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3" w:type="dxa"/>
            <w:gridSpan w:val="9"/>
            <w:vAlign w:val="center"/>
          </w:tcPr>
          <w:p>
            <w:pPr>
              <w:pStyle w:val="3"/>
              <w:rPr>
                <w:b/>
                <w:bCs/>
                <w:highlight w:val="none"/>
              </w:rPr>
            </w:pPr>
            <w:r>
              <w:rPr>
                <w:rFonts w:hint="eastAsia"/>
                <w:b/>
                <w:bCs/>
                <w:highlight w:val="none"/>
              </w:rPr>
              <w:t>一、船员成本费用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188" w:type="dxa"/>
            <w:gridSpan w:val="5"/>
            <w:vAlign w:val="center"/>
          </w:tcPr>
          <w:p>
            <w:pPr>
              <w:pStyle w:val="3"/>
              <w:jc w:val="center"/>
              <w:rPr>
                <w:b/>
                <w:bCs/>
                <w:highlight w:val="none"/>
              </w:rPr>
            </w:pPr>
            <w:r>
              <w:rPr>
                <w:rFonts w:hint="eastAsia"/>
                <w:b/>
                <w:bCs/>
                <w:highlight w:val="none"/>
              </w:rPr>
              <w:t>远洋调查船组</w:t>
            </w:r>
          </w:p>
        </w:tc>
        <w:tc>
          <w:tcPr>
            <w:tcW w:w="4335" w:type="dxa"/>
            <w:gridSpan w:val="4"/>
            <w:vAlign w:val="center"/>
          </w:tcPr>
          <w:p>
            <w:pPr>
              <w:pStyle w:val="3"/>
              <w:jc w:val="center"/>
              <w:rPr>
                <w:b/>
                <w:bCs/>
                <w:highlight w:val="none"/>
              </w:rPr>
            </w:pPr>
            <w:r>
              <w:rPr>
                <w:rFonts w:hint="eastAsia"/>
                <w:b/>
                <w:bCs/>
                <w:highlight w:val="none"/>
              </w:rPr>
              <w:t>500吨级以上调查船组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24" w:type="dxa"/>
            <w:vAlign w:val="center"/>
          </w:tcPr>
          <w:p>
            <w:pPr>
              <w:pStyle w:val="3"/>
              <w:jc w:val="center"/>
              <w:rPr>
                <w:b/>
                <w:bCs/>
                <w:highlight w:val="none"/>
              </w:rPr>
            </w:pPr>
            <w:r>
              <w:rPr>
                <w:rFonts w:hint="eastAsia"/>
                <w:b/>
                <w:bCs/>
                <w:highlight w:val="none"/>
              </w:rPr>
              <w:t>序号</w:t>
            </w:r>
          </w:p>
        </w:tc>
        <w:tc>
          <w:tcPr>
            <w:tcW w:w="996" w:type="dxa"/>
            <w:gridSpan w:val="2"/>
            <w:vAlign w:val="center"/>
          </w:tcPr>
          <w:p>
            <w:pPr>
              <w:pStyle w:val="3"/>
              <w:jc w:val="center"/>
              <w:rPr>
                <w:b/>
                <w:bCs/>
                <w:highlight w:val="none"/>
              </w:rPr>
            </w:pPr>
            <w:r>
              <w:rPr>
                <w:rFonts w:hint="eastAsia"/>
                <w:b/>
                <w:bCs/>
                <w:highlight w:val="none"/>
              </w:rPr>
              <w:t>职务</w:t>
            </w:r>
          </w:p>
        </w:tc>
        <w:tc>
          <w:tcPr>
            <w:tcW w:w="954" w:type="dxa"/>
            <w:vAlign w:val="center"/>
          </w:tcPr>
          <w:p>
            <w:pPr>
              <w:pStyle w:val="3"/>
              <w:jc w:val="center"/>
              <w:rPr>
                <w:b/>
                <w:bCs/>
                <w:highlight w:val="none"/>
              </w:rPr>
            </w:pPr>
            <w:r>
              <w:rPr>
                <w:rFonts w:hint="eastAsia"/>
                <w:b/>
                <w:bCs/>
                <w:highlight w:val="none"/>
              </w:rPr>
              <w:t>每船配员标准</w:t>
            </w:r>
          </w:p>
          <w:p>
            <w:pPr>
              <w:pStyle w:val="3"/>
              <w:jc w:val="center"/>
              <w:rPr>
                <w:b/>
                <w:bCs/>
                <w:highlight w:val="none"/>
              </w:rPr>
            </w:pPr>
            <w:r>
              <w:rPr>
                <w:rFonts w:hint="eastAsia"/>
                <w:b/>
                <w:bCs/>
                <w:highlight w:val="none"/>
              </w:rPr>
              <w:t>（人）</w:t>
            </w:r>
          </w:p>
        </w:tc>
        <w:tc>
          <w:tcPr>
            <w:tcW w:w="1714" w:type="dxa"/>
            <w:vAlign w:val="center"/>
          </w:tcPr>
          <w:p>
            <w:pPr>
              <w:pStyle w:val="3"/>
              <w:jc w:val="center"/>
              <w:rPr>
                <w:b/>
                <w:bCs/>
                <w:highlight w:val="none"/>
              </w:rPr>
            </w:pPr>
            <w:r>
              <w:rPr>
                <w:rFonts w:hint="eastAsia"/>
                <w:b/>
                <w:bCs/>
                <w:highlight w:val="none"/>
              </w:rPr>
              <w:t>船员成本费用</w:t>
            </w:r>
          </w:p>
          <w:p>
            <w:pPr>
              <w:pStyle w:val="3"/>
              <w:jc w:val="center"/>
              <w:rPr>
                <w:b/>
                <w:bCs/>
                <w:highlight w:val="none"/>
              </w:rPr>
            </w:pPr>
            <w:r>
              <w:rPr>
                <w:rFonts w:hint="eastAsia"/>
                <w:b/>
                <w:bCs/>
                <w:highlight w:val="none"/>
              </w:rPr>
              <w:t>单项报价</w:t>
            </w:r>
          </w:p>
          <w:p>
            <w:pPr>
              <w:pStyle w:val="3"/>
              <w:jc w:val="center"/>
              <w:rPr>
                <w:b/>
                <w:bCs/>
                <w:highlight w:val="none"/>
              </w:rPr>
            </w:pPr>
            <w:r>
              <w:rPr>
                <w:rFonts w:hint="eastAsia"/>
                <w:b/>
                <w:bCs/>
                <w:highlight w:val="none"/>
              </w:rPr>
              <w:t>（元/每人月）</w:t>
            </w:r>
          </w:p>
        </w:tc>
        <w:tc>
          <w:tcPr>
            <w:tcW w:w="523" w:type="dxa"/>
            <w:vAlign w:val="center"/>
          </w:tcPr>
          <w:p>
            <w:pPr>
              <w:pStyle w:val="3"/>
              <w:jc w:val="center"/>
              <w:rPr>
                <w:b/>
                <w:bCs/>
                <w:highlight w:val="none"/>
              </w:rPr>
            </w:pPr>
            <w:r>
              <w:rPr>
                <w:rFonts w:hint="eastAsia"/>
                <w:b/>
                <w:bCs/>
                <w:highlight w:val="none"/>
              </w:rPr>
              <w:t>序号</w:t>
            </w:r>
          </w:p>
        </w:tc>
        <w:tc>
          <w:tcPr>
            <w:tcW w:w="995" w:type="dxa"/>
            <w:vAlign w:val="center"/>
          </w:tcPr>
          <w:p>
            <w:pPr>
              <w:pStyle w:val="3"/>
              <w:jc w:val="center"/>
              <w:rPr>
                <w:b/>
                <w:bCs/>
                <w:highlight w:val="none"/>
              </w:rPr>
            </w:pPr>
            <w:r>
              <w:rPr>
                <w:rFonts w:hint="eastAsia"/>
                <w:b/>
                <w:bCs/>
                <w:highlight w:val="none"/>
              </w:rPr>
              <w:t>职务</w:t>
            </w:r>
          </w:p>
        </w:tc>
        <w:tc>
          <w:tcPr>
            <w:tcW w:w="1118" w:type="dxa"/>
            <w:vAlign w:val="center"/>
          </w:tcPr>
          <w:p>
            <w:pPr>
              <w:pStyle w:val="3"/>
              <w:jc w:val="center"/>
              <w:rPr>
                <w:b/>
                <w:bCs/>
                <w:highlight w:val="none"/>
              </w:rPr>
            </w:pPr>
            <w:r>
              <w:rPr>
                <w:rFonts w:hint="eastAsia"/>
                <w:b/>
                <w:bCs/>
                <w:highlight w:val="none"/>
              </w:rPr>
              <w:t>每船配员标准（人）</w:t>
            </w:r>
          </w:p>
        </w:tc>
        <w:tc>
          <w:tcPr>
            <w:tcW w:w="1699" w:type="dxa"/>
            <w:vAlign w:val="center"/>
          </w:tcPr>
          <w:p>
            <w:pPr>
              <w:pStyle w:val="3"/>
              <w:jc w:val="center"/>
              <w:rPr>
                <w:b/>
                <w:bCs/>
                <w:highlight w:val="none"/>
              </w:rPr>
            </w:pPr>
            <w:r>
              <w:rPr>
                <w:rFonts w:hint="eastAsia"/>
                <w:b/>
                <w:bCs/>
                <w:highlight w:val="none"/>
              </w:rPr>
              <w:t>船员成本费用</w:t>
            </w:r>
          </w:p>
          <w:p>
            <w:pPr>
              <w:pStyle w:val="3"/>
              <w:jc w:val="center"/>
              <w:rPr>
                <w:b/>
                <w:bCs/>
                <w:highlight w:val="none"/>
              </w:rPr>
            </w:pPr>
            <w:r>
              <w:rPr>
                <w:rFonts w:hint="eastAsia"/>
                <w:b/>
                <w:bCs/>
                <w:highlight w:val="none"/>
              </w:rPr>
              <w:t>单项报价</w:t>
            </w:r>
          </w:p>
          <w:p>
            <w:pPr>
              <w:pStyle w:val="3"/>
              <w:jc w:val="center"/>
              <w:rPr>
                <w:b/>
                <w:bCs/>
                <w:highlight w:val="none"/>
              </w:rPr>
            </w:pPr>
            <w:r>
              <w:rPr>
                <w:rFonts w:hint="eastAsia"/>
                <w:b/>
                <w:bCs/>
                <w:highlight w:val="none"/>
              </w:rPr>
              <w:t>（元/每人月）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996"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船长</w:t>
            </w:r>
          </w:p>
        </w:tc>
        <w:tc>
          <w:tcPr>
            <w:tcW w:w="95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714" w:type="dxa"/>
            <w:vAlign w:val="center"/>
          </w:tcPr>
          <w:p>
            <w:pPr>
              <w:jc w:val="center"/>
              <w:rPr>
                <w:rFonts w:ascii="仿宋_GB2312" w:hAnsi="仿宋_GB2312" w:eastAsia="仿宋_GB2312" w:cs="仿宋_GB2312"/>
                <w:iCs/>
                <w:sz w:val="24"/>
                <w:highlight w:val="none"/>
              </w:rPr>
            </w:pPr>
          </w:p>
        </w:tc>
        <w:tc>
          <w:tcPr>
            <w:tcW w:w="52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99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船长</w:t>
            </w:r>
          </w:p>
        </w:tc>
        <w:tc>
          <w:tcPr>
            <w:tcW w:w="111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699"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2</w:t>
            </w:r>
          </w:p>
        </w:tc>
        <w:tc>
          <w:tcPr>
            <w:tcW w:w="996"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大副</w:t>
            </w:r>
          </w:p>
        </w:tc>
        <w:tc>
          <w:tcPr>
            <w:tcW w:w="95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714" w:type="dxa"/>
            <w:vAlign w:val="center"/>
          </w:tcPr>
          <w:p>
            <w:pPr>
              <w:jc w:val="center"/>
              <w:rPr>
                <w:rFonts w:ascii="仿宋_GB2312" w:hAnsi="仿宋_GB2312" w:eastAsia="仿宋_GB2312" w:cs="仿宋_GB2312"/>
                <w:iCs/>
                <w:sz w:val="24"/>
                <w:highlight w:val="none"/>
              </w:rPr>
            </w:pPr>
          </w:p>
        </w:tc>
        <w:tc>
          <w:tcPr>
            <w:tcW w:w="52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2</w:t>
            </w:r>
          </w:p>
        </w:tc>
        <w:tc>
          <w:tcPr>
            <w:tcW w:w="99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大副</w:t>
            </w:r>
          </w:p>
        </w:tc>
        <w:tc>
          <w:tcPr>
            <w:tcW w:w="111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699"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3</w:t>
            </w:r>
          </w:p>
        </w:tc>
        <w:tc>
          <w:tcPr>
            <w:tcW w:w="996"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二副</w:t>
            </w:r>
          </w:p>
        </w:tc>
        <w:tc>
          <w:tcPr>
            <w:tcW w:w="95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714" w:type="dxa"/>
            <w:vAlign w:val="center"/>
          </w:tcPr>
          <w:p>
            <w:pPr>
              <w:jc w:val="center"/>
              <w:rPr>
                <w:rFonts w:ascii="仿宋_GB2312" w:hAnsi="仿宋_GB2312" w:eastAsia="仿宋_GB2312" w:cs="仿宋_GB2312"/>
                <w:iCs/>
                <w:sz w:val="24"/>
                <w:highlight w:val="none"/>
              </w:rPr>
            </w:pPr>
          </w:p>
        </w:tc>
        <w:tc>
          <w:tcPr>
            <w:tcW w:w="52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3</w:t>
            </w:r>
          </w:p>
        </w:tc>
        <w:tc>
          <w:tcPr>
            <w:tcW w:w="99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二副</w:t>
            </w:r>
          </w:p>
        </w:tc>
        <w:tc>
          <w:tcPr>
            <w:tcW w:w="111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699"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4</w:t>
            </w:r>
          </w:p>
        </w:tc>
        <w:tc>
          <w:tcPr>
            <w:tcW w:w="996"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三副</w:t>
            </w:r>
          </w:p>
        </w:tc>
        <w:tc>
          <w:tcPr>
            <w:tcW w:w="95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714" w:type="dxa"/>
            <w:vAlign w:val="center"/>
          </w:tcPr>
          <w:p>
            <w:pPr>
              <w:jc w:val="center"/>
              <w:rPr>
                <w:rFonts w:ascii="仿宋_GB2312" w:hAnsi="仿宋_GB2312" w:eastAsia="仿宋_GB2312" w:cs="仿宋_GB2312"/>
                <w:iCs/>
                <w:sz w:val="24"/>
                <w:highlight w:val="none"/>
              </w:rPr>
            </w:pPr>
          </w:p>
        </w:tc>
        <w:tc>
          <w:tcPr>
            <w:tcW w:w="52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4</w:t>
            </w:r>
          </w:p>
        </w:tc>
        <w:tc>
          <w:tcPr>
            <w:tcW w:w="99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三副</w:t>
            </w:r>
          </w:p>
        </w:tc>
        <w:tc>
          <w:tcPr>
            <w:tcW w:w="111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699"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5</w:t>
            </w:r>
          </w:p>
        </w:tc>
        <w:tc>
          <w:tcPr>
            <w:tcW w:w="996"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轮机长</w:t>
            </w:r>
          </w:p>
        </w:tc>
        <w:tc>
          <w:tcPr>
            <w:tcW w:w="95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714" w:type="dxa"/>
            <w:vAlign w:val="center"/>
          </w:tcPr>
          <w:p>
            <w:pPr>
              <w:jc w:val="center"/>
              <w:rPr>
                <w:rFonts w:ascii="仿宋_GB2312" w:hAnsi="仿宋_GB2312" w:eastAsia="仿宋_GB2312" w:cs="仿宋_GB2312"/>
                <w:iCs/>
                <w:sz w:val="24"/>
                <w:highlight w:val="none"/>
              </w:rPr>
            </w:pPr>
          </w:p>
        </w:tc>
        <w:tc>
          <w:tcPr>
            <w:tcW w:w="52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5</w:t>
            </w:r>
          </w:p>
        </w:tc>
        <w:tc>
          <w:tcPr>
            <w:tcW w:w="99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轮机长</w:t>
            </w:r>
          </w:p>
        </w:tc>
        <w:tc>
          <w:tcPr>
            <w:tcW w:w="111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699"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6</w:t>
            </w:r>
          </w:p>
        </w:tc>
        <w:tc>
          <w:tcPr>
            <w:tcW w:w="996"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大管轮</w:t>
            </w:r>
          </w:p>
        </w:tc>
        <w:tc>
          <w:tcPr>
            <w:tcW w:w="95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714" w:type="dxa"/>
            <w:vAlign w:val="center"/>
          </w:tcPr>
          <w:p>
            <w:pPr>
              <w:jc w:val="center"/>
              <w:rPr>
                <w:rFonts w:ascii="仿宋_GB2312" w:hAnsi="仿宋_GB2312" w:eastAsia="仿宋_GB2312" w:cs="仿宋_GB2312"/>
                <w:iCs/>
                <w:sz w:val="24"/>
                <w:highlight w:val="none"/>
              </w:rPr>
            </w:pPr>
          </w:p>
        </w:tc>
        <w:tc>
          <w:tcPr>
            <w:tcW w:w="52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6</w:t>
            </w:r>
          </w:p>
        </w:tc>
        <w:tc>
          <w:tcPr>
            <w:tcW w:w="99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大管轮</w:t>
            </w:r>
          </w:p>
        </w:tc>
        <w:tc>
          <w:tcPr>
            <w:tcW w:w="111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699"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7</w:t>
            </w:r>
          </w:p>
        </w:tc>
        <w:tc>
          <w:tcPr>
            <w:tcW w:w="996"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二管轮</w:t>
            </w:r>
          </w:p>
        </w:tc>
        <w:tc>
          <w:tcPr>
            <w:tcW w:w="95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714" w:type="dxa"/>
            <w:vAlign w:val="center"/>
          </w:tcPr>
          <w:p>
            <w:pPr>
              <w:jc w:val="center"/>
              <w:rPr>
                <w:rFonts w:ascii="仿宋_GB2312" w:hAnsi="仿宋_GB2312" w:eastAsia="仿宋_GB2312" w:cs="仿宋_GB2312"/>
                <w:iCs/>
                <w:sz w:val="24"/>
                <w:highlight w:val="none"/>
              </w:rPr>
            </w:pPr>
          </w:p>
        </w:tc>
        <w:tc>
          <w:tcPr>
            <w:tcW w:w="52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7</w:t>
            </w:r>
          </w:p>
        </w:tc>
        <w:tc>
          <w:tcPr>
            <w:tcW w:w="99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二管轮</w:t>
            </w:r>
          </w:p>
        </w:tc>
        <w:tc>
          <w:tcPr>
            <w:tcW w:w="111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699"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8</w:t>
            </w:r>
          </w:p>
        </w:tc>
        <w:tc>
          <w:tcPr>
            <w:tcW w:w="996"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三管轮</w:t>
            </w:r>
          </w:p>
        </w:tc>
        <w:tc>
          <w:tcPr>
            <w:tcW w:w="95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714" w:type="dxa"/>
            <w:vAlign w:val="center"/>
          </w:tcPr>
          <w:p>
            <w:pPr>
              <w:jc w:val="center"/>
              <w:rPr>
                <w:rFonts w:ascii="仿宋_GB2312" w:hAnsi="仿宋_GB2312" w:eastAsia="仿宋_GB2312" w:cs="仿宋_GB2312"/>
                <w:iCs/>
                <w:sz w:val="24"/>
                <w:highlight w:val="none"/>
              </w:rPr>
            </w:pPr>
          </w:p>
        </w:tc>
        <w:tc>
          <w:tcPr>
            <w:tcW w:w="52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8</w:t>
            </w:r>
          </w:p>
        </w:tc>
        <w:tc>
          <w:tcPr>
            <w:tcW w:w="99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三管轮</w:t>
            </w:r>
          </w:p>
        </w:tc>
        <w:tc>
          <w:tcPr>
            <w:tcW w:w="111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699"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9</w:t>
            </w:r>
          </w:p>
        </w:tc>
        <w:tc>
          <w:tcPr>
            <w:tcW w:w="996"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电机员</w:t>
            </w:r>
          </w:p>
        </w:tc>
        <w:tc>
          <w:tcPr>
            <w:tcW w:w="95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714" w:type="dxa"/>
            <w:vAlign w:val="center"/>
          </w:tcPr>
          <w:p>
            <w:pPr>
              <w:jc w:val="center"/>
              <w:rPr>
                <w:rFonts w:ascii="仿宋_GB2312" w:hAnsi="仿宋_GB2312" w:eastAsia="仿宋_GB2312" w:cs="仿宋_GB2312"/>
                <w:iCs/>
                <w:sz w:val="24"/>
                <w:highlight w:val="none"/>
              </w:rPr>
            </w:pPr>
          </w:p>
        </w:tc>
        <w:tc>
          <w:tcPr>
            <w:tcW w:w="52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9</w:t>
            </w:r>
          </w:p>
        </w:tc>
        <w:tc>
          <w:tcPr>
            <w:tcW w:w="99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水手</w:t>
            </w:r>
          </w:p>
        </w:tc>
        <w:tc>
          <w:tcPr>
            <w:tcW w:w="111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3</w:t>
            </w:r>
          </w:p>
        </w:tc>
        <w:tc>
          <w:tcPr>
            <w:tcW w:w="1699"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10</w:t>
            </w:r>
          </w:p>
        </w:tc>
        <w:tc>
          <w:tcPr>
            <w:tcW w:w="996"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水手长</w:t>
            </w:r>
          </w:p>
        </w:tc>
        <w:tc>
          <w:tcPr>
            <w:tcW w:w="95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714" w:type="dxa"/>
            <w:vAlign w:val="center"/>
          </w:tcPr>
          <w:p>
            <w:pPr>
              <w:jc w:val="center"/>
              <w:rPr>
                <w:rFonts w:ascii="仿宋_GB2312" w:hAnsi="仿宋_GB2312" w:eastAsia="仿宋_GB2312" w:cs="仿宋_GB2312"/>
                <w:iCs/>
                <w:sz w:val="24"/>
                <w:highlight w:val="none"/>
              </w:rPr>
            </w:pPr>
          </w:p>
        </w:tc>
        <w:tc>
          <w:tcPr>
            <w:tcW w:w="52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10</w:t>
            </w:r>
          </w:p>
        </w:tc>
        <w:tc>
          <w:tcPr>
            <w:tcW w:w="99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机工</w:t>
            </w:r>
          </w:p>
        </w:tc>
        <w:tc>
          <w:tcPr>
            <w:tcW w:w="111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3</w:t>
            </w:r>
          </w:p>
        </w:tc>
        <w:tc>
          <w:tcPr>
            <w:tcW w:w="1699"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11</w:t>
            </w:r>
          </w:p>
        </w:tc>
        <w:tc>
          <w:tcPr>
            <w:tcW w:w="996"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水手</w:t>
            </w:r>
          </w:p>
        </w:tc>
        <w:tc>
          <w:tcPr>
            <w:tcW w:w="95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4</w:t>
            </w:r>
          </w:p>
        </w:tc>
        <w:tc>
          <w:tcPr>
            <w:tcW w:w="1714" w:type="dxa"/>
            <w:vAlign w:val="center"/>
          </w:tcPr>
          <w:p>
            <w:pPr>
              <w:jc w:val="center"/>
              <w:rPr>
                <w:rFonts w:ascii="仿宋_GB2312" w:hAnsi="仿宋_GB2312" w:eastAsia="仿宋_GB2312" w:cs="仿宋_GB2312"/>
                <w:iCs/>
                <w:sz w:val="24"/>
                <w:highlight w:val="none"/>
              </w:rPr>
            </w:pPr>
          </w:p>
        </w:tc>
        <w:tc>
          <w:tcPr>
            <w:tcW w:w="52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11</w:t>
            </w:r>
          </w:p>
        </w:tc>
        <w:tc>
          <w:tcPr>
            <w:tcW w:w="99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大厨</w:t>
            </w:r>
          </w:p>
        </w:tc>
        <w:tc>
          <w:tcPr>
            <w:tcW w:w="111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699"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12</w:t>
            </w:r>
          </w:p>
        </w:tc>
        <w:tc>
          <w:tcPr>
            <w:tcW w:w="996"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机工长</w:t>
            </w:r>
          </w:p>
        </w:tc>
        <w:tc>
          <w:tcPr>
            <w:tcW w:w="954" w:type="dxa"/>
            <w:vAlign w:val="center"/>
          </w:tcPr>
          <w:p>
            <w:pPr>
              <w:jc w:val="center"/>
              <w:rPr>
                <w:rFonts w:ascii="仿宋_GB2312" w:hAnsi="仿宋_GB2312" w:eastAsia="仿宋_GB2312" w:cs="仿宋_GB2312"/>
                <w:iCs/>
                <w:sz w:val="24"/>
                <w:highlight w:val="none"/>
              </w:rPr>
            </w:pPr>
            <w:r>
              <w:rPr>
                <w:rFonts w:ascii="仿宋_GB2312" w:hAnsi="仿宋_GB2312" w:eastAsia="仿宋_GB2312" w:cs="仿宋_GB2312"/>
                <w:iCs/>
                <w:sz w:val="24"/>
                <w:highlight w:val="none"/>
              </w:rPr>
              <w:t>1</w:t>
            </w:r>
          </w:p>
        </w:tc>
        <w:tc>
          <w:tcPr>
            <w:tcW w:w="1714" w:type="dxa"/>
            <w:vAlign w:val="center"/>
          </w:tcPr>
          <w:p>
            <w:pPr>
              <w:jc w:val="center"/>
              <w:rPr>
                <w:rFonts w:ascii="仿宋_GB2312" w:hAnsi="仿宋_GB2312" w:eastAsia="仿宋_GB2312" w:cs="仿宋_GB2312"/>
                <w:iCs/>
                <w:sz w:val="24"/>
                <w:highlight w:val="none"/>
              </w:rPr>
            </w:pPr>
          </w:p>
        </w:tc>
        <w:tc>
          <w:tcPr>
            <w:tcW w:w="52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12</w:t>
            </w:r>
          </w:p>
        </w:tc>
        <w:tc>
          <w:tcPr>
            <w:tcW w:w="99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厨工</w:t>
            </w:r>
          </w:p>
        </w:tc>
        <w:tc>
          <w:tcPr>
            <w:tcW w:w="111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699"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1</w:t>
            </w:r>
            <w:r>
              <w:rPr>
                <w:rFonts w:ascii="仿宋_GB2312" w:hAnsi="仿宋_GB2312" w:eastAsia="仿宋_GB2312" w:cs="仿宋_GB2312"/>
                <w:iCs/>
                <w:szCs w:val="21"/>
                <w:highlight w:val="none"/>
              </w:rPr>
              <w:t>3</w:t>
            </w:r>
          </w:p>
        </w:tc>
        <w:tc>
          <w:tcPr>
            <w:tcW w:w="996"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机工</w:t>
            </w:r>
          </w:p>
        </w:tc>
        <w:tc>
          <w:tcPr>
            <w:tcW w:w="95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4</w:t>
            </w:r>
          </w:p>
        </w:tc>
        <w:tc>
          <w:tcPr>
            <w:tcW w:w="1714" w:type="dxa"/>
            <w:vAlign w:val="center"/>
          </w:tcPr>
          <w:p>
            <w:pPr>
              <w:jc w:val="center"/>
              <w:rPr>
                <w:rFonts w:ascii="仿宋_GB2312" w:hAnsi="仿宋_GB2312" w:eastAsia="仿宋_GB2312" w:cs="仿宋_GB2312"/>
                <w:iCs/>
                <w:sz w:val="24"/>
                <w:highlight w:val="none"/>
              </w:rPr>
            </w:pPr>
          </w:p>
        </w:tc>
        <w:tc>
          <w:tcPr>
            <w:tcW w:w="523"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13</w:t>
            </w:r>
          </w:p>
        </w:tc>
        <w:tc>
          <w:tcPr>
            <w:tcW w:w="995"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服务员</w:t>
            </w:r>
          </w:p>
        </w:tc>
        <w:tc>
          <w:tcPr>
            <w:tcW w:w="1118"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699"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1</w:t>
            </w:r>
            <w:r>
              <w:rPr>
                <w:rFonts w:ascii="仿宋_GB2312" w:hAnsi="仿宋_GB2312" w:eastAsia="仿宋_GB2312" w:cs="仿宋_GB2312"/>
                <w:iCs/>
                <w:szCs w:val="21"/>
                <w:highlight w:val="none"/>
              </w:rPr>
              <w:t>4</w:t>
            </w:r>
          </w:p>
        </w:tc>
        <w:tc>
          <w:tcPr>
            <w:tcW w:w="996"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船医</w:t>
            </w:r>
          </w:p>
        </w:tc>
        <w:tc>
          <w:tcPr>
            <w:tcW w:w="95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714" w:type="dxa"/>
            <w:vAlign w:val="center"/>
          </w:tcPr>
          <w:p>
            <w:pPr>
              <w:jc w:val="center"/>
              <w:rPr>
                <w:rFonts w:ascii="仿宋_GB2312" w:hAnsi="仿宋_GB2312" w:eastAsia="仿宋_GB2312" w:cs="仿宋_GB2312"/>
                <w:iCs/>
                <w:sz w:val="24"/>
                <w:highlight w:val="none"/>
              </w:rPr>
            </w:pPr>
          </w:p>
        </w:tc>
        <w:tc>
          <w:tcPr>
            <w:tcW w:w="4335" w:type="dxa"/>
            <w:gridSpan w:val="4"/>
            <w:vMerge w:val="restart"/>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1</w:t>
            </w:r>
            <w:r>
              <w:rPr>
                <w:rFonts w:ascii="仿宋_GB2312" w:hAnsi="仿宋_GB2312" w:eastAsia="仿宋_GB2312" w:cs="仿宋_GB2312"/>
                <w:iCs/>
                <w:szCs w:val="21"/>
                <w:highlight w:val="none"/>
              </w:rPr>
              <w:t>5</w:t>
            </w:r>
          </w:p>
        </w:tc>
        <w:tc>
          <w:tcPr>
            <w:tcW w:w="996"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大厨</w:t>
            </w:r>
          </w:p>
        </w:tc>
        <w:tc>
          <w:tcPr>
            <w:tcW w:w="95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1</w:t>
            </w:r>
          </w:p>
        </w:tc>
        <w:tc>
          <w:tcPr>
            <w:tcW w:w="1714" w:type="dxa"/>
            <w:vAlign w:val="center"/>
          </w:tcPr>
          <w:p>
            <w:pPr>
              <w:jc w:val="center"/>
              <w:rPr>
                <w:rFonts w:ascii="仿宋_GB2312" w:hAnsi="仿宋_GB2312" w:eastAsia="仿宋_GB2312" w:cs="仿宋_GB2312"/>
                <w:iCs/>
                <w:sz w:val="24"/>
                <w:highlight w:val="none"/>
              </w:rPr>
            </w:pPr>
          </w:p>
        </w:tc>
        <w:tc>
          <w:tcPr>
            <w:tcW w:w="4335" w:type="dxa"/>
            <w:gridSpan w:val="4"/>
            <w:vMerge w:val="continue"/>
            <w:tcBorders>
              <w:tl2br w:val="single" w:color="auto" w:sz="4" w:space="0"/>
            </w:tcBorders>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1</w:t>
            </w:r>
            <w:r>
              <w:rPr>
                <w:rFonts w:ascii="仿宋_GB2312" w:hAnsi="仿宋_GB2312" w:eastAsia="仿宋_GB2312" w:cs="仿宋_GB2312"/>
                <w:iCs/>
                <w:szCs w:val="21"/>
                <w:highlight w:val="none"/>
              </w:rPr>
              <w:t>6</w:t>
            </w:r>
          </w:p>
        </w:tc>
        <w:tc>
          <w:tcPr>
            <w:tcW w:w="996"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厨工</w:t>
            </w:r>
          </w:p>
        </w:tc>
        <w:tc>
          <w:tcPr>
            <w:tcW w:w="95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2</w:t>
            </w:r>
          </w:p>
        </w:tc>
        <w:tc>
          <w:tcPr>
            <w:tcW w:w="1714" w:type="dxa"/>
            <w:vAlign w:val="center"/>
          </w:tcPr>
          <w:p>
            <w:pPr>
              <w:jc w:val="center"/>
              <w:rPr>
                <w:rFonts w:ascii="仿宋_GB2312" w:hAnsi="仿宋_GB2312" w:eastAsia="仿宋_GB2312" w:cs="仿宋_GB2312"/>
                <w:iCs/>
                <w:sz w:val="24"/>
                <w:highlight w:val="none"/>
              </w:rPr>
            </w:pPr>
          </w:p>
        </w:tc>
        <w:tc>
          <w:tcPr>
            <w:tcW w:w="4335" w:type="dxa"/>
            <w:gridSpan w:val="4"/>
            <w:vMerge w:val="continue"/>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2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1</w:t>
            </w:r>
            <w:r>
              <w:rPr>
                <w:rFonts w:ascii="仿宋_GB2312" w:hAnsi="仿宋_GB2312" w:eastAsia="仿宋_GB2312" w:cs="仿宋_GB2312"/>
                <w:iCs/>
                <w:szCs w:val="21"/>
                <w:highlight w:val="none"/>
              </w:rPr>
              <w:t>7</w:t>
            </w:r>
          </w:p>
        </w:tc>
        <w:tc>
          <w:tcPr>
            <w:tcW w:w="996"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服务员</w:t>
            </w:r>
          </w:p>
        </w:tc>
        <w:tc>
          <w:tcPr>
            <w:tcW w:w="954" w:type="dxa"/>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2</w:t>
            </w:r>
          </w:p>
        </w:tc>
        <w:tc>
          <w:tcPr>
            <w:tcW w:w="1714" w:type="dxa"/>
            <w:vAlign w:val="center"/>
          </w:tcPr>
          <w:p>
            <w:pPr>
              <w:jc w:val="center"/>
              <w:rPr>
                <w:rFonts w:ascii="仿宋_GB2312" w:hAnsi="仿宋_GB2312" w:eastAsia="仿宋_GB2312" w:cs="仿宋_GB2312"/>
                <w:iCs/>
                <w:sz w:val="24"/>
                <w:highlight w:val="none"/>
              </w:rPr>
            </w:pPr>
          </w:p>
        </w:tc>
        <w:tc>
          <w:tcPr>
            <w:tcW w:w="4335" w:type="dxa"/>
            <w:gridSpan w:val="4"/>
            <w:vMerge w:val="continue"/>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20" w:type="dxa"/>
            <w:gridSpan w:val="3"/>
            <w:vAlign w:val="center"/>
          </w:tcPr>
          <w:p>
            <w:pPr>
              <w:jc w:val="center"/>
              <w:rPr>
                <w:rFonts w:ascii="仿宋_GB2312" w:hAnsi="仿宋_GB2312" w:eastAsia="仿宋_GB2312" w:cs="仿宋_GB2312"/>
                <w:iCs/>
                <w:szCs w:val="21"/>
                <w:highlight w:val="none"/>
              </w:rPr>
            </w:pPr>
            <w:r>
              <w:rPr>
                <w:rFonts w:hint="eastAsia" w:ascii="仿宋_GB2312" w:hAnsi="仿宋_GB2312" w:eastAsia="仿宋_GB2312" w:cs="仿宋_GB2312"/>
                <w:iCs/>
                <w:szCs w:val="21"/>
                <w:highlight w:val="none"/>
              </w:rPr>
              <w:t>小计</w:t>
            </w:r>
          </w:p>
        </w:tc>
        <w:tc>
          <w:tcPr>
            <w:tcW w:w="954" w:type="dxa"/>
            <w:vAlign w:val="center"/>
          </w:tcPr>
          <w:p>
            <w:pPr>
              <w:jc w:val="center"/>
              <w:rPr>
                <w:rFonts w:ascii="仿宋_GB2312" w:hAnsi="仿宋_GB2312" w:eastAsia="仿宋_GB2312" w:cs="仿宋_GB2312"/>
                <w:iCs/>
                <w:sz w:val="24"/>
                <w:highlight w:val="none"/>
              </w:rPr>
            </w:pPr>
          </w:p>
        </w:tc>
        <w:tc>
          <w:tcPr>
            <w:tcW w:w="1714" w:type="dxa"/>
            <w:vAlign w:val="center"/>
          </w:tcPr>
          <w:p>
            <w:pPr>
              <w:jc w:val="center"/>
              <w:rPr>
                <w:rFonts w:ascii="仿宋_GB2312" w:hAnsi="仿宋_GB2312" w:eastAsia="仿宋_GB2312" w:cs="仿宋_GB2312"/>
                <w:iCs/>
                <w:sz w:val="24"/>
                <w:highlight w:val="none"/>
              </w:rPr>
            </w:pPr>
          </w:p>
        </w:tc>
        <w:tc>
          <w:tcPr>
            <w:tcW w:w="1518" w:type="dxa"/>
            <w:gridSpan w:val="2"/>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 w:val="24"/>
                <w:highlight w:val="none"/>
              </w:rPr>
              <w:t>小计</w:t>
            </w:r>
          </w:p>
        </w:tc>
        <w:tc>
          <w:tcPr>
            <w:tcW w:w="1118" w:type="dxa"/>
            <w:vAlign w:val="center"/>
          </w:tcPr>
          <w:p>
            <w:pPr>
              <w:jc w:val="center"/>
              <w:rPr>
                <w:rFonts w:ascii="仿宋_GB2312" w:hAnsi="仿宋_GB2312" w:eastAsia="仿宋_GB2312" w:cs="仿宋_GB2312"/>
                <w:iCs/>
                <w:sz w:val="24"/>
                <w:highlight w:val="none"/>
              </w:rPr>
            </w:pPr>
          </w:p>
        </w:tc>
        <w:tc>
          <w:tcPr>
            <w:tcW w:w="1699" w:type="dxa"/>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gridSpan w:val="4"/>
            <w:vAlign w:val="center"/>
          </w:tcPr>
          <w:p>
            <w:pPr>
              <w:jc w:val="center"/>
              <w:rPr>
                <w:rFonts w:ascii="仿宋_GB2312" w:hAnsi="仿宋_GB2312" w:eastAsia="仿宋_GB2312" w:cs="仿宋_GB2312"/>
                <w:iCs/>
                <w:sz w:val="24"/>
                <w:highlight w:val="none"/>
              </w:rPr>
            </w:pPr>
            <w:r>
              <w:rPr>
                <w:rFonts w:hint="eastAsia" w:ascii="仿宋_GB2312" w:hAnsi="仿宋_GB2312" w:eastAsia="仿宋_GB2312" w:cs="仿宋_GB2312"/>
                <w:iCs/>
                <w:szCs w:val="21"/>
                <w:highlight w:val="none"/>
              </w:rPr>
              <w:t>合计</w:t>
            </w:r>
          </w:p>
        </w:tc>
        <w:tc>
          <w:tcPr>
            <w:tcW w:w="6049" w:type="dxa"/>
            <w:gridSpan w:val="5"/>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3" w:type="dxa"/>
            <w:gridSpan w:val="9"/>
            <w:vAlign w:val="center"/>
          </w:tcPr>
          <w:p>
            <w:pPr>
              <w:rPr>
                <w:rFonts w:ascii="仿宋_GB2312" w:hAnsi="仿宋_GB2312" w:eastAsia="仿宋_GB2312" w:cs="仿宋_GB2312"/>
                <w:iCs/>
                <w:sz w:val="24"/>
                <w:highlight w:val="none"/>
              </w:rPr>
            </w:pPr>
            <w:r>
              <w:rPr>
                <w:rFonts w:hint="eastAsia" w:ascii="仿宋" w:hAnsi="仿宋" w:eastAsia="仿宋" w:cs="仿宋"/>
                <w:b/>
                <w:sz w:val="24"/>
                <w:highlight w:val="none"/>
              </w:rPr>
              <w:t>二、管理费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188" w:type="dxa"/>
            <w:gridSpan w:val="5"/>
            <w:vAlign w:val="center"/>
          </w:tcPr>
          <w:p>
            <w:pPr>
              <w:jc w:val="center"/>
              <w:rPr>
                <w:rFonts w:ascii="仿宋_GB2312" w:hAnsi="仿宋_GB2312" w:eastAsia="仿宋_GB2312" w:cs="仿宋_GB2312"/>
                <w:iCs/>
                <w:sz w:val="24"/>
                <w:highlight w:val="none"/>
              </w:rPr>
            </w:pPr>
            <w:r>
              <w:rPr>
                <w:rFonts w:hint="eastAsia" w:ascii="仿宋" w:hAnsi="仿宋" w:eastAsia="仿宋" w:cs="仿宋"/>
                <w:b/>
                <w:sz w:val="24"/>
                <w:highlight w:val="none"/>
              </w:rPr>
              <w:t>管理费系数（%）</w:t>
            </w:r>
          </w:p>
        </w:tc>
        <w:tc>
          <w:tcPr>
            <w:tcW w:w="4335" w:type="dxa"/>
            <w:gridSpan w:val="4"/>
            <w:vAlign w:val="center"/>
          </w:tcPr>
          <w:p>
            <w:pPr>
              <w:jc w:val="center"/>
              <w:rPr>
                <w:rFonts w:ascii="仿宋_GB2312" w:hAnsi="仿宋_GB2312" w:eastAsia="仿宋_GB2312" w:cs="仿宋_GB2312"/>
                <w:i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gridSpan w:val="2"/>
            <w:vAlign w:val="center"/>
          </w:tcPr>
          <w:p>
            <w:pPr>
              <w:spacing w:line="240" w:lineRule="atLeast"/>
              <w:jc w:val="center"/>
              <w:rPr>
                <w:rFonts w:ascii="仿宋_GB2312" w:hAnsi="仿宋_GB2312" w:eastAsia="仿宋_GB2312" w:cs="仿宋_GB2312"/>
                <w:iCs/>
                <w:sz w:val="24"/>
                <w:highlight w:val="none"/>
              </w:rPr>
            </w:pPr>
            <w:r>
              <w:rPr>
                <w:rFonts w:hint="eastAsia" w:ascii="仿宋" w:hAnsi="仿宋" w:eastAsia="仿宋" w:cs="仿宋"/>
                <w:b/>
                <w:sz w:val="24"/>
                <w:highlight w:val="none"/>
              </w:rPr>
              <w:t>说明</w:t>
            </w:r>
          </w:p>
        </w:tc>
        <w:tc>
          <w:tcPr>
            <w:tcW w:w="7738" w:type="dxa"/>
            <w:gridSpan w:val="7"/>
            <w:vAlign w:val="center"/>
          </w:tcPr>
          <w:p>
            <w:pPr>
              <w:numPr>
                <w:ilvl w:val="-1"/>
                <w:numId w:val="0"/>
              </w:numPr>
              <w:autoSpaceDE/>
              <w:autoSpaceDN/>
              <w:adjustRightInd/>
              <w:spacing w:line="240" w:lineRule="atLeast"/>
              <w:rPr>
                <w:rFonts w:ascii="仿宋" w:hAnsi="仿宋" w:eastAsia="仿宋" w:cs="仿宋"/>
                <w:b/>
                <w:bCs/>
                <w:sz w:val="24"/>
                <w:highlight w:val="none"/>
              </w:rPr>
            </w:pPr>
            <w:r>
              <w:rPr>
                <w:rFonts w:hint="eastAsia" w:ascii="仿宋" w:hAnsi="仿宋" w:eastAsia="仿宋" w:cs="仿宋"/>
                <w:b/>
                <w:bCs/>
                <w:sz w:val="24"/>
                <w:highlight w:val="none"/>
                <w:lang w:val="en-US" w:eastAsia="zh-CN"/>
              </w:rPr>
              <w:t>1.</w:t>
            </w:r>
            <w:r>
              <w:rPr>
                <w:rFonts w:hint="eastAsia" w:ascii="仿宋" w:hAnsi="仿宋" w:eastAsia="仿宋" w:cs="仿宋"/>
                <w:b/>
                <w:bCs/>
                <w:sz w:val="24"/>
                <w:highlight w:val="none"/>
              </w:rPr>
              <w:t>本项目管理费报价不能高于实际发生船员成本费用总额的15%。</w:t>
            </w:r>
          </w:p>
          <w:p>
            <w:pPr>
              <w:numPr>
                <w:ilvl w:val="-1"/>
                <w:numId w:val="0"/>
              </w:numPr>
              <w:autoSpaceDE/>
              <w:autoSpaceDN/>
              <w:adjustRightInd/>
              <w:spacing w:line="240" w:lineRule="atLeast"/>
              <w:rPr>
                <w:rFonts w:ascii="仿宋" w:hAnsi="仿宋" w:eastAsia="仿宋" w:cs="仿宋"/>
                <w:b/>
                <w:bCs/>
                <w:sz w:val="24"/>
                <w:highlight w:val="none"/>
              </w:rPr>
            </w:pPr>
            <w:r>
              <w:rPr>
                <w:rFonts w:hint="eastAsia" w:ascii="仿宋" w:hAnsi="仿宋" w:eastAsia="仿宋" w:cs="仿宋"/>
                <w:b/>
                <w:bCs/>
                <w:sz w:val="24"/>
                <w:highlight w:val="none"/>
                <w:lang w:val="en-US" w:eastAsia="zh-CN"/>
              </w:rPr>
              <w:t>2.</w:t>
            </w:r>
            <w:r>
              <w:rPr>
                <w:rFonts w:hint="eastAsia" w:ascii="仿宋" w:hAnsi="仿宋" w:eastAsia="仿宋" w:cs="仿宋"/>
                <w:b/>
                <w:bCs/>
                <w:sz w:val="24"/>
                <w:highlight w:val="none"/>
              </w:rPr>
              <w:t>管理费=实际发生的船员成本费用×管理费</w:t>
            </w:r>
            <w:r>
              <w:rPr>
                <w:rFonts w:hint="eastAsia" w:ascii="仿宋" w:hAnsi="仿宋" w:eastAsia="仿宋" w:cs="仿宋"/>
                <w:b/>
                <w:sz w:val="24"/>
                <w:highlight w:val="none"/>
              </w:rPr>
              <w:t>系数</w:t>
            </w:r>
            <w:r>
              <w:rPr>
                <w:rFonts w:hint="eastAsia" w:ascii="仿宋" w:hAnsi="仿宋" w:eastAsia="仿宋" w:cs="仿宋"/>
                <w:b/>
                <w:bCs/>
                <w:sz w:val="24"/>
                <w:highlight w:val="none"/>
              </w:rPr>
              <w:t>。</w:t>
            </w:r>
          </w:p>
          <w:p>
            <w:pPr>
              <w:numPr>
                <w:ilvl w:val="-1"/>
                <w:numId w:val="0"/>
              </w:numPr>
              <w:autoSpaceDE/>
              <w:autoSpaceDN/>
              <w:adjustRightInd/>
              <w:spacing w:line="240" w:lineRule="atLeast"/>
              <w:rPr>
                <w:rFonts w:ascii="仿宋" w:hAnsi="仿宋" w:eastAsia="仿宋" w:cs="仿宋"/>
                <w:b/>
                <w:bCs/>
                <w:sz w:val="24"/>
                <w:highlight w:val="none"/>
              </w:rPr>
            </w:pPr>
            <w:r>
              <w:rPr>
                <w:rFonts w:hint="eastAsia" w:ascii="仿宋" w:hAnsi="仿宋" w:eastAsia="仿宋" w:cs="仿宋"/>
                <w:b/>
                <w:bCs/>
                <w:sz w:val="24"/>
                <w:highlight w:val="none"/>
                <w:lang w:val="en-US" w:eastAsia="zh-CN"/>
              </w:rPr>
              <w:t>3.</w:t>
            </w:r>
            <w:r>
              <w:rPr>
                <w:rFonts w:hint="eastAsia" w:ascii="仿宋" w:hAnsi="仿宋" w:eastAsia="仿宋" w:cs="仿宋"/>
                <w:b/>
                <w:bCs/>
                <w:sz w:val="24"/>
                <w:highlight w:val="none"/>
              </w:rPr>
              <w:t>本项目报价以船员成本费用单项报价及管理费</w:t>
            </w:r>
            <w:r>
              <w:rPr>
                <w:rFonts w:hint="eastAsia" w:ascii="仿宋" w:hAnsi="仿宋" w:eastAsia="仿宋" w:cs="仿宋"/>
                <w:b/>
                <w:sz w:val="24"/>
                <w:highlight w:val="none"/>
              </w:rPr>
              <w:t>系数</w:t>
            </w:r>
            <w:r>
              <w:rPr>
                <w:rFonts w:hint="eastAsia" w:ascii="仿宋" w:hAnsi="仿宋" w:eastAsia="仿宋" w:cs="仿宋"/>
                <w:b/>
                <w:bCs/>
                <w:sz w:val="24"/>
                <w:highlight w:val="none"/>
              </w:rPr>
              <w:t>计算为准，即本项目为单价包干项目。</w:t>
            </w:r>
          </w:p>
          <w:p>
            <w:pPr>
              <w:numPr>
                <w:ilvl w:val="-1"/>
                <w:numId w:val="0"/>
              </w:numPr>
              <w:autoSpaceDE/>
              <w:autoSpaceDN/>
              <w:adjustRightInd/>
              <w:spacing w:line="240" w:lineRule="atLeast"/>
              <w:rPr>
                <w:rFonts w:ascii="仿宋" w:hAnsi="仿宋" w:eastAsia="仿宋" w:cs="仿宋"/>
                <w:b/>
                <w:bCs/>
                <w:sz w:val="24"/>
                <w:highlight w:val="none"/>
              </w:rPr>
            </w:pPr>
            <w:r>
              <w:rPr>
                <w:rFonts w:hint="eastAsia" w:ascii="仿宋" w:hAnsi="仿宋" w:eastAsia="仿宋" w:cs="仿宋"/>
                <w:b/>
                <w:bCs/>
                <w:sz w:val="24"/>
                <w:highlight w:val="none"/>
                <w:lang w:val="en-US" w:eastAsia="zh-CN"/>
              </w:rPr>
              <w:t>4.</w:t>
            </w:r>
            <w:r>
              <w:rPr>
                <w:rFonts w:hint="eastAsia" w:ascii="仿宋" w:hAnsi="仿宋" w:eastAsia="仿宋" w:cs="仿宋"/>
                <w:b/>
                <w:bCs/>
                <w:sz w:val="24"/>
                <w:highlight w:val="none"/>
              </w:rPr>
              <w:t>本项目执行总金额最高不超过最高限价，即人民币1623.97万元。</w:t>
            </w:r>
          </w:p>
          <w:p>
            <w:pPr>
              <w:numPr>
                <w:ilvl w:val="-1"/>
                <w:numId w:val="0"/>
              </w:numPr>
              <w:autoSpaceDE/>
              <w:autoSpaceDN/>
              <w:adjustRightInd/>
              <w:spacing w:line="240" w:lineRule="atLeast"/>
              <w:rPr>
                <w:rFonts w:ascii="仿宋" w:hAnsi="仿宋" w:eastAsia="仿宋" w:cs="仿宋"/>
                <w:b/>
                <w:bCs/>
                <w:sz w:val="24"/>
                <w:highlight w:val="none"/>
              </w:rPr>
            </w:pPr>
            <w:r>
              <w:rPr>
                <w:rFonts w:hint="eastAsia" w:ascii="仿宋" w:hAnsi="仿宋" w:eastAsia="仿宋" w:cs="仿宋"/>
                <w:b/>
                <w:bCs/>
                <w:sz w:val="24"/>
                <w:highlight w:val="none"/>
                <w:lang w:val="en-US" w:eastAsia="zh-CN"/>
              </w:rPr>
              <w:t>5.</w:t>
            </w:r>
            <w:r>
              <w:rPr>
                <w:rFonts w:hint="eastAsia" w:ascii="仿宋" w:hAnsi="仿宋" w:eastAsia="仿宋" w:cs="仿宋"/>
                <w:b/>
                <w:bCs/>
                <w:sz w:val="24"/>
                <w:highlight w:val="none"/>
              </w:rPr>
              <w:t>本项目执行金额达到最高限价时，合同自动终止；或本项目执行时间到2023年12月31日时，无论执行金额是否达到最高限价，合同均自动终止。</w:t>
            </w:r>
          </w:p>
        </w:tc>
      </w:tr>
    </w:tbl>
    <w:p>
      <w:pPr>
        <w:rPr>
          <w:highlight w:val="none"/>
        </w:rPr>
      </w:pPr>
    </w:p>
    <w:sectPr>
      <w:headerReference r:id="rId9" w:type="default"/>
      <w:pgSz w:w="11907" w:h="16840"/>
      <w:pgMar w:top="1247" w:right="1843" w:bottom="1247" w:left="1418"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453" w:h="237" w:hRule="exact" w:wrap="around" w:vAnchor="text" w:hAnchor="margin" w:xAlign="center" w:y="3"/>
      <w:rPr>
        <w:rStyle w:val="54"/>
      </w:rPr>
    </w:pPr>
    <w:r>
      <w:fldChar w:fldCharType="begin"/>
    </w:r>
    <w:r>
      <w:rPr>
        <w:rStyle w:val="54"/>
      </w:rPr>
      <w:instrText xml:space="preserve">PAGE  </w:instrText>
    </w:r>
    <w:r>
      <w:fldChar w:fldCharType="separate"/>
    </w:r>
    <w:r>
      <w:rPr>
        <w:rStyle w:val="54"/>
      </w:rPr>
      <w:t>28</w:t>
    </w:r>
    <w:r>
      <w:fldChar w:fldCharType="end"/>
    </w:r>
  </w:p>
  <w:p>
    <w:pPr>
      <w:pStyle w:val="33"/>
      <w:pBdr>
        <w:top w:val="single" w:color="auto" w:sz="6" w:space="1"/>
      </w:pBdr>
      <w:ind w:right="720"/>
      <w:jc w:val="right"/>
    </w:pPr>
    <w:r>
      <w:drawing>
        <wp:anchor distT="0" distB="0" distL="114300" distR="114300" simplePos="0" relativeHeight="251664384" behindDoc="0" locked="0" layoutInCell="1" allowOverlap="1">
          <wp:simplePos x="0" y="0"/>
          <wp:positionH relativeFrom="column">
            <wp:posOffset>109855</wp:posOffset>
          </wp:positionH>
          <wp:positionV relativeFrom="paragraph">
            <wp:posOffset>19685</wp:posOffset>
          </wp:positionV>
          <wp:extent cx="428625" cy="400050"/>
          <wp:effectExtent l="1905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428625" cy="400050"/>
                  </a:xfrm>
                  <a:prstGeom prst="rect">
                    <a:avLst/>
                  </a:prstGeom>
                  <a:noFill/>
                  <a:ln w="9525">
                    <a:noFill/>
                    <a:miter lim="800000"/>
                    <a:headEnd/>
                    <a:tailEnd/>
                  </a:ln>
                </pic:spPr>
              </pic:pic>
            </a:graphicData>
          </a:graphic>
        </wp:anchor>
      </w:drawing>
    </w:r>
    <w:r>
      <w:rPr>
        <w:rFonts w:hint="eastAsia"/>
      </w:rPr>
      <w:t>广东远东招标代理有限公司 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end"/>
    </w:r>
  </w:p>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4"/>
      </w:rPr>
    </w:pPr>
    <w:r>
      <w:fldChar w:fldCharType="begin"/>
    </w:r>
    <w:r>
      <w:rPr>
        <w:rStyle w:val="54"/>
      </w:rPr>
      <w:instrText xml:space="preserve">PAGE  </w:instrText>
    </w:r>
    <w:r>
      <w:fldChar w:fldCharType="end"/>
    </w:r>
  </w:p>
  <w:p>
    <w:pPr>
      <w:pStyle w:val="3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single" w:color="auto" w:sz="6" w:space="6"/>
      </w:pBdr>
      <w:tabs>
        <w:tab w:val="left" w:pos="0"/>
      </w:tabs>
      <w:rPr>
        <w:sz w:val="15"/>
        <w:szCs w:val="15"/>
      </w:rPr>
    </w:pPr>
    <w:r>
      <w:rPr>
        <w:rFonts w:hint="eastAsia"/>
        <w:sz w:val="15"/>
        <w:szCs w:val="15"/>
      </w:rPr>
      <w:t>采购编号：GDYD221545                     项目名称：国家海洋局南海标准计量中心2023年船员服务采购项目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single" w:color="auto" w:sz="6" w:space="6"/>
      </w:pBdr>
      <w:tabs>
        <w:tab w:val="left" w:pos="0"/>
      </w:tabs>
      <w:jc w:val="left"/>
      <w:rPr>
        <w:sz w:val="15"/>
        <w:szCs w:val="15"/>
      </w:rPr>
    </w:pPr>
    <w:r>
      <w:rPr>
        <w:rFonts w:hint="eastAsia"/>
        <w:sz w:val="15"/>
        <w:szCs w:val="15"/>
      </w:rPr>
      <w:t>采购编号：GDYD221545                                            项目名称：国家海洋局南海标准计量中心2023年船员服务采购项目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szCs w:val="15"/>
      </w:rPr>
    </w:pPr>
    <w:r>
      <w:rPr>
        <w:rFonts w:hint="eastAsia"/>
        <w:sz w:val="15"/>
        <w:szCs w:val="15"/>
      </w:rPr>
      <w:t>采购编号：GDYD221545                     项目名称：国家海洋局南海标准计量中心2023年船员服务采购项目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71A56"/>
    <w:multiLevelType w:val="singleLevel"/>
    <w:tmpl w:val="B3B71A56"/>
    <w:lvl w:ilvl="0" w:tentative="0">
      <w:start w:val="4"/>
      <w:numFmt w:val="chineseCounting"/>
      <w:suff w:val="space"/>
      <w:lvlText w:val="第%1篇"/>
      <w:lvlJc w:val="left"/>
      <w:rPr>
        <w:rFonts w:hint="eastAsia"/>
      </w:rPr>
    </w:lvl>
  </w:abstractNum>
  <w:abstractNum w:abstractNumId="1">
    <w:nsid w:val="CA19B691"/>
    <w:multiLevelType w:val="singleLevel"/>
    <w:tmpl w:val="CA19B691"/>
    <w:lvl w:ilvl="0" w:tentative="0">
      <w:start w:val="1"/>
      <w:numFmt w:val="decimal"/>
      <w:suff w:val="space"/>
      <w:lvlText w:val="（%1）"/>
      <w:lvlJc w:val="left"/>
    </w:lvl>
  </w:abstractNum>
  <w:abstractNum w:abstractNumId="2">
    <w:nsid w:val="E5457BDF"/>
    <w:multiLevelType w:val="singleLevel"/>
    <w:tmpl w:val="E5457BDF"/>
    <w:lvl w:ilvl="0" w:tentative="0">
      <w:start w:val="1"/>
      <w:numFmt w:val="decimalEnclosedCircleChinese"/>
      <w:suff w:val="nothing"/>
      <w:lvlText w:val="%1　"/>
      <w:lvlJc w:val="left"/>
      <w:pPr>
        <w:ind w:left="0" w:firstLine="400"/>
      </w:pPr>
      <w:rPr>
        <w:rFonts w:hint="eastAsia"/>
      </w:rPr>
    </w:lvl>
  </w:abstractNum>
  <w:abstractNum w:abstractNumId="3">
    <w:nsid w:val="00000010"/>
    <w:multiLevelType w:val="multilevel"/>
    <w:tmpl w:val="00000010"/>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4">
    <w:nsid w:val="00000012"/>
    <w:multiLevelType w:val="multilevel"/>
    <w:tmpl w:val="00000012"/>
    <w:lvl w:ilvl="0" w:tentative="0">
      <w:start w:val="1"/>
      <w:numFmt w:val="decimal"/>
      <w:pStyle w:val="16"/>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3"/>
    <w:multiLevelType w:val="multilevel"/>
    <w:tmpl w:val="00000013"/>
    <w:lvl w:ilvl="0" w:tentative="0">
      <w:start w:val="1"/>
      <w:numFmt w:val="decimal"/>
      <w:lvlText w:val="%1"/>
      <w:lvlJc w:val="left"/>
      <w:pPr>
        <w:tabs>
          <w:tab w:val="left" w:pos="425"/>
        </w:tabs>
        <w:ind w:left="425" w:hanging="425"/>
      </w:pPr>
    </w:lvl>
    <w:lvl w:ilvl="1" w:tentative="0">
      <w:start w:val="1"/>
      <w:numFmt w:val="decimal"/>
      <w:pStyle w:val="121"/>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00000015"/>
    <w:multiLevelType w:val="multilevel"/>
    <w:tmpl w:val="00000015"/>
    <w:lvl w:ilvl="0" w:tentative="0">
      <w:start w:val="1"/>
      <w:numFmt w:val="chineseCountingThousand"/>
      <w:lvlText w:val="%1、"/>
      <w:lvlJc w:val="left"/>
      <w:pPr>
        <w:tabs>
          <w:tab w:val="left" w:pos="1146"/>
        </w:tabs>
        <w:ind w:left="1146" w:hanging="720"/>
      </w:pPr>
      <w:rPr>
        <w:rFonts w:hint="eastAsia" w:ascii="宋体"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D"/>
    <w:multiLevelType w:val="multilevel"/>
    <w:tmpl w:val="0000001D"/>
    <w:lvl w:ilvl="0" w:tentative="0">
      <w:start w:val="1"/>
      <w:numFmt w:val="decimal"/>
      <w:lvlText w:val="%1"/>
      <w:lvlJc w:val="left"/>
      <w:pPr>
        <w:tabs>
          <w:tab w:val="left" w:pos="615"/>
        </w:tabs>
        <w:ind w:left="615" w:hanging="615"/>
      </w:pPr>
      <w:rPr>
        <w:rFonts w:hint="default"/>
      </w:rPr>
    </w:lvl>
    <w:lvl w:ilvl="1" w:tentative="0">
      <w:start w:val="1"/>
      <w:numFmt w:val="decimal"/>
      <w:lvlText w:val="%1.%2"/>
      <w:lvlJc w:val="left"/>
      <w:pPr>
        <w:tabs>
          <w:tab w:val="left" w:pos="567"/>
        </w:tabs>
        <w:ind w:left="567" w:hanging="567"/>
      </w:pPr>
      <w:rPr>
        <w:rFonts w:hint="eastAsia" w:ascii="宋体" w:hAnsi="Times New Roman" w:eastAsia="宋体"/>
        <w:b w:val="0"/>
        <w:i w:val="0"/>
      </w:rPr>
    </w:lvl>
    <w:lvl w:ilvl="2" w:tentative="0">
      <w:start w:val="1"/>
      <w:numFmt w:val="decimal"/>
      <w:lvlText w:val="%1.%2.%3"/>
      <w:lvlJc w:val="left"/>
      <w:pPr>
        <w:tabs>
          <w:tab w:val="left" w:pos="615"/>
        </w:tabs>
        <w:ind w:left="615" w:hanging="615"/>
      </w:pPr>
      <w:rPr>
        <w:rFonts w:hint="default"/>
      </w:rPr>
    </w:lvl>
    <w:lvl w:ilvl="3" w:tentative="0">
      <w:start w:val="1"/>
      <w:numFmt w:val="decimal"/>
      <w:lvlText w:val="%1.%2.%3.%4"/>
      <w:lvlJc w:val="left"/>
      <w:pPr>
        <w:tabs>
          <w:tab w:val="left" w:pos="615"/>
        </w:tabs>
        <w:ind w:left="615" w:hanging="615"/>
      </w:pPr>
      <w:rPr>
        <w:rFonts w:hint="default"/>
      </w:rPr>
    </w:lvl>
    <w:lvl w:ilvl="4" w:tentative="0">
      <w:start w:val="1"/>
      <w:numFmt w:val="decimal"/>
      <w:lvlText w:val="%1.%2.%3.%4.%5"/>
      <w:lvlJc w:val="left"/>
      <w:pPr>
        <w:tabs>
          <w:tab w:val="left" w:pos="615"/>
        </w:tabs>
        <w:ind w:left="615" w:hanging="615"/>
      </w:pPr>
      <w:rPr>
        <w:rFonts w:hint="default"/>
      </w:rPr>
    </w:lvl>
    <w:lvl w:ilvl="5" w:tentative="0">
      <w:start w:val="1"/>
      <w:numFmt w:val="decimal"/>
      <w:lvlText w:val="%1.%2.%3.%4.%5.%6"/>
      <w:lvlJc w:val="left"/>
      <w:pPr>
        <w:tabs>
          <w:tab w:val="left" w:pos="615"/>
        </w:tabs>
        <w:ind w:left="615" w:hanging="615"/>
      </w:pPr>
      <w:rPr>
        <w:rFonts w:hint="default"/>
      </w:rPr>
    </w:lvl>
    <w:lvl w:ilvl="6" w:tentative="0">
      <w:start w:val="1"/>
      <w:numFmt w:val="decimal"/>
      <w:lvlText w:val="%1.%2.%3.%4.%5.%6.%7"/>
      <w:lvlJc w:val="left"/>
      <w:pPr>
        <w:tabs>
          <w:tab w:val="left" w:pos="615"/>
        </w:tabs>
        <w:ind w:left="615" w:hanging="615"/>
      </w:pPr>
      <w:rPr>
        <w:rFonts w:hint="default"/>
      </w:rPr>
    </w:lvl>
    <w:lvl w:ilvl="7" w:tentative="0">
      <w:start w:val="1"/>
      <w:numFmt w:val="decimal"/>
      <w:lvlText w:val="%1.%2.%3.%4.%5.%6.%7.%8"/>
      <w:lvlJc w:val="left"/>
      <w:pPr>
        <w:tabs>
          <w:tab w:val="left" w:pos="615"/>
        </w:tabs>
        <w:ind w:left="615" w:hanging="615"/>
      </w:pPr>
      <w:rPr>
        <w:rFonts w:hint="default"/>
      </w:rPr>
    </w:lvl>
    <w:lvl w:ilvl="8" w:tentative="0">
      <w:start w:val="1"/>
      <w:numFmt w:val="decimal"/>
      <w:lvlText w:val="%1.%2.%3.%4.%5.%6.%7.%8.%9"/>
      <w:lvlJc w:val="left"/>
      <w:pPr>
        <w:tabs>
          <w:tab w:val="left" w:pos="615"/>
        </w:tabs>
        <w:ind w:left="615" w:hanging="615"/>
      </w:pPr>
      <w:rPr>
        <w:rFonts w:hint="default"/>
      </w:rPr>
    </w:lvl>
  </w:abstractNum>
  <w:abstractNum w:abstractNumId="8">
    <w:nsid w:val="00000021"/>
    <w:multiLevelType w:val="multilevel"/>
    <w:tmpl w:val="00000021"/>
    <w:lvl w:ilvl="0" w:tentative="0">
      <w:start w:val="1"/>
      <w:numFmt w:val="bullet"/>
      <w:pStyle w:val="11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26"/>
    <w:multiLevelType w:val="multilevel"/>
    <w:tmpl w:val="00000026"/>
    <w:lvl w:ilvl="0" w:tentative="0">
      <w:start w:val="1"/>
      <w:numFmt w:val="decimal"/>
      <w:lvlText w:val="%1."/>
      <w:lvlJc w:val="left"/>
      <w:pPr>
        <w:tabs>
          <w:tab w:val="left" w:pos="435"/>
        </w:tabs>
        <w:ind w:left="435" w:hanging="435"/>
      </w:pPr>
      <w:rPr>
        <w:rFonts w:hint="default" w:ascii="Times New Roman"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2C"/>
    <w:multiLevelType w:val="multilevel"/>
    <w:tmpl w:val="0000002C"/>
    <w:lvl w:ilvl="0" w:tentative="0">
      <w:start w:val="1"/>
      <w:numFmt w:val="decimal"/>
      <w:pStyle w:val="17"/>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1">
    <w:nsid w:val="00000030"/>
    <w:multiLevelType w:val="multilevel"/>
    <w:tmpl w:val="00000030"/>
    <w:lvl w:ilvl="0" w:tentative="0">
      <w:start w:val="1"/>
      <w:numFmt w:val="bullet"/>
      <w:pStyle w:val="10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31"/>
    <w:multiLevelType w:val="multilevel"/>
    <w:tmpl w:val="0000003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33"/>
    <w:multiLevelType w:val="multilevel"/>
    <w:tmpl w:val="00000033"/>
    <w:lvl w:ilvl="0" w:tentative="0">
      <w:start w:val="1"/>
      <w:numFmt w:val="decimal"/>
      <w:lvlText w:val="%1"/>
      <w:lvlJc w:val="left"/>
      <w:pPr>
        <w:tabs>
          <w:tab w:val="left" w:pos="527"/>
        </w:tabs>
        <w:ind w:left="567" w:hanging="454"/>
      </w:pPr>
      <w:rPr>
        <w:rFonts w:hint="eastAsia"/>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34"/>
    <w:multiLevelType w:val="multilevel"/>
    <w:tmpl w:val="00000034"/>
    <w:lvl w:ilvl="0" w:tentative="0">
      <w:start w:val="1"/>
      <w:numFmt w:val="decimal"/>
      <w:lvlText w:val="%1."/>
      <w:lvlJc w:val="left"/>
      <w:pPr>
        <w:tabs>
          <w:tab w:val="left" w:pos="435"/>
        </w:tabs>
        <w:ind w:left="435" w:hanging="435"/>
      </w:pPr>
      <w:rPr>
        <w:rFonts w:hint="default" w:ascii="Times New Roman"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36"/>
    <w:multiLevelType w:val="multilevel"/>
    <w:tmpl w:val="00000036"/>
    <w:lvl w:ilvl="0" w:tentative="0">
      <w:start w:val="1"/>
      <w:numFmt w:val="bullet"/>
      <w:pStyle w:val="46"/>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6">
    <w:nsid w:val="0079F16C"/>
    <w:multiLevelType w:val="singleLevel"/>
    <w:tmpl w:val="0079F16C"/>
    <w:lvl w:ilvl="0" w:tentative="0">
      <w:start w:val="2"/>
      <w:numFmt w:val="chineseCounting"/>
      <w:suff w:val="nothing"/>
      <w:lvlText w:val="%1、"/>
      <w:lvlJc w:val="left"/>
      <w:rPr>
        <w:rFonts w:hint="eastAsia"/>
      </w:rPr>
    </w:lvl>
  </w:abstractNum>
  <w:abstractNum w:abstractNumId="17">
    <w:nsid w:val="01D59D49"/>
    <w:multiLevelType w:val="singleLevel"/>
    <w:tmpl w:val="01D59D49"/>
    <w:lvl w:ilvl="0" w:tentative="0">
      <w:start w:val="1"/>
      <w:numFmt w:val="decimal"/>
      <w:suff w:val="space"/>
      <w:lvlText w:val="（%1）"/>
      <w:lvlJc w:val="left"/>
    </w:lvl>
  </w:abstractNum>
  <w:abstractNum w:abstractNumId="18">
    <w:nsid w:val="1C79A4EC"/>
    <w:multiLevelType w:val="singleLevel"/>
    <w:tmpl w:val="1C79A4EC"/>
    <w:lvl w:ilvl="0" w:tentative="0">
      <w:start w:val="1"/>
      <w:numFmt w:val="decimal"/>
      <w:lvlText w:val="%1."/>
      <w:lvlJc w:val="left"/>
      <w:pPr>
        <w:tabs>
          <w:tab w:val="left" w:pos="312"/>
        </w:tabs>
      </w:pPr>
    </w:lvl>
  </w:abstractNum>
  <w:abstractNum w:abstractNumId="19">
    <w:nsid w:val="44FAE6CE"/>
    <w:multiLevelType w:val="singleLevel"/>
    <w:tmpl w:val="44FAE6CE"/>
    <w:lvl w:ilvl="0" w:tentative="0">
      <w:start w:val="1"/>
      <w:numFmt w:val="decimal"/>
      <w:suff w:val="space"/>
      <w:lvlText w:val="（%1）"/>
      <w:lvlJc w:val="left"/>
    </w:lvl>
  </w:abstractNum>
  <w:abstractNum w:abstractNumId="20">
    <w:nsid w:val="4528D73A"/>
    <w:multiLevelType w:val="singleLevel"/>
    <w:tmpl w:val="4528D73A"/>
    <w:lvl w:ilvl="0" w:tentative="0">
      <w:start w:val="1"/>
      <w:numFmt w:val="decimal"/>
      <w:suff w:val="space"/>
      <w:lvlText w:val="（%1）"/>
      <w:lvlJc w:val="left"/>
    </w:lvl>
  </w:abstractNum>
  <w:abstractNum w:abstractNumId="21">
    <w:nsid w:val="4D3B2083"/>
    <w:multiLevelType w:val="singleLevel"/>
    <w:tmpl w:val="4D3B2083"/>
    <w:lvl w:ilvl="0" w:tentative="0">
      <w:start w:val="1"/>
      <w:numFmt w:val="decimal"/>
      <w:suff w:val="space"/>
      <w:lvlText w:val="（%1）"/>
      <w:lvlJc w:val="left"/>
    </w:lvl>
  </w:abstractNum>
  <w:abstractNum w:abstractNumId="22">
    <w:nsid w:val="564C069D"/>
    <w:multiLevelType w:val="singleLevel"/>
    <w:tmpl w:val="564C069D"/>
    <w:lvl w:ilvl="0" w:tentative="0">
      <w:start w:val="1"/>
      <w:numFmt w:val="decimal"/>
      <w:suff w:val="space"/>
      <w:lvlText w:val="（%1）"/>
      <w:lvlJc w:val="left"/>
    </w:lvl>
  </w:abstractNum>
  <w:abstractNum w:abstractNumId="23">
    <w:nsid w:val="63887940"/>
    <w:multiLevelType w:val="singleLevel"/>
    <w:tmpl w:val="63887940"/>
    <w:lvl w:ilvl="0" w:tentative="0">
      <w:start w:val="1"/>
      <w:numFmt w:val="decimal"/>
      <w:suff w:val="nothing"/>
      <w:lvlText w:val="%1."/>
      <w:lvlJc w:val="left"/>
    </w:lvl>
  </w:abstractNum>
  <w:abstractNum w:abstractNumId="24">
    <w:nsid w:val="63896D18"/>
    <w:multiLevelType w:val="singleLevel"/>
    <w:tmpl w:val="63896D18"/>
    <w:lvl w:ilvl="0" w:tentative="0">
      <w:start w:val="1"/>
      <w:numFmt w:val="decimal"/>
      <w:suff w:val="nothing"/>
      <w:lvlText w:val="（%1）"/>
      <w:lvlJc w:val="left"/>
    </w:lvl>
  </w:abstractNum>
  <w:abstractNum w:abstractNumId="25">
    <w:nsid w:val="67A14B61"/>
    <w:multiLevelType w:val="multilevel"/>
    <w:tmpl w:val="67A14B6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0"/>
  </w:num>
  <w:num w:numId="3">
    <w:abstractNumId w:val="15"/>
  </w:num>
  <w:num w:numId="4">
    <w:abstractNumId w:val="11"/>
  </w:num>
  <w:num w:numId="5">
    <w:abstractNumId w:val="8"/>
  </w:num>
  <w:num w:numId="6">
    <w:abstractNumId w:val="5"/>
  </w:num>
  <w:num w:numId="7">
    <w:abstractNumId w:val="6"/>
  </w:num>
  <w:num w:numId="8">
    <w:abstractNumId w:val="3"/>
  </w:num>
  <w:num w:numId="9">
    <w:abstractNumId w:val="0"/>
  </w:num>
  <w:num w:numId="10">
    <w:abstractNumId w:val="1"/>
  </w:num>
  <w:num w:numId="11">
    <w:abstractNumId w:val="20"/>
  </w:num>
  <w:num w:numId="12">
    <w:abstractNumId w:val="17"/>
  </w:num>
  <w:num w:numId="13">
    <w:abstractNumId w:val="21"/>
  </w:num>
  <w:num w:numId="14">
    <w:abstractNumId w:val="22"/>
  </w:num>
  <w:num w:numId="15">
    <w:abstractNumId w:val="19"/>
  </w:num>
  <w:num w:numId="16">
    <w:abstractNumId w:val="25"/>
  </w:num>
  <w:num w:numId="17">
    <w:abstractNumId w:val="23"/>
  </w:num>
  <w:num w:numId="18">
    <w:abstractNumId w:val="13"/>
  </w:num>
  <w:num w:numId="19">
    <w:abstractNumId w:val="7"/>
  </w:num>
  <w:num w:numId="20">
    <w:abstractNumId w:val="9"/>
  </w:num>
  <w:num w:numId="21">
    <w:abstractNumId w:val="14"/>
  </w:num>
  <w:num w:numId="22">
    <w:abstractNumId w:val="12"/>
  </w:num>
  <w:num w:numId="23">
    <w:abstractNumId w:val="16"/>
  </w:num>
  <w:num w:numId="24">
    <w:abstractNumId w:val="2"/>
  </w:num>
  <w:num w:numId="25">
    <w:abstractNumId w:val="1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revisionView w:markup="0"/>
  <w:trackRevisions w:val="1"/>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172A27"/>
    <w:rsid w:val="000008D0"/>
    <w:rsid w:val="00000A20"/>
    <w:rsid w:val="0000153B"/>
    <w:rsid w:val="00002474"/>
    <w:rsid w:val="000059CE"/>
    <w:rsid w:val="00006860"/>
    <w:rsid w:val="0000765C"/>
    <w:rsid w:val="0001396D"/>
    <w:rsid w:val="00013EA6"/>
    <w:rsid w:val="0001464E"/>
    <w:rsid w:val="000149CD"/>
    <w:rsid w:val="00015414"/>
    <w:rsid w:val="00016B55"/>
    <w:rsid w:val="00016F27"/>
    <w:rsid w:val="00017E81"/>
    <w:rsid w:val="000212F8"/>
    <w:rsid w:val="000214FB"/>
    <w:rsid w:val="00022AF1"/>
    <w:rsid w:val="00023B7A"/>
    <w:rsid w:val="00026714"/>
    <w:rsid w:val="00030FFC"/>
    <w:rsid w:val="000310D4"/>
    <w:rsid w:val="000311E5"/>
    <w:rsid w:val="00032D69"/>
    <w:rsid w:val="00034293"/>
    <w:rsid w:val="00034390"/>
    <w:rsid w:val="00034B6E"/>
    <w:rsid w:val="00036220"/>
    <w:rsid w:val="00037C24"/>
    <w:rsid w:val="0004125E"/>
    <w:rsid w:val="00042226"/>
    <w:rsid w:val="00042559"/>
    <w:rsid w:val="00042F74"/>
    <w:rsid w:val="00044E1D"/>
    <w:rsid w:val="00044F65"/>
    <w:rsid w:val="00045330"/>
    <w:rsid w:val="00045612"/>
    <w:rsid w:val="00045E56"/>
    <w:rsid w:val="00045FDB"/>
    <w:rsid w:val="00046A08"/>
    <w:rsid w:val="000474C2"/>
    <w:rsid w:val="000500D8"/>
    <w:rsid w:val="00051096"/>
    <w:rsid w:val="0005214D"/>
    <w:rsid w:val="0005341A"/>
    <w:rsid w:val="00054D17"/>
    <w:rsid w:val="00055444"/>
    <w:rsid w:val="0005553C"/>
    <w:rsid w:val="0005591D"/>
    <w:rsid w:val="00060995"/>
    <w:rsid w:val="00060AD7"/>
    <w:rsid w:val="0006153D"/>
    <w:rsid w:val="000627C2"/>
    <w:rsid w:val="000630F5"/>
    <w:rsid w:val="0006360A"/>
    <w:rsid w:val="00064850"/>
    <w:rsid w:val="0006497D"/>
    <w:rsid w:val="0006501B"/>
    <w:rsid w:val="00065074"/>
    <w:rsid w:val="0006662F"/>
    <w:rsid w:val="000666F0"/>
    <w:rsid w:val="00066C71"/>
    <w:rsid w:val="00067B15"/>
    <w:rsid w:val="00073215"/>
    <w:rsid w:val="00074348"/>
    <w:rsid w:val="00074385"/>
    <w:rsid w:val="00074CAB"/>
    <w:rsid w:val="00074E48"/>
    <w:rsid w:val="00075EB0"/>
    <w:rsid w:val="00076231"/>
    <w:rsid w:val="000762E6"/>
    <w:rsid w:val="0007787D"/>
    <w:rsid w:val="000802FF"/>
    <w:rsid w:val="0008160A"/>
    <w:rsid w:val="00083081"/>
    <w:rsid w:val="000837DF"/>
    <w:rsid w:val="00084843"/>
    <w:rsid w:val="00084865"/>
    <w:rsid w:val="00085176"/>
    <w:rsid w:val="0008579B"/>
    <w:rsid w:val="00085F5F"/>
    <w:rsid w:val="00086444"/>
    <w:rsid w:val="000869C4"/>
    <w:rsid w:val="00087862"/>
    <w:rsid w:val="000900E3"/>
    <w:rsid w:val="000911EF"/>
    <w:rsid w:val="00091335"/>
    <w:rsid w:val="00091C22"/>
    <w:rsid w:val="0009309C"/>
    <w:rsid w:val="00093978"/>
    <w:rsid w:val="000947A0"/>
    <w:rsid w:val="00094C69"/>
    <w:rsid w:val="00095488"/>
    <w:rsid w:val="000957BE"/>
    <w:rsid w:val="00095C9C"/>
    <w:rsid w:val="00096575"/>
    <w:rsid w:val="00096AA4"/>
    <w:rsid w:val="00096F82"/>
    <w:rsid w:val="000971F5"/>
    <w:rsid w:val="0009752A"/>
    <w:rsid w:val="00097B65"/>
    <w:rsid w:val="000A0B49"/>
    <w:rsid w:val="000A1423"/>
    <w:rsid w:val="000A1522"/>
    <w:rsid w:val="000A2536"/>
    <w:rsid w:val="000A29CD"/>
    <w:rsid w:val="000A2B12"/>
    <w:rsid w:val="000A31A0"/>
    <w:rsid w:val="000A361E"/>
    <w:rsid w:val="000A4C38"/>
    <w:rsid w:val="000A5568"/>
    <w:rsid w:val="000A6AFD"/>
    <w:rsid w:val="000A7418"/>
    <w:rsid w:val="000B2E56"/>
    <w:rsid w:val="000B2F59"/>
    <w:rsid w:val="000B33CA"/>
    <w:rsid w:val="000B53AD"/>
    <w:rsid w:val="000B58F4"/>
    <w:rsid w:val="000B6F84"/>
    <w:rsid w:val="000B75BF"/>
    <w:rsid w:val="000C2954"/>
    <w:rsid w:val="000C3D7F"/>
    <w:rsid w:val="000C4070"/>
    <w:rsid w:val="000C4B84"/>
    <w:rsid w:val="000C6D01"/>
    <w:rsid w:val="000C7B52"/>
    <w:rsid w:val="000C7FB8"/>
    <w:rsid w:val="000D0362"/>
    <w:rsid w:val="000D18A7"/>
    <w:rsid w:val="000D26EC"/>
    <w:rsid w:val="000D2A7B"/>
    <w:rsid w:val="000D3646"/>
    <w:rsid w:val="000D4E32"/>
    <w:rsid w:val="000D5106"/>
    <w:rsid w:val="000D66B0"/>
    <w:rsid w:val="000D7A81"/>
    <w:rsid w:val="000E14B1"/>
    <w:rsid w:val="000E1CD7"/>
    <w:rsid w:val="000E20B1"/>
    <w:rsid w:val="000E2947"/>
    <w:rsid w:val="000E3887"/>
    <w:rsid w:val="000E4223"/>
    <w:rsid w:val="000E4E6A"/>
    <w:rsid w:val="000E5DDE"/>
    <w:rsid w:val="000F01E3"/>
    <w:rsid w:val="000F1142"/>
    <w:rsid w:val="000F2B74"/>
    <w:rsid w:val="000F30B8"/>
    <w:rsid w:val="000F329C"/>
    <w:rsid w:val="000F3310"/>
    <w:rsid w:val="000F39F3"/>
    <w:rsid w:val="000F5C94"/>
    <w:rsid w:val="000F7667"/>
    <w:rsid w:val="00100318"/>
    <w:rsid w:val="00101D1E"/>
    <w:rsid w:val="00102287"/>
    <w:rsid w:val="0010302A"/>
    <w:rsid w:val="00103E68"/>
    <w:rsid w:val="001046DA"/>
    <w:rsid w:val="001052C0"/>
    <w:rsid w:val="0010598D"/>
    <w:rsid w:val="00106F00"/>
    <w:rsid w:val="001130D2"/>
    <w:rsid w:val="00113A43"/>
    <w:rsid w:val="001142E1"/>
    <w:rsid w:val="00114DAD"/>
    <w:rsid w:val="001158B2"/>
    <w:rsid w:val="001202EF"/>
    <w:rsid w:val="001204A9"/>
    <w:rsid w:val="00121166"/>
    <w:rsid w:val="00121883"/>
    <w:rsid w:val="00122FF8"/>
    <w:rsid w:val="00124B1D"/>
    <w:rsid w:val="00125687"/>
    <w:rsid w:val="00126CC2"/>
    <w:rsid w:val="0013186B"/>
    <w:rsid w:val="00131D89"/>
    <w:rsid w:val="001330C8"/>
    <w:rsid w:val="00133B6C"/>
    <w:rsid w:val="00134D38"/>
    <w:rsid w:val="001352BB"/>
    <w:rsid w:val="00136724"/>
    <w:rsid w:val="00136F1F"/>
    <w:rsid w:val="00140206"/>
    <w:rsid w:val="00140663"/>
    <w:rsid w:val="00141555"/>
    <w:rsid w:val="00141573"/>
    <w:rsid w:val="0014160C"/>
    <w:rsid w:val="0014172A"/>
    <w:rsid w:val="001427DC"/>
    <w:rsid w:val="0014314E"/>
    <w:rsid w:val="00144962"/>
    <w:rsid w:val="00144B55"/>
    <w:rsid w:val="0014502D"/>
    <w:rsid w:val="001463E9"/>
    <w:rsid w:val="001479BE"/>
    <w:rsid w:val="00147B99"/>
    <w:rsid w:val="001510A0"/>
    <w:rsid w:val="001510E0"/>
    <w:rsid w:val="0015217D"/>
    <w:rsid w:val="00154A36"/>
    <w:rsid w:val="00154CB2"/>
    <w:rsid w:val="00155106"/>
    <w:rsid w:val="00155AD9"/>
    <w:rsid w:val="00156DE8"/>
    <w:rsid w:val="00157785"/>
    <w:rsid w:val="00161B43"/>
    <w:rsid w:val="00162B64"/>
    <w:rsid w:val="00163515"/>
    <w:rsid w:val="001637F2"/>
    <w:rsid w:val="001638A2"/>
    <w:rsid w:val="00163B95"/>
    <w:rsid w:val="00165A24"/>
    <w:rsid w:val="00166ECA"/>
    <w:rsid w:val="00171C36"/>
    <w:rsid w:val="00172398"/>
    <w:rsid w:val="00172A27"/>
    <w:rsid w:val="00173F51"/>
    <w:rsid w:val="001745F0"/>
    <w:rsid w:val="00174C59"/>
    <w:rsid w:val="001759DB"/>
    <w:rsid w:val="0017680C"/>
    <w:rsid w:val="00177A18"/>
    <w:rsid w:val="00180FA2"/>
    <w:rsid w:val="0018249C"/>
    <w:rsid w:val="00182592"/>
    <w:rsid w:val="00182871"/>
    <w:rsid w:val="00185DDD"/>
    <w:rsid w:val="00186314"/>
    <w:rsid w:val="00186920"/>
    <w:rsid w:val="00190A19"/>
    <w:rsid w:val="00190BFF"/>
    <w:rsid w:val="00190E1A"/>
    <w:rsid w:val="00191133"/>
    <w:rsid w:val="00193FC5"/>
    <w:rsid w:val="0019475D"/>
    <w:rsid w:val="00194A73"/>
    <w:rsid w:val="00196878"/>
    <w:rsid w:val="00197C92"/>
    <w:rsid w:val="001A0BBB"/>
    <w:rsid w:val="001A21E2"/>
    <w:rsid w:val="001A2BA5"/>
    <w:rsid w:val="001A33FC"/>
    <w:rsid w:val="001A347A"/>
    <w:rsid w:val="001A51C3"/>
    <w:rsid w:val="001A7B2A"/>
    <w:rsid w:val="001B11C6"/>
    <w:rsid w:val="001B157D"/>
    <w:rsid w:val="001B1F48"/>
    <w:rsid w:val="001B251F"/>
    <w:rsid w:val="001B290B"/>
    <w:rsid w:val="001B354A"/>
    <w:rsid w:val="001B46D4"/>
    <w:rsid w:val="001B487B"/>
    <w:rsid w:val="001C0237"/>
    <w:rsid w:val="001C027E"/>
    <w:rsid w:val="001C02F1"/>
    <w:rsid w:val="001C168C"/>
    <w:rsid w:val="001C3C35"/>
    <w:rsid w:val="001C54DB"/>
    <w:rsid w:val="001C7DEB"/>
    <w:rsid w:val="001D056B"/>
    <w:rsid w:val="001D0D9C"/>
    <w:rsid w:val="001D1985"/>
    <w:rsid w:val="001D214E"/>
    <w:rsid w:val="001D30DF"/>
    <w:rsid w:val="001D4AB3"/>
    <w:rsid w:val="001D4FE8"/>
    <w:rsid w:val="001D519F"/>
    <w:rsid w:val="001D5AF2"/>
    <w:rsid w:val="001D61BF"/>
    <w:rsid w:val="001D6399"/>
    <w:rsid w:val="001D6FB1"/>
    <w:rsid w:val="001D709A"/>
    <w:rsid w:val="001E058C"/>
    <w:rsid w:val="001E105F"/>
    <w:rsid w:val="001E13F3"/>
    <w:rsid w:val="001E14AA"/>
    <w:rsid w:val="001E2717"/>
    <w:rsid w:val="001E2BC0"/>
    <w:rsid w:val="001E33DB"/>
    <w:rsid w:val="001E385F"/>
    <w:rsid w:val="001E3D83"/>
    <w:rsid w:val="001E51C8"/>
    <w:rsid w:val="001E608B"/>
    <w:rsid w:val="001E65B3"/>
    <w:rsid w:val="001E6BE4"/>
    <w:rsid w:val="001F02BF"/>
    <w:rsid w:val="001F0F20"/>
    <w:rsid w:val="001F0F4E"/>
    <w:rsid w:val="001F3368"/>
    <w:rsid w:val="001F33EB"/>
    <w:rsid w:val="001F381F"/>
    <w:rsid w:val="001F53AC"/>
    <w:rsid w:val="001F6E44"/>
    <w:rsid w:val="002009DA"/>
    <w:rsid w:val="00204E0B"/>
    <w:rsid w:val="0020691E"/>
    <w:rsid w:val="002108B6"/>
    <w:rsid w:val="00211D6C"/>
    <w:rsid w:val="00212139"/>
    <w:rsid w:val="00212335"/>
    <w:rsid w:val="0021298C"/>
    <w:rsid w:val="00212C67"/>
    <w:rsid w:val="00212CC9"/>
    <w:rsid w:val="00212FED"/>
    <w:rsid w:val="0021313A"/>
    <w:rsid w:val="00213B69"/>
    <w:rsid w:val="00214548"/>
    <w:rsid w:val="00214CB3"/>
    <w:rsid w:val="00215F3A"/>
    <w:rsid w:val="00216EF9"/>
    <w:rsid w:val="00217CCE"/>
    <w:rsid w:val="00223ED2"/>
    <w:rsid w:val="00224A64"/>
    <w:rsid w:val="00224B71"/>
    <w:rsid w:val="002251E7"/>
    <w:rsid w:val="00225634"/>
    <w:rsid w:val="00225A8C"/>
    <w:rsid w:val="00226631"/>
    <w:rsid w:val="00226BF5"/>
    <w:rsid w:val="00226D8E"/>
    <w:rsid w:val="002279D2"/>
    <w:rsid w:val="00227AEE"/>
    <w:rsid w:val="00227B1E"/>
    <w:rsid w:val="0023053F"/>
    <w:rsid w:val="00230547"/>
    <w:rsid w:val="0023234F"/>
    <w:rsid w:val="002333BF"/>
    <w:rsid w:val="00233CE9"/>
    <w:rsid w:val="00234740"/>
    <w:rsid w:val="00235442"/>
    <w:rsid w:val="00235641"/>
    <w:rsid w:val="0023660C"/>
    <w:rsid w:val="0023687D"/>
    <w:rsid w:val="00237E5B"/>
    <w:rsid w:val="002401FD"/>
    <w:rsid w:val="00240911"/>
    <w:rsid w:val="00240C6F"/>
    <w:rsid w:val="00242AFB"/>
    <w:rsid w:val="002438AC"/>
    <w:rsid w:val="002446AF"/>
    <w:rsid w:val="00244E7A"/>
    <w:rsid w:val="00246069"/>
    <w:rsid w:val="002466CC"/>
    <w:rsid w:val="00246DB5"/>
    <w:rsid w:val="002474A5"/>
    <w:rsid w:val="00251C80"/>
    <w:rsid w:val="002534F3"/>
    <w:rsid w:val="00253527"/>
    <w:rsid w:val="002539CA"/>
    <w:rsid w:val="0025621F"/>
    <w:rsid w:val="00256C99"/>
    <w:rsid w:val="002577C1"/>
    <w:rsid w:val="00260F7F"/>
    <w:rsid w:val="00261627"/>
    <w:rsid w:val="002629D8"/>
    <w:rsid w:val="00262B61"/>
    <w:rsid w:val="00262F1E"/>
    <w:rsid w:val="00263A27"/>
    <w:rsid w:val="002658AB"/>
    <w:rsid w:val="00266A86"/>
    <w:rsid w:val="00267066"/>
    <w:rsid w:val="0027029C"/>
    <w:rsid w:val="00271043"/>
    <w:rsid w:val="0027166D"/>
    <w:rsid w:val="00271862"/>
    <w:rsid w:val="00271EF9"/>
    <w:rsid w:val="0027234A"/>
    <w:rsid w:val="00272D8C"/>
    <w:rsid w:val="002734BD"/>
    <w:rsid w:val="00273C6B"/>
    <w:rsid w:val="00274406"/>
    <w:rsid w:val="0027490E"/>
    <w:rsid w:val="002777D1"/>
    <w:rsid w:val="0028173D"/>
    <w:rsid w:val="00282425"/>
    <w:rsid w:val="0028279E"/>
    <w:rsid w:val="002839D2"/>
    <w:rsid w:val="0028428A"/>
    <w:rsid w:val="002856A6"/>
    <w:rsid w:val="0028651A"/>
    <w:rsid w:val="00287140"/>
    <w:rsid w:val="0028757E"/>
    <w:rsid w:val="00290148"/>
    <w:rsid w:val="00290207"/>
    <w:rsid w:val="0029043E"/>
    <w:rsid w:val="00292B08"/>
    <w:rsid w:val="002932B0"/>
    <w:rsid w:val="00294255"/>
    <w:rsid w:val="002950DE"/>
    <w:rsid w:val="0029744B"/>
    <w:rsid w:val="002A05E0"/>
    <w:rsid w:val="002A2C8B"/>
    <w:rsid w:val="002A3848"/>
    <w:rsid w:val="002A5514"/>
    <w:rsid w:val="002A5DA2"/>
    <w:rsid w:val="002A7EBD"/>
    <w:rsid w:val="002B051B"/>
    <w:rsid w:val="002B28EF"/>
    <w:rsid w:val="002B2E1A"/>
    <w:rsid w:val="002B35D7"/>
    <w:rsid w:val="002B70E7"/>
    <w:rsid w:val="002C0CD4"/>
    <w:rsid w:val="002C0D8B"/>
    <w:rsid w:val="002C11B6"/>
    <w:rsid w:val="002C284F"/>
    <w:rsid w:val="002C2BA1"/>
    <w:rsid w:val="002C334D"/>
    <w:rsid w:val="002C426C"/>
    <w:rsid w:val="002C465C"/>
    <w:rsid w:val="002C5A8F"/>
    <w:rsid w:val="002C6A08"/>
    <w:rsid w:val="002D03DA"/>
    <w:rsid w:val="002D3117"/>
    <w:rsid w:val="002D387D"/>
    <w:rsid w:val="002D39B7"/>
    <w:rsid w:val="002D3D89"/>
    <w:rsid w:val="002D4ABA"/>
    <w:rsid w:val="002D4EF6"/>
    <w:rsid w:val="002D4F00"/>
    <w:rsid w:val="002D5308"/>
    <w:rsid w:val="002D6E5C"/>
    <w:rsid w:val="002E0C2F"/>
    <w:rsid w:val="002E202D"/>
    <w:rsid w:val="002E2FB5"/>
    <w:rsid w:val="002E504E"/>
    <w:rsid w:val="002F0646"/>
    <w:rsid w:val="002F087B"/>
    <w:rsid w:val="002F132E"/>
    <w:rsid w:val="002F160F"/>
    <w:rsid w:val="002F1CE7"/>
    <w:rsid w:val="002F313B"/>
    <w:rsid w:val="002F40FD"/>
    <w:rsid w:val="002F5851"/>
    <w:rsid w:val="002F5E07"/>
    <w:rsid w:val="002F6AD7"/>
    <w:rsid w:val="002F74D1"/>
    <w:rsid w:val="002F7D0F"/>
    <w:rsid w:val="00300BFA"/>
    <w:rsid w:val="00301AE8"/>
    <w:rsid w:val="003026E7"/>
    <w:rsid w:val="00302F95"/>
    <w:rsid w:val="00304885"/>
    <w:rsid w:val="00304BBB"/>
    <w:rsid w:val="00305072"/>
    <w:rsid w:val="00305C83"/>
    <w:rsid w:val="00306A39"/>
    <w:rsid w:val="00307CB1"/>
    <w:rsid w:val="00310588"/>
    <w:rsid w:val="00311054"/>
    <w:rsid w:val="003113C6"/>
    <w:rsid w:val="00312A5F"/>
    <w:rsid w:val="00314D70"/>
    <w:rsid w:val="00315C5B"/>
    <w:rsid w:val="00316079"/>
    <w:rsid w:val="003169BB"/>
    <w:rsid w:val="00317012"/>
    <w:rsid w:val="003173AC"/>
    <w:rsid w:val="0032238F"/>
    <w:rsid w:val="00322D03"/>
    <w:rsid w:val="00322DD9"/>
    <w:rsid w:val="0032351B"/>
    <w:rsid w:val="0032707B"/>
    <w:rsid w:val="00327626"/>
    <w:rsid w:val="00327823"/>
    <w:rsid w:val="00327B50"/>
    <w:rsid w:val="00332298"/>
    <w:rsid w:val="003325FE"/>
    <w:rsid w:val="00333D94"/>
    <w:rsid w:val="00334190"/>
    <w:rsid w:val="0033613B"/>
    <w:rsid w:val="003369C7"/>
    <w:rsid w:val="00337E16"/>
    <w:rsid w:val="003400CF"/>
    <w:rsid w:val="003429B2"/>
    <w:rsid w:val="00342A43"/>
    <w:rsid w:val="00342A4C"/>
    <w:rsid w:val="003432BC"/>
    <w:rsid w:val="00344456"/>
    <w:rsid w:val="003468BD"/>
    <w:rsid w:val="00347030"/>
    <w:rsid w:val="00347782"/>
    <w:rsid w:val="00347ACD"/>
    <w:rsid w:val="00347B08"/>
    <w:rsid w:val="00350E21"/>
    <w:rsid w:val="00352888"/>
    <w:rsid w:val="00352BF2"/>
    <w:rsid w:val="003534A0"/>
    <w:rsid w:val="00353A1A"/>
    <w:rsid w:val="00353BF9"/>
    <w:rsid w:val="00354F35"/>
    <w:rsid w:val="003564AB"/>
    <w:rsid w:val="003579BD"/>
    <w:rsid w:val="00360B2C"/>
    <w:rsid w:val="00362867"/>
    <w:rsid w:val="00362D39"/>
    <w:rsid w:val="003640B4"/>
    <w:rsid w:val="0036499A"/>
    <w:rsid w:val="00366347"/>
    <w:rsid w:val="00366C8B"/>
    <w:rsid w:val="00367743"/>
    <w:rsid w:val="00367C3A"/>
    <w:rsid w:val="00367EB7"/>
    <w:rsid w:val="0037270C"/>
    <w:rsid w:val="00373E38"/>
    <w:rsid w:val="00374A20"/>
    <w:rsid w:val="00375484"/>
    <w:rsid w:val="00375889"/>
    <w:rsid w:val="00376125"/>
    <w:rsid w:val="003762AD"/>
    <w:rsid w:val="00376BFF"/>
    <w:rsid w:val="00377520"/>
    <w:rsid w:val="00381392"/>
    <w:rsid w:val="00381426"/>
    <w:rsid w:val="0038207E"/>
    <w:rsid w:val="00384D3A"/>
    <w:rsid w:val="00385031"/>
    <w:rsid w:val="00386B47"/>
    <w:rsid w:val="003914A6"/>
    <w:rsid w:val="003925BD"/>
    <w:rsid w:val="00396555"/>
    <w:rsid w:val="0039660F"/>
    <w:rsid w:val="00396AA8"/>
    <w:rsid w:val="003971CF"/>
    <w:rsid w:val="003A06AA"/>
    <w:rsid w:val="003A10D2"/>
    <w:rsid w:val="003A1C85"/>
    <w:rsid w:val="003A1E07"/>
    <w:rsid w:val="003A2464"/>
    <w:rsid w:val="003A517A"/>
    <w:rsid w:val="003A669B"/>
    <w:rsid w:val="003A7D9A"/>
    <w:rsid w:val="003A7F5B"/>
    <w:rsid w:val="003B226F"/>
    <w:rsid w:val="003B2767"/>
    <w:rsid w:val="003B5912"/>
    <w:rsid w:val="003B5AC0"/>
    <w:rsid w:val="003B63B0"/>
    <w:rsid w:val="003C0751"/>
    <w:rsid w:val="003C0CAD"/>
    <w:rsid w:val="003C3319"/>
    <w:rsid w:val="003C4D44"/>
    <w:rsid w:val="003C7A3C"/>
    <w:rsid w:val="003D0115"/>
    <w:rsid w:val="003D0419"/>
    <w:rsid w:val="003D1FF2"/>
    <w:rsid w:val="003D2B13"/>
    <w:rsid w:val="003D473D"/>
    <w:rsid w:val="003D4921"/>
    <w:rsid w:val="003D4B77"/>
    <w:rsid w:val="003D4F69"/>
    <w:rsid w:val="003D5B27"/>
    <w:rsid w:val="003D6140"/>
    <w:rsid w:val="003D630E"/>
    <w:rsid w:val="003D6BD5"/>
    <w:rsid w:val="003D6D97"/>
    <w:rsid w:val="003D7B2E"/>
    <w:rsid w:val="003E0133"/>
    <w:rsid w:val="003E1B8F"/>
    <w:rsid w:val="003E2480"/>
    <w:rsid w:val="003E372D"/>
    <w:rsid w:val="003E4108"/>
    <w:rsid w:val="003E4139"/>
    <w:rsid w:val="003E4493"/>
    <w:rsid w:val="003E51FB"/>
    <w:rsid w:val="003E57DB"/>
    <w:rsid w:val="003E5FF6"/>
    <w:rsid w:val="003E6192"/>
    <w:rsid w:val="003E75E8"/>
    <w:rsid w:val="003F011B"/>
    <w:rsid w:val="003F01EE"/>
    <w:rsid w:val="003F057E"/>
    <w:rsid w:val="003F1CE6"/>
    <w:rsid w:val="003F1D56"/>
    <w:rsid w:val="003F3649"/>
    <w:rsid w:val="003F398C"/>
    <w:rsid w:val="003F41F4"/>
    <w:rsid w:val="003F4CA6"/>
    <w:rsid w:val="003F5232"/>
    <w:rsid w:val="003F68C6"/>
    <w:rsid w:val="00400417"/>
    <w:rsid w:val="00400BE6"/>
    <w:rsid w:val="00402454"/>
    <w:rsid w:val="00402E81"/>
    <w:rsid w:val="004033D8"/>
    <w:rsid w:val="0040346F"/>
    <w:rsid w:val="0040535D"/>
    <w:rsid w:val="00406601"/>
    <w:rsid w:val="004075DD"/>
    <w:rsid w:val="00407B89"/>
    <w:rsid w:val="00410BB6"/>
    <w:rsid w:val="004116E5"/>
    <w:rsid w:val="00411F39"/>
    <w:rsid w:val="004123A0"/>
    <w:rsid w:val="004131C5"/>
    <w:rsid w:val="004139F5"/>
    <w:rsid w:val="0041428D"/>
    <w:rsid w:val="00414859"/>
    <w:rsid w:val="004148F6"/>
    <w:rsid w:val="0041501D"/>
    <w:rsid w:val="00415548"/>
    <w:rsid w:val="00417CB7"/>
    <w:rsid w:val="00417EC3"/>
    <w:rsid w:val="0042040E"/>
    <w:rsid w:val="00420EDE"/>
    <w:rsid w:val="00420F03"/>
    <w:rsid w:val="00421E5C"/>
    <w:rsid w:val="00422744"/>
    <w:rsid w:val="00423E03"/>
    <w:rsid w:val="00424292"/>
    <w:rsid w:val="0042513E"/>
    <w:rsid w:val="00426421"/>
    <w:rsid w:val="00426EDC"/>
    <w:rsid w:val="00430B57"/>
    <w:rsid w:val="00431840"/>
    <w:rsid w:val="004320EB"/>
    <w:rsid w:val="00432339"/>
    <w:rsid w:val="00432829"/>
    <w:rsid w:val="00432FB4"/>
    <w:rsid w:val="00433994"/>
    <w:rsid w:val="00433EB7"/>
    <w:rsid w:val="004341C5"/>
    <w:rsid w:val="004357C2"/>
    <w:rsid w:val="00435C41"/>
    <w:rsid w:val="004378A2"/>
    <w:rsid w:val="004378B5"/>
    <w:rsid w:val="0043798C"/>
    <w:rsid w:val="004401BD"/>
    <w:rsid w:val="00440F88"/>
    <w:rsid w:val="00441977"/>
    <w:rsid w:val="00442E93"/>
    <w:rsid w:val="00443285"/>
    <w:rsid w:val="00443F81"/>
    <w:rsid w:val="00444BAC"/>
    <w:rsid w:val="00447CA6"/>
    <w:rsid w:val="00451033"/>
    <w:rsid w:val="004515EF"/>
    <w:rsid w:val="00451712"/>
    <w:rsid w:val="00452B23"/>
    <w:rsid w:val="004530BC"/>
    <w:rsid w:val="00453631"/>
    <w:rsid w:val="00454438"/>
    <w:rsid w:val="00454AB4"/>
    <w:rsid w:val="00454FBF"/>
    <w:rsid w:val="0045590B"/>
    <w:rsid w:val="00455942"/>
    <w:rsid w:val="00455952"/>
    <w:rsid w:val="00455994"/>
    <w:rsid w:val="00455B78"/>
    <w:rsid w:val="004564E8"/>
    <w:rsid w:val="0046051F"/>
    <w:rsid w:val="00460866"/>
    <w:rsid w:val="00460AE7"/>
    <w:rsid w:val="00460FA0"/>
    <w:rsid w:val="00461C2D"/>
    <w:rsid w:val="00461FED"/>
    <w:rsid w:val="0046208E"/>
    <w:rsid w:val="0046291D"/>
    <w:rsid w:val="004630F4"/>
    <w:rsid w:val="004633B5"/>
    <w:rsid w:val="0046428F"/>
    <w:rsid w:val="004652EF"/>
    <w:rsid w:val="0046586B"/>
    <w:rsid w:val="0046647C"/>
    <w:rsid w:val="00466E39"/>
    <w:rsid w:val="00470885"/>
    <w:rsid w:val="004727FD"/>
    <w:rsid w:val="00472EFB"/>
    <w:rsid w:val="00472F45"/>
    <w:rsid w:val="00473D76"/>
    <w:rsid w:val="00474029"/>
    <w:rsid w:val="00474F4B"/>
    <w:rsid w:val="00475252"/>
    <w:rsid w:val="004763DF"/>
    <w:rsid w:val="0047740A"/>
    <w:rsid w:val="004779F3"/>
    <w:rsid w:val="00477A37"/>
    <w:rsid w:val="00480B6F"/>
    <w:rsid w:val="00481D4A"/>
    <w:rsid w:val="00483EBD"/>
    <w:rsid w:val="004844F9"/>
    <w:rsid w:val="004872B1"/>
    <w:rsid w:val="004906A7"/>
    <w:rsid w:val="004924FB"/>
    <w:rsid w:val="00492BE8"/>
    <w:rsid w:val="00494E2B"/>
    <w:rsid w:val="00495431"/>
    <w:rsid w:val="00495720"/>
    <w:rsid w:val="004964C8"/>
    <w:rsid w:val="00497033"/>
    <w:rsid w:val="004971EE"/>
    <w:rsid w:val="004A038C"/>
    <w:rsid w:val="004A197C"/>
    <w:rsid w:val="004A2414"/>
    <w:rsid w:val="004A2E4E"/>
    <w:rsid w:val="004A42CC"/>
    <w:rsid w:val="004A4F0F"/>
    <w:rsid w:val="004A5D6F"/>
    <w:rsid w:val="004A757B"/>
    <w:rsid w:val="004B0067"/>
    <w:rsid w:val="004B053F"/>
    <w:rsid w:val="004B0C11"/>
    <w:rsid w:val="004B11CB"/>
    <w:rsid w:val="004B5403"/>
    <w:rsid w:val="004B5813"/>
    <w:rsid w:val="004B6312"/>
    <w:rsid w:val="004B724A"/>
    <w:rsid w:val="004B7380"/>
    <w:rsid w:val="004C0592"/>
    <w:rsid w:val="004C1CB4"/>
    <w:rsid w:val="004C3989"/>
    <w:rsid w:val="004C4D0E"/>
    <w:rsid w:val="004C5A75"/>
    <w:rsid w:val="004C6286"/>
    <w:rsid w:val="004C6B66"/>
    <w:rsid w:val="004D0E69"/>
    <w:rsid w:val="004D2C1F"/>
    <w:rsid w:val="004D2D89"/>
    <w:rsid w:val="004D3510"/>
    <w:rsid w:val="004D3590"/>
    <w:rsid w:val="004D46AE"/>
    <w:rsid w:val="004D4736"/>
    <w:rsid w:val="004D5321"/>
    <w:rsid w:val="004D5337"/>
    <w:rsid w:val="004D5F0E"/>
    <w:rsid w:val="004E0A53"/>
    <w:rsid w:val="004E0E0E"/>
    <w:rsid w:val="004E103C"/>
    <w:rsid w:val="004E2215"/>
    <w:rsid w:val="004E265A"/>
    <w:rsid w:val="004E2F4B"/>
    <w:rsid w:val="004E3B4D"/>
    <w:rsid w:val="004E707B"/>
    <w:rsid w:val="004E746D"/>
    <w:rsid w:val="004E74F3"/>
    <w:rsid w:val="004E7E4D"/>
    <w:rsid w:val="004F15B6"/>
    <w:rsid w:val="004F2EC7"/>
    <w:rsid w:val="004F2FDB"/>
    <w:rsid w:val="004F38EA"/>
    <w:rsid w:val="004F42D1"/>
    <w:rsid w:val="004F598B"/>
    <w:rsid w:val="004F6102"/>
    <w:rsid w:val="004F6B61"/>
    <w:rsid w:val="0050054F"/>
    <w:rsid w:val="005006BC"/>
    <w:rsid w:val="0050395D"/>
    <w:rsid w:val="0050486C"/>
    <w:rsid w:val="0050510B"/>
    <w:rsid w:val="00506548"/>
    <w:rsid w:val="00511EB1"/>
    <w:rsid w:val="005120C7"/>
    <w:rsid w:val="005127CA"/>
    <w:rsid w:val="005143CA"/>
    <w:rsid w:val="00516AE3"/>
    <w:rsid w:val="00521389"/>
    <w:rsid w:val="00521EB4"/>
    <w:rsid w:val="005229C9"/>
    <w:rsid w:val="0052707C"/>
    <w:rsid w:val="00527B45"/>
    <w:rsid w:val="00531075"/>
    <w:rsid w:val="0053171C"/>
    <w:rsid w:val="00531E39"/>
    <w:rsid w:val="00533E70"/>
    <w:rsid w:val="00535627"/>
    <w:rsid w:val="00535943"/>
    <w:rsid w:val="0053779B"/>
    <w:rsid w:val="005378A4"/>
    <w:rsid w:val="005412CF"/>
    <w:rsid w:val="005412E3"/>
    <w:rsid w:val="005417B1"/>
    <w:rsid w:val="005449C4"/>
    <w:rsid w:val="00545617"/>
    <w:rsid w:val="0054658C"/>
    <w:rsid w:val="00546656"/>
    <w:rsid w:val="00546CBC"/>
    <w:rsid w:val="0054703F"/>
    <w:rsid w:val="00547511"/>
    <w:rsid w:val="00551869"/>
    <w:rsid w:val="0055282E"/>
    <w:rsid w:val="00553822"/>
    <w:rsid w:val="005557DF"/>
    <w:rsid w:val="0055601C"/>
    <w:rsid w:val="005612EF"/>
    <w:rsid w:val="00562D71"/>
    <w:rsid w:val="005633DB"/>
    <w:rsid w:val="005636B7"/>
    <w:rsid w:val="00563F34"/>
    <w:rsid w:val="005656AC"/>
    <w:rsid w:val="00565703"/>
    <w:rsid w:val="00565A87"/>
    <w:rsid w:val="00567785"/>
    <w:rsid w:val="005706F0"/>
    <w:rsid w:val="00572D32"/>
    <w:rsid w:val="00576E23"/>
    <w:rsid w:val="00577390"/>
    <w:rsid w:val="00577CF3"/>
    <w:rsid w:val="0058052A"/>
    <w:rsid w:val="00580DDC"/>
    <w:rsid w:val="0058178D"/>
    <w:rsid w:val="00582BA0"/>
    <w:rsid w:val="00584ECF"/>
    <w:rsid w:val="00586834"/>
    <w:rsid w:val="00590453"/>
    <w:rsid w:val="005918E0"/>
    <w:rsid w:val="00592962"/>
    <w:rsid w:val="00593B1A"/>
    <w:rsid w:val="005944F0"/>
    <w:rsid w:val="00595DC2"/>
    <w:rsid w:val="005A021E"/>
    <w:rsid w:val="005A058B"/>
    <w:rsid w:val="005A0628"/>
    <w:rsid w:val="005A3581"/>
    <w:rsid w:val="005A361F"/>
    <w:rsid w:val="005A3854"/>
    <w:rsid w:val="005A4C22"/>
    <w:rsid w:val="005A5D99"/>
    <w:rsid w:val="005A69B8"/>
    <w:rsid w:val="005A796E"/>
    <w:rsid w:val="005A7D4A"/>
    <w:rsid w:val="005A7DA2"/>
    <w:rsid w:val="005A7DC5"/>
    <w:rsid w:val="005A7F23"/>
    <w:rsid w:val="005B0912"/>
    <w:rsid w:val="005B1938"/>
    <w:rsid w:val="005B22F2"/>
    <w:rsid w:val="005B2469"/>
    <w:rsid w:val="005B2D15"/>
    <w:rsid w:val="005B2E04"/>
    <w:rsid w:val="005B33FA"/>
    <w:rsid w:val="005B37C6"/>
    <w:rsid w:val="005B45CF"/>
    <w:rsid w:val="005B6012"/>
    <w:rsid w:val="005B7341"/>
    <w:rsid w:val="005C26EF"/>
    <w:rsid w:val="005C2FD2"/>
    <w:rsid w:val="005C4408"/>
    <w:rsid w:val="005C4CEA"/>
    <w:rsid w:val="005C53E3"/>
    <w:rsid w:val="005C57E2"/>
    <w:rsid w:val="005C5C5C"/>
    <w:rsid w:val="005C736D"/>
    <w:rsid w:val="005C7FA2"/>
    <w:rsid w:val="005D018B"/>
    <w:rsid w:val="005D1606"/>
    <w:rsid w:val="005D1FB1"/>
    <w:rsid w:val="005D2062"/>
    <w:rsid w:val="005D2896"/>
    <w:rsid w:val="005D2BA1"/>
    <w:rsid w:val="005D2C3F"/>
    <w:rsid w:val="005D3730"/>
    <w:rsid w:val="005D37A7"/>
    <w:rsid w:val="005D55FD"/>
    <w:rsid w:val="005D5EF2"/>
    <w:rsid w:val="005D7714"/>
    <w:rsid w:val="005E10EF"/>
    <w:rsid w:val="005E1A52"/>
    <w:rsid w:val="005E200D"/>
    <w:rsid w:val="005E23BD"/>
    <w:rsid w:val="005E25AA"/>
    <w:rsid w:val="005E37E0"/>
    <w:rsid w:val="005E3B0B"/>
    <w:rsid w:val="005E69BD"/>
    <w:rsid w:val="005E743C"/>
    <w:rsid w:val="005E7ABA"/>
    <w:rsid w:val="005F0BC8"/>
    <w:rsid w:val="005F1C98"/>
    <w:rsid w:val="005F209E"/>
    <w:rsid w:val="005F3918"/>
    <w:rsid w:val="005F403A"/>
    <w:rsid w:val="005F4212"/>
    <w:rsid w:val="005F44CF"/>
    <w:rsid w:val="005F45C6"/>
    <w:rsid w:val="005F4E39"/>
    <w:rsid w:val="005F5A93"/>
    <w:rsid w:val="005F5E91"/>
    <w:rsid w:val="005F6C1F"/>
    <w:rsid w:val="006004F6"/>
    <w:rsid w:val="00600C27"/>
    <w:rsid w:val="00601788"/>
    <w:rsid w:val="0060178C"/>
    <w:rsid w:val="00601B17"/>
    <w:rsid w:val="00601C34"/>
    <w:rsid w:val="00602944"/>
    <w:rsid w:val="00604453"/>
    <w:rsid w:val="00604935"/>
    <w:rsid w:val="006053FD"/>
    <w:rsid w:val="00605833"/>
    <w:rsid w:val="00606A41"/>
    <w:rsid w:val="00611F98"/>
    <w:rsid w:val="006141BB"/>
    <w:rsid w:val="006159A9"/>
    <w:rsid w:val="00616035"/>
    <w:rsid w:val="00617594"/>
    <w:rsid w:val="00621A59"/>
    <w:rsid w:val="00621D15"/>
    <w:rsid w:val="00621E63"/>
    <w:rsid w:val="0062233B"/>
    <w:rsid w:val="006224BB"/>
    <w:rsid w:val="006241BE"/>
    <w:rsid w:val="00624D32"/>
    <w:rsid w:val="00624FCB"/>
    <w:rsid w:val="006256A2"/>
    <w:rsid w:val="00627767"/>
    <w:rsid w:val="00630399"/>
    <w:rsid w:val="006304CA"/>
    <w:rsid w:val="0063107E"/>
    <w:rsid w:val="006315D8"/>
    <w:rsid w:val="00631AAA"/>
    <w:rsid w:val="0063244B"/>
    <w:rsid w:val="00633BDF"/>
    <w:rsid w:val="006344E4"/>
    <w:rsid w:val="006348E7"/>
    <w:rsid w:val="00635A15"/>
    <w:rsid w:val="006368C7"/>
    <w:rsid w:val="00636C7F"/>
    <w:rsid w:val="00640BDE"/>
    <w:rsid w:val="00640DDB"/>
    <w:rsid w:val="00641111"/>
    <w:rsid w:val="00641633"/>
    <w:rsid w:val="00641FAF"/>
    <w:rsid w:val="0064282A"/>
    <w:rsid w:val="006434DE"/>
    <w:rsid w:val="00644CD2"/>
    <w:rsid w:val="00645B6D"/>
    <w:rsid w:val="00646B1A"/>
    <w:rsid w:val="00647705"/>
    <w:rsid w:val="00650985"/>
    <w:rsid w:val="006519D6"/>
    <w:rsid w:val="00652620"/>
    <w:rsid w:val="0065286D"/>
    <w:rsid w:val="00652B98"/>
    <w:rsid w:val="0065335A"/>
    <w:rsid w:val="00653BCD"/>
    <w:rsid w:val="00654324"/>
    <w:rsid w:val="006548A9"/>
    <w:rsid w:val="00655A40"/>
    <w:rsid w:val="00660313"/>
    <w:rsid w:val="006604AD"/>
    <w:rsid w:val="00661196"/>
    <w:rsid w:val="0066149F"/>
    <w:rsid w:val="006617C3"/>
    <w:rsid w:val="00661B7C"/>
    <w:rsid w:val="00661CB6"/>
    <w:rsid w:val="0066284D"/>
    <w:rsid w:val="006635AE"/>
    <w:rsid w:val="0066698E"/>
    <w:rsid w:val="006672BF"/>
    <w:rsid w:val="00671586"/>
    <w:rsid w:val="00671E4E"/>
    <w:rsid w:val="00671FEB"/>
    <w:rsid w:val="0067244C"/>
    <w:rsid w:val="00672F00"/>
    <w:rsid w:val="00673B11"/>
    <w:rsid w:val="00673B9E"/>
    <w:rsid w:val="00674584"/>
    <w:rsid w:val="00674B9E"/>
    <w:rsid w:val="00675311"/>
    <w:rsid w:val="006756AA"/>
    <w:rsid w:val="00675722"/>
    <w:rsid w:val="00675E19"/>
    <w:rsid w:val="00677CB7"/>
    <w:rsid w:val="0068019F"/>
    <w:rsid w:val="006804CE"/>
    <w:rsid w:val="00680A0C"/>
    <w:rsid w:val="00681104"/>
    <w:rsid w:val="0068142B"/>
    <w:rsid w:val="006838CC"/>
    <w:rsid w:val="00685888"/>
    <w:rsid w:val="006858B2"/>
    <w:rsid w:val="0069077F"/>
    <w:rsid w:val="006917A5"/>
    <w:rsid w:val="006920E5"/>
    <w:rsid w:val="00692549"/>
    <w:rsid w:val="006939B5"/>
    <w:rsid w:val="006944D7"/>
    <w:rsid w:val="00694BFB"/>
    <w:rsid w:val="006961C0"/>
    <w:rsid w:val="00696C2C"/>
    <w:rsid w:val="00696E6D"/>
    <w:rsid w:val="006972F7"/>
    <w:rsid w:val="0069783A"/>
    <w:rsid w:val="006A0307"/>
    <w:rsid w:val="006A0742"/>
    <w:rsid w:val="006A1A2E"/>
    <w:rsid w:val="006A2F50"/>
    <w:rsid w:val="006A3EEF"/>
    <w:rsid w:val="006A4FC3"/>
    <w:rsid w:val="006A650E"/>
    <w:rsid w:val="006A68FC"/>
    <w:rsid w:val="006A6EC6"/>
    <w:rsid w:val="006B0DEE"/>
    <w:rsid w:val="006B0E5E"/>
    <w:rsid w:val="006B170D"/>
    <w:rsid w:val="006B1C6C"/>
    <w:rsid w:val="006B1F68"/>
    <w:rsid w:val="006B3A8B"/>
    <w:rsid w:val="006B43A5"/>
    <w:rsid w:val="006B5C40"/>
    <w:rsid w:val="006B6380"/>
    <w:rsid w:val="006B6BB4"/>
    <w:rsid w:val="006B70A9"/>
    <w:rsid w:val="006B7E67"/>
    <w:rsid w:val="006C20D1"/>
    <w:rsid w:val="006C2206"/>
    <w:rsid w:val="006C2438"/>
    <w:rsid w:val="006C248D"/>
    <w:rsid w:val="006C4C8E"/>
    <w:rsid w:val="006C72BC"/>
    <w:rsid w:val="006C72EB"/>
    <w:rsid w:val="006D0663"/>
    <w:rsid w:val="006D13C6"/>
    <w:rsid w:val="006D2BD0"/>
    <w:rsid w:val="006D390E"/>
    <w:rsid w:val="006D4A23"/>
    <w:rsid w:val="006D4FAB"/>
    <w:rsid w:val="006D5A9E"/>
    <w:rsid w:val="006E07F4"/>
    <w:rsid w:val="006E0B90"/>
    <w:rsid w:val="006E19B3"/>
    <w:rsid w:val="006E239D"/>
    <w:rsid w:val="006E3067"/>
    <w:rsid w:val="006E3175"/>
    <w:rsid w:val="006E32D1"/>
    <w:rsid w:val="006E588F"/>
    <w:rsid w:val="006E5E0E"/>
    <w:rsid w:val="006E7708"/>
    <w:rsid w:val="006F1CC4"/>
    <w:rsid w:val="006F28FB"/>
    <w:rsid w:val="006F2A0D"/>
    <w:rsid w:val="006F3170"/>
    <w:rsid w:val="006F3C74"/>
    <w:rsid w:val="006F504E"/>
    <w:rsid w:val="006F5BCF"/>
    <w:rsid w:val="006F7282"/>
    <w:rsid w:val="006F797D"/>
    <w:rsid w:val="007006E1"/>
    <w:rsid w:val="007009C4"/>
    <w:rsid w:val="00700F9A"/>
    <w:rsid w:val="00701083"/>
    <w:rsid w:val="00701438"/>
    <w:rsid w:val="007033DE"/>
    <w:rsid w:val="007039D1"/>
    <w:rsid w:val="0070450C"/>
    <w:rsid w:val="00704D70"/>
    <w:rsid w:val="007054AA"/>
    <w:rsid w:val="007061A5"/>
    <w:rsid w:val="007076DB"/>
    <w:rsid w:val="00707A59"/>
    <w:rsid w:val="0071028C"/>
    <w:rsid w:val="00710B02"/>
    <w:rsid w:val="00710D9D"/>
    <w:rsid w:val="00712269"/>
    <w:rsid w:val="007122E5"/>
    <w:rsid w:val="0071517C"/>
    <w:rsid w:val="00716C7D"/>
    <w:rsid w:val="00721318"/>
    <w:rsid w:val="007216AC"/>
    <w:rsid w:val="00721ACA"/>
    <w:rsid w:val="00722D36"/>
    <w:rsid w:val="00723D3A"/>
    <w:rsid w:val="00724B7B"/>
    <w:rsid w:val="00726054"/>
    <w:rsid w:val="0072668A"/>
    <w:rsid w:val="00727392"/>
    <w:rsid w:val="007273EC"/>
    <w:rsid w:val="00727655"/>
    <w:rsid w:val="00732565"/>
    <w:rsid w:val="007329EF"/>
    <w:rsid w:val="007337FA"/>
    <w:rsid w:val="0073586E"/>
    <w:rsid w:val="0073588E"/>
    <w:rsid w:val="00735FA3"/>
    <w:rsid w:val="007373FF"/>
    <w:rsid w:val="007374DC"/>
    <w:rsid w:val="00737E25"/>
    <w:rsid w:val="007407DE"/>
    <w:rsid w:val="00742617"/>
    <w:rsid w:val="00743F38"/>
    <w:rsid w:val="00744796"/>
    <w:rsid w:val="007455E0"/>
    <w:rsid w:val="00745778"/>
    <w:rsid w:val="0074699F"/>
    <w:rsid w:val="007500E9"/>
    <w:rsid w:val="00750100"/>
    <w:rsid w:val="0075199F"/>
    <w:rsid w:val="00751C56"/>
    <w:rsid w:val="00752596"/>
    <w:rsid w:val="00753F05"/>
    <w:rsid w:val="0075436F"/>
    <w:rsid w:val="007548B8"/>
    <w:rsid w:val="00757238"/>
    <w:rsid w:val="007577BA"/>
    <w:rsid w:val="0076004D"/>
    <w:rsid w:val="007616F7"/>
    <w:rsid w:val="00764F47"/>
    <w:rsid w:val="00764FB5"/>
    <w:rsid w:val="007655A5"/>
    <w:rsid w:val="00765C83"/>
    <w:rsid w:val="00766812"/>
    <w:rsid w:val="00767840"/>
    <w:rsid w:val="00767B81"/>
    <w:rsid w:val="00767DD7"/>
    <w:rsid w:val="0077109C"/>
    <w:rsid w:val="00771E8A"/>
    <w:rsid w:val="007727C9"/>
    <w:rsid w:val="00775437"/>
    <w:rsid w:val="00775828"/>
    <w:rsid w:val="00780230"/>
    <w:rsid w:val="00780833"/>
    <w:rsid w:val="007833F0"/>
    <w:rsid w:val="00783797"/>
    <w:rsid w:val="007839CC"/>
    <w:rsid w:val="00784707"/>
    <w:rsid w:val="007857AF"/>
    <w:rsid w:val="00785F35"/>
    <w:rsid w:val="00791A39"/>
    <w:rsid w:val="007937D4"/>
    <w:rsid w:val="00795031"/>
    <w:rsid w:val="00795A1A"/>
    <w:rsid w:val="00795EC9"/>
    <w:rsid w:val="00796C3B"/>
    <w:rsid w:val="007A3580"/>
    <w:rsid w:val="007B0386"/>
    <w:rsid w:val="007B071E"/>
    <w:rsid w:val="007B0F4F"/>
    <w:rsid w:val="007B3075"/>
    <w:rsid w:val="007B4B05"/>
    <w:rsid w:val="007B56CD"/>
    <w:rsid w:val="007B5AE6"/>
    <w:rsid w:val="007B5C2D"/>
    <w:rsid w:val="007B6383"/>
    <w:rsid w:val="007B6D4C"/>
    <w:rsid w:val="007C0798"/>
    <w:rsid w:val="007C24C2"/>
    <w:rsid w:val="007C28D0"/>
    <w:rsid w:val="007C2990"/>
    <w:rsid w:val="007C372F"/>
    <w:rsid w:val="007C48F3"/>
    <w:rsid w:val="007C4BF8"/>
    <w:rsid w:val="007C515E"/>
    <w:rsid w:val="007C51F2"/>
    <w:rsid w:val="007C615A"/>
    <w:rsid w:val="007C6332"/>
    <w:rsid w:val="007C69DA"/>
    <w:rsid w:val="007C79DA"/>
    <w:rsid w:val="007C7A66"/>
    <w:rsid w:val="007C7A8A"/>
    <w:rsid w:val="007D2697"/>
    <w:rsid w:val="007D3809"/>
    <w:rsid w:val="007D4803"/>
    <w:rsid w:val="007D5AB7"/>
    <w:rsid w:val="007D6828"/>
    <w:rsid w:val="007D7081"/>
    <w:rsid w:val="007E01AF"/>
    <w:rsid w:val="007E1A00"/>
    <w:rsid w:val="007E2092"/>
    <w:rsid w:val="007E24EC"/>
    <w:rsid w:val="007E39F6"/>
    <w:rsid w:val="007E702D"/>
    <w:rsid w:val="007E7E4E"/>
    <w:rsid w:val="007F01BC"/>
    <w:rsid w:val="007F1912"/>
    <w:rsid w:val="007F230E"/>
    <w:rsid w:val="007F40CA"/>
    <w:rsid w:val="007F4106"/>
    <w:rsid w:val="007F4476"/>
    <w:rsid w:val="007F5186"/>
    <w:rsid w:val="007F64C0"/>
    <w:rsid w:val="007F71CB"/>
    <w:rsid w:val="007F724B"/>
    <w:rsid w:val="007F7266"/>
    <w:rsid w:val="00804B40"/>
    <w:rsid w:val="008054F0"/>
    <w:rsid w:val="00806BAF"/>
    <w:rsid w:val="00807D97"/>
    <w:rsid w:val="00811ED5"/>
    <w:rsid w:val="00811FEB"/>
    <w:rsid w:val="00812233"/>
    <w:rsid w:val="00812BEB"/>
    <w:rsid w:val="00812F5C"/>
    <w:rsid w:val="00813E39"/>
    <w:rsid w:val="00815767"/>
    <w:rsid w:val="0081665F"/>
    <w:rsid w:val="00816797"/>
    <w:rsid w:val="0082064A"/>
    <w:rsid w:val="00821340"/>
    <w:rsid w:val="00821FF8"/>
    <w:rsid w:val="00822C1A"/>
    <w:rsid w:val="00822FFC"/>
    <w:rsid w:val="00823179"/>
    <w:rsid w:val="008232D0"/>
    <w:rsid w:val="0082363F"/>
    <w:rsid w:val="00824B74"/>
    <w:rsid w:val="00825E62"/>
    <w:rsid w:val="008262B9"/>
    <w:rsid w:val="008263A2"/>
    <w:rsid w:val="00826DDB"/>
    <w:rsid w:val="00826DFA"/>
    <w:rsid w:val="00826E58"/>
    <w:rsid w:val="0083072B"/>
    <w:rsid w:val="00830987"/>
    <w:rsid w:val="00831CCE"/>
    <w:rsid w:val="00832CE9"/>
    <w:rsid w:val="00833013"/>
    <w:rsid w:val="00834ED7"/>
    <w:rsid w:val="008361E1"/>
    <w:rsid w:val="00836D37"/>
    <w:rsid w:val="0084011A"/>
    <w:rsid w:val="00840305"/>
    <w:rsid w:val="00842206"/>
    <w:rsid w:val="00842341"/>
    <w:rsid w:val="00845DCA"/>
    <w:rsid w:val="00845ECF"/>
    <w:rsid w:val="0084606C"/>
    <w:rsid w:val="00846492"/>
    <w:rsid w:val="008469B8"/>
    <w:rsid w:val="00850BA6"/>
    <w:rsid w:val="008522CC"/>
    <w:rsid w:val="008539DA"/>
    <w:rsid w:val="00856D36"/>
    <w:rsid w:val="008603C6"/>
    <w:rsid w:val="00860788"/>
    <w:rsid w:val="00861DD4"/>
    <w:rsid w:val="00862A44"/>
    <w:rsid w:val="00863DBA"/>
    <w:rsid w:val="008656D0"/>
    <w:rsid w:val="00865C2E"/>
    <w:rsid w:val="00866D8D"/>
    <w:rsid w:val="00867598"/>
    <w:rsid w:val="0086764D"/>
    <w:rsid w:val="00867F88"/>
    <w:rsid w:val="00870730"/>
    <w:rsid w:val="00874281"/>
    <w:rsid w:val="00874B96"/>
    <w:rsid w:val="00874EE2"/>
    <w:rsid w:val="00875163"/>
    <w:rsid w:val="00875C8C"/>
    <w:rsid w:val="00875F93"/>
    <w:rsid w:val="00876287"/>
    <w:rsid w:val="0087645B"/>
    <w:rsid w:val="0087655C"/>
    <w:rsid w:val="008778F8"/>
    <w:rsid w:val="00877BED"/>
    <w:rsid w:val="00881913"/>
    <w:rsid w:val="00882243"/>
    <w:rsid w:val="00883595"/>
    <w:rsid w:val="00887365"/>
    <w:rsid w:val="00891363"/>
    <w:rsid w:val="00892936"/>
    <w:rsid w:val="00893B38"/>
    <w:rsid w:val="0089451B"/>
    <w:rsid w:val="00895D17"/>
    <w:rsid w:val="008960FE"/>
    <w:rsid w:val="00896DBA"/>
    <w:rsid w:val="00897D81"/>
    <w:rsid w:val="008A0B85"/>
    <w:rsid w:val="008A1676"/>
    <w:rsid w:val="008A1B59"/>
    <w:rsid w:val="008A378E"/>
    <w:rsid w:val="008A3DFE"/>
    <w:rsid w:val="008A504E"/>
    <w:rsid w:val="008A578F"/>
    <w:rsid w:val="008A622D"/>
    <w:rsid w:val="008A6C6C"/>
    <w:rsid w:val="008B053E"/>
    <w:rsid w:val="008B0CE1"/>
    <w:rsid w:val="008B1B5F"/>
    <w:rsid w:val="008B27E5"/>
    <w:rsid w:val="008B287A"/>
    <w:rsid w:val="008B2A36"/>
    <w:rsid w:val="008B2B15"/>
    <w:rsid w:val="008B375F"/>
    <w:rsid w:val="008B4115"/>
    <w:rsid w:val="008B60BC"/>
    <w:rsid w:val="008B66B9"/>
    <w:rsid w:val="008B692E"/>
    <w:rsid w:val="008B7506"/>
    <w:rsid w:val="008B7945"/>
    <w:rsid w:val="008C086D"/>
    <w:rsid w:val="008C1372"/>
    <w:rsid w:val="008C155D"/>
    <w:rsid w:val="008C2232"/>
    <w:rsid w:val="008C2ABD"/>
    <w:rsid w:val="008C3545"/>
    <w:rsid w:val="008C3569"/>
    <w:rsid w:val="008C39B7"/>
    <w:rsid w:val="008C3D5C"/>
    <w:rsid w:val="008C46E0"/>
    <w:rsid w:val="008C4A63"/>
    <w:rsid w:val="008C5A2D"/>
    <w:rsid w:val="008C5FC0"/>
    <w:rsid w:val="008C6B6D"/>
    <w:rsid w:val="008D037C"/>
    <w:rsid w:val="008D09AD"/>
    <w:rsid w:val="008D0D4D"/>
    <w:rsid w:val="008D0E8C"/>
    <w:rsid w:val="008D11F1"/>
    <w:rsid w:val="008D2DBB"/>
    <w:rsid w:val="008D3171"/>
    <w:rsid w:val="008D5AC1"/>
    <w:rsid w:val="008D65A5"/>
    <w:rsid w:val="008D6C5C"/>
    <w:rsid w:val="008D6CB0"/>
    <w:rsid w:val="008D76B5"/>
    <w:rsid w:val="008E0576"/>
    <w:rsid w:val="008E1158"/>
    <w:rsid w:val="008E11A8"/>
    <w:rsid w:val="008E2654"/>
    <w:rsid w:val="008E3EF0"/>
    <w:rsid w:val="008E4053"/>
    <w:rsid w:val="008E411D"/>
    <w:rsid w:val="008E41A1"/>
    <w:rsid w:val="008E5815"/>
    <w:rsid w:val="008E608A"/>
    <w:rsid w:val="008E6633"/>
    <w:rsid w:val="008F0465"/>
    <w:rsid w:val="008F0A0A"/>
    <w:rsid w:val="008F1548"/>
    <w:rsid w:val="008F193B"/>
    <w:rsid w:val="008F1C18"/>
    <w:rsid w:val="008F1D11"/>
    <w:rsid w:val="008F289F"/>
    <w:rsid w:val="008F333E"/>
    <w:rsid w:val="008F5A62"/>
    <w:rsid w:val="008F633F"/>
    <w:rsid w:val="00900045"/>
    <w:rsid w:val="0090256F"/>
    <w:rsid w:val="00903266"/>
    <w:rsid w:val="009034BB"/>
    <w:rsid w:val="0090507F"/>
    <w:rsid w:val="00905A5E"/>
    <w:rsid w:val="009076B1"/>
    <w:rsid w:val="00907A3E"/>
    <w:rsid w:val="00907C57"/>
    <w:rsid w:val="00907CFE"/>
    <w:rsid w:val="0091093E"/>
    <w:rsid w:val="00910E40"/>
    <w:rsid w:val="0091153B"/>
    <w:rsid w:val="00912760"/>
    <w:rsid w:val="00914C0A"/>
    <w:rsid w:val="00917269"/>
    <w:rsid w:val="00917A48"/>
    <w:rsid w:val="0092014F"/>
    <w:rsid w:val="00920D90"/>
    <w:rsid w:val="00921567"/>
    <w:rsid w:val="00922B88"/>
    <w:rsid w:val="00923C30"/>
    <w:rsid w:val="00923CC2"/>
    <w:rsid w:val="009242F0"/>
    <w:rsid w:val="00924C7A"/>
    <w:rsid w:val="00924C8C"/>
    <w:rsid w:val="00924F14"/>
    <w:rsid w:val="00925AF1"/>
    <w:rsid w:val="0092692A"/>
    <w:rsid w:val="00927546"/>
    <w:rsid w:val="00927560"/>
    <w:rsid w:val="009275C1"/>
    <w:rsid w:val="00927CE3"/>
    <w:rsid w:val="009310AA"/>
    <w:rsid w:val="009328B3"/>
    <w:rsid w:val="009348E8"/>
    <w:rsid w:val="00934E8F"/>
    <w:rsid w:val="0093625B"/>
    <w:rsid w:val="00937468"/>
    <w:rsid w:val="009374D0"/>
    <w:rsid w:val="00937798"/>
    <w:rsid w:val="0094060B"/>
    <w:rsid w:val="00941647"/>
    <w:rsid w:val="0094364A"/>
    <w:rsid w:val="009437C5"/>
    <w:rsid w:val="0094457A"/>
    <w:rsid w:val="00945CE6"/>
    <w:rsid w:val="00945E87"/>
    <w:rsid w:val="009463EE"/>
    <w:rsid w:val="00947F3E"/>
    <w:rsid w:val="0095073A"/>
    <w:rsid w:val="0095192D"/>
    <w:rsid w:val="00952CF7"/>
    <w:rsid w:val="009551AB"/>
    <w:rsid w:val="00955499"/>
    <w:rsid w:val="009554E1"/>
    <w:rsid w:val="00960CED"/>
    <w:rsid w:val="00960F81"/>
    <w:rsid w:val="009619AB"/>
    <w:rsid w:val="00962528"/>
    <w:rsid w:val="00962E81"/>
    <w:rsid w:val="00963886"/>
    <w:rsid w:val="00964AA8"/>
    <w:rsid w:val="00965095"/>
    <w:rsid w:val="009653D4"/>
    <w:rsid w:val="00965F4E"/>
    <w:rsid w:val="00966028"/>
    <w:rsid w:val="0096682A"/>
    <w:rsid w:val="009669C8"/>
    <w:rsid w:val="00967908"/>
    <w:rsid w:val="00970730"/>
    <w:rsid w:val="009709F4"/>
    <w:rsid w:val="00970A63"/>
    <w:rsid w:val="00970F2A"/>
    <w:rsid w:val="00971390"/>
    <w:rsid w:val="009714C8"/>
    <w:rsid w:val="009717E6"/>
    <w:rsid w:val="009719AB"/>
    <w:rsid w:val="0097244B"/>
    <w:rsid w:val="0097367F"/>
    <w:rsid w:val="0097508A"/>
    <w:rsid w:val="009750C7"/>
    <w:rsid w:val="00975534"/>
    <w:rsid w:val="00975963"/>
    <w:rsid w:val="00977F50"/>
    <w:rsid w:val="0098017D"/>
    <w:rsid w:val="00980961"/>
    <w:rsid w:val="00980B27"/>
    <w:rsid w:val="00981D78"/>
    <w:rsid w:val="00981E1F"/>
    <w:rsid w:val="00984085"/>
    <w:rsid w:val="00984376"/>
    <w:rsid w:val="00984406"/>
    <w:rsid w:val="00984AE6"/>
    <w:rsid w:val="009859A6"/>
    <w:rsid w:val="0098667B"/>
    <w:rsid w:val="00986C86"/>
    <w:rsid w:val="00990C41"/>
    <w:rsid w:val="00990DA0"/>
    <w:rsid w:val="00991FAE"/>
    <w:rsid w:val="009927E1"/>
    <w:rsid w:val="00993974"/>
    <w:rsid w:val="0099670D"/>
    <w:rsid w:val="00996772"/>
    <w:rsid w:val="0099730D"/>
    <w:rsid w:val="00997812"/>
    <w:rsid w:val="009A1A4B"/>
    <w:rsid w:val="009A1DD1"/>
    <w:rsid w:val="009A3DEB"/>
    <w:rsid w:val="009A4345"/>
    <w:rsid w:val="009A4FEB"/>
    <w:rsid w:val="009A609D"/>
    <w:rsid w:val="009B0700"/>
    <w:rsid w:val="009B0AF6"/>
    <w:rsid w:val="009B0DCB"/>
    <w:rsid w:val="009B0E59"/>
    <w:rsid w:val="009B1522"/>
    <w:rsid w:val="009B2040"/>
    <w:rsid w:val="009B3E5F"/>
    <w:rsid w:val="009B4734"/>
    <w:rsid w:val="009B499C"/>
    <w:rsid w:val="009B570F"/>
    <w:rsid w:val="009B621A"/>
    <w:rsid w:val="009B7D70"/>
    <w:rsid w:val="009C0DCD"/>
    <w:rsid w:val="009C121B"/>
    <w:rsid w:val="009C2AAF"/>
    <w:rsid w:val="009C33F5"/>
    <w:rsid w:val="009C5185"/>
    <w:rsid w:val="009C6BC5"/>
    <w:rsid w:val="009C74FC"/>
    <w:rsid w:val="009C7BA4"/>
    <w:rsid w:val="009C7D90"/>
    <w:rsid w:val="009D038F"/>
    <w:rsid w:val="009D0E67"/>
    <w:rsid w:val="009D2152"/>
    <w:rsid w:val="009D27CC"/>
    <w:rsid w:val="009D467C"/>
    <w:rsid w:val="009D626B"/>
    <w:rsid w:val="009D6867"/>
    <w:rsid w:val="009D6FB4"/>
    <w:rsid w:val="009D7992"/>
    <w:rsid w:val="009E0D70"/>
    <w:rsid w:val="009E1854"/>
    <w:rsid w:val="009E20B8"/>
    <w:rsid w:val="009E2303"/>
    <w:rsid w:val="009E303D"/>
    <w:rsid w:val="009E341D"/>
    <w:rsid w:val="009E40AC"/>
    <w:rsid w:val="009E43F0"/>
    <w:rsid w:val="009E4531"/>
    <w:rsid w:val="009E4C0A"/>
    <w:rsid w:val="009E535B"/>
    <w:rsid w:val="009E5988"/>
    <w:rsid w:val="009E5CDC"/>
    <w:rsid w:val="009E620D"/>
    <w:rsid w:val="009E6613"/>
    <w:rsid w:val="009F14BF"/>
    <w:rsid w:val="009F1A9B"/>
    <w:rsid w:val="009F2E6A"/>
    <w:rsid w:val="009F52F4"/>
    <w:rsid w:val="009F56C8"/>
    <w:rsid w:val="009F5E5B"/>
    <w:rsid w:val="009F6BD9"/>
    <w:rsid w:val="009F771C"/>
    <w:rsid w:val="009F7A22"/>
    <w:rsid w:val="00A010C4"/>
    <w:rsid w:val="00A044A2"/>
    <w:rsid w:val="00A04561"/>
    <w:rsid w:val="00A06D9C"/>
    <w:rsid w:val="00A0733B"/>
    <w:rsid w:val="00A07D4A"/>
    <w:rsid w:val="00A10E41"/>
    <w:rsid w:val="00A116AF"/>
    <w:rsid w:val="00A12858"/>
    <w:rsid w:val="00A12A0E"/>
    <w:rsid w:val="00A13614"/>
    <w:rsid w:val="00A13746"/>
    <w:rsid w:val="00A15C8F"/>
    <w:rsid w:val="00A164DD"/>
    <w:rsid w:val="00A16E7F"/>
    <w:rsid w:val="00A171E2"/>
    <w:rsid w:val="00A20482"/>
    <w:rsid w:val="00A206A0"/>
    <w:rsid w:val="00A22D7F"/>
    <w:rsid w:val="00A24927"/>
    <w:rsid w:val="00A2517E"/>
    <w:rsid w:val="00A252DF"/>
    <w:rsid w:val="00A25E8B"/>
    <w:rsid w:val="00A2730F"/>
    <w:rsid w:val="00A27468"/>
    <w:rsid w:val="00A27799"/>
    <w:rsid w:val="00A277CC"/>
    <w:rsid w:val="00A31D64"/>
    <w:rsid w:val="00A3213B"/>
    <w:rsid w:val="00A334C9"/>
    <w:rsid w:val="00A33515"/>
    <w:rsid w:val="00A33AA1"/>
    <w:rsid w:val="00A34FB1"/>
    <w:rsid w:val="00A35C6F"/>
    <w:rsid w:val="00A403ED"/>
    <w:rsid w:val="00A40AEB"/>
    <w:rsid w:val="00A410B5"/>
    <w:rsid w:val="00A42B8C"/>
    <w:rsid w:val="00A43CCB"/>
    <w:rsid w:val="00A442A1"/>
    <w:rsid w:val="00A451CC"/>
    <w:rsid w:val="00A45752"/>
    <w:rsid w:val="00A47CEF"/>
    <w:rsid w:val="00A5045D"/>
    <w:rsid w:val="00A5076D"/>
    <w:rsid w:val="00A51B97"/>
    <w:rsid w:val="00A51E60"/>
    <w:rsid w:val="00A52884"/>
    <w:rsid w:val="00A53551"/>
    <w:rsid w:val="00A53588"/>
    <w:rsid w:val="00A54448"/>
    <w:rsid w:val="00A54555"/>
    <w:rsid w:val="00A54B57"/>
    <w:rsid w:val="00A57471"/>
    <w:rsid w:val="00A60F6D"/>
    <w:rsid w:val="00A631EA"/>
    <w:rsid w:val="00A64380"/>
    <w:rsid w:val="00A644AB"/>
    <w:rsid w:val="00A645FA"/>
    <w:rsid w:val="00A65FB3"/>
    <w:rsid w:val="00A673C2"/>
    <w:rsid w:val="00A71D70"/>
    <w:rsid w:val="00A71D9D"/>
    <w:rsid w:val="00A7308C"/>
    <w:rsid w:val="00A7457E"/>
    <w:rsid w:val="00A747A2"/>
    <w:rsid w:val="00A74BCF"/>
    <w:rsid w:val="00A75EF5"/>
    <w:rsid w:val="00A76364"/>
    <w:rsid w:val="00A7693D"/>
    <w:rsid w:val="00A76AE3"/>
    <w:rsid w:val="00A76E42"/>
    <w:rsid w:val="00A7780B"/>
    <w:rsid w:val="00A800F7"/>
    <w:rsid w:val="00A82104"/>
    <w:rsid w:val="00A82C32"/>
    <w:rsid w:val="00A84A6E"/>
    <w:rsid w:val="00A86EE4"/>
    <w:rsid w:val="00A91A54"/>
    <w:rsid w:val="00A936EC"/>
    <w:rsid w:val="00A937CE"/>
    <w:rsid w:val="00A94A21"/>
    <w:rsid w:val="00A94CD9"/>
    <w:rsid w:val="00A953BA"/>
    <w:rsid w:val="00A967F2"/>
    <w:rsid w:val="00AA06E7"/>
    <w:rsid w:val="00AA1715"/>
    <w:rsid w:val="00AA2988"/>
    <w:rsid w:val="00AA46E0"/>
    <w:rsid w:val="00AA5B51"/>
    <w:rsid w:val="00AA6604"/>
    <w:rsid w:val="00AA6BA8"/>
    <w:rsid w:val="00AB1123"/>
    <w:rsid w:val="00AB1B77"/>
    <w:rsid w:val="00AB1D22"/>
    <w:rsid w:val="00AB1DE6"/>
    <w:rsid w:val="00AB23B9"/>
    <w:rsid w:val="00AB24C1"/>
    <w:rsid w:val="00AB2AEA"/>
    <w:rsid w:val="00AB3196"/>
    <w:rsid w:val="00AB328D"/>
    <w:rsid w:val="00AB3D91"/>
    <w:rsid w:val="00AB4CE4"/>
    <w:rsid w:val="00AB594B"/>
    <w:rsid w:val="00AB59AF"/>
    <w:rsid w:val="00AB63E1"/>
    <w:rsid w:val="00AC0021"/>
    <w:rsid w:val="00AC0B6D"/>
    <w:rsid w:val="00AC11EA"/>
    <w:rsid w:val="00AC14D3"/>
    <w:rsid w:val="00AC2008"/>
    <w:rsid w:val="00AC28BD"/>
    <w:rsid w:val="00AC3A48"/>
    <w:rsid w:val="00AC3E1F"/>
    <w:rsid w:val="00AC5293"/>
    <w:rsid w:val="00AC558F"/>
    <w:rsid w:val="00AC5753"/>
    <w:rsid w:val="00AC5FFF"/>
    <w:rsid w:val="00AD0043"/>
    <w:rsid w:val="00AD05A7"/>
    <w:rsid w:val="00AD31D7"/>
    <w:rsid w:val="00AD34DE"/>
    <w:rsid w:val="00AD35E0"/>
    <w:rsid w:val="00AD3846"/>
    <w:rsid w:val="00AD3BD5"/>
    <w:rsid w:val="00AD4738"/>
    <w:rsid w:val="00AD5546"/>
    <w:rsid w:val="00AD5B3D"/>
    <w:rsid w:val="00AD7FE5"/>
    <w:rsid w:val="00AE10EC"/>
    <w:rsid w:val="00AE2E18"/>
    <w:rsid w:val="00AE30F8"/>
    <w:rsid w:val="00AE3B31"/>
    <w:rsid w:val="00AE4F31"/>
    <w:rsid w:val="00AE50C1"/>
    <w:rsid w:val="00AE5F25"/>
    <w:rsid w:val="00AE5F78"/>
    <w:rsid w:val="00AE799A"/>
    <w:rsid w:val="00AE7E58"/>
    <w:rsid w:val="00AF0032"/>
    <w:rsid w:val="00AF042F"/>
    <w:rsid w:val="00AF1133"/>
    <w:rsid w:val="00AF1147"/>
    <w:rsid w:val="00AF14C3"/>
    <w:rsid w:val="00AF1F34"/>
    <w:rsid w:val="00AF3BF8"/>
    <w:rsid w:val="00AF67F4"/>
    <w:rsid w:val="00AF6A30"/>
    <w:rsid w:val="00AF74C4"/>
    <w:rsid w:val="00B01997"/>
    <w:rsid w:val="00B02478"/>
    <w:rsid w:val="00B03052"/>
    <w:rsid w:val="00B03312"/>
    <w:rsid w:val="00B0350A"/>
    <w:rsid w:val="00B0364B"/>
    <w:rsid w:val="00B03997"/>
    <w:rsid w:val="00B03BE7"/>
    <w:rsid w:val="00B0476B"/>
    <w:rsid w:val="00B0491B"/>
    <w:rsid w:val="00B04CE3"/>
    <w:rsid w:val="00B06C09"/>
    <w:rsid w:val="00B07AD3"/>
    <w:rsid w:val="00B07C0C"/>
    <w:rsid w:val="00B07E3C"/>
    <w:rsid w:val="00B10D04"/>
    <w:rsid w:val="00B156C5"/>
    <w:rsid w:val="00B15C3A"/>
    <w:rsid w:val="00B15C69"/>
    <w:rsid w:val="00B20AE6"/>
    <w:rsid w:val="00B21E79"/>
    <w:rsid w:val="00B22BFC"/>
    <w:rsid w:val="00B23091"/>
    <w:rsid w:val="00B233C3"/>
    <w:rsid w:val="00B24E69"/>
    <w:rsid w:val="00B2522F"/>
    <w:rsid w:val="00B25B7B"/>
    <w:rsid w:val="00B25C7A"/>
    <w:rsid w:val="00B26CB4"/>
    <w:rsid w:val="00B26FDA"/>
    <w:rsid w:val="00B3087F"/>
    <w:rsid w:val="00B32127"/>
    <w:rsid w:val="00B322E3"/>
    <w:rsid w:val="00B32533"/>
    <w:rsid w:val="00B32887"/>
    <w:rsid w:val="00B34F5D"/>
    <w:rsid w:val="00B36E6C"/>
    <w:rsid w:val="00B36F44"/>
    <w:rsid w:val="00B4209C"/>
    <w:rsid w:val="00B428E1"/>
    <w:rsid w:val="00B44AE3"/>
    <w:rsid w:val="00B45071"/>
    <w:rsid w:val="00B45439"/>
    <w:rsid w:val="00B46BB0"/>
    <w:rsid w:val="00B502DF"/>
    <w:rsid w:val="00B5090E"/>
    <w:rsid w:val="00B50910"/>
    <w:rsid w:val="00B512EF"/>
    <w:rsid w:val="00B520F1"/>
    <w:rsid w:val="00B529A3"/>
    <w:rsid w:val="00B52D35"/>
    <w:rsid w:val="00B5317B"/>
    <w:rsid w:val="00B532A6"/>
    <w:rsid w:val="00B535EE"/>
    <w:rsid w:val="00B53AED"/>
    <w:rsid w:val="00B54657"/>
    <w:rsid w:val="00B555BD"/>
    <w:rsid w:val="00B57955"/>
    <w:rsid w:val="00B602FA"/>
    <w:rsid w:val="00B61082"/>
    <w:rsid w:val="00B62878"/>
    <w:rsid w:val="00B63A8B"/>
    <w:rsid w:val="00B63E1A"/>
    <w:rsid w:val="00B64131"/>
    <w:rsid w:val="00B64143"/>
    <w:rsid w:val="00B64511"/>
    <w:rsid w:val="00B66373"/>
    <w:rsid w:val="00B7062A"/>
    <w:rsid w:val="00B70750"/>
    <w:rsid w:val="00B71446"/>
    <w:rsid w:val="00B734CF"/>
    <w:rsid w:val="00B73892"/>
    <w:rsid w:val="00B739E8"/>
    <w:rsid w:val="00B73CBC"/>
    <w:rsid w:val="00B753C6"/>
    <w:rsid w:val="00B7566B"/>
    <w:rsid w:val="00B76F9E"/>
    <w:rsid w:val="00B81B08"/>
    <w:rsid w:val="00B8466B"/>
    <w:rsid w:val="00B85724"/>
    <w:rsid w:val="00B86846"/>
    <w:rsid w:val="00B86B1F"/>
    <w:rsid w:val="00B86F79"/>
    <w:rsid w:val="00B87A04"/>
    <w:rsid w:val="00B9057B"/>
    <w:rsid w:val="00B90AA6"/>
    <w:rsid w:val="00B91C82"/>
    <w:rsid w:val="00B91E50"/>
    <w:rsid w:val="00B925B6"/>
    <w:rsid w:val="00B92A45"/>
    <w:rsid w:val="00B92A7F"/>
    <w:rsid w:val="00B934BE"/>
    <w:rsid w:val="00B93C90"/>
    <w:rsid w:val="00B93FDA"/>
    <w:rsid w:val="00B94729"/>
    <w:rsid w:val="00B94883"/>
    <w:rsid w:val="00B94ECC"/>
    <w:rsid w:val="00B962E0"/>
    <w:rsid w:val="00B971C6"/>
    <w:rsid w:val="00B9724F"/>
    <w:rsid w:val="00BA0C98"/>
    <w:rsid w:val="00BA1E3D"/>
    <w:rsid w:val="00BA2785"/>
    <w:rsid w:val="00BA2A1D"/>
    <w:rsid w:val="00BA32C2"/>
    <w:rsid w:val="00BA3F55"/>
    <w:rsid w:val="00BA4E1C"/>
    <w:rsid w:val="00BA5C9A"/>
    <w:rsid w:val="00BA6665"/>
    <w:rsid w:val="00BA6B0B"/>
    <w:rsid w:val="00BA7F85"/>
    <w:rsid w:val="00BB0462"/>
    <w:rsid w:val="00BB1389"/>
    <w:rsid w:val="00BB1B2E"/>
    <w:rsid w:val="00BB1F65"/>
    <w:rsid w:val="00BB3020"/>
    <w:rsid w:val="00BB4F58"/>
    <w:rsid w:val="00BB5E5A"/>
    <w:rsid w:val="00BB69A7"/>
    <w:rsid w:val="00BB71E3"/>
    <w:rsid w:val="00BB799C"/>
    <w:rsid w:val="00BC0845"/>
    <w:rsid w:val="00BC23A4"/>
    <w:rsid w:val="00BC37D6"/>
    <w:rsid w:val="00BC3EC7"/>
    <w:rsid w:val="00BC55E3"/>
    <w:rsid w:val="00BC7337"/>
    <w:rsid w:val="00BC74E1"/>
    <w:rsid w:val="00BC76F1"/>
    <w:rsid w:val="00BD1BFA"/>
    <w:rsid w:val="00BD1E80"/>
    <w:rsid w:val="00BD4132"/>
    <w:rsid w:val="00BD5326"/>
    <w:rsid w:val="00BD571F"/>
    <w:rsid w:val="00BD6344"/>
    <w:rsid w:val="00BD711F"/>
    <w:rsid w:val="00BD7D99"/>
    <w:rsid w:val="00BE0839"/>
    <w:rsid w:val="00BE0922"/>
    <w:rsid w:val="00BE231E"/>
    <w:rsid w:val="00BE3FC6"/>
    <w:rsid w:val="00BE4254"/>
    <w:rsid w:val="00BE48B1"/>
    <w:rsid w:val="00BE5B1A"/>
    <w:rsid w:val="00BE6D74"/>
    <w:rsid w:val="00BE70A1"/>
    <w:rsid w:val="00BE764F"/>
    <w:rsid w:val="00BF1CEA"/>
    <w:rsid w:val="00BF2998"/>
    <w:rsid w:val="00BF329A"/>
    <w:rsid w:val="00BF3E69"/>
    <w:rsid w:val="00BF4053"/>
    <w:rsid w:val="00BF47CA"/>
    <w:rsid w:val="00BF562A"/>
    <w:rsid w:val="00BF684D"/>
    <w:rsid w:val="00BF7667"/>
    <w:rsid w:val="00C00E6F"/>
    <w:rsid w:val="00C012F0"/>
    <w:rsid w:val="00C013E6"/>
    <w:rsid w:val="00C013F6"/>
    <w:rsid w:val="00C01D18"/>
    <w:rsid w:val="00C03CDA"/>
    <w:rsid w:val="00C05D6D"/>
    <w:rsid w:val="00C06A60"/>
    <w:rsid w:val="00C073E4"/>
    <w:rsid w:val="00C074BB"/>
    <w:rsid w:val="00C104C4"/>
    <w:rsid w:val="00C105AB"/>
    <w:rsid w:val="00C10897"/>
    <w:rsid w:val="00C1091F"/>
    <w:rsid w:val="00C1253D"/>
    <w:rsid w:val="00C135D4"/>
    <w:rsid w:val="00C13943"/>
    <w:rsid w:val="00C13D68"/>
    <w:rsid w:val="00C14250"/>
    <w:rsid w:val="00C147C9"/>
    <w:rsid w:val="00C14CBC"/>
    <w:rsid w:val="00C17A47"/>
    <w:rsid w:val="00C20C40"/>
    <w:rsid w:val="00C21626"/>
    <w:rsid w:val="00C217FC"/>
    <w:rsid w:val="00C221D5"/>
    <w:rsid w:val="00C23CC9"/>
    <w:rsid w:val="00C240B3"/>
    <w:rsid w:val="00C252D8"/>
    <w:rsid w:val="00C25E64"/>
    <w:rsid w:val="00C272C7"/>
    <w:rsid w:val="00C3041C"/>
    <w:rsid w:val="00C308B5"/>
    <w:rsid w:val="00C30C14"/>
    <w:rsid w:val="00C31024"/>
    <w:rsid w:val="00C32D50"/>
    <w:rsid w:val="00C33F62"/>
    <w:rsid w:val="00C3427A"/>
    <w:rsid w:val="00C34447"/>
    <w:rsid w:val="00C34ADB"/>
    <w:rsid w:val="00C35829"/>
    <w:rsid w:val="00C3671E"/>
    <w:rsid w:val="00C37737"/>
    <w:rsid w:val="00C40140"/>
    <w:rsid w:val="00C41760"/>
    <w:rsid w:val="00C41765"/>
    <w:rsid w:val="00C4253A"/>
    <w:rsid w:val="00C42EB5"/>
    <w:rsid w:val="00C43C25"/>
    <w:rsid w:val="00C4403B"/>
    <w:rsid w:val="00C44F0E"/>
    <w:rsid w:val="00C51B00"/>
    <w:rsid w:val="00C52504"/>
    <w:rsid w:val="00C52622"/>
    <w:rsid w:val="00C534D9"/>
    <w:rsid w:val="00C535F8"/>
    <w:rsid w:val="00C538D5"/>
    <w:rsid w:val="00C539D6"/>
    <w:rsid w:val="00C55E32"/>
    <w:rsid w:val="00C60975"/>
    <w:rsid w:val="00C612D7"/>
    <w:rsid w:val="00C612E6"/>
    <w:rsid w:val="00C617D2"/>
    <w:rsid w:val="00C61B6E"/>
    <w:rsid w:val="00C61F08"/>
    <w:rsid w:val="00C629E8"/>
    <w:rsid w:val="00C63104"/>
    <w:rsid w:val="00C636D6"/>
    <w:rsid w:val="00C6505F"/>
    <w:rsid w:val="00C65E70"/>
    <w:rsid w:val="00C67477"/>
    <w:rsid w:val="00C67C26"/>
    <w:rsid w:val="00C71210"/>
    <w:rsid w:val="00C72547"/>
    <w:rsid w:val="00C736E7"/>
    <w:rsid w:val="00C73A1B"/>
    <w:rsid w:val="00C75EA1"/>
    <w:rsid w:val="00C76301"/>
    <w:rsid w:val="00C81EB1"/>
    <w:rsid w:val="00C81EC4"/>
    <w:rsid w:val="00C82E1F"/>
    <w:rsid w:val="00C83466"/>
    <w:rsid w:val="00C83644"/>
    <w:rsid w:val="00C837E9"/>
    <w:rsid w:val="00C83DEF"/>
    <w:rsid w:val="00C84BAF"/>
    <w:rsid w:val="00C855A8"/>
    <w:rsid w:val="00C85BFC"/>
    <w:rsid w:val="00C8618A"/>
    <w:rsid w:val="00C86772"/>
    <w:rsid w:val="00C87414"/>
    <w:rsid w:val="00C87E40"/>
    <w:rsid w:val="00C922C9"/>
    <w:rsid w:val="00C9362D"/>
    <w:rsid w:val="00C93952"/>
    <w:rsid w:val="00C94F49"/>
    <w:rsid w:val="00C954BC"/>
    <w:rsid w:val="00C95798"/>
    <w:rsid w:val="00C95D49"/>
    <w:rsid w:val="00C96041"/>
    <w:rsid w:val="00C9640F"/>
    <w:rsid w:val="00C96B61"/>
    <w:rsid w:val="00CA0944"/>
    <w:rsid w:val="00CA0BF7"/>
    <w:rsid w:val="00CA1CD8"/>
    <w:rsid w:val="00CA319C"/>
    <w:rsid w:val="00CA3580"/>
    <w:rsid w:val="00CA5500"/>
    <w:rsid w:val="00CA602E"/>
    <w:rsid w:val="00CA7419"/>
    <w:rsid w:val="00CB02A7"/>
    <w:rsid w:val="00CB05B3"/>
    <w:rsid w:val="00CB0633"/>
    <w:rsid w:val="00CB1590"/>
    <w:rsid w:val="00CB1E61"/>
    <w:rsid w:val="00CB284D"/>
    <w:rsid w:val="00CB5AAE"/>
    <w:rsid w:val="00CB6D74"/>
    <w:rsid w:val="00CB713D"/>
    <w:rsid w:val="00CC20F1"/>
    <w:rsid w:val="00CC4164"/>
    <w:rsid w:val="00CC4C9F"/>
    <w:rsid w:val="00CC5207"/>
    <w:rsid w:val="00CC71CA"/>
    <w:rsid w:val="00CD02DC"/>
    <w:rsid w:val="00CD0918"/>
    <w:rsid w:val="00CD1063"/>
    <w:rsid w:val="00CD1FC2"/>
    <w:rsid w:val="00CD2490"/>
    <w:rsid w:val="00CD39DB"/>
    <w:rsid w:val="00CD410E"/>
    <w:rsid w:val="00CD5680"/>
    <w:rsid w:val="00CD5EB8"/>
    <w:rsid w:val="00CD722C"/>
    <w:rsid w:val="00CD72DA"/>
    <w:rsid w:val="00CE0824"/>
    <w:rsid w:val="00CE6F21"/>
    <w:rsid w:val="00CE740C"/>
    <w:rsid w:val="00CE754A"/>
    <w:rsid w:val="00CE7C95"/>
    <w:rsid w:val="00CE7E34"/>
    <w:rsid w:val="00CF0D6F"/>
    <w:rsid w:val="00CF0E0F"/>
    <w:rsid w:val="00CF283A"/>
    <w:rsid w:val="00CF2B80"/>
    <w:rsid w:val="00CF41B4"/>
    <w:rsid w:val="00CF48E7"/>
    <w:rsid w:val="00CF5B6E"/>
    <w:rsid w:val="00CF6F23"/>
    <w:rsid w:val="00CF723D"/>
    <w:rsid w:val="00CF76B5"/>
    <w:rsid w:val="00D01831"/>
    <w:rsid w:val="00D04CF3"/>
    <w:rsid w:val="00D04D3F"/>
    <w:rsid w:val="00D05CF0"/>
    <w:rsid w:val="00D05FAD"/>
    <w:rsid w:val="00D07195"/>
    <w:rsid w:val="00D10092"/>
    <w:rsid w:val="00D1163A"/>
    <w:rsid w:val="00D11DDD"/>
    <w:rsid w:val="00D15300"/>
    <w:rsid w:val="00D17496"/>
    <w:rsid w:val="00D225F4"/>
    <w:rsid w:val="00D22B97"/>
    <w:rsid w:val="00D23176"/>
    <w:rsid w:val="00D261EC"/>
    <w:rsid w:val="00D26D21"/>
    <w:rsid w:val="00D30156"/>
    <w:rsid w:val="00D3039E"/>
    <w:rsid w:val="00D3063C"/>
    <w:rsid w:val="00D32EF5"/>
    <w:rsid w:val="00D346B8"/>
    <w:rsid w:val="00D34D43"/>
    <w:rsid w:val="00D409E0"/>
    <w:rsid w:val="00D40A85"/>
    <w:rsid w:val="00D41F2E"/>
    <w:rsid w:val="00D456C2"/>
    <w:rsid w:val="00D46335"/>
    <w:rsid w:val="00D46BE0"/>
    <w:rsid w:val="00D47A96"/>
    <w:rsid w:val="00D47E51"/>
    <w:rsid w:val="00D50438"/>
    <w:rsid w:val="00D51BEF"/>
    <w:rsid w:val="00D51E26"/>
    <w:rsid w:val="00D51F89"/>
    <w:rsid w:val="00D52C0E"/>
    <w:rsid w:val="00D54303"/>
    <w:rsid w:val="00D5464B"/>
    <w:rsid w:val="00D56966"/>
    <w:rsid w:val="00D60C8E"/>
    <w:rsid w:val="00D60CF9"/>
    <w:rsid w:val="00D619B2"/>
    <w:rsid w:val="00D61A0B"/>
    <w:rsid w:val="00D62AFF"/>
    <w:rsid w:val="00D63AA9"/>
    <w:rsid w:val="00D63AB5"/>
    <w:rsid w:val="00D63D24"/>
    <w:rsid w:val="00D64552"/>
    <w:rsid w:val="00D653C3"/>
    <w:rsid w:val="00D66956"/>
    <w:rsid w:val="00D71429"/>
    <w:rsid w:val="00D7240F"/>
    <w:rsid w:val="00D7278F"/>
    <w:rsid w:val="00D72CE6"/>
    <w:rsid w:val="00D7350C"/>
    <w:rsid w:val="00D73A02"/>
    <w:rsid w:val="00D74A8E"/>
    <w:rsid w:val="00D75750"/>
    <w:rsid w:val="00D7617A"/>
    <w:rsid w:val="00D769A9"/>
    <w:rsid w:val="00D76C31"/>
    <w:rsid w:val="00D80107"/>
    <w:rsid w:val="00D81AF3"/>
    <w:rsid w:val="00D81EDF"/>
    <w:rsid w:val="00D8353F"/>
    <w:rsid w:val="00D8533E"/>
    <w:rsid w:val="00D857FD"/>
    <w:rsid w:val="00D8735D"/>
    <w:rsid w:val="00D90ECC"/>
    <w:rsid w:val="00D9115D"/>
    <w:rsid w:val="00D91AF7"/>
    <w:rsid w:val="00D91CC9"/>
    <w:rsid w:val="00D935A5"/>
    <w:rsid w:val="00D937D2"/>
    <w:rsid w:val="00D93B2F"/>
    <w:rsid w:val="00D96CB1"/>
    <w:rsid w:val="00D97DEA"/>
    <w:rsid w:val="00DA2AF7"/>
    <w:rsid w:val="00DA3F8F"/>
    <w:rsid w:val="00DA4BA2"/>
    <w:rsid w:val="00DA531A"/>
    <w:rsid w:val="00DA7F45"/>
    <w:rsid w:val="00DB01DB"/>
    <w:rsid w:val="00DB062E"/>
    <w:rsid w:val="00DB1385"/>
    <w:rsid w:val="00DB206C"/>
    <w:rsid w:val="00DB2C28"/>
    <w:rsid w:val="00DB2FC3"/>
    <w:rsid w:val="00DB3590"/>
    <w:rsid w:val="00DB4F44"/>
    <w:rsid w:val="00DB5150"/>
    <w:rsid w:val="00DB5CA2"/>
    <w:rsid w:val="00DB610E"/>
    <w:rsid w:val="00DC3654"/>
    <w:rsid w:val="00DC501B"/>
    <w:rsid w:val="00DC5E7D"/>
    <w:rsid w:val="00DC6064"/>
    <w:rsid w:val="00DC6AC6"/>
    <w:rsid w:val="00DC7276"/>
    <w:rsid w:val="00DC758F"/>
    <w:rsid w:val="00DC7DF1"/>
    <w:rsid w:val="00DD02D9"/>
    <w:rsid w:val="00DD0553"/>
    <w:rsid w:val="00DD249E"/>
    <w:rsid w:val="00DD2719"/>
    <w:rsid w:val="00DD46E9"/>
    <w:rsid w:val="00DD51CF"/>
    <w:rsid w:val="00DD606B"/>
    <w:rsid w:val="00DE2321"/>
    <w:rsid w:val="00DE333A"/>
    <w:rsid w:val="00DE33C5"/>
    <w:rsid w:val="00DE35B0"/>
    <w:rsid w:val="00DE4AC6"/>
    <w:rsid w:val="00DE59C5"/>
    <w:rsid w:val="00DE7354"/>
    <w:rsid w:val="00DF173E"/>
    <w:rsid w:val="00DF180F"/>
    <w:rsid w:val="00DF21EA"/>
    <w:rsid w:val="00DF311B"/>
    <w:rsid w:val="00DF3153"/>
    <w:rsid w:val="00DF3827"/>
    <w:rsid w:val="00DF50F7"/>
    <w:rsid w:val="00DF6118"/>
    <w:rsid w:val="00DF6DDB"/>
    <w:rsid w:val="00DF74C6"/>
    <w:rsid w:val="00E00DDE"/>
    <w:rsid w:val="00E00F6B"/>
    <w:rsid w:val="00E01553"/>
    <w:rsid w:val="00E031E1"/>
    <w:rsid w:val="00E031FD"/>
    <w:rsid w:val="00E0364E"/>
    <w:rsid w:val="00E03B42"/>
    <w:rsid w:val="00E051D0"/>
    <w:rsid w:val="00E056C5"/>
    <w:rsid w:val="00E0669C"/>
    <w:rsid w:val="00E0783E"/>
    <w:rsid w:val="00E10D2C"/>
    <w:rsid w:val="00E1126E"/>
    <w:rsid w:val="00E11B86"/>
    <w:rsid w:val="00E11D12"/>
    <w:rsid w:val="00E11F1F"/>
    <w:rsid w:val="00E12115"/>
    <w:rsid w:val="00E1229D"/>
    <w:rsid w:val="00E13419"/>
    <w:rsid w:val="00E13432"/>
    <w:rsid w:val="00E13762"/>
    <w:rsid w:val="00E145FA"/>
    <w:rsid w:val="00E14E09"/>
    <w:rsid w:val="00E159C6"/>
    <w:rsid w:val="00E15A7B"/>
    <w:rsid w:val="00E16331"/>
    <w:rsid w:val="00E1656E"/>
    <w:rsid w:val="00E168CC"/>
    <w:rsid w:val="00E173D3"/>
    <w:rsid w:val="00E2097F"/>
    <w:rsid w:val="00E21D42"/>
    <w:rsid w:val="00E223B3"/>
    <w:rsid w:val="00E22D07"/>
    <w:rsid w:val="00E23215"/>
    <w:rsid w:val="00E24221"/>
    <w:rsid w:val="00E24B1F"/>
    <w:rsid w:val="00E2549E"/>
    <w:rsid w:val="00E25B1C"/>
    <w:rsid w:val="00E27EF8"/>
    <w:rsid w:val="00E306A3"/>
    <w:rsid w:val="00E334B7"/>
    <w:rsid w:val="00E334E5"/>
    <w:rsid w:val="00E3617C"/>
    <w:rsid w:val="00E36556"/>
    <w:rsid w:val="00E3687A"/>
    <w:rsid w:val="00E36A40"/>
    <w:rsid w:val="00E37853"/>
    <w:rsid w:val="00E414E1"/>
    <w:rsid w:val="00E415BB"/>
    <w:rsid w:val="00E42BEC"/>
    <w:rsid w:val="00E42F5D"/>
    <w:rsid w:val="00E437BB"/>
    <w:rsid w:val="00E446FF"/>
    <w:rsid w:val="00E44DEE"/>
    <w:rsid w:val="00E4593E"/>
    <w:rsid w:val="00E46E0D"/>
    <w:rsid w:val="00E47746"/>
    <w:rsid w:val="00E50940"/>
    <w:rsid w:val="00E51E35"/>
    <w:rsid w:val="00E52B3C"/>
    <w:rsid w:val="00E56E43"/>
    <w:rsid w:val="00E6091E"/>
    <w:rsid w:val="00E617D1"/>
    <w:rsid w:val="00E619B6"/>
    <w:rsid w:val="00E63E35"/>
    <w:rsid w:val="00E64BDA"/>
    <w:rsid w:val="00E65D9D"/>
    <w:rsid w:val="00E65DD4"/>
    <w:rsid w:val="00E670DD"/>
    <w:rsid w:val="00E671B2"/>
    <w:rsid w:val="00E7178F"/>
    <w:rsid w:val="00E7232C"/>
    <w:rsid w:val="00E72A32"/>
    <w:rsid w:val="00E72D9A"/>
    <w:rsid w:val="00E7352C"/>
    <w:rsid w:val="00E73650"/>
    <w:rsid w:val="00E739E0"/>
    <w:rsid w:val="00E745A3"/>
    <w:rsid w:val="00E746E8"/>
    <w:rsid w:val="00E74E3D"/>
    <w:rsid w:val="00E77B8E"/>
    <w:rsid w:val="00E77D42"/>
    <w:rsid w:val="00E804E0"/>
    <w:rsid w:val="00E80C44"/>
    <w:rsid w:val="00E825D9"/>
    <w:rsid w:val="00E835FE"/>
    <w:rsid w:val="00E84451"/>
    <w:rsid w:val="00E846AA"/>
    <w:rsid w:val="00E856C8"/>
    <w:rsid w:val="00E87063"/>
    <w:rsid w:val="00E87200"/>
    <w:rsid w:val="00E87440"/>
    <w:rsid w:val="00E87665"/>
    <w:rsid w:val="00E90205"/>
    <w:rsid w:val="00E90B11"/>
    <w:rsid w:val="00E92459"/>
    <w:rsid w:val="00E92B00"/>
    <w:rsid w:val="00E94A2A"/>
    <w:rsid w:val="00E94DF0"/>
    <w:rsid w:val="00E95AC5"/>
    <w:rsid w:val="00E95FC6"/>
    <w:rsid w:val="00E96BDE"/>
    <w:rsid w:val="00E97C86"/>
    <w:rsid w:val="00EA17AA"/>
    <w:rsid w:val="00EA1A9B"/>
    <w:rsid w:val="00EA1B64"/>
    <w:rsid w:val="00EA1B6C"/>
    <w:rsid w:val="00EA1C4B"/>
    <w:rsid w:val="00EA3B2F"/>
    <w:rsid w:val="00EA424D"/>
    <w:rsid w:val="00EA4881"/>
    <w:rsid w:val="00EA7FB9"/>
    <w:rsid w:val="00EB1F7C"/>
    <w:rsid w:val="00EB2334"/>
    <w:rsid w:val="00EB325C"/>
    <w:rsid w:val="00EB3554"/>
    <w:rsid w:val="00EB3E25"/>
    <w:rsid w:val="00EB42CB"/>
    <w:rsid w:val="00EB54CC"/>
    <w:rsid w:val="00EB60AA"/>
    <w:rsid w:val="00EC00B7"/>
    <w:rsid w:val="00EC1271"/>
    <w:rsid w:val="00EC13B7"/>
    <w:rsid w:val="00EC466E"/>
    <w:rsid w:val="00EC5643"/>
    <w:rsid w:val="00EC5705"/>
    <w:rsid w:val="00EC6D8B"/>
    <w:rsid w:val="00EC7132"/>
    <w:rsid w:val="00EC7AA5"/>
    <w:rsid w:val="00EC7DE6"/>
    <w:rsid w:val="00ED0A40"/>
    <w:rsid w:val="00ED2338"/>
    <w:rsid w:val="00ED2D89"/>
    <w:rsid w:val="00ED3124"/>
    <w:rsid w:val="00ED336D"/>
    <w:rsid w:val="00ED3D04"/>
    <w:rsid w:val="00ED414B"/>
    <w:rsid w:val="00ED5D96"/>
    <w:rsid w:val="00ED5F09"/>
    <w:rsid w:val="00ED7CD8"/>
    <w:rsid w:val="00EE1217"/>
    <w:rsid w:val="00EE1AD3"/>
    <w:rsid w:val="00EE1F08"/>
    <w:rsid w:val="00EE2629"/>
    <w:rsid w:val="00EE265D"/>
    <w:rsid w:val="00EE3F22"/>
    <w:rsid w:val="00EE4577"/>
    <w:rsid w:val="00EE4912"/>
    <w:rsid w:val="00EE4C75"/>
    <w:rsid w:val="00EE4DE5"/>
    <w:rsid w:val="00EE6582"/>
    <w:rsid w:val="00EE663B"/>
    <w:rsid w:val="00EE7176"/>
    <w:rsid w:val="00EF13CC"/>
    <w:rsid w:val="00EF1BBE"/>
    <w:rsid w:val="00EF2D82"/>
    <w:rsid w:val="00EF4AF4"/>
    <w:rsid w:val="00EF4D11"/>
    <w:rsid w:val="00EF50E8"/>
    <w:rsid w:val="00EF79A9"/>
    <w:rsid w:val="00EF7B21"/>
    <w:rsid w:val="00F01E0F"/>
    <w:rsid w:val="00F02ED5"/>
    <w:rsid w:val="00F03076"/>
    <w:rsid w:val="00F0344B"/>
    <w:rsid w:val="00F05B39"/>
    <w:rsid w:val="00F065AC"/>
    <w:rsid w:val="00F0752D"/>
    <w:rsid w:val="00F1080E"/>
    <w:rsid w:val="00F10EBE"/>
    <w:rsid w:val="00F1126F"/>
    <w:rsid w:val="00F1262A"/>
    <w:rsid w:val="00F1401C"/>
    <w:rsid w:val="00F14042"/>
    <w:rsid w:val="00F14766"/>
    <w:rsid w:val="00F15445"/>
    <w:rsid w:val="00F15B3E"/>
    <w:rsid w:val="00F15BB2"/>
    <w:rsid w:val="00F1720F"/>
    <w:rsid w:val="00F1730B"/>
    <w:rsid w:val="00F2044F"/>
    <w:rsid w:val="00F2052F"/>
    <w:rsid w:val="00F21052"/>
    <w:rsid w:val="00F220EA"/>
    <w:rsid w:val="00F22B3A"/>
    <w:rsid w:val="00F22DFB"/>
    <w:rsid w:val="00F22E41"/>
    <w:rsid w:val="00F23503"/>
    <w:rsid w:val="00F239DA"/>
    <w:rsid w:val="00F25F62"/>
    <w:rsid w:val="00F2774E"/>
    <w:rsid w:val="00F27CC7"/>
    <w:rsid w:val="00F321EC"/>
    <w:rsid w:val="00F32429"/>
    <w:rsid w:val="00F33B13"/>
    <w:rsid w:val="00F3436F"/>
    <w:rsid w:val="00F350F0"/>
    <w:rsid w:val="00F356AE"/>
    <w:rsid w:val="00F36C85"/>
    <w:rsid w:val="00F36FA8"/>
    <w:rsid w:val="00F372EC"/>
    <w:rsid w:val="00F37570"/>
    <w:rsid w:val="00F37BF5"/>
    <w:rsid w:val="00F40490"/>
    <w:rsid w:val="00F40BFF"/>
    <w:rsid w:val="00F42A81"/>
    <w:rsid w:val="00F431A5"/>
    <w:rsid w:val="00F450C2"/>
    <w:rsid w:val="00F46530"/>
    <w:rsid w:val="00F501DF"/>
    <w:rsid w:val="00F50223"/>
    <w:rsid w:val="00F5071B"/>
    <w:rsid w:val="00F50FE6"/>
    <w:rsid w:val="00F516C2"/>
    <w:rsid w:val="00F51F47"/>
    <w:rsid w:val="00F52B4F"/>
    <w:rsid w:val="00F62464"/>
    <w:rsid w:val="00F631DB"/>
    <w:rsid w:val="00F661FC"/>
    <w:rsid w:val="00F664A0"/>
    <w:rsid w:val="00F6654B"/>
    <w:rsid w:val="00F67892"/>
    <w:rsid w:val="00F7019F"/>
    <w:rsid w:val="00F7104E"/>
    <w:rsid w:val="00F713D9"/>
    <w:rsid w:val="00F74271"/>
    <w:rsid w:val="00F74A57"/>
    <w:rsid w:val="00F7542D"/>
    <w:rsid w:val="00F755B6"/>
    <w:rsid w:val="00F75AE7"/>
    <w:rsid w:val="00F75C55"/>
    <w:rsid w:val="00F768DF"/>
    <w:rsid w:val="00F77994"/>
    <w:rsid w:val="00F81230"/>
    <w:rsid w:val="00F8288D"/>
    <w:rsid w:val="00F831AC"/>
    <w:rsid w:val="00F86344"/>
    <w:rsid w:val="00F87132"/>
    <w:rsid w:val="00F873F6"/>
    <w:rsid w:val="00F87439"/>
    <w:rsid w:val="00F87C00"/>
    <w:rsid w:val="00F90BDA"/>
    <w:rsid w:val="00F91328"/>
    <w:rsid w:val="00F91F31"/>
    <w:rsid w:val="00F92E20"/>
    <w:rsid w:val="00F944A2"/>
    <w:rsid w:val="00F956F9"/>
    <w:rsid w:val="00F96501"/>
    <w:rsid w:val="00F971C1"/>
    <w:rsid w:val="00F976FB"/>
    <w:rsid w:val="00FA0A31"/>
    <w:rsid w:val="00FA0ECB"/>
    <w:rsid w:val="00FA1131"/>
    <w:rsid w:val="00FA1B6A"/>
    <w:rsid w:val="00FA58D3"/>
    <w:rsid w:val="00FA5912"/>
    <w:rsid w:val="00FA5F08"/>
    <w:rsid w:val="00FB0C15"/>
    <w:rsid w:val="00FB1B0B"/>
    <w:rsid w:val="00FB201E"/>
    <w:rsid w:val="00FB2ABC"/>
    <w:rsid w:val="00FB2E18"/>
    <w:rsid w:val="00FB30EF"/>
    <w:rsid w:val="00FB47C5"/>
    <w:rsid w:val="00FB5760"/>
    <w:rsid w:val="00FB649B"/>
    <w:rsid w:val="00FC052A"/>
    <w:rsid w:val="00FC0711"/>
    <w:rsid w:val="00FC09BE"/>
    <w:rsid w:val="00FC1801"/>
    <w:rsid w:val="00FC25D7"/>
    <w:rsid w:val="00FC2636"/>
    <w:rsid w:val="00FC29CD"/>
    <w:rsid w:val="00FC4F88"/>
    <w:rsid w:val="00FC552F"/>
    <w:rsid w:val="00FC661C"/>
    <w:rsid w:val="00FC6D5A"/>
    <w:rsid w:val="00FD0249"/>
    <w:rsid w:val="00FD07D6"/>
    <w:rsid w:val="00FD0E37"/>
    <w:rsid w:val="00FD2946"/>
    <w:rsid w:val="00FD32AF"/>
    <w:rsid w:val="00FD4D9A"/>
    <w:rsid w:val="00FD4EE7"/>
    <w:rsid w:val="00FD6EE7"/>
    <w:rsid w:val="00FD6FF8"/>
    <w:rsid w:val="00FE07D4"/>
    <w:rsid w:val="00FE0B4D"/>
    <w:rsid w:val="00FE22BA"/>
    <w:rsid w:val="00FE27CC"/>
    <w:rsid w:val="00FE37AB"/>
    <w:rsid w:val="00FE471D"/>
    <w:rsid w:val="00FE5724"/>
    <w:rsid w:val="00FE704F"/>
    <w:rsid w:val="00FE7909"/>
    <w:rsid w:val="00FE7FB9"/>
    <w:rsid w:val="00FF0100"/>
    <w:rsid w:val="00FF1782"/>
    <w:rsid w:val="00FF2D50"/>
    <w:rsid w:val="00FF30C8"/>
    <w:rsid w:val="00FF32D8"/>
    <w:rsid w:val="00FF3B32"/>
    <w:rsid w:val="00FF3C7B"/>
    <w:rsid w:val="00FF4B3F"/>
    <w:rsid w:val="00FF596A"/>
    <w:rsid w:val="02443CE2"/>
    <w:rsid w:val="02B23CEB"/>
    <w:rsid w:val="03852DB2"/>
    <w:rsid w:val="052E657E"/>
    <w:rsid w:val="059750E7"/>
    <w:rsid w:val="05A42E5C"/>
    <w:rsid w:val="05FA0BF5"/>
    <w:rsid w:val="06A87545"/>
    <w:rsid w:val="06CA1EAE"/>
    <w:rsid w:val="06CC4BC7"/>
    <w:rsid w:val="06E26799"/>
    <w:rsid w:val="073D385E"/>
    <w:rsid w:val="074E754B"/>
    <w:rsid w:val="09373D35"/>
    <w:rsid w:val="09EF276F"/>
    <w:rsid w:val="0A487803"/>
    <w:rsid w:val="0A887E0C"/>
    <w:rsid w:val="0B1F57A1"/>
    <w:rsid w:val="0B7E2661"/>
    <w:rsid w:val="0BF36CA1"/>
    <w:rsid w:val="0D991492"/>
    <w:rsid w:val="0DAD6E33"/>
    <w:rsid w:val="0DE67E0F"/>
    <w:rsid w:val="0F4676E4"/>
    <w:rsid w:val="0F7678DB"/>
    <w:rsid w:val="109476ED"/>
    <w:rsid w:val="111303BA"/>
    <w:rsid w:val="118948E8"/>
    <w:rsid w:val="11A01774"/>
    <w:rsid w:val="11E4597A"/>
    <w:rsid w:val="11E9173B"/>
    <w:rsid w:val="12BB395D"/>
    <w:rsid w:val="12E93791"/>
    <w:rsid w:val="16184DC0"/>
    <w:rsid w:val="1656780D"/>
    <w:rsid w:val="16C3493F"/>
    <w:rsid w:val="1700247E"/>
    <w:rsid w:val="177D2A53"/>
    <w:rsid w:val="17A23F2E"/>
    <w:rsid w:val="18B56D3E"/>
    <w:rsid w:val="190B3B49"/>
    <w:rsid w:val="19DC4A29"/>
    <w:rsid w:val="1C974EFB"/>
    <w:rsid w:val="1D00778A"/>
    <w:rsid w:val="1DE36C0C"/>
    <w:rsid w:val="23457340"/>
    <w:rsid w:val="24A76A05"/>
    <w:rsid w:val="25A018D5"/>
    <w:rsid w:val="25E75DBC"/>
    <w:rsid w:val="26717F1C"/>
    <w:rsid w:val="27914283"/>
    <w:rsid w:val="2A182BB1"/>
    <w:rsid w:val="2A9326AA"/>
    <w:rsid w:val="2AB50568"/>
    <w:rsid w:val="2ABD6554"/>
    <w:rsid w:val="2B1B3087"/>
    <w:rsid w:val="2B570289"/>
    <w:rsid w:val="2C7434DF"/>
    <w:rsid w:val="2CAF71E4"/>
    <w:rsid w:val="2E6157C2"/>
    <w:rsid w:val="2EF7F54B"/>
    <w:rsid w:val="2F745945"/>
    <w:rsid w:val="30033712"/>
    <w:rsid w:val="31201937"/>
    <w:rsid w:val="33CD5D48"/>
    <w:rsid w:val="342D6A8A"/>
    <w:rsid w:val="34BC02C5"/>
    <w:rsid w:val="36220611"/>
    <w:rsid w:val="36711294"/>
    <w:rsid w:val="37412070"/>
    <w:rsid w:val="37AF627D"/>
    <w:rsid w:val="37D31EE2"/>
    <w:rsid w:val="38806043"/>
    <w:rsid w:val="389A0D5F"/>
    <w:rsid w:val="38D72731"/>
    <w:rsid w:val="39B16960"/>
    <w:rsid w:val="3CA82B15"/>
    <w:rsid w:val="3CCEDD32"/>
    <w:rsid w:val="3E263CAA"/>
    <w:rsid w:val="3E4D28E9"/>
    <w:rsid w:val="3ECB504D"/>
    <w:rsid w:val="3FA96EBA"/>
    <w:rsid w:val="412F15E1"/>
    <w:rsid w:val="41361118"/>
    <w:rsid w:val="41A47258"/>
    <w:rsid w:val="4567C8A3"/>
    <w:rsid w:val="45B4330A"/>
    <w:rsid w:val="46E84FEA"/>
    <w:rsid w:val="47875C6D"/>
    <w:rsid w:val="47BF6083"/>
    <w:rsid w:val="47E368CC"/>
    <w:rsid w:val="49323BBF"/>
    <w:rsid w:val="4A14583B"/>
    <w:rsid w:val="4A2052C8"/>
    <w:rsid w:val="4A4864BA"/>
    <w:rsid w:val="4A714BFD"/>
    <w:rsid w:val="4B7D57E0"/>
    <w:rsid w:val="4BD51B54"/>
    <w:rsid w:val="4BE771D0"/>
    <w:rsid w:val="4CFC64E2"/>
    <w:rsid w:val="4E2D12D1"/>
    <w:rsid w:val="4E8E18D4"/>
    <w:rsid w:val="525B572C"/>
    <w:rsid w:val="52E61455"/>
    <w:rsid w:val="53E3401D"/>
    <w:rsid w:val="578B0EF6"/>
    <w:rsid w:val="57CB3B2D"/>
    <w:rsid w:val="58FD106E"/>
    <w:rsid w:val="59F8451E"/>
    <w:rsid w:val="5A740CC3"/>
    <w:rsid w:val="5B027C19"/>
    <w:rsid w:val="5B2C02E4"/>
    <w:rsid w:val="5B653060"/>
    <w:rsid w:val="5B9E4DCF"/>
    <w:rsid w:val="5C1F1A13"/>
    <w:rsid w:val="5C89642D"/>
    <w:rsid w:val="5D3B0FC7"/>
    <w:rsid w:val="5EB4591A"/>
    <w:rsid w:val="5EFB33A3"/>
    <w:rsid w:val="5F17379A"/>
    <w:rsid w:val="5F500C76"/>
    <w:rsid w:val="61642F25"/>
    <w:rsid w:val="61A31E59"/>
    <w:rsid w:val="62005C0F"/>
    <w:rsid w:val="62684636"/>
    <w:rsid w:val="626A10BA"/>
    <w:rsid w:val="651B52F3"/>
    <w:rsid w:val="66475270"/>
    <w:rsid w:val="67D458C9"/>
    <w:rsid w:val="68D74434"/>
    <w:rsid w:val="6AC0501E"/>
    <w:rsid w:val="6EB468B0"/>
    <w:rsid w:val="6EEA15E3"/>
    <w:rsid w:val="6F4B186A"/>
    <w:rsid w:val="6FF83EF3"/>
    <w:rsid w:val="70E77D2C"/>
    <w:rsid w:val="71C242A7"/>
    <w:rsid w:val="722B66BD"/>
    <w:rsid w:val="723D323E"/>
    <w:rsid w:val="72867503"/>
    <w:rsid w:val="72C150B9"/>
    <w:rsid w:val="72CE110A"/>
    <w:rsid w:val="72DD007F"/>
    <w:rsid w:val="74151B59"/>
    <w:rsid w:val="77086F75"/>
    <w:rsid w:val="77FFCF09"/>
    <w:rsid w:val="785A2396"/>
    <w:rsid w:val="797D3B33"/>
    <w:rsid w:val="79950783"/>
    <w:rsid w:val="7AFF8BF0"/>
    <w:rsid w:val="7B411E8A"/>
    <w:rsid w:val="7BA43FF8"/>
    <w:rsid w:val="7BFE7842"/>
    <w:rsid w:val="7D716F0F"/>
    <w:rsid w:val="7EBC0435"/>
    <w:rsid w:val="7F540030"/>
    <w:rsid w:val="7F663B1F"/>
    <w:rsid w:val="7FFB28A3"/>
    <w:rsid w:val="ABEDF13C"/>
    <w:rsid w:val="AEFC119E"/>
    <w:rsid w:val="BEDF6EB7"/>
    <w:rsid w:val="BFFF846B"/>
    <w:rsid w:val="C5F348ED"/>
    <w:rsid w:val="CABB9535"/>
    <w:rsid w:val="DBB1BDDC"/>
    <w:rsid w:val="DDBA6000"/>
    <w:rsid w:val="DE18B3BF"/>
    <w:rsid w:val="E7BF2264"/>
    <w:rsid w:val="FBF394C7"/>
    <w:rsid w:val="FF4B532E"/>
    <w:rsid w:val="FF717231"/>
    <w:rsid w:val="FFF7D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1"/>
      <w:szCs w:val="24"/>
      <w:lang w:val="en-US" w:eastAsia="zh-CN" w:bidi="ar-SA"/>
    </w:rPr>
  </w:style>
  <w:style w:type="paragraph" w:styleId="4">
    <w:name w:val="heading 1"/>
    <w:basedOn w:val="1"/>
    <w:next w:val="1"/>
    <w:link w:val="60"/>
    <w:qFormat/>
    <w:uiPriority w:val="0"/>
    <w:pPr>
      <w:outlineLvl w:val="0"/>
    </w:pPr>
    <w:rPr>
      <w:sz w:val="24"/>
    </w:rPr>
  </w:style>
  <w:style w:type="paragraph" w:styleId="5">
    <w:name w:val="heading 2"/>
    <w:basedOn w:val="1"/>
    <w:next w:val="1"/>
    <w:qFormat/>
    <w:uiPriority w:val="0"/>
    <w:pPr>
      <w:outlineLvl w:val="1"/>
    </w:pPr>
  </w:style>
  <w:style w:type="paragraph" w:styleId="6">
    <w:name w:val="heading 3"/>
    <w:basedOn w:val="1"/>
    <w:next w:val="1"/>
    <w:link w:val="61"/>
    <w:qFormat/>
    <w:uiPriority w:val="0"/>
    <w:pPr>
      <w:spacing w:line="480" w:lineRule="auto"/>
      <w:outlineLvl w:val="2"/>
    </w:pPr>
    <w:rPr>
      <w:b/>
      <w:sz w:val="24"/>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9">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0">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1">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2">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Cs w:val="21"/>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styleId="2">
    <w:name w:val="Plain Text"/>
    <w:basedOn w:val="1"/>
    <w:next w:val="3"/>
    <w:link w:val="59"/>
    <w:qFormat/>
    <w:uiPriority w:val="0"/>
    <w:pPr>
      <w:autoSpaceDE/>
      <w:autoSpaceDN/>
      <w:adjustRightInd/>
      <w:jc w:val="both"/>
    </w:pPr>
    <w:rPr>
      <w:rFonts w:hAnsi="Courier New"/>
      <w:kern w:val="2"/>
      <w:szCs w:val="20"/>
    </w:rPr>
  </w:style>
  <w:style w:type="paragraph" w:customStyle="1" w:styleId="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toc 7"/>
    <w:basedOn w:val="1"/>
    <w:next w:val="1"/>
    <w:qFormat/>
    <w:uiPriority w:val="0"/>
    <w:pPr>
      <w:autoSpaceDE/>
      <w:autoSpaceDN/>
      <w:adjustRightInd/>
      <w:ind w:left="2520" w:leftChars="1200"/>
      <w:jc w:val="both"/>
    </w:pPr>
    <w:rPr>
      <w:rFonts w:ascii="Times New Roman"/>
      <w:kern w:val="2"/>
    </w:rPr>
  </w:style>
  <w:style w:type="paragraph" w:styleId="14">
    <w:name w:val="Normal Indent"/>
    <w:basedOn w:val="1"/>
    <w:link w:val="62"/>
    <w:qFormat/>
    <w:uiPriority w:val="0"/>
    <w:pPr>
      <w:widowControl/>
      <w:autoSpaceDE/>
      <w:autoSpaceDN/>
      <w:adjustRightInd/>
      <w:ind w:firstLine="420" w:firstLineChars="200"/>
    </w:pPr>
    <w:rPr>
      <w:rFonts w:ascii="Times New Roman"/>
      <w:sz w:val="20"/>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7"/>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7">
    <w:name w:val="List"/>
    <w:basedOn w:val="1"/>
    <w:qFormat/>
    <w:uiPriority w:val="0"/>
    <w:pPr>
      <w:numPr>
        <w:ilvl w:val="0"/>
        <w:numId w:val="2"/>
      </w:numPr>
      <w:autoSpaceDE/>
      <w:autoSpaceDN/>
      <w:snapToGrid w:val="0"/>
      <w:spacing w:line="300" w:lineRule="auto"/>
      <w:jc w:val="both"/>
    </w:pPr>
    <w:rPr>
      <w:rFonts w:ascii="Times New Roman"/>
      <w:kern w:val="2"/>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napToGrid w:val="0"/>
      <w:spacing w:before="120" w:line="360" w:lineRule="auto"/>
      <w:jc w:val="both"/>
    </w:pPr>
    <w:rPr>
      <w:rFonts w:ascii="Arial" w:hAnsi="Arial"/>
      <w:snapToGrid w:val="0"/>
      <w:color w:val="000000"/>
      <w:szCs w:val="20"/>
    </w:rPr>
  </w:style>
  <w:style w:type="paragraph" w:styleId="20">
    <w:name w:val="annotation text"/>
    <w:basedOn w:val="1"/>
    <w:link w:val="63"/>
    <w:qFormat/>
    <w:uiPriority w:val="0"/>
    <w:pPr>
      <w:widowControl/>
      <w:autoSpaceDE/>
      <w:autoSpaceDN/>
      <w:adjustRightInd/>
    </w:pPr>
    <w:rPr>
      <w:rFonts w:ascii="Times New Roman"/>
      <w:szCs w:val="20"/>
    </w:rPr>
  </w:style>
  <w:style w:type="paragraph" w:styleId="21">
    <w:name w:val="Body Text 3"/>
    <w:basedOn w:val="1"/>
    <w:qFormat/>
    <w:uiPriority w:val="0"/>
    <w:pPr>
      <w:ind w:right="-26"/>
      <w:jc w:val="center"/>
    </w:pPr>
    <w:rPr>
      <w:b/>
      <w:bCs/>
      <w:color w:val="3366FF"/>
      <w:kern w:val="2"/>
      <w:sz w:val="52"/>
      <w:szCs w:val="52"/>
      <w:lang w:val="zh-CN"/>
    </w:rPr>
  </w:style>
  <w:style w:type="paragraph" w:styleId="22">
    <w:name w:val="Body Text"/>
    <w:basedOn w:val="1"/>
    <w:qFormat/>
    <w:uiPriority w:val="0"/>
    <w:pPr>
      <w:ind w:right="-26"/>
      <w:jc w:val="center"/>
    </w:pPr>
    <w:rPr>
      <w:b/>
      <w:bCs/>
      <w:kern w:val="2"/>
      <w:sz w:val="84"/>
      <w:szCs w:val="84"/>
      <w:lang w:val="zh-CN"/>
    </w:rPr>
  </w:style>
  <w:style w:type="paragraph" w:styleId="23">
    <w:name w:val="Body Text Indent"/>
    <w:basedOn w:val="1"/>
    <w:link w:val="64"/>
    <w:qFormat/>
    <w:uiPriority w:val="0"/>
    <w:pPr>
      <w:autoSpaceDE/>
      <w:autoSpaceDN/>
      <w:adjustRightInd/>
      <w:ind w:left="567" w:leftChars="270"/>
      <w:jc w:val="both"/>
    </w:pPr>
    <w:rPr>
      <w:rFonts w:ascii="Times New Roman"/>
      <w:kern w:val="2"/>
      <w:szCs w:val="20"/>
    </w:rPr>
  </w:style>
  <w:style w:type="paragraph" w:styleId="24">
    <w:name w:val="List 2"/>
    <w:basedOn w:val="1"/>
    <w:qFormat/>
    <w:uiPriority w:val="0"/>
    <w:pPr>
      <w:widowControl/>
      <w:autoSpaceDE/>
      <w:autoSpaceDN/>
      <w:adjustRightInd/>
      <w:ind w:left="100" w:leftChars="200" w:hanging="200" w:hangingChars="200"/>
    </w:pPr>
    <w:rPr>
      <w:rFonts w:ascii="Times New Roman"/>
      <w:szCs w:val="20"/>
    </w:rPr>
  </w:style>
  <w:style w:type="paragraph" w:styleId="25">
    <w:name w:val="Block Text"/>
    <w:basedOn w:val="1"/>
    <w:qFormat/>
    <w:uiPriority w:val="0"/>
    <w:pPr>
      <w:spacing w:after="120"/>
      <w:ind w:left="1440" w:leftChars="700" w:right="1440" w:rightChars="700"/>
    </w:pPr>
  </w:style>
  <w:style w:type="paragraph" w:styleId="26">
    <w:name w:val="toc 5"/>
    <w:basedOn w:val="1"/>
    <w:next w:val="1"/>
    <w:qFormat/>
    <w:uiPriority w:val="0"/>
    <w:pPr>
      <w:widowControl/>
      <w:autoSpaceDE/>
      <w:autoSpaceDN/>
      <w:adjustRightInd/>
      <w:ind w:left="1680" w:leftChars="800"/>
    </w:pPr>
    <w:rPr>
      <w:rFonts w:ascii="Times New Roman"/>
      <w:szCs w:val="20"/>
    </w:rPr>
  </w:style>
  <w:style w:type="paragraph" w:styleId="27">
    <w:name w:val="toc 3"/>
    <w:basedOn w:val="1"/>
    <w:next w:val="1"/>
    <w:qFormat/>
    <w:uiPriority w:val="0"/>
    <w:pPr>
      <w:autoSpaceDE/>
      <w:autoSpaceDN/>
      <w:adjustRightInd/>
      <w:ind w:left="840" w:leftChars="400"/>
      <w:jc w:val="both"/>
    </w:pPr>
    <w:rPr>
      <w:rFonts w:ascii="Times New Roman"/>
      <w:kern w:val="2"/>
    </w:rPr>
  </w:style>
  <w:style w:type="paragraph" w:styleId="28">
    <w:name w:val="toc 8"/>
    <w:basedOn w:val="1"/>
    <w:next w:val="1"/>
    <w:qFormat/>
    <w:uiPriority w:val="0"/>
    <w:pPr>
      <w:autoSpaceDE/>
      <w:autoSpaceDN/>
      <w:adjustRightInd/>
      <w:ind w:left="2940" w:leftChars="1400"/>
      <w:jc w:val="both"/>
    </w:pPr>
    <w:rPr>
      <w:rFonts w:ascii="Times New Roman"/>
      <w:kern w:val="2"/>
    </w:rPr>
  </w:style>
  <w:style w:type="paragraph" w:styleId="29">
    <w:name w:val="Date"/>
    <w:basedOn w:val="1"/>
    <w:next w:val="1"/>
    <w:qFormat/>
    <w:uiPriority w:val="0"/>
    <w:pPr>
      <w:ind w:left="100" w:leftChars="2500"/>
    </w:pPr>
    <w:rPr>
      <w:b/>
      <w:bCs/>
      <w:kern w:val="2"/>
      <w:szCs w:val="21"/>
      <w:lang w:val="zh-CN"/>
    </w:rPr>
  </w:style>
  <w:style w:type="paragraph" w:styleId="30">
    <w:name w:val="Body Text Indent 2"/>
    <w:basedOn w:val="1"/>
    <w:qFormat/>
    <w:uiPriority w:val="0"/>
    <w:pPr>
      <w:tabs>
        <w:tab w:val="left" w:pos="8640"/>
      </w:tabs>
      <w:autoSpaceDE/>
      <w:autoSpaceDN/>
      <w:adjustRightInd/>
      <w:ind w:left="1260"/>
      <w:jc w:val="both"/>
    </w:pPr>
    <w:rPr>
      <w:kern w:val="2"/>
      <w:szCs w:val="20"/>
    </w:rPr>
  </w:style>
  <w:style w:type="paragraph" w:styleId="31">
    <w:name w:val="endnote text"/>
    <w:basedOn w:val="1"/>
    <w:link w:val="65"/>
    <w:qFormat/>
    <w:uiPriority w:val="0"/>
    <w:pPr>
      <w:snapToGrid w:val="0"/>
    </w:pPr>
    <w:rPr>
      <w:sz w:val="24"/>
    </w:rPr>
  </w:style>
  <w:style w:type="paragraph" w:styleId="32">
    <w:name w:val="Balloon Text"/>
    <w:basedOn w:val="1"/>
    <w:qFormat/>
    <w:uiPriority w:val="0"/>
    <w:pPr>
      <w:autoSpaceDE/>
      <w:autoSpaceDN/>
      <w:adjustRightInd/>
      <w:jc w:val="both"/>
    </w:pPr>
    <w:rPr>
      <w:rFonts w:ascii="Times New Roman"/>
      <w:kern w:val="2"/>
      <w:sz w:val="18"/>
      <w:szCs w:val="18"/>
    </w:rPr>
  </w:style>
  <w:style w:type="paragraph" w:styleId="33">
    <w:name w:val="footer"/>
    <w:basedOn w:val="1"/>
    <w:link w:val="66"/>
    <w:qFormat/>
    <w:uiPriority w:val="99"/>
    <w:pPr>
      <w:tabs>
        <w:tab w:val="center" w:pos="4153"/>
        <w:tab w:val="right" w:pos="8306"/>
      </w:tabs>
      <w:snapToGrid w:val="0"/>
    </w:pPr>
    <w:rPr>
      <w:sz w:val="18"/>
      <w:szCs w:val="18"/>
    </w:rPr>
  </w:style>
  <w:style w:type="paragraph" w:styleId="34">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tabs>
        <w:tab w:val="right" w:leader="dot" w:pos="9629"/>
      </w:tabs>
      <w:autoSpaceDE/>
      <w:autoSpaceDN/>
      <w:adjustRightInd/>
      <w:spacing w:line="360" w:lineRule="auto"/>
      <w:jc w:val="center"/>
    </w:pPr>
    <w:rPr>
      <w:rFonts w:hAnsi="宋体"/>
      <w:bCs/>
      <w:kern w:val="2"/>
    </w:rPr>
  </w:style>
  <w:style w:type="paragraph" w:styleId="36">
    <w:name w:val="toc 4"/>
    <w:basedOn w:val="1"/>
    <w:next w:val="1"/>
    <w:qFormat/>
    <w:uiPriority w:val="0"/>
    <w:pPr>
      <w:autoSpaceDE/>
      <w:autoSpaceDN/>
      <w:adjustRightInd/>
      <w:ind w:left="1260" w:leftChars="600"/>
      <w:jc w:val="both"/>
    </w:pPr>
    <w:rPr>
      <w:rFonts w:ascii="Times New Roman"/>
      <w:kern w:val="2"/>
    </w:rPr>
  </w:style>
  <w:style w:type="paragraph" w:styleId="37">
    <w:name w:val="index heading"/>
    <w:basedOn w:val="1"/>
    <w:next w:val="38"/>
    <w:qFormat/>
    <w:uiPriority w:val="0"/>
    <w:pPr>
      <w:autoSpaceDE/>
      <w:autoSpaceDN/>
      <w:adjustRightInd/>
      <w:jc w:val="both"/>
    </w:pPr>
    <w:rPr>
      <w:rFonts w:ascii="Times New Roman"/>
      <w:kern w:val="2"/>
      <w:szCs w:val="20"/>
    </w:rPr>
  </w:style>
  <w:style w:type="paragraph" w:styleId="38">
    <w:name w:val="index 1"/>
    <w:basedOn w:val="1"/>
    <w:next w:val="1"/>
    <w:qFormat/>
    <w:uiPriority w:val="0"/>
    <w:pPr>
      <w:autoSpaceDE/>
      <w:autoSpaceDN/>
      <w:adjustRightInd/>
      <w:ind w:left="540" w:leftChars="257"/>
      <w:jc w:val="both"/>
    </w:pPr>
    <w:rPr>
      <w:rFonts w:ascii="Arial" w:hAnsi="Arial" w:cs="Arial"/>
      <w:kern w:val="2"/>
    </w:rPr>
  </w:style>
  <w:style w:type="paragraph" w:styleId="39">
    <w:name w:val="toc 6"/>
    <w:basedOn w:val="1"/>
    <w:next w:val="1"/>
    <w:qFormat/>
    <w:uiPriority w:val="0"/>
    <w:pPr>
      <w:autoSpaceDE/>
      <w:autoSpaceDN/>
      <w:adjustRightInd/>
      <w:ind w:left="2100" w:leftChars="1000"/>
      <w:jc w:val="both"/>
    </w:pPr>
    <w:rPr>
      <w:rFonts w:ascii="Times New Roman"/>
      <w:kern w:val="2"/>
    </w:rPr>
  </w:style>
  <w:style w:type="paragraph" w:styleId="40">
    <w:name w:val="Body Text Indent 3"/>
    <w:basedOn w:val="1"/>
    <w:qFormat/>
    <w:uiPriority w:val="0"/>
    <w:pPr>
      <w:spacing w:line="360" w:lineRule="auto"/>
      <w:ind w:firstLine="480" w:firstLineChars="200"/>
    </w:pPr>
  </w:style>
  <w:style w:type="paragraph" w:styleId="41">
    <w:name w:val="toc 2"/>
    <w:basedOn w:val="1"/>
    <w:next w:val="1"/>
    <w:qFormat/>
    <w:uiPriority w:val="0"/>
    <w:pPr>
      <w:tabs>
        <w:tab w:val="right" w:leader="dot" w:pos="8835"/>
      </w:tabs>
      <w:autoSpaceDE/>
      <w:autoSpaceDN/>
      <w:adjustRightInd/>
      <w:ind w:left="420" w:leftChars="200"/>
      <w:jc w:val="both"/>
    </w:pPr>
    <w:rPr>
      <w:rFonts w:hAnsi="宋体"/>
      <w:kern w:val="2"/>
    </w:rPr>
  </w:style>
  <w:style w:type="paragraph" w:styleId="42">
    <w:name w:val="toc 9"/>
    <w:basedOn w:val="1"/>
    <w:next w:val="1"/>
    <w:qFormat/>
    <w:uiPriority w:val="0"/>
    <w:pPr>
      <w:autoSpaceDE/>
      <w:autoSpaceDN/>
      <w:adjustRightInd/>
      <w:ind w:left="3360" w:leftChars="1600"/>
      <w:jc w:val="both"/>
    </w:pPr>
    <w:rPr>
      <w:rFonts w:ascii="Times New Roman"/>
      <w:kern w:val="2"/>
    </w:rPr>
  </w:style>
  <w:style w:type="paragraph" w:styleId="43">
    <w:name w:val="Body Text 2"/>
    <w:basedOn w:val="1"/>
    <w:qFormat/>
    <w:uiPriority w:val="0"/>
    <w:pPr>
      <w:tabs>
        <w:tab w:val="left" w:pos="0"/>
      </w:tabs>
      <w:autoSpaceDE/>
      <w:autoSpaceDN/>
      <w:adjustRightInd/>
      <w:spacing w:line="400" w:lineRule="atLeast"/>
      <w:jc w:val="both"/>
    </w:pPr>
    <w:rPr>
      <w:rFonts w:ascii="Arial" w:hAnsi="Arial"/>
      <w:color w:val="000000"/>
      <w:kern w:val="2"/>
    </w:rPr>
  </w:style>
  <w:style w:type="paragraph" w:styleId="4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黑体" w:hAnsi="Courier New" w:eastAsia="黑体"/>
      <w:sz w:val="20"/>
      <w:szCs w:val="20"/>
    </w:rPr>
  </w:style>
  <w:style w:type="paragraph" w:styleId="45">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6">
    <w:name w:val="Title"/>
    <w:basedOn w:val="1"/>
    <w:next w:val="1"/>
    <w:qFormat/>
    <w:uiPriority w:val="0"/>
    <w:pPr>
      <w:numPr>
        <w:ilvl w:val="0"/>
        <w:numId w:val="3"/>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7">
    <w:name w:val="annotation subject"/>
    <w:basedOn w:val="20"/>
    <w:next w:val="20"/>
    <w:qFormat/>
    <w:uiPriority w:val="0"/>
    <w:rPr>
      <w:b/>
      <w:bCs/>
    </w:rPr>
  </w:style>
  <w:style w:type="paragraph" w:styleId="48">
    <w:name w:val="Body Text First Indent"/>
    <w:basedOn w:val="22"/>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table" w:styleId="50">
    <w:name w:val="Table Grid"/>
    <w:basedOn w:val="4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qFormat/>
    <w:uiPriority w:val="22"/>
    <w:rPr>
      <w:b/>
      <w:bCs/>
    </w:rPr>
  </w:style>
  <w:style w:type="character" w:styleId="53">
    <w:name w:val="endnote reference"/>
    <w:qFormat/>
    <w:uiPriority w:val="0"/>
    <w:rPr>
      <w:vertAlign w:val="superscript"/>
    </w:rPr>
  </w:style>
  <w:style w:type="character" w:styleId="54">
    <w:name w:val="page number"/>
    <w:basedOn w:val="51"/>
    <w:qFormat/>
    <w:uiPriority w:val="0"/>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0"/>
    <w:rPr>
      <w:color w:val="0000FF"/>
      <w:u w:val="single"/>
    </w:rPr>
  </w:style>
  <w:style w:type="character" w:styleId="58">
    <w:name w:val="annotation reference"/>
    <w:qFormat/>
    <w:uiPriority w:val="0"/>
    <w:rPr>
      <w:sz w:val="21"/>
      <w:szCs w:val="21"/>
    </w:rPr>
  </w:style>
  <w:style w:type="character" w:customStyle="1" w:styleId="59">
    <w:name w:val="纯文本 Char1"/>
    <w:link w:val="2"/>
    <w:qFormat/>
    <w:uiPriority w:val="0"/>
    <w:rPr>
      <w:rFonts w:ascii="宋体" w:hAnsi="Courier New" w:eastAsia="宋体"/>
      <w:kern w:val="2"/>
      <w:sz w:val="21"/>
      <w:lang w:val="en-US" w:eastAsia="zh-CN" w:bidi="ar-SA"/>
    </w:rPr>
  </w:style>
  <w:style w:type="character" w:customStyle="1" w:styleId="60">
    <w:name w:val="标题 1 Char"/>
    <w:link w:val="4"/>
    <w:qFormat/>
    <w:uiPriority w:val="0"/>
    <w:rPr>
      <w:rFonts w:ascii="宋体" w:eastAsia="宋体"/>
      <w:sz w:val="24"/>
      <w:szCs w:val="24"/>
      <w:lang w:val="en-US" w:eastAsia="zh-CN" w:bidi="ar-SA"/>
    </w:rPr>
  </w:style>
  <w:style w:type="character" w:customStyle="1" w:styleId="61">
    <w:name w:val="标题 3 Char"/>
    <w:link w:val="6"/>
    <w:qFormat/>
    <w:uiPriority w:val="0"/>
    <w:rPr>
      <w:rFonts w:ascii="宋体"/>
      <w:b/>
      <w:sz w:val="24"/>
      <w:szCs w:val="24"/>
    </w:rPr>
  </w:style>
  <w:style w:type="character" w:customStyle="1" w:styleId="62">
    <w:name w:val="正文缩进 Char"/>
    <w:link w:val="14"/>
    <w:qFormat/>
    <w:uiPriority w:val="0"/>
    <w:rPr>
      <w:rFonts w:eastAsia="宋体"/>
      <w:lang w:val="en-US" w:eastAsia="zh-CN" w:bidi="ar-SA"/>
    </w:rPr>
  </w:style>
  <w:style w:type="character" w:customStyle="1" w:styleId="63">
    <w:name w:val="批注文字 Char"/>
    <w:link w:val="20"/>
    <w:qFormat/>
    <w:uiPriority w:val="0"/>
    <w:rPr>
      <w:rFonts w:ascii="Times New Roman"/>
      <w:sz w:val="21"/>
    </w:rPr>
  </w:style>
  <w:style w:type="character" w:customStyle="1" w:styleId="64">
    <w:name w:val="正文文本缩进 Char"/>
    <w:link w:val="23"/>
    <w:qFormat/>
    <w:uiPriority w:val="0"/>
    <w:rPr>
      <w:kern w:val="2"/>
      <w:sz w:val="21"/>
    </w:rPr>
  </w:style>
  <w:style w:type="character" w:customStyle="1" w:styleId="65">
    <w:name w:val="尾注文本 Char"/>
    <w:link w:val="31"/>
    <w:qFormat/>
    <w:uiPriority w:val="0"/>
    <w:rPr>
      <w:rFonts w:ascii="宋体"/>
      <w:sz w:val="24"/>
      <w:szCs w:val="24"/>
    </w:rPr>
  </w:style>
  <w:style w:type="character" w:customStyle="1" w:styleId="66">
    <w:name w:val="页脚 Char"/>
    <w:link w:val="33"/>
    <w:qFormat/>
    <w:uiPriority w:val="99"/>
    <w:rPr>
      <w:rFonts w:ascii="宋体"/>
      <w:sz w:val="18"/>
      <w:szCs w:val="18"/>
    </w:rPr>
  </w:style>
  <w:style w:type="character" w:customStyle="1" w:styleId="67">
    <w:name w:val="页眉 Char"/>
    <w:link w:val="34"/>
    <w:qFormat/>
    <w:uiPriority w:val="99"/>
    <w:rPr>
      <w:rFonts w:ascii="宋体"/>
      <w:sz w:val="18"/>
      <w:szCs w:val="18"/>
    </w:rPr>
  </w:style>
  <w:style w:type="character" w:customStyle="1" w:styleId="68">
    <w:name w:val="p141"/>
    <w:qFormat/>
    <w:uiPriority w:val="0"/>
    <w:rPr>
      <w:sz w:val="21"/>
      <w:szCs w:val="21"/>
    </w:rPr>
  </w:style>
  <w:style w:type="character" w:customStyle="1" w:styleId="69">
    <w:name w:val="普通文字 Char Char1"/>
    <w:qFormat/>
    <w:uiPriority w:val="0"/>
    <w:rPr>
      <w:rFonts w:ascii="宋体" w:hAnsi="Courier New" w:eastAsia="宋体"/>
      <w:kern w:val="2"/>
      <w:sz w:val="21"/>
      <w:lang w:val="en-US" w:eastAsia="zh-CN" w:bidi="ar-SA"/>
    </w:rPr>
  </w:style>
  <w:style w:type="character" w:customStyle="1" w:styleId="70">
    <w:name w:val="font31"/>
    <w:qFormat/>
    <w:uiPriority w:val="0"/>
    <w:rPr>
      <w:rFonts w:hint="eastAsia" w:ascii="宋体" w:hAnsi="宋体" w:eastAsia="宋体" w:cs="宋体"/>
      <w:color w:val="000000"/>
      <w:sz w:val="20"/>
      <w:szCs w:val="20"/>
      <w:u w:val="none"/>
    </w:rPr>
  </w:style>
  <w:style w:type="character" w:customStyle="1" w:styleId="71">
    <w:name w:val="纯文本 Char"/>
    <w:qFormat/>
    <w:uiPriority w:val="0"/>
    <w:rPr>
      <w:rFonts w:ascii="宋体" w:hAnsi="Courier New"/>
      <w:kern w:val="2"/>
      <w:sz w:val="21"/>
    </w:rPr>
  </w:style>
  <w:style w:type="character" w:customStyle="1" w:styleId="72">
    <w:name w:val="DAS正文 Char Char"/>
    <w:qFormat/>
    <w:uiPriority w:val="0"/>
    <w:rPr>
      <w:rFonts w:ascii="Verdana" w:hAnsi="Verdana" w:eastAsia="宋体"/>
      <w:kern w:val="2"/>
      <w:sz w:val="21"/>
      <w:szCs w:val="21"/>
      <w:lang w:val="en-US" w:eastAsia="zh-CN" w:bidi="ar-SA"/>
    </w:rPr>
  </w:style>
  <w:style w:type="character" w:customStyle="1" w:styleId="73">
    <w:name w:val="正文缩进2格 Char Char"/>
    <w:link w:val="74"/>
    <w:qFormat/>
    <w:uiPriority w:val="0"/>
    <w:rPr>
      <w:rFonts w:ascii="仿宋_GB2312" w:hAnsi="宋体" w:eastAsia="仿宋_GB2312"/>
      <w:kern w:val="2"/>
      <w:sz w:val="31"/>
      <w:szCs w:val="28"/>
      <w:lang w:val="en-US" w:eastAsia="zh-CN" w:bidi="ar-SA"/>
    </w:rPr>
  </w:style>
  <w:style w:type="paragraph" w:customStyle="1" w:styleId="74">
    <w:name w:val="正文缩进2格"/>
    <w:basedOn w:val="1"/>
    <w:link w:val="73"/>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5">
    <w:name w:val="表格文字 Char"/>
    <w:link w:val="76"/>
    <w:qFormat/>
    <w:locked/>
    <w:uiPriority w:val="0"/>
    <w:rPr>
      <w:bCs/>
      <w:spacing w:val="10"/>
      <w:sz w:val="21"/>
    </w:rPr>
  </w:style>
  <w:style w:type="paragraph" w:customStyle="1" w:styleId="76">
    <w:name w:val="表格文字"/>
    <w:basedOn w:val="1"/>
    <w:link w:val="75"/>
    <w:qFormat/>
    <w:uiPriority w:val="0"/>
    <w:pPr>
      <w:autoSpaceDE/>
      <w:autoSpaceDN/>
      <w:adjustRightInd/>
      <w:spacing w:before="25" w:after="25"/>
    </w:pPr>
    <w:rPr>
      <w:rFonts w:ascii="Times New Roman"/>
      <w:bCs/>
      <w:spacing w:val="10"/>
      <w:szCs w:val="20"/>
    </w:rPr>
  </w:style>
  <w:style w:type="character" w:customStyle="1" w:styleId="77">
    <w:name w:val="正文文本缩进 Char Char"/>
    <w:link w:val="78"/>
    <w:qFormat/>
    <w:uiPriority w:val="0"/>
    <w:rPr>
      <w:rFonts w:eastAsia="宋体"/>
      <w:lang w:bidi="ar-SA"/>
    </w:rPr>
  </w:style>
  <w:style w:type="paragraph" w:customStyle="1" w:styleId="78">
    <w:name w:val="Body Text Indent1"/>
    <w:basedOn w:val="1"/>
    <w:link w:val="77"/>
    <w:qFormat/>
    <w:uiPriority w:val="0"/>
    <w:pPr>
      <w:autoSpaceDE/>
      <w:autoSpaceDN/>
      <w:adjustRightInd/>
      <w:ind w:left="567" w:leftChars="270"/>
      <w:jc w:val="both"/>
    </w:pPr>
    <w:rPr>
      <w:rFonts w:ascii="Times New Roman"/>
      <w:sz w:val="20"/>
      <w:szCs w:val="20"/>
    </w:rPr>
  </w:style>
  <w:style w:type="character" w:customStyle="1" w:styleId="79">
    <w:name w:val="标题 1 Char1"/>
    <w:qFormat/>
    <w:uiPriority w:val="0"/>
    <w:rPr>
      <w:rFonts w:ascii="宋体" w:eastAsia="宋体"/>
      <w:sz w:val="24"/>
      <w:szCs w:val="24"/>
      <w:lang w:val="en-US" w:eastAsia="zh-CN" w:bidi="ar-SA"/>
    </w:rPr>
  </w:style>
  <w:style w:type="character" w:customStyle="1" w:styleId="80">
    <w:name w:val="keyfeatures1"/>
    <w:qFormat/>
    <w:uiPriority w:val="0"/>
    <w:rPr>
      <w:rFonts w:hint="default" w:ascii="Arial" w:hAnsi="Arial" w:cs="Arial"/>
      <w:color w:val="003366"/>
      <w:sz w:val="17"/>
      <w:szCs w:val="17"/>
      <w:u w:val="none"/>
    </w:rPr>
  </w:style>
  <w:style w:type="character" w:customStyle="1" w:styleId="81">
    <w:name w:val="页脚 字符"/>
    <w:qFormat/>
    <w:uiPriority w:val="99"/>
    <w:rPr>
      <w:kern w:val="2"/>
      <w:sz w:val="18"/>
      <w:szCs w:val="18"/>
    </w:rPr>
  </w:style>
  <w:style w:type="character" w:customStyle="1" w:styleId="82">
    <w:name w:val="font11"/>
    <w:qFormat/>
    <w:uiPriority w:val="0"/>
    <w:rPr>
      <w:rFonts w:hint="eastAsia" w:ascii="宋体" w:hAnsi="宋体" w:eastAsia="宋体" w:cs="宋体"/>
      <w:color w:val="000000"/>
      <w:sz w:val="24"/>
      <w:szCs w:val="24"/>
      <w:u w:val="none"/>
    </w:rPr>
  </w:style>
  <w:style w:type="character" w:customStyle="1" w:styleId="83">
    <w:name w:val="question-title2"/>
    <w:qFormat/>
    <w:uiPriority w:val="0"/>
  </w:style>
  <w:style w:type="character" w:customStyle="1" w:styleId="84">
    <w:name w:val="未处理的提及"/>
    <w:unhideWhenUsed/>
    <w:qFormat/>
    <w:uiPriority w:val="99"/>
    <w:rPr>
      <w:color w:val="808080"/>
      <w:shd w:val="clear" w:color="auto" w:fill="E6E6E6"/>
    </w:rPr>
  </w:style>
  <w:style w:type="character" w:customStyle="1" w:styleId="85">
    <w:name w:val="15"/>
    <w:qFormat/>
    <w:uiPriority w:val="0"/>
    <w:rPr>
      <w:rFonts w:hint="default" w:ascii="Times New Roman" w:hAnsi="Times New Roman" w:eastAsia="宋体" w:cs="Times New Roman"/>
      <w:kern w:val="2"/>
      <w:sz w:val="24"/>
      <w:szCs w:val="24"/>
    </w:rPr>
  </w:style>
  <w:style w:type="character" w:customStyle="1" w:styleId="86">
    <w:name w:val="p105"/>
    <w:qFormat/>
    <w:uiPriority w:val="0"/>
  </w:style>
  <w:style w:type="character" w:customStyle="1" w:styleId="87">
    <w:name w:val="ca-4"/>
    <w:qFormat/>
    <w:uiPriority w:val="0"/>
  </w:style>
  <w:style w:type="character" w:customStyle="1" w:styleId="88">
    <w:name w:val="页眉 字符"/>
    <w:qFormat/>
    <w:uiPriority w:val="99"/>
    <w:rPr>
      <w:kern w:val="2"/>
      <w:sz w:val="18"/>
      <w:szCs w:val="18"/>
    </w:rPr>
  </w:style>
  <w:style w:type="character" w:customStyle="1" w:styleId="89">
    <w:name w:val="style61"/>
    <w:qFormat/>
    <w:uiPriority w:val="0"/>
    <w:rPr>
      <w:b/>
      <w:bCs/>
    </w:rPr>
  </w:style>
  <w:style w:type="character" w:customStyle="1" w:styleId="90">
    <w:name w:val="f141"/>
    <w:qFormat/>
    <w:uiPriority w:val="0"/>
    <w:rPr>
      <w:sz w:val="21"/>
      <w:szCs w:val="21"/>
    </w:rPr>
  </w:style>
  <w:style w:type="character" w:customStyle="1" w:styleId="91">
    <w:name w:val="标题 1 Char2"/>
    <w:qFormat/>
    <w:uiPriority w:val="0"/>
    <w:rPr>
      <w:rFonts w:ascii="宋体" w:hAnsi="Times New Roman" w:eastAsia="宋体" w:cs="Times New Roman"/>
      <w:kern w:val="0"/>
      <w:sz w:val="24"/>
      <w:szCs w:val="24"/>
    </w:rPr>
  </w:style>
  <w:style w:type="character" w:customStyle="1" w:styleId="92">
    <w:name w:val="font21"/>
    <w:qFormat/>
    <w:uiPriority w:val="0"/>
    <w:rPr>
      <w:rFonts w:hint="eastAsia" w:ascii="宋体" w:hAnsi="宋体" w:eastAsia="宋体" w:cs="宋体"/>
      <w:color w:val="000000"/>
      <w:sz w:val="20"/>
      <w:szCs w:val="20"/>
      <w:u w:val="none"/>
    </w:rPr>
  </w:style>
  <w:style w:type="paragraph" w:customStyle="1" w:styleId="93">
    <w:name w:val="正文缩进6格"/>
    <w:basedOn w:val="94"/>
    <w:qFormat/>
    <w:uiPriority w:val="0"/>
    <w:pPr>
      <w:ind w:left="1758" w:leftChars="854"/>
    </w:pPr>
  </w:style>
  <w:style w:type="paragraph" w:customStyle="1" w:styleId="94">
    <w:name w:val="正文缩进4格"/>
    <w:basedOn w:val="74"/>
    <w:qFormat/>
    <w:uiPriority w:val="0"/>
    <w:pPr>
      <w:ind w:left="651" w:leftChars="310" w:firstLine="608" w:firstLineChars="196"/>
    </w:pPr>
    <w:rPr>
      <w:color w:val="000000"/>
    </w:rPr>
  </w:style>
  <w:style w:type="paragraph" w:customStyle="1" w:styleId="95">
    <w:name w:val="Char1"/>
    <w:basedOn w:val="18"/>
    <w:qFormat/>
    <w:uiPriority w:val="0"/>
    <w:pPr>
      <w:autoSpaceDE/>
      <w:autoSpaceDN/>
      <w:adjustRightInd/>
      <w:jc w:val="both"/>
    </w:pPr>
    <w:rPr>
      <w:rFonts w:ascii="Tahoma" w:hAnsi="Tahoma"/>
      <w:kern w:val="2"/>
    </w:rPr>
  </w:style>
  <w:style w:type="paragraph" w:customStyle="1" w:styleId="96">
    <w:name w:val="Char1 Char Char Char"/>
    <w:basedOn w:val="1"/>
    <w:qFormat/>
    <w:uiPriority w:val="0"/>
    <w:pPr>
      <w:autoSpaceDE/>
      <w:autoSpaceDN/>
      <w:adjustRightInd/>
      <w:jc w:val="both"/>
    </w:pPr>
    <w:rPr>
      <w:rFonts w:ascii="Tahoma" w:hAnsi="Tahoma"/>
      <w:kern w:val="2"/>
      <w:szCs w:val="20"/>
    </w:rPr>
  </w:style>
  <w:style w:type="paragraph" w:customStyle="1" w:styleId="97">
    <w:name w:val="列表正文"/>
    <w:basedOn w:val="1"/>
    <w:qFormat/>
    <w:uiPriority w:val="0"/>
    <w:pPr>
      <w:autoSpaceDE/>
      <w:autoSpaceDN/>
      <w:snapToGrid w:val="0"/>
      <w:spacing w:line="300" w:lineRule="auto"/>
      <w:ind w:left="200" w:leftChars="200" w:firstLine="200" w:firstLineChars="200"/>
      <w:jc w:val="both"/>
    </w:pPr>
    <w:rPr>
      <w:rFonts w:ascii="Times New Roman"/>
      <w:kern w:val="2"/>
    </w:rPr>
  </w:style>
  <w:style w:type="paragraph" w:customStyle="1" w:styleId="98">
    <w:name w:val="列出段落1"/>
    <w:basedOn w:val="1"/>
    <w:qFormat/>
    <w:uiPriority w:val="34"/>
    <w:pPr>
      <w:autoSpaceDE/>
      <w:autoSpaceDN/>
      <w:adjustRightInd/>
      <w:ind w:firstLine="420" w:firstLineChars="200"/>
      <w:jc w:val="both"/>
    </w:pPr>
    <w:rPr>
      <w:rFonts w:ascii="Times New Roman"/>
      <w:kern w:val="2"/>
    </w:rPr>
  </w:style>
  <w:style w:type="paragraph" w:customStyle="1" w:styleId="99">
    <w:name w:val="Table Paragraph"/>
    <w:basedOn w:val="1"/>
    <w:qFormat/>
    <w:uiPriority w:val="0"/>
    <w:pPr>
      <w:adjustRightInd/>
      <w:ind w:left="107"/>
    </w:pPr>
    <w:rPr>
      <w:rFonts w:hAnsi="宋体" w:cs="宋体"/>
      <w:sz w:val="22"/>
      <w:szCs w:val="22"/>
      <w:lang w:val="zh-CN"/>
    </w:rPr>
  </w:style>
  <w:style w:type="paragraph" w:customStyle="1" w:styleId="100">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01">
    <w:name w:val="DAS正文"/>
    <w:basedOn w:val="1"/>
    <w:qFormat/>
    <w:uiPriority w:val="0"/>
    <w:pPr>
      <w:autoSpaceDE/>
      <w:autoSpaceDN/>
      <w:adjustRightInd/>
      <w:spacing w:line="360" w:lineRule="exact"/>
      <w:jc w:val="both"/>
    </w:pPr>
    <w:rPr>
      <w:rFonts w:ascii="Verdana" w:hAnsi="Verdana"/>
      <w:kern w:val="2"/>
      <w:szCs w:val="21"/>
    </w:rPr>
  </w:style>
  <w:style w:type="paragraph" w:customStyle="1" w:styleId="102">
    <w:name w:val="p16"/>
    <w:basedOn w:val="1"/>
    <w:qFormat/>
    <w:uiPriority w:val="0"/>
    <w:pPr>
      <w:widowControl/>
      <w:autoSpaceDE/>
      <w:autoSpaceDN/>
      <w:adjustRightInd/>
      <w:spacing w:before="100" w:beforeAutospacing="1" w:after="100" w:afterAutospacing="1"/>
    </w:pPr>
    <w:rPr>
      <w:rFonts w:hAnsi="宋体" w:cs="宋体"/>
    </w:rPr>
  </w:style>
  <w:style w:type="paragraph" w:customStyle="1" w:styleId="10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104">
    <w:name w:val="Char1 Char Char Char Char Char Char"/>
    <w:basedOn w:val="1"/>
    <w:qFormat/>
    <w:uiPriority w:val="0"/>
    <w:pPr>
      <w:widowControl/>
      <w:autoSpaceDE/>
      <w:autoSpaceDN/>
      <w:adjustRightInd/>
      <w:spacing w:line="400" w:lineRule="exact"/>
      <w:jc w:val="center"/>
    </w:pPr>
    <w:rPr>
      <w:rFonts w:ascii="Verdana" w:hAnsi="Verdana"/>
      <w:szCs w:val="20"/>
      <w:lang w:eastAsia="en-US"/>
    </w:rPr>
  </w:style>
  <w:style w:type="paragraph" w:customStyle="1" w:styleId="105">
    <w:name w:val="Char Char1 Char Char Char Char Char Char Char Char Char Char Char Char Char Char"/>
    <w:basedOn w:val="1"/>
    <w:qFormat/>
    <w:uiPriority w:val="0"/>
    <w:pPr>
      <w:widowControl/>
      <w:autoSpaceDE/>
      <w:autoSpaceDN/>
      <w:adjustRightInd/>
      <w:spacing w:after="160" w:line="240" w:lineRule="exact"/>
    </w:pPr>
    <w:rPr>
      <w:rFonts w:ascii="Verdana" w:hAnsi="Verdana"/>
      <w:sz w:val="20"/>
      <w:szCs w:val="20"/>
      <w:lang w:eastAsia="en-US"/>
    </w:rPr>
  </w:style>
  <w:style w:type="paragraph" w:customStyle="1" w:styleId="106">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07">
    <w:name w:val="xl29"/>
    <w:basedOn w:val="1"/>
    <w:qFormat/>
    <w:uiPriority w:val="0"/>
    <w:pPr>
      <w:widowControl/>
      <w:autoSpaceDE/>
      <w:autoSpaceDN/>
      <w:adjustRightInd/>
      <w:spacing w:before="100" w:beforeAutospacing="1" w:after="100" w:afterAutospacing="1"/>
      <w:jc w:val="center"/>
    </w:pPr>
    <w:rPr>
      <w:rFonts w:hAnsi="宋体"/>
      <w:sz w:val="28"/>
      <w:szCs w:val="28"/>
    </w:rPr>
  </w:style>
  <w:style w:type="paragraph" w:customStyle="1" w:styleId="108">
    <w:name w:val="Bullet"/>
    <w:basedOn w:val="1"/>
    <w:qFormat/>
    <w:uiPriority w:val="0"/>
    <w:pPr>
      <w:numPr>
        <w:ilvl w:val="0"/>
        <w:numId w:val="4"/>
      </w:numPr>
      <w:autoSpaceDE/>
      <w:autoSpaceDN/>
      <w:adjustRightInd/>
      <w:spacing w:line="360" w:lineRule="exact"/>
      <w:jc w:val="both"/>
    </w:pPr>
    <w:rPr>
      <w:rFonts w:ascii="Times New Roman"/>
      <w:kern w:val="2"/>
      <w:szCs w:val="20"/>
    </w:rPr>
  </w:style>
  <w:style w:type="paragraph" w:customStyle="1" w:styleId="109">
    <w:name w:val="font5"/>
    <w:basedOn w:val="1"/>
    <w:qFormat/>
    <w:uiPriority w:val="0"/>
    <w:pPr>
      <w:widowControl/>
      <w:autoSpaceDE/>
      <w:autoSpaceDN/>
      <w:adjustRightInd/>
      <w:spacing w:before="100" w:beforeAutospacing="1" w:after="100" w:afterAutospacing="1"/>
    </w:pPr>
    <w:rPr>
      <w:rFonts w:hAnsi="宋体" w:cs="宋体"/>
      <w:sz w:val="18"/>
      <w:szCs w:val="18"/>
    </w:rPr>
  </w:style>
  <w:style w:type="paragraph" w:customStyle="1" w:styleId="110">
    <w:name w:val="列出段落2"/>
    <w:basedOn w:val="1"/>
    <w:qFormat/>
    <w:uiPriority w:val="0"/>
    <w:pPr>
      <w:ind w:firstLine="420" w:firstLineChars="200"/>
    </w:pPr>
    <w:rPr>
      <w:rFonts w:ascii="Calibri" w:hAnsi="Calibri"/>
      <w:szCs w:val="22"/>
    </w:rPr>
  </w:style>
  <w:style w:type="paragraph" w:customStyle="1" w:styleId="111">
    <w:name w:val="样式 标题 3Level 3 HeadH3Heading 3 - oldh3sect1.2.3Head33l3..."/>
    <w:basedOn w:val="6"/>
    <w:qFormat/>
    <w:uiPriority w:val="0"/>
    <w:pPr>
      <w:tabs>
        <w:tab w:val="left" w:pos="720"/>
      </w:tabs>
      <w:autoSpaceDE/>
      <w:autoSpaceDN/>
      <w:adjustRightInd/>
      <w:spacing w:line="360" w:lineRule="auto"/>
      <w:ind w:left="720" w:hanging="720"/>
      <w:jc w:val="both"/>
    </w:pPr>
    <w:rPr>
      <w:rFonts w:ascii="Times New Roman" w:cs="宋体"/>
      <w:kern w:val="2"/>
      <w:sz w:val="21"/>
      <w:szCs w:val="20"/>
    </w:rPr>
  </w:style>
  <w:style w:type="paragraph" w:customStyle="1" w:styleId="112">
    <w:name w:val="正文无缩进"/>
    <w:basedOn w:val="74"/>
    <w:qFormat/>
    <w:uiPriority w:val="0"/>
    <w:pPr>
      <w:ind w:firstLine="0" w:firstLineChars="0"/>
    </w:pPr>
  </w:style>
  <w:style w:type="paragraph" w:customStyle="1" w:styleId="113">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114">
    <w:name w:val="投标文件格式"/>
    <w:basedOn w:val="2"/>
    <w:qFormat/>
    <w:uiPriority w:val="0"/>
    <w:pPr>
      <w:jc w:val="center"/>
    </w:pPr>
    <w:rPr>
      <w:rFonts w:hAnsi="Times New Roman"/>
      <w:b/>
    </w:rPr>
  </w:style>
  <w:style w:type="paragraph" w:customStyle="1" w:styleId="115">
    <w:name w:val="技术响应2"/>
    <w:basedOn w:val="1"/>
    <w:qFormat/>
    <w:uiPriority w:val="0"/>
    <w:pPr>
      <w:numPr>
        <w:ilvl w:val="0"/>
        <w:numId w:val="5"/>
      </w:numPr>
      <w:autoSpaceDE/>
      <w:autoSpaceDN/>
      <w:adjustRightInd/>
      <w:jc w:val="both"/>
    </w:pPr>
    <w:rPr>
      <w:rFonts w:hAnsi="宋体"/>
      <w:b/>
      <w:bCs/>
      <w:kern w:val="2"/>
      <w:szCs w:val="20"/>
    </w:rPr>
  </w:style>
  <w:style w:type="paragraph" w:customStyle="1" w:styleId="116">
    <w:name w:val="标题4"/>
    <w:basedOn w:val="74"/>
    <w:qFormat/>
    <w:uiPriority w:val="0"/>
    <w:pPr>
      <w:spacing w:line="540" w:lineRule="exact"/>
      <w:ind w:firstLine="0" w:firstLineChars="0"/>
    </w:pPr>
    <w:rPr>
      <w:rFonts w:hAnsi="Times New Roman"/>
      <w:szCs w:val="24"/>
    </w:rPr>
  </w:style>
  <w:style w:type="paragraph" w:customStyle="1" w:styleId="117">
    <w:name w:val="Char Char Char1 Char Char Char Char Char Char Char"/>
    <w:basedOn w:val="1"/>
    <w:qFormat/>
    <w:uiPriority w:val="0"/>
    <w:pPr>
      <w:widowControl/>
      <w:autoSpaceDE/>
      <w:autoSpaceDN/>
      <w:adjustRightInd/>
      <w:spacing w:after="160" w:line="240" w:lineRule="exact"/>
    </w:pPr>
    <w:rPr>
      <w:rFonts w:ascii="Verdana" w:hAnsi="Verdana"/>
      <w:szCs w:val="20"/>
      <w:lang w:eastAsia="en-US"/>
    </w:rPr>
  </w:style>
  <w:style w:type="paragraph" w:customStyle="1" w:styleId="118">
    <w:name w:val="Standard o abs"/>
    <w:basedOn w:val="1"/>
    <w:qFormat/>
    <w:uiPriority w:val="0"/>
    <w:pPr>
      <w:tabs>
        <w:tab w:val="left" w:pos="2835"/>
        <w:tab w:val="left" w:pos="3119"/>
        <w:tab w:val="left" w:pos="3402"/>
        <w:tab w:val="left" w:pos="3686"/>
        <w:tab w:val="left" w:pos="3969"/>
        <w:tab w:val="left" w:pos="4253"/>
      </w:tabs>
      <w:autoSpaceDE/>
      <w:autoSpaceDN/>
      <w:adjustRightInd/>
      <w:jc w:val="both"/>
    </w:pPr>
    <w:rPr>
      <w:rFonts w:ascii="Times New Roman"/>
      <w:kern w:val="2"/>
    </w:rPr>
  </w:style>
  <w:style w:type="paragraph" w:customStyle="1" w:styleId="119">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20">
    <w:name w:val="Char"/>
    <w:basedOn w:val="1"/>
    <w:qFormat/>
    <w:uiPriority w:val="0"/>
    <w:pPr>
      <w:widowControl/>
      <w:autoSpaceDE/>
      <w:autoSpaceDN/>
      <w:adjustRightInd/>
      <w:spacing w:line="400" w:lineRule="exact"/>
      <w:jc w:val="center"/>
    </w:pPr>
    <w:rPr>
      <w:rFonts w:ascii="Times New Roman"/>
      <w:szCs w:val="20"/>
    </w:rPr>
  </w:style>
  <w:style w:type="paragraph" w:customStyle="1" w:styleId="121">
    <w:name w:val="Char Char Char Char1"/>
    <w:basedOn w:val="5"/>
    <w:qFormat/>
    <w:uiPriority w:val="0"/>
    <w:pPr>
      <w:keepNext/>
      <w:keepLines/>
      <w:pageBreakBefore/>
      <w:widowControl/>
      <w:numPr>
        <w:ilvl w:val="1"/>
        <w:numId w:val="6"/>
      </w:numPr>
      <w:autoSpaceDE/>
      <w:autoSpaceDN/>
      <w:adjustRightInd/>
      <w:spacing w:before="180" w:after="160" w:line="240" w:lineRule="exact"/>
    </w:pPr>
    <w:rPr>
      <w:rFonts w:ascii="Verdana" w:hAnsi="Verdana" w:eastAsia="黑体"/>
      <w:bCs/>
      <w:sz w:val="32"/>
      <w:szCs w:val="32"/>
      <w:lang w:eastAsia="en-US"/>
    </w:rPr>
  </w:style>
  <w:style w:type="paragraph" w:customStyle="1" w:styleId="122">
    <w:name w:val="p0"/>
    <w:basedOn w:val="1"/>
    <w:qFormat/>
    <w:uiPriority w:val="0"/>
    <w:pPr>
      <w:widowControl/>
      <w:autoSpaceDE/>
      <w:autoSpaceDN/>
      <w:adjustRightInd/>
      <w:spacing w:line="360" w:lineRule="auto"/>
      <w:ind w:firstLine="425"/>
      <w:jc w:val="both"/>
    </w:pPr>
    <w:rPr>
      <w:rFonts w:hint="eastAsia" w:ascii="Times New Roman"/>
      <w:szCs w:val="21"/>
    </w:rPr>
  </w:style>
  <w:style w:type="paragraph" w:customStyle="1" w:styleId="123">
    <w:name w:val="List Paragraph1"/>
    <w:basedOn w:val="1"/>
    <w:qFormat/>
    <w:uiPriority w:val="0"/>
    <w:pPr>
      <w:autoSpaceDE/>
      <w:autoSpaceDN/>
      <w:adjustRightInd/>
      <w:ind w:firstLine="420" w:firstLineChars="200"/>
      <w:jc w:val="both"/>
    </w:pPr>
    <w:rPr>
      <w:rFonts w:ascii="Calibri" w:hAnsi="Calibri"/>
      <w:kern w:val="2"/>
      <w:szCs w:val="22"/>
    </w:rPr>
  </w:style>
  <w:style w:type="paragraph" w:customStyle="1" w:styleId="124">
    <w:name w:val="保留正文"/>
    <w:basedOn w:val="2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25">
    <w:name w:val="List Paragraph2"/>
    <w:basedOn w:val="1"/>
    <w:qFormat/>
    <w:uiPriority w:val="34"/>
    <w:pPr>
      <w:autoSpaceDE/>
      <w:autoSpaceDN/>
      <w:adjustRightInd/>
      <w:ind w:firstLine="420" w:firstLineChars="200"/>
      <w:jc w:val="both"/>
    </w:pPr>
    <w:rPr>
      <w:rFonts w:ascii="Calibri" w:hAnsi="Calibri"/>
      <w:kern w:val="2"/>
      <w:szCs w:val="22"/>
    </w:rPr>
  </w:style>
  <w:style w:type="paragraph" w:customStyle="1" w:styleId="126">
    <w:name w:val="标题 3.5"/>
    <w:basedOn w:val="6"/>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27">
    <w:name w:val="中等深浅底纹 1 - 强调文字颜色 11"/>
    <w:qFormat/>
    <w:uiPriority w:val="1"/>
    <w:rPr>
      <w:rFonts w:ascii="Calibri" w:hAnsi="Calibri" w:eastAsia="宋体" w:cs="Times New Roman"/>
      <w:sz w:val="22"/>
      <w:szCs w:val="22"/>
      <w:lang w:val="en-US" w:eastAsia="zh-CN" w:bidi="ar-SA"/>
    </w:rPr>
  </w:style>
  <w:style w:type="paragraph" w:customStyle="1" w:styleId="128">
    <w:name w:val="标题 3.1"/>
    <w:basedOn w:val="6"/>
    <w:qFormat/>
    <w:uiPriority w:val="0"/>
    <w:pPr>
      <w:keepNext/>
      <w:keepLines/>
      <w:tabs>
        <w:tab w:val="left" w:pos="1440"/>
        <w:tab w:val="left" w:pos="1620"/>
      </w:tabs>
      <w:autoSpaceDE/>
      <w:autoSpaceDN/>
      <w:adjustRightInd/>
      <w:spacing w:before="260" w:after="260" w:line="600" w:lineRule="exact"/>
      <w:jc w:val="both"/>
    </w:pPr>
    <w:rPr>
      <w:rFonts w:hAnsi="宋体"/>
      <w:b w:val="0"/>
      <w:bCs/>
      <w:kern w:val="2"/>
      <w:sz w:val="32"/>
      <w:szCs w:val="32"/>
    </w:rPr>
  </w:style>
  <w:style w:type="paragraph" w:customStyle="1" w:styleId="129">
    <w:name w:val="进度表"/>
    <w:basedOn w:val="14"/>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0">
    <w:name w:val="题注4"/>
    <w:basedOn w:val="1"/>
    <w:next w:val="15"/>
    <w:qFormat/>
    <w:uiPriority w:val="0"/>
    <w:pPr>
      <w:autoSpaceDE/>
      <w:autoSpaceDN/>
      <w:adjustRightInd/>
      <w:ind w:left="-132" w:leftChars="-64" w:right="-105" w:rightChars="-50" w:hanging="2"/>
      <w:jc w:val="center"/>
    </w:pPr>
    <w:rPr>
      <w:rFonts w:ascii="Times New Roman"/>
      <w:b/>
      <w:color w:val="FF0000"/>
      <w:kern w:val="2"/>
      <w:szCs w:val="21"/>
      <w:lang w:val="en-GB"/>
    </w:rPr>
  </w:style>
  <w:style w:type="paragraph" w:customStyle="1" w:styleId="131">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32">
    <w:name w:val="默认段落字体 Para Char"/>
    <w:basedOn w:val="1"/>
    <w:qFormat/>
    <w:uiPriority w:val="0"/>
    <w:pPr>
      <w:autoSpaceDE/>
      <w:autoSpaceDN/>
      <w:spacing w:line="360" w:lineRule="auto"/>
      <w:jc w:val="both"/>
    </w:pPr>
    <w:rPr>
      <w:rFonts w:ascii="Times New Roman"/>
      <w:szCs w:val="20"/>
    </w:rPr>
  </w:style>
  <w:style w:type="paragraph" w:customStyle="1" w:styleId="133">
    <w:name w:val="目录"/>
    <w:basedOn w:val="1"/>
    <w:qFormat/>
    <w:uiPriority w:val="0"/>
    <w:pPr>
      <w:widowControl/>
      <w:autoSpaceDE/>
      <w:autoSpaceDN/>
      <w:adjustRightInd/>
      <w:spacing w:line="480" w:lineRule="auto"/>
      <w:jc w:val="center"/>
    </w:pPr>
    <w:rPr>
      <w:b/>
      <w:szCs w:val="20"/>
    </w:rPr>
  </w:style>
  <w:style w:type="paragraph" w:customStyle="1" w:styleId="134">
    <w:name w:val="Blockquote"/>
    <w:basedOn w:val="1"/>
    <w:qFormat/>
    <w:uiPriority w:val="0"/>
    <w:pPr>
      <w:spacing w:before="100" w:after="100"/>
      <w:ind w:left="360" w:right="360"/>
    </w:pPr>
    <w:rPr>
      <w:sz w:val="24"/>
      <w:szCs w:val="20"/>
    </w:rPr>
  </w:style>
  <w:style w:type="paragraph" w:customStyle="1" w:styleId="135">
    <w:name w:val="修订1"/>
    <w:semiHidden/>
    <w:qFormat/>
    <w:uiPriority w:val="99"/>
    <w:rPr>
      <w:rFonts w:ascii="宋体" w:hAnsi="Times New Roman" w:eastAsia="宋体" w:cs="Times New Roman"/>
      <w:sz w:val="24"/>
      <w:szCs w:val="24"/>
      <w:lang w:val="en-US" w:eastAsia="zh-CN" w:bidi="ar-SA"/>
    </w:rPr>
  </w:style>
  <w:style w:type="paragraph" w:customStyle="1" w:styleId="136">
    <w:name w:val="Char Char2 Char"/>
    <w:basedOn w:val="1"/>
    <w:qFormat/>
    <w:uiPriority w:val="0"/>
    <w:pPr>
      <w:autoSpaceDE/>
      <w:autoSpaceDN/>
      <w:adjustRightInd/>
      <w:jc w:val="both"/>
    </w:pPr>
    <w:rPr>
      <w:rFonts w:hAnsi="宋体"/>
      <w:b/>
      <w:kern w:val="2"/>
      <w:sz w:val="28"/>
      <w:szCs w:val="28"/>
    </w:rPr>
  </w:style>
  <w:style w:type="paragraph" w:customStyle="1" w:styleId="137">
    <w:name w:val="表头"/>
    <w:basedOn w:val="15"/>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38">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39">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40">
    <w:name w:val="Char Char Char"/>
    <w:basedOn w:val="1"/>
    <w:qFormat/>
    <w:uiPriority w:val="0"/>
    <w:pPr>
      <w:autoSpaceDE/>
      <w:autoSpaceDN/>
      <w:adjustRightInd/>
      <w:jc w:val="both"/>
    </w:pPr>
    <w:rPr>
      <w:rFonts w:ascii="Tahoma" w:hAnsi="Tahoma"/>
      <w:b/>
      <w:sz w:val="28"/>
      <w:szCs w:val="20"/>
    </w:rPr>
  </w:style>
  <w:style w:type="paragraph" w:customStyle="1" w:styleId="141">
    <w:name w:val="表正文"/>
    <w:basedOn w:val="1"/>
    <w:next w:val="25"/>
    <w:qFormat/>
    <w:uiPriority w:val="0"/>
    <w:pPr>
      <w:autoSpaceDE/>
      <w:autoSpaceDN/>
      <w:adjustRightInd/>
      <w:spacing w:line="360" w:lineRule="auto"/>
      <w:ind w:left="180" w:leftChars="85" w:right="2" w:hanging="2"/>
      <w:jc w:val="both"/>
    </w:pPr>
    <w:rPr>
      <w:rFonts w:ascii="Arial" w:hAnsi="Arial"/>
      <w:kern w:val="2"/>
      <w:szCs w:val="20"/>
    </w:rPr>
  </w:style>
  <w:style w:type="paragraph" w:customStyle="1" w:styleId="142">
    <w:name w:val="需求书2"/>
    <w:basedOn w:val="1"/>
    <w:qFormat/>
    <w:uiPriority w:val="0"/>
    <w:pPr>
      <w:autoSpaceDE/>
      <w:autoSpaceDN/>
      <w:adjustRightInd/>
      <w:jc w:val="both"/>
    </w:pPr>
    <w:rPr>
      <w:rFonts w:hAnsi="宋体"/>
      <w:spacing w:val="10"/>
      <w:kern w:val="2"/>
      <w:sz w:val="18"/>
      <w:szCs w:val="20"/>
    </w:rPr>
  </w:style>
  <w:style w:type="paragraph" w:customStyle="1" w:styleId="143">
    <w:name w:val="pa-12"/>
    <w:basedOn w:val="1"/>
    <w:qFormat/>
    <w:uiPriority w:val="0"/>
    <w:pPr>
      <w:widowControl/>
      <w:autoSpaceDE/>
      <w:autoSpaceDN/>
      <w:adjustRightInd/>
      <w:spacing w:before="150" w:after="150"/>
    </w:pPr>
    <w:rPr>
      <w:rFonts w:hAnsi="宋体" w:cs="宋体"/>
    </w:rPr>
  </w:style>
  <w:style w:type="paragraph" w:customStyle="1" w:styleId="144">
    <w:name w:val="正文居中"/>
    <w:basedOn w:val="1"/>
    <w:next w:val="1"/>
    <w:qFormat/>
    <w:uiPriority w:val="0"/>
    <w:pPr>
      <w:autoSpaceDE/>
      <w:autoSpaceDN/>
      <w:snapToGrid w:val="0"/>
      <w:spacing w:line="300" w:lineRule="auto"/>
      <w:jc w:val="center"/>
    </w:pPr>
    <w:rPr>
      <w:rFonts w:ascii="Times New Roman"/>
      <w:kern w:val="2"/>
    </w:rPr>
  </w:style>
  <w:style w:type="paragraph" w:customStyle="1" w:styleId="145">
    <w:name w:val="3 Char"/>
    <w:basedOn w:val="1"/>
    <w:qFormat/>
    <w:uiPriority w:val="0"/>
    <w:pPr>
      <w:widowControl/>
      <w:autoSpaceDE/>
      <w:autoSpaceDN/>
      <w:adjustRightInd/>
      <w:spacing w:line="400" w:lineRule="exact"/>
      <w:jc w:val="center"/>
    </w:pPr>
    <w:rPr>
      <w:rFonts w:ascii="Verdana" w:hAnsi="Verdana"/>
      <w:szCs w:val="20"/>
      <w:lang w:eastAsia="en-US"/>
    </w:rPr>
  </w:style>
  <w:style w:type="paragraph" w:customStyle="1" w:styleId="14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47">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Cs w:val="21"/>
    </w:rPr>
  </w:style>
  <w:style w:type="paragraph" w:customStyle="1" w:styleId="148">
    <w:name w:val="纯文本1"/>
    <w:basedOn w:val="1"/>
    <w:qFormat/>
    <w:uiPriority w:val="0"/>
    <w:rPr>
      <w:rFonts w:hAnsi="Courier New"/>
      <w:sz w:val="20"/>
      <w:szCs w:val="21"/>
    </w:rPr>
  </w:style>
  <w:style w:type="paragraph" w:customStyle="1" w:styleId="149">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50">
    <w:name w:val="表中文字"/>
    <w:basedOn w:val="1"/>
    <w:qFormat/>
    <w:uiPriority w:val="0"/>
    <w:pPr>
      <w:spacing w:line="400" w:lineRule="atLeast"/>
      <w:ind w:left="35" w:leftChars="14" w:hanging="1"/>
      <w:jc w:val="center"/>
      <w:textAlignment w:val="baseline"/>
    </w:pPr>
    <w:rPr>
      <w:rFonts w:ascii="Verdana" w:hAnsi="Verdana"/>
      <w:szCs w:val="28"/>
    </w:rPr>
  </w:style>
  <w:style w:type="paragraph" w:customStyle="1" w:styleId="151">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52">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53">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54">
    <w:name w:val="日期右"/>
    <w:basedOn w:val="29"/>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55">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5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msolistparagraph"/>
    <w:basedOn w:val="1"/>
    <w:qFormat/>
    <w:uiPriority w:val="0"/>
    <w:pPr>
      <w:ind w:firstLine="420" w:firstLineChars="200"/>
    </w:pPr>
  </w:style>
  <w:style w:type="paragraph" w:customStyle="1" w:styleId="158">
    <w:name w:val="列出段落3"/>
    <w:basedOn w:val="1"/>
    <w:qFormat/>
    <w:uiPriority w:val="34"/>
    <w:pPr>
      <w:autoSpaceDE/>
      <w:autoSpaceDN/>
      <w:adjustRightInd/>
      <w:ind w:firstLine="420" w:firstLineChars="200"/>
      <w:jc w:val="both"/>
    </w:pPr>
    <w:rPr>
      <w:rFonts w:ascii="Calibri" w:hAnsi="Calibri"/>
      <w:kern w:val="2"/>
      <w:szCs w:val="22"/>
    </w:rPr>
  </w:style>
  <w:style w:type="paragraph" w:customStyle="1" w:styleId="159">
    <w:name w:val="题注5"/>
    <w:basedOn w:val="1"/>
    <w:next w:val="15"/>
    <w:qFormat/>
    <w:uiPriority w:val="0"/>
    <w:pPr>
      <w:autoSpaceDE/>
      <w:autoSpaceDN/>
      <w:adjustRightInd/>
      <w:jc w:val="center"/>
    </w:pPr>
    <w:rPr>
      <w:rFonts w:ascii="Times New Roman"/>
      <w:b/>
      <w:color w:val="000000"/>
      <w:kern w:val="2"/>
      <w:szCs w:val="21"/>
    </w:rPr>
  </w:style>
  <w:style w:type="paragraph" w:customStyle="1" w:styleId="160">
    <w:name w:val="纯文本11"/>
    <w:basedOn w:val="1"/>
    <w:qFormat/>
    <w:uiPriority w:val="0"/>
    <w:rPr>
      <w:rFonts w:hAnsi="Courier New"/>
      <w:sz w:val="2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zgydgb</Company>
  <Pages>102</Pages>
  <Words>61249</Words>
  <Characters>63829</Characters>
  <Lines>472</Lines>
  <Paragraphs>132</Paragraphs>
  <TotalTime>22</TotalTime>
  <ScaleCrop>false</ScaleCrop>
  <LinksUpToDate>false</LinksUpToDate>
  <CharactersWithSpaces>65413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2022-12-23T08:25:00Z</dcterms:created>
  <dc:creator>---</dc:creator>
  <cp:lastModifiedBy>Roy</cp:lastModifiedBy>
  <cp:lastPrinted>2020-11-07T08:04:00Z</cp:lastPrinted>
  <dcterms:modified xsi:type="dcterms:W3CDTF">2022-12-26T12:23:36Z</dcterms:modified>
  <dc:title>货物公开</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501568BA1C9CF37A41F4A3634D18AA82</vt:lpwstr>
  </property>
</Properties>
</file>