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rPr>
          <w:rFonts w:hAnsi="宋体"/>
          <w:sz w:val="52"/>
          <w:szCs w:val="52"/>
          <w:highlight w:val="none"/>
        </w:rPr>
      </w:pPr>
    </w:p>
    <w:p>
      <w:pPr>
        <w:pStyle w:val="22"/>
        <w:rPr>
          <w:rFonts w:hAnsi="宋体"/>
          <w:sz w:val="52"/>
          <w:szCs w:val="52"/>
          <w:highlight w:val="none"/>
        </w:rPr>
      </w:pPr>
      <w:r>
        <w:rPr>
          <w:highlight w:val="none"/>
          <w:lang w:val="en-US"/>
        </w:rPr>
        <w:drawing>
          <wp:inline distT="0" distB="0" distL="0" distR="0">
            <wp:extent cx="2047875" cy="1885950"/>
            <wp:effectExtent l="19050" t="0" r="9525" b="0"/>
            <wp:docPr id="2" name="图片 12" descr="E:\聊天记录\1740548293\FileRecv\广远logo（新）2017.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E:\聊天记录\1740548293\FileRecv\广远logo（新）2017.3.15.jpg"/>
                    <pic:cNvPicPr>
                      <a:picLocks noChangeAspect="1" noChangeArrowheads="1"/>
                    </pic:cNvPicPr>
                  </pic:nvPicPr>
                  <pic:blipFill>
                    <a:blip r:embed="rId11"/>
                    <a:srcRect l="15063" t="19231" r="16025" b="17307"/>
                    <a:stretch>
                      <a:fillRect/>
                    </a:stretch>
                  </pic:blipFill>
                  <pic:spPr>
                    <a:xfrm>
                      <a:off x="0" y="0"/>
                      <a:ext cx="2047875" cy="1885950"/>
                    </a:xfrm>
                    <a:prstGeom prst="rect">
                      <a:avLst/>
                    </a:prstGeom>
                    <a:noFill/>
                    <a:ln w="9525">
                      <a:noFill/>
                      <a:miter lim="800000"/>
                      <a:headEnd/>
                      <a:tailEnd/>
                    </a:ln>
                  </pic:spPr>
                </pic:pic>
              </a:graphicData>
            </a:graphic>
          </wp:inline>
        </w:drawing>
      </w:r>
    </w:p>
    <w:p>
      <w:pPr>
        <w:tabs>
          <w:tab w:val="left" w:pos="420"/>
          <w:tab w:val="left" w:pos="6660"/>
        </w:tabs>
        <w:jc w:val="center"/>
        <w:rPr>
          <w:rFonts w:hAnsi="宋体" w:cs="宋体"/>
          <w:b/>
          <w:sz w:val="56"/>
          <w:szCs w:val="52"/>
          <w:highlight w:val="none"/>
        </w:rPr>
      </w:pPr>
    </w:p>
    <w:p>
      <w:pPr>
        <w:tabs>
          <w:tab w:val="left" w:pos="420"/>
          <w:tab w:val="left" w:pos="6660"/>
        </w:tabs>
        <w:jc w:val="center"/>
        <w:rPr>
          <w:rFonts w:hAnsi="宋体" w:cs="宋体"/>
          <w:b/>
          <w:sz w:val="56"/>
          <w:szCs w:val="52"/>
          <w:highlight w:val="none"/>
        </w:rPr>
      </w:pPr>
      <w:r>
        <w:rPr>
          <w:rFonts w:hint="eastAsia" w:hAnsi="宋体" w:cs="宋体"/>
          <w:b/>
          <w:sz w:val="56"/>
          <w:szCs w:val="52"/>
          <w:highlight w:val="none"/>
        </w:rPr>
        <w:t>国家海洋局南海标准计量中心2023年船员服务采购项目</w:t>
      </w:r>
    </w:p>
    <w:p>
      <w:pPr>
        <w:tabs>
          <w:tab w:val="left" w:pos="420"/>
          <w:tab w:val="left" w:pos="6660"/>
        </w:tabs>
        <w:spacing w:line="1600" w:lineRule="atLeast"/>
        <w:jc w:val="center"/>
        <w:rPr>
          <w:rFonts w:hAnsi="宋体" w:cs="宋体"/>
          <w:b/>
          <w:sz w:val="72"/>
          <w:szCs w:val="72"/>
          <w:highlight w:val="none"/>
        </w:rPr>
      </w:pPr>
      <w:r>
        <w:rPr>
          <w:rFonts w:hint="eastAsia" w:hAnsi="宋体" w:cs="宋体"/>
          <w:b/>
          <w:sz w:val="72"/>
          <w:szCs w:val="72"/>
          <w:highlight w:val="none"/>
        </w:rPr>
        <w:t>公开招标文件</w:t>
      </w:r>
    </w:p>
    <w:p>
      <w:pPr>
        <w:spacing w:line="500" w:lineRule="exact"/>
        <w:jc w:val="center"/>
        <w:rPr>
          <w:rFonts w:hAnsi="宋体" w:cs="宋体"/>
          <w:b/>
          <w:bCs/>
          <w:sz w:val="28"/>
          <w:szCs w:val="28"/>
          <w:highlight w:val="none"/>
        </w:rPr>
      </w:pPr>
    </w:p>
    <w:p>
      <w:pPr>
        <w:spacing w:line="500" w:lineRule="exact"/>
        <w:rPr>
          <w:rFonts w:hAnsi="宋体" w:cs="宋体"/>
          <w:b/>
          <w:bCs/>
          <w:sz w:val="28"/>
          <w:szCs w:val="28"/>
          <w:highlight w:val="none"/>
        </w:rPr>
      </w:pPr>
    </w:p>
    <w:p>
      <w:pPr>
        <w:spacing w:line="500" w:lineRule="exact"/>
        <w:rPr>
          <w:rFonts w:hAnsi="宋体" w:cs="宋体"/>
          <w:b/>
          <w:bCs/>
          <w:sz w:val="28"/>
          <w:szCs w:val="28"/>
          <w:highlight w:val="none"/>
        </w:rPr>
      </w:pPr>
    </w:p>
    <w:p>
      <w:pPr>
        <w:spacing w:line="500" w:lineRule="exact"/>
        <w:jc w:val="center"/>
        <w:rPr>
          <w:rFonts w:hAnsi="宋体" w:cs="宋体"/>
          <w:b/>
          <w:bCs/>
          <w:sz w:val="28"/>
          <w:szCs w:val="28"/>
          <w:highlight w:val="none"/>
        </w:rPr>
      </w:pPr>
    </w:p>
    <w:p>
      <w:pPr>
        <w:rPr>
          <w:rFonts w:hAnsi="宋体" w:cs="宋体"/>
          <w:highlight w:val="none"/>
          <w:lang w:val="zh-CN"/>
        </w:rPr>
      </w:pPr>
    </w:p>
    <w:p>
      <w:pPr>
        <w:spacing w:line="500" w:lineRule="exact"/>
        <w:jc w:val="center"/>
        <w:rPr>
          <w:rFonts w:hAnsi="宋体" w:cs="宋体"/>
          <w:b/>
          <w:bCs/>
          <w:sz w:val="28"/>
          <w:szCs w:val="28"/>
          <w:highlight w:val="none"/>
        </w:rPr>
      </w:pPr>
      <w:r>
        <w:rPr>
          <w:rFonts w:hint="eastAsia" w:hAnsi="宋体" w:cs="宋体"/>
          <w:b/>
          <w:bCs/>
          <w:sz w:val="28"/>
          <w:szCs w:val="28"/>
          <w:highlight w:val="none"/>
        </w:rPr>
        <w:t>采购编号：GDYD221545</w:t>
      </w:r>
      <w:r>
        <w:rPr>
          <w:highlight w:val="none"/>
        </w:rPr>
        <w:fldChar w:fldCharType="begin"/>
      </w:r>
      <w:r>
        <w:rPr>
          <w:highlight w:val="none"/>
        </w:rPr>
        <w:instrText xml:space="preserve"> DOCVARIABLE  采购编号  \* MERGEFORMAT </w:instrText>
      </w:r>
      <w:r>
        <w:rPr>
          <w:highlight w:val="none"/>
        </w:rPr>
        <w:fldChar w:fldCharType="end"/>
      </w:r>
    </w:p>
    <w:p>
      <w:pPr>
        <w:spacing w:line="360" w:lineRule="auto"/>
        <w:rPr>
          <w:rFonts w:hAnsi="宋体" w:cs="宋体"/>
          <w:b/>
          <w:sz w:val="28"/>
          <w:szCs w:val="28"/>
          <w:highlight w:val="none"/>
        </w:rPr>
      </w:pPr>
    </w:p>
    <w:p>
      <w:pPr>
        <w:spacing w:line="360" w:lineRule="auto"/>
        <w:jc w:val="center"/>
        <w:rPr>
          <w:rFonts w:hAnsi="宋体" w:cs="宋体"/>
          <w:b/>
          <w:bCs/>
          <w:sz w:val="28"/>
          <w:szCs w:val="28"/>
          <w:highlight w:val="none"/>
        </w:rPr>
      </w:pPr>
    </w:p>
    <w:p>
      <w:pPr>
        <w:spacing w:line="360" w:lineRule="auto"/>
        <w:jc w:val="center"/>
        <w:rPr>
          <w:rFonts w:hAnsi="宋体" w:cs="宋体"/>
          <w:b/>
          <w:bCs/>
          <w:sz w:val="28"/>
          <w:szCs w:val="28"/>
          <w:highlight w:val="none"/>
        </w:rPr>
      </w:pPr>
      <w:r>
        <w:rPr>
          <w:rFonts w:hint="eastAsia" w:hAnsi="宋体" w:cs="宋体"/>
          <w:b/>
          <w:bCs/>
          <w:sz w:val="28"/>
          <w:szCs w:val="28"/>
          <w:highlight w:val="none"/>
        </w:rPr>
        <w:t>广东远东招标代理有限公司  编制</w:t>
      </w:r>
    </w:p>
    <w:p>
      <w:pPr>
        <w:spacing w:line="360" w:lineRule="auto"/>
        <w:jc w:val="center"/>
        <w:rPr>
          <w:rFonts w:hAnsi="宋体" w:cs="宋体"/>
          <w:b/>
          <w:bCs/>
          <w:sz w:val="28"/>
          <w:szCs w:val="28"/>
          <w:highlight w:val="none"/>
        </w:rPr>
      </w:pPr>
      <w:r>
        <w:rPr>
          <w:rFonts w:hint="eastAsia" w:hAnsi="宋体" w:cs="宋体"/>
          <w:b/>
          <w:bCs/>
          <w:sz w:val="28"/>
          <w:szCs w:val="28"/>
          <w:highlight w:val="none"/>
        </w:rPr>
        <w:t>发布日期：2022年12月</w:t>
      </w:r>
    </w:p>
    <w:p>
      <w:pPr>
        <w:pageBreakBefore/>
        <w:spacing w:line="360" w:lineRule="auto"/>
        <w:ind w:right="-34"/>
        <w:jc w:val="center"/>
        <w:rPr>
          <w:rFonts w:hAnsi="宋体" w:cs="宋体"/>
          <w:b/>
          <w:bCs/>
          <w:kern w:val="2"/>
          <w:sz w:val="32"/>
          <w:szCs w:val="32"/>
          <w:highlight w:val="none"/>
        </w:rPr>
      </w:pPr>
    </w:p>
    <w:p>
      <w:pPr>
        <w:spacing w:line="360" w:lineRule="auto"/>
        <w:ind w:right="16"/>
        <w:jc w:val="center"/>
        <w:rPr>
          <w:rFonts w:hAnsi="宋体" w:cs="宋体"/>
          <w:b/>
          <w:bCs/>
          <w:kern w:val="2"/>
          <w:sz w:val="36"/>
          <w:szCs w:val="36"/>
          <w:highlight w:val="none"/>
          <w:lang w:val="zh-CN"/>
        </w:rPr>
      </w:pPr>
      <w:r>
        <w:rPr>
          <w:rFonts w:hint="eastAsia" w:hAnsi="宋体" w:cs="宋体"/>
          <w:b/>
          <w:bCs/>
          <w:kern w:val="2"/>
          <w:sz w:val="36"/>
          <w:szCs w:val="36"/>
          <w:highlight w:val="none"/>
          <w:lang w:val="zh-CN"/>
        </w:rPr>
        <w:t>目  录</w:t>
      </w:r>
    </w:p>
    <w:p>
      <w:pPr>
        <w:spacing w:line="360" w:lineRule="auto"/>
        <w:ind w:right="16"/>
        <w:jc w:val="center"/>
        <w:rPr>
          <w:rFonts w:hAnsi="宋体" w:cs="宋体"/>
          <w:b/>
          <w:bCs/>
          <w:kern w:val="2"/>
          <w:sz w:val="32"/>
          <w:szCs w:val="32"/>
          <w:highlight w:val="none"/>
          <w:lang w:val="zh-CN"/>
        </w:rPr>
      </w:pPr>
    </w:p>
    <w:p>
      <w:pPr>
        <w:spacing w:line="360" w:lineRule="auto"/>
        <w:ind w:right="16"/>
        <w:jc w:val="center"/>
        <w:rPr>
          <w:rFonts w:hAnsi="宋体" w:cs="宋体"/>
          <w:kern w:val="2"/>
          <w:szCs w:val="21"/>
          <w:highlight w:val="none"/>
          <w:lang w:val="zh-CN"/>
        </w:rPr>
      </w:pPr>
    </w:p>
    <w:p>
      <w:pPr>
        <w:tabs>
          <w:tab w:val="left" w:pos="855"/>
        </w:tabs>
        <w:spacing w:line="360" w:lineRule="auto"/>
        <w:ind w:left="3165" w:leftChars="1100" w:right="-29" w:rightChars="-14" w:hanging="855"/>
        <w:jc w:val="both"/>
        <w:rPr>
          <w:rFonts w:hAnsi="宋体" w:cs="宋体"/>
          <w:b/>
          <w:bCs/>
          <w:kern w:val="2"/>
          <w:sz w:val="28"/>
          <w:szCs w:val="28"/>
          <w:highlight w:val="none"/>
          <w:lang w:val="zh-CN"/>
        </w:rPr>
      </w:pPr>
      <w:r>
        <w:rPr>
          <w:rFonts w:hint="eastAsia" w:hAnsi="宋体" w:cs="宋体"/>
          <w:b/>
          <w:bCs/>
          <w:kern w:val="2"/>
          <w:sz w:val="28"/>
          <w:szCs w:val="28"/>
          <w:highlight w:val="none"/>
          <w:lang w:val="zh-CN"/>
        </w:rPr>
        <w:t>第一篇  投标邀请书</w:t>
      </w:r>
    </w:p>
    <w:p>
      <w:pPr>
        <w:spacing w:line="360" w:lineRule="auto"/>
        <w:ind w:left="2310" w:leftChars="1100" w:right="-29" w:rightChars="-14"/>
        <w:jc w:val="both"/>
        <w:rPr>
          <w:rFonts w:hAnsi="宋体" w:cs="宋体"/>
          <w:b/>
          <w:bCs/>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kern w:val="2"/>
          <w:sz w:val="28"/>
          <w:szCs w:val="28"/>
          <w:highlight w:val="none"/>
          <w:lang w:val="zh-CN"/>
        </w:rPr>
      </w:pPr>
      <w:r>
        <w:rPr>
          <w:rFonts w:hint="eastAsia" w:hAnsi="宋体" w:cs="宋体"/>
          <w:b/>
          <w:bCs/>
          <w:kern w:val="2"/>
          <w:sz w:val="28"/>
          <w:szCs w:val="28"/>
          <w:highlight w:val="none"/>
          <w:lang w:val="zh-CN"/>
        </w:rPr>
        <w:t xml:space="preserve">第二篇  </w:t>
      </w:r>
      <w:r>
        <w:rPr>
          <w:highlight w:val="none"/>
        </w:rPr>
        <w:fldChar w:fldCharType="begin"/>
      </w:r>
      <w:r>
        <w:rPr>
          <w:highlight w:val="none"/>
        </w:rPr>
        <w:instrText xml:space="preserve"> HYPERLINK "../../../../2013年7月11日桌面备份/海丰中医院/太和医院/l" </w:instrText>
      </w:r>
      <w:r>
        <w:rPr>
          <w:highlight w:val="none"/>
        </w:rPr>
        <w:fldChar w:fldCharType="separate"/>
      </w:r>
      <w:r>
        <w:rPr>
          <w:rFonts w:hint="eastAsia" w:hAnsi="宋体" w:cs="宋体"/>
          <w:b/>
          <w:bCs/>
          <w:kern w:val="2"/>
          <w:sz w:val="28"/>
          <w:szCs w:val="28"/>
          <w:highlight w:val="none"/>
          <w:lang w:val="zh-CN"/>
        </w:rPr>
        <w:t xml:space="preserve">投标人须知 </w:t>
      </w:r>
      <w:r>
        <w:rPr>
          <w:rFonts w:hint="eastAsia" w:hAnsi="宋体" w:cs="宋体"/>
          <w:b/>
          <w:bCs/>
          <w:kern w:val="2"/>
          <w:sz w:val="28"/>
          <w:szCs w:val="28"/>
          <w:highlight w:val="none"/>
          <w:lang w:val="zh-CN"/>
        </w:rPr>
        <w:fldChar w:fldCharType="end"/>
      </w:r>
    </w:p>
    <w:p>
      <w:pPr>
        <w:spacing w:line="360" w:lineRule="auto"/>
        <w:ind w:left="2310" w:leftChars="1100" w:right="-29" w:rightChars="-14"/>
        <w:jc w:val="both"/>
        <w:rPr>
          <w:rFonts w:hAnsi="宋体" w:cs="宋体"/>
          <w:b/>
          <w:bCs/>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kern w:val="2"/>
          <w:sz w:val="28"/>
          <w:szCs w:val="28"/>
          <w:highlight w:val="none"/>
          <w:lang w:val="zh-CN"/>
        </w:rPr>
      </w:pPr>
      <w:r>
        <w:rPr>
          <w:rFonts w:hint="eastAsia" w:hAnsi="宋体" w:cs="宋体"/>
          <w:b/>
          <w:bCs/>
          <w:kern w:val="2"/>
          <w:sz w:val="28"/>
          <w:szCs w:val="28"/>
          <w:highlight w:val="none"/>
          <w:lang w:val="zh-CN"/>
        </w:rPr>
        <w:t xml:space="preserve">第三篇  </w:t>
      </w:r>
      <w:r>
        <w:rPr>
          <w:highlight w:val="none"/>
        </w:rPr>
        <w:fldChar w:fldCharType="begin"/>
      </w:r>
      <w:r>
        <w:rPr>
          <w:highlight w:val="none"/>
        </w:rPr>
        <w:instrText xml:space="preserve"> HYPERLINK "../../../../2013年7月11日桌面备份/海丰中医院/太和医院/l" </w:instrText>
      </w:r>
      <w:r>
        <w:rPr>
          <w:highlight w:val="none"/>
        </w:rPr>
        <w:fldChar w:fldCharType="separate"/>
      </w:r>
      <w:r>
        <w:rPr>
          <w:rFonts w:hint="eastAsia" w:hAnsi="宋体" w:cs="宋体"/>
          <w:b/>
          <w:bCs/>
          <w:kern w:val="2"/>
          <w:sz w:val="28"/>
          <w:szCs w:val="28"/>
          <w:highlight w:val="none"/>
          <w:lang w:val="zh-CN"/>
        </w:rPr>
        <w:t>合同条款</w:t>
      </w:r>
      <w:r>
        <w:rPr>
          <w:rFonts w:hint="eastAsia" w:hAnsi="宋体" w:cs="宋体"/>
          <w:b/>
          <w:bCs/>
          <w:kern w:val="2"/>
          <w:sz w:val="28"/>
          <w:szCs w:val="28"/>
          <w:highlight w:val="none"/>
          <w:lang w:val="zh-CN"/>
        </w:rPr>
        <w:fldChar w:fldCharType="end"/>
      </w:r>
      <w:r>
        <w:rPr>
          <w:rFonts w:hint="eastAsia" w:hAnsi="宋体" w:cs="宋体"/>
          <w:b/>
          <w:bCs/>
          <w:kern w:val="2"/>
          <w:sz w:val="28"/>
          <w:szCs w:val="28"/>
          <w:highlight w:val="none"/>
          <w:lang w:val="zh-CN"/>
        </w:rPr>
        <w:t>格式</w:t>
      </w:r>
    </w:p>
    <w:p>
      <w:pPr>
        <w:spacing w:line="360" w:lineRule="auto"/>
        <w:ind w:left="2310" w:leftChars="1100" w:right="-29" w:rightChars="-14"/>
        <w:jc w:val="both"/>
        <w:rPr>
          <w:rFonts w:hAnsi="宋体" w:cs="宋体"/>
          <w:b/>
          <w:bCs/>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kern w:val="2"/>
          <w:sz w:val="28"/>
          <w:szCs w:val="28"/>
          <w:highlight w:val="none"/>
          <w:lang w:val="zh-CN"/>
        </w:rPr>
      </w:pPr>
      <w:r>
        <w:rPr>
          <w:rFonts w:hint="eastAsia" w:hAnsi="宋体" w:cs="宋体"/>
          <w:b/>
          <w:bCs/>
          <w:kern w:val="2"/>
          <w:sz w:val="28"/>
          <w:szCs w:val="28"/>
          <w:highlight w:val="none"/>
          <w:lang w:val="zh-CN"/>
        </w:rPr>
        <w:t>第四篇  用户需求书</w:t>
      </w:r>
    </w:p>
    <w:p>
      <w:pPr>
        <w:spacing w:line="360" w:lineRule="auto"/>
        <w:ind w:left="2310" w:leftChars="1100" w:right="-29" w:rightChars="-14"/>
        <w:jc w:val="both"/>
        <w:rPr>
          <w:rFonts w:hAnsi="宋体" w:cs="宋体"/>
          <w:b/>
          <w:bCs/>
          <w:kern w:val="2"/>
          <w:sz w:val="28"/>
          <w:szCs w:val="28"/>
          <w:highlight w:val="none"/>
          <w:lang w:val="zh-CN"/>
        </w:rPr>
      </w:pPr>
    </w:p>
    <w:p>
      <w:pPr>
        <w:tabs>
          <w:tab w:val="left" w:pos="855"/>
        </w:tabs>
        <w:spacing w:line="360" w:lineRule="auto"/>
        <w:ind w:left="3165" w:leftChars="1100" w:right="-29" w:rightChars="-14" w:hanging="855"/>
        <w:jc w:val="both"/>
        <w:rPr>
          <w:rFonts w:hAnsi="宋体" w:cs="宋体"/>
          <w:b/>
          <w:bCs/>
          <w:kern w:val="2"/>
          <w:sz w:val="28"/>
          <w:szCs w:val="28"/>
          <w:highlight w:val="none"/>
          <w:lang w:val="zh-CN"/>
        </w:rPr>
      </w:pPr>
      <w:r>
        <w:rPr>
          <w:rFonts w:hint="eastAsia" w:hAnsi="宋体" w:cs="宋体"/>
          <w:b/>
          <w:bCs/>
          <w:kern w:val="2"/>
          <w:sz w:val="28"/>
          <w:szCs w:val="28"/>
          <w:highlight w:val="none"/>
          <w:lang w:val="zh-CN"/>
        </w:rPr>
        <w:t>第五篇  投标文件格式</w:t>
      </w:r>
    </w:p>
    <w:p>
      <w:pPr>
        <w:spacing w:line="360" w:lineRule="auto"/>
        <w:ind w:left="2310" w:leftChars="1100" w:right="-29" w:rightChars="-14"/>
        <w:jc w:val="both"/>
        <w:rPr>
          <w:rFonts w:hAnsi="宋体" w:cs="宋体"/>
          <w:b/>
          <w:bCs/>
          <w:kern w:val="2"/>
          <w:sz w:val="28"/>
          <w:szCs w:val="28"/>
          <w:highlight w:val="none"/>
          <w:lang w:val="zh-CN"/>
        </w:rPr>
      </w:pPr>
    </w:p>
    <w:p>
      <w:pPr>
        <w:spacing w:line="360" w:lineRule="auto"/>
        <w:ind w:left="2310" w:leftChars="1100" w:right="-29" w:rightChars="-14"/>
        <w:jc w:val="both"/>
        <w:rPr>
          <w:rFonts w:hAnsi="宋体" w:cs="宋体"/>
          <w:b/>
          <w:bCs/>
          <w:kern w:val="2"/>
          <w:sz w:val="28"/>
          <w:szCs w:val="28"/>
          <w:highlight w:val="none"/>
          <w:lang w:val="zh-CN"/>
        </w:rPr>
      </w:pPr>
      <w:r>
        <w:rPr>
          <w:rFonts w:hint="eastAsia" w:hAnsi="宋体" w:cs="宋体"/>
          <w:b/>
          <w:bCs/>
          <w:kern w:val="2"/>
          <w:sz w:val="28"/>
          <w:szCs w:val="28"/>
          <w:highlight w:val="none"/>
          <w:lang w:val="zh-CN"/>
        </w:rPr>
        <w:t>附件一： 评标工作大纲</w:t>
      </w:r>
    </w:p>
    <w:p>
      <w:pPr>
        <w:spacing w:line="360" w:lineRule="auto"/>
        <w:ind w:left="2310" w:leftChars="1100" w:right="-29" w:rightChars="-14"/>
        <w:jc w:val="both"/>
        <w:rPr>
          <w:rFonts w:hAnsi="宋体" w:cs="宋体"/>
          <w:b/>
          <w:bCs/>
          <w:kern w:val="2"/>
          <w:sz w:val="28"/>
          <w:szCs w:val="28"/>
          <w:highlight w:val="none"/>
          <w:lang w:val="zh-CN"/>
        </w:rPr>
      </w:pPr>
    </w:p>
    <w:p>
      <w:pPr>
        <w:spacing w:line="360" w:lineRule="auto"/>
        <w:ind w:left="2310" w:leftChars="1100" w:right="-29" w:rightChars="-14"/>
        <w:jc w:val="both"/>
        <w:rPr>
          <w:rFonts w:hAnsi="宋体" w:cs="宋体"/>
          <w:b/>
          <w:bCs/>
          <w:kern w:val="2"/>
          <w:sz w:val="28"/>
          <w:szCs w:val="28"/>
          <w:highlight w:val="none"/>
          <w:lang w:val="zh-CN"/>
        </w:rPr>
      </w:pPr>
      <w:r>
        <w:rPr>
          <w:rFonts w:hint="eastAsia" w:hAnsi="宋体" w:cs="宋体"/>
          <w:b/>
          <w:bCs/>
          <w:kern w:val="2"/>
          <w:sz w:val="28"/>
          <w:szCs w:val="28"/>
          <w:highlight w:val="none"/>
          <w:lang w:val="zh-CN"/>
        </w:rPr>
        <w:t>附件二：  中标服务费收费标准</w:t>
      </w:r>
    </w:p>
    <w:p>
      <w:pPr>
        <w:pStyle w:val="4"/>
        <w:keepNext/>
        <w:keepLines/>
        <w:pageBreakBefore/>
        <w:tabs>
          <w:tab w:val="left" w:pos="1080"/>
        </w:tabs>
        <w:spacing w:line="360" w:lineRule="auto"/>
        <w:ind w:left="567" w:hanging="567"/>
        <w:jc w:val="center"/>
        <w:rPr>
          <w:rFonts w:hAnsi="宋体" w:cs="宋体"/>
          <w:b/>
          <w:bCs/>
          <w:kern w:val="44"/>
          <w:sz w:val="32"/>
          <w:szCs w:val="32"/>
          <w:highlight w:val="none"/>
          <w:lang w:val="zh-CN"/>
        </w:rPr>
      </w:pPr>
      <w:r>
        <w:rPr>
          <w:rFonts w:hint="eastAsia" w:hAnsi="宋体" w:cs="宋体"/>
          <w:b/>
          <w:bCs/>
          <w:kern w:val="44"/>
          <w:sz w:val="32"/>
          <w:szCs w:val="32"/>
          <w:highlight w:val="none"/>
          <w:lang w:val="zh-CN"/>
        </w:rPr>
        <w:t>第一篇</w:t>
      </w:r>
      <w:r>
        <w:rPr>
          <w:rFonts w:hint="eastAsia" w:hAnsi="宋体" w:cs="宋体"/>
          <w:b/>
          <w:bCs/>
          <w:kern w:val="44"/>
          <w:sz w:val="32"/>
          <w:szCs w:val="32"/>
          <w:highlight w:val="none"/>
          <w:lang w:val="zh-CN"/>
        </w:rPr>
        <w:tab/>
      </w:r>
      <w:r>
        <w:rPr>
          <w:rFonts w:hint="eastAsia" w:hAnsi="宋体" w:cs="宋体"/>
          <w:b/>
          <w:bCs/>
          <w:kern w:val="44"/>
          <w:sz w:val="32"/>
          <w:szCs w:val="32"/>
          <w:highlight w:val="none"/>
          <w:lang w:val="zh-CN"/>
        </w:rPr>
        <w:t>投标邀请书</w:t>
      </w:r>
    </w:p>
    <w:p>
      <w:pPr>
        <w:widowControl/>
        <w:spacing w:line="360" w:lineRule="auto"/>
        <w:ind w:firstLine="420" w:firstLineChars="200"/>
        <w:rPr>
          <w:rFonts w:hAnsi="宋体" w:cs="宋体"/>
          <w:szCs w:val="21"/>
          <w:highlight w:val="none"/>
        </w:rPr>
      </w:pPr>
      <w:r>
        <w:rPr>
          <w:rFonts w:hint="eastAsia" w:hAnsi="宋体" w:cs="宋体"/>
          <w:szCs w:val="21"/>
          <w:highlight w:val="none"/>
          <w:u w:val="single"/>
        </w:rPr>
        <w:t>广东远东招标代理有限公司</w:t>
      </w:r>
      <w:r>
        <w:rPr>
          <w:rFonts w:hint="eastAsia" w:hAnsi="宋体" w:cs="宋体"/>
          <w:szCs w:val="21"/>
          <w:highlight w:val="none"/>
        </w:rPr>
        <w:t>受</w:t>
      </w:r>
      <w:r>
        <w:rPr>
          <w:rFonts w:hint="eastAsia" w:hAnsi="宋体" w:cs="宋体"/>
          <w:bCs/>
          <w:szCs w:val="21"/>
          <w:highlight w:val="none"/>
          <w:u w:val="single"/>
          <w:lang w:val="zh-CN"/>
        </w:rPr>
        <w:t>国家海洋局南海标准计量中心</w:t>
      </w:r>
      <w:r>
        <w:rPr>
          <w:rFonts w:hint="eastAsia" w:hAnsi="宋体" w:cs="宋体"/>
          <w:szCs w:val="21"/>
          <w:highlight w:val="none"/>
        </w:rPr>
        <w:t>的委托，对</w:t>
      </w:r>
      <w:r>
        <w:rPr>
          <w:rFonts w:hint="eastAsia" w:hAnsi="宋体" w:cs="宋体"/>
          <w:bCs/>
          <w:szCs w:val="21"/>
          <w:highlight w:val="none"/>
          <w:u w:val="single"/>
          <w:lang w:val="zh-CN"/>
        </w:rPr>
        <w:t>国家海洋局南海标准计量中心2023年船员服务采购项目</w:t>
      </w:r>
      <w:r>
        <w:rPr>
          <w:rFonts w:hint="eastAsia" w:hAnsi="宋体" w:cs="宋体"/>
          <w:szCs w:val="21"/>
          <w:highlight w:val="none"/>
        </w:rPr>
        <w:t>进行公开招标采购，欢迎符合资格条件的供应商投标。</w:t>
      </w:r>
    </w:p>
    <w:p>
      <w:pPr>
        <w:widowControl/>
        <w:spacing w:line="360" w:lineRule="auto"/>
        <w:ind w:firstLine="560"/>
        <w:rPr>
          <w:rFonts w:hAnsi="宋体" w:cs="宋体"/>
          <w:szCs w:val="21"/>
          <w:highlight w:val="none"/>
        </w:rPr>
      </w:pPr>
      <w:r>
        <w:rPr>
          <w:rFonts w:hint="eastAsia" w:hAnsi="宋体" w:cs="宋体"/>
          <w:szCs w:val="21"/>
          <w:highlight w:val="none"/>
        </w:rPr>
        <w:t>一、采购编号：GDYD221545</w:t>
      </w:r>
    </w:p>
    <w:p>
      <w:pPr>
        <w:widowControl/>
        <w:spacing w:line="360" w:lineRule="auto"/>
        <w:ind w:firstLine="560"/>
        <w:rPr>
          <w:rFonts w:hAnsi="宋体" w:cs="宋体"/>
          <w:szCs w:val="21"/>
          <w:highlight w:val="none"/>
        </w:rPr>
      </w:pPr>
      <w:r>
        <w:rPr>
          <w:rFonts w:hint="eastAsia" w:hAnsi="宋体" w:cs="宋体"/>
          <w:szCs w:val="21"/>
          <w:highlight w:val="none"/>
        </w:rPr>
        <w:t>二、采购项目名称：</w:t>
      </w:r>
      <w:r>
        <w:rPr>
          <w:rFonts w:hint="eastAsia" w:hAnsi="宋体" w:cs="宋体"/>
          <w:bCs/>
          <w:szCs w:val="21"/>
          <w:highlight w:val="none"/>
          <w:u w:val="single"/>
          <w:lang w:val="zh-CN"/>
        </w:rPr>
        <w:t>国家海洋局南海标准计量中心2023年船员服务采购项目</w:t>
      </w:r>
    </w:p>
    <w:p>
      <w:pPr>
        <w:widowControl/>
        <w:spacing w:line="360" w:lineRule="auto"/>
        <w:ind w:firstLine="560"/>
        <w:rPr>
          <w:rFonts w:hAnsi="宋体" w:cs="宋体"/>
          <w:szCs w:val="21"/>
          <w:highlight w:val="none"/>
        </w:rPr>
      </w:pPr>
      <w:r>
        <w:rPr>
          <w:rFonts w:hint="eastAsia" w:hAnsi="宋体" w:cs="宋体"/>
          <w:szCs w:val="21"/>
          <w:highlight w:val="none"/>
        </w:rPr>
        <w:t>三、采购预算：</w:t>
      </w:r>
      <w:r>
        <w:rPr>
          <w:rFonts w:hint="eastAsia" w:hAnsi="宋体" w:cs="宋体"/>
          <w:szCs w:val="21"/>
          <w:highlight w:val="none"/>
          <w:lang w:val="en-US" w:eastAsia="zh-CN"/>
        </w:rPr>
        <w:t>不超过</w:t>
      </w:r>
      <w:r>
        <w:rPr>
          <w:rFonts w:hint="eastAsia" w:hAnsi="宋体" w:cs="宋体"/>
          <w:szCs w:val="21"/>
          <w:highlight w:val="none"/>
        </w:rPr>
        <w:t>人民币1623.97</w:t>
      </w:r>
      <w:r>
        <w:rPr>
          <w:rFonts w:hint="eastAsia" w:hAnsi="宋体" w:cs="宋体"/>
          <w:szCs w:val="21"/>
          <w:highlight w:val="none"/>
          <w:lang w:val="zh-CN"/>
        </w:rPr>
        <w:t>万元</w:t>
      </w:r>
    </w:p>
    <w:p>
      <w:pPr>
        <w:widowControl/>
        <w:spacing w:line="360" w:lineRule="auto"/>
        <w:ind w:firstLine="560"/>
        <w:rPr>
          <w:rFonts w:hAnsi="宋体" w:cs="宋体"/>
          <w:szCs w:val="21"/>
          <w:highlight w:val="none"/>
        </w:rPr>
      </w:pPr>
      <w:r>
        <w:rPr>
          <w:rFonts w:hint="eastAsia" w:hAnsi="宋体" w:cs="宋体"/>
          <w:szCs w:val="21"/>
          <w:highlight w:val="none"/>
        </w:rPr>
        <w:t>四、项目内容及需求：(采购项目技术规格、参数及要求) </w:t>
      </w:r>
    </w:p>
    <w:p>
      <w:pPr>
        <w:widowControl/>
        <w:spacing w:line="360" w:lineRule="auto"/>
        <w:ind w:firstLine="560"/>
        <w:rPr>
          <w:rFonts w:hAnsi="宋体" w:cs="宋体"/>
          <w:szCs w:val="21"/>
          <w:highlight w:val="none"/>
        </w:rPr>
      </w:pPr>
      <w:r>
        <w:rPr>
          <w:rFonts w:hint="eastAsia" w:hAnsi="宋体" w:cs="宋体"/>
          <w:szCs w:val="21"/>
          <w:highlight w:val="none"/>
        </w:rPr>
        <w:t>1.采购项目内容及最高限价</w:t>
      </w:r>
    </w:p>
    <w:tbl>
      <w:tblPr>
        <w:tblStyle w:val="49"/>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320"/>
        <w:gridCol w:w="945"/>
        <w:gridCol w:w="974"/>
        <w:gridCol w:w="1453"/>
        <w:gridCol w:w="1052"/>
        <w:gridCol w:w="2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3"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序号</w:t>
            </w:r>
          </w:p>
        </w:tc>
        <w:tc>
          <w:tcPr>
            <w:tcW w:w="2320"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标的名称</w:t>
            </w:r>
          </w:p>
        </w:tc>
        <w:tc>
          <w:tcPr>
            <w:tcW w:w="945"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数量</w:t>
            </w:r>
          </w:p>
        </w:tc>
        <w:tc>
          <w:tcPr>
            <w:tcW w:w="974"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计量</w:t>
            </w:r>
          </w:p>
          <w:p>
            <w:pPr>
              <w:spacing w:line="460" w:lineRule="exact"/>
              <w:jc w:val="center"/>
              <w:rPr>
                <w:rFonts w:hAnsi="宋体" w:cs="宋体"/>
                <w:b/>
                <w:bCs/>
                <w:iCs/>
                <w:szCs w:val="21"/>
                <w:highlight w:val="none"/>
              </w:rPr>
            </w:pPr>
            <w:r>
              <w:rPr>
                <w:rFonts w:hint="eastAsia" w:hAnsi="宋体" w:cs="宋体"/>
                <w:b/>
                <w:bCs/>
                <w:iCs/>
                <w:szCs w:val="21"/>
                <w:highlight w:val="none"/>
              </w:rPr>
              <w:t>单位</w:t>
            </w:r>
          </w:p>
        </w:tc>
        <w:tc>
          <w:tcPr>
            <w:tcW w:w="1453"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单价</w:t>
            </w:r>
          </w:p>
          <w:p>
            <w:pPr>
              <w:spacing w:line="460" w:lineRule="exact"/>
              <w:jc w:val="center"/>
              <w:rPr>
                <w:rFonts w:hAnsi="宋体" w:cs="宋体"/>
                <w:b/>
                <w:bCs/>
                <w:iCs/>
                <w:szCs w:val="21"/>
                <w:highlight w:val="none"/>
              </w:rPr>
            </w:pPr>
            <w:r>
              <w:rPr>
                <w:rFonts w:hint="eastAsia" w:hAnsi="宋体" w:cs="宋体"/>
                <w:b/>
                <w:bCs/>
                <w:iCs/>
                <w:szCs w:val="21"/>
                <w:highlight w:val="none"/>
              </w:rPr>
              <w:t>（万元）</w:t>
            </w:r>
          </w:p>
        </w:tc>
        <w:tc>
          <w:tcPr>
            <w:tcW w:w="1052"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是否</w:t>
            </w:r>
          </w:p>
          <w:p>
            <w:pPr>
              <w:spacing w:line="460" w:lineRule="exact"/>
              <w:jc w:val="center"/>
              <w:rPr>
                <w:rFonts w:hAnsi="宋体" w:cs="宋体"/>
                <w:b/>
                <w:bCs/>
                <w:iCs/>
                <w:szCs w:val="21"/>
                <w:highlight w:val="none"/>
              </w:rPr>
            </w:pPr>
            <w:r>
              <w:rPr>
                <w:rFonts w:hint="eastAsia" w:hAnsi="宋体" w:cs="宋体"/>
                <w:b/>
                <w:bCs/>
                <w:iCs/>
                <w:szCs w:val="21"/>
                <w:highlight w:val="none"/>
              </w:rPr>
              <w:t>进口</w:t>
            </w:r>
          </w:p>
        </w:tc>
        <w:tc>
          <w:tcPr>
            <w:tcW w:w="2119" w:type="dxa"/>
            <w:vAlign w:val="center"/>
          </w:tcPr>
          <w:p>
            <w:pPr>
              <w:spacing w:line="460" w:lineRule="exact"/>
              <w:jc w:val="center"/>
              <w:rPr>
                <w:rFonts w:hAnsi="宋体" w:cs="宋体"/>
                <w:b/>
                <w:bCs/>
                <w:iCs/>
                <w:szCs w:val="21"/>
                <w:highlight w:val="none"/>
              </w:rPr>
            </w:pPr>
            <w:r>
              <w:rPr>
                <w:rFonts w:hint="eastAsia" w:hAnsi="宋体" w:cs="宋体"/>
                <w:b/>
                <w:bCs/>
                <w:iCs/>
                <w:szCs w:val="21"/>
                <w:highlight w:val="none"/>
              </w:rPr>
              <w:t>分包要求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vAlign w:val="center"/>
          </w:tcPr>
          <w:p>
            <w:pPr>
              <w:spacing w:line="460" w:lineRule="exact"/>
              <w:jc w:val="center"/>
              <w:rPr>
                <w:rFonts w:hAnsi="宋体" w:cs="宋体"/>
                <w:iCs/>
                <w:szCs w:val="21"/>
                <w:highlight w:val="none"/>
              </w:rPr>
            </w:pPr>
            <w:r>
              <w:rPr>
                <w:rFonts w:hint="eastAsia" w:hAnsi="宋体" w:cs="宋体"/>
                <w:iCs/>
                <w:szCs w:val="21"/>
                <w:highlight w:val="none"/>
              </w:rPr>
              <w:t>1</w:t>
            </w:r>
          </w:p>
        </w:tc>
        <w:tc>
          <w:tcPr>
            <w:tcW w:w="2320" w:type="dxa"/>
            <w:vAlign w:val="center"/>
          </w:tcPr>
          <w:p>
            <w:pPr>
              <w:spacing w:line="460" w:lineRule="exact"/>
              <w:jc w:val="center"/>
              <w:rPr>
                <w:rFonts w:hAnsi="宋体" w:cs="宋体"/>
                <w:iCs/>
                <w:szCs w:val="21"/>
                <w:highlight w:val="none"/>
              </w:rPr>
            </w:pPr>
            <w:r>
              <w:rPr>
                <w:rFonts w:hint="eastAsia" w:hAnsi="宋体" w:cs="宋体"/>
                <w:iCs/>
                <w:szCs w:val="21"/>
                <w:highlight w:val="none"/>
              </w:rPr>
              <w:t>国家海洋局南海标准计量中心2023年船员服务采购项目</w:t>
            </w:r>
          </w:p>
        </w:tc>
        <w:tc>
          <w:tcPr>
            <w:tcW w:w="945" w:type="dxa"/>
            <w:vAlign w:val="center"/>
          </w:tcPr>
          <w:p>
            <w:pPr>
              <w:spacing w:line="460" w:lineRule="exact"/>
              <w:jc w:val="center"/>
              <w:rPr>
                <w:rFonts w:hAnsi="宋体" w:cs="宋体"/>
                <w:iCs/>
                <w:szCs w:val="21"/>
                <w:highlight w:val="none"/>
              </w:rPr>
            </w:pPr>
            <w:r>
              <w:rPr>
                <w:rFonts w:hint="eastAsia" w:hAnsi="宋体" w:cs="宋体"/>
                <w:iCs/>
                <w:szCs w:val="21"/>
                <w:highlight w:val="none"/>
              </w:rPr>
              <w:t>1</w:t>
            </w:r>
          </w:p>
        </w:tc>
        <w:tc>
          <w:tcPr>
            <w:tcW w:w="974" w:type="dxa"/>
            <w:vAlign w:val="center"/>
          </w:tcPr>
          <w:p>
            <w:pPr>
              <w:spacing w:line="460" w:lineRule="exact"/>
              <w:jc w:val="center"/>
              <w:rPr>
                <w:rFonts w:hAnsi="宋体" w:cs="宋体"/>
                <w:iCs/>
                <w:szCs w:val="21"/>
                <w:highlight w:val="none"/>
              </w:rPr>
            </w:pPr>
            <w:r>
              <w:rPr>
                <w:rFonts w:hint="eastAsia" w:hAnsi="宋体" w:cs="宋体"/>
                <w:iCs/>
                <w:szCs w:val="21"/>
                <w:highlight w:val="none"/>
              </w:rPr>
              <w:t>项</w:t>
            </w:r>
          </w:p>
        </w:tc>
        <w:tc>
          <w:tcPr>
            <w:tcW w:w="1453" w:type="dxa"/>
            <w:vAlign w:val="center"/>
          </w:tcPr>
          <w:p>
            <w:pPr>
              <w:spacing w:line="460" w:lineRule="exact"/>
              <w:jc w:val="center"/>
              <w:rPr>
                <w:rFonts w:hAnsi="宋体" w:cs="宋体"/>
                <w:iCs/>
                <w:szCs w:val="21"/>
                <w:highlight w:val="none"/>
              </w:rPr>
            </w:pPr>
            <w:r>
              <w:rPr>
                <w:rFonts w:hint="eastAsia" w:hAnsi="宋体" w:cs="宋体"/>
                <w:iCs/>
                <w:szCs w:val="21"/>
                <w:highlight w:val="none"/>
              </w:rPr>
              <w:t>1623.97</w:t>
            </w:r>
          </w:p>
        </w:tc>
        <w:tc>
          <w:tcPr>
            <w:tcW w:w="1052" w:type="dxa"/>
            <w:vAlign w:val="center"/>
          </w:tcPr>
          <w:p>
            <w:pPr>
              <w:spacing w:line="460" w:lineRule="exact"/>
              <w:jc w:val="center"/>
              <w:rPr>
                <w:rFonts w:hAnsi="宋体" w:cs="宋体"/>
                <w:iCs/>
                <w:szCs w:val="21"/>
                <w:highlight w:val="none"/>
              </w:rPr>
            </w:pPr>
            <w:r>
              <w:rPr>
                <w:rFonts w:hint="eastAsia" w:hAnsi="宋体" w:cs="宋体"/>
                <w:iCs/>
                <w:szCs w:val="21"/>
                <w:highlight w:val="none"/>
              </w:rPr>
              <w:t>否</w:t>
            </w:r>
          </w:p>
        </w:tc>
        <w:tc>
          <w:tcPr>
            <w:tcW w:w="2119" w:type="dxa"/>
            <w:vAlign w:val="center"/>
          </w:tcPr>
          <w:p>
            <w:pPr>
              <w:spacing w:line="460" w:lineRule="exact"/>
              <w:jc w:val="center"/>
              <w:rPr>
                <w:rFonts w:hAnsi="宋体" w:cs="宋体"/>
                <w:iCs/>
                <w:szCs w:val="21"/>
                <w:highlight w:val="none"/>
              </w:rPr>
            </w:pPr>
            <w:r>
              <w:rPr>
                <w:rFonts w:hint="eastAsia" w:hAnsi="宋体" w:cs="宋体"/>
                <w:iCs/>
                <w:szCs w:val="21"/>
                <w:highlight w:val="none"/>
              </w:rPr>
              <w:t>本项目不进行分包</w:t>
            </w:r>
          </w:p>
        </w:tc>
      </w:tr>
    </w:tbl>
    <w:p>
      <w:pPr>
        <w:widowControl/>
        <w:spacing w:line="360" w:lineRule="auto"/>
        <w:ind w:firstLine="420" w:firstLineChars="200"/>
        <w:rPr>
          <w:rFonts w:hAnsi="宋体" w:cs="宋体"/>
          <w:szCs w:val="21"/>
          <w:highlight w:val="none"/>
        </w:rPr>
      </w:pPr>
      <w:r>
        <w:rPr>
          <w:rFonts w:hint="eastAsia" w:hAnsi="宋体" w:cs="宋体"/>
          <w:szCs w:val="21"/>
          <w:highlight w:val="none"/>
        </w:rPr>
        <w:t xml:space="preserve">1.1 </w:t>
      </w:r>
      <w:r>
        <w:rPr>
          <w:rFonts w:hint="eastAsia" w:hAnsi="宋体"/>
          <w:szCs w:val="21"/>
          <w:highlight w:val="none"/>
        </w:rPr>
        <w:t>不允许投标人只对其中部分内容进行投标。</w:t>
      </w:r>
      <w:r>
        <w:rPr>
          <w:rFonts w:hint="eastAsia" w:hAnsi="宋体" w:cs="宋体"/>
          <w:szCs w:val="21"/>
          <w:highlight w:val="none"/>
        </w:rPr>
        <w:t>详细技术参数及执行标准、规格等详见招标文件中的第四篇用户需求书。</w:t>
      </w:r>
    </w:p>
    <w:p>
      <w:pPr>
        <w:widowControl/>
        <w:spacing w:line="360" w:lineRule="auto"/>
        <w:ind w:left="420"/>
        <w:rPr>
          <w:rFonts w:hAnsi="宋体" w:cs="宋体"/>
          <w:szCs w:val="21"/>
          <w:highlight w:val="none"/>
        </w:rPr>
      </w:pPr>
      <w:r>
        <w:rPr>
          <w:rFonts w:hint="eastAsia" w:hAnsi="宋体" w:cs="宋体"/>
          <w:szCs w:val="21"/>
          <w:highlight w:val="none"/>
        </w:rPr>
        <w:t>1.2 本项目适用的扶持性政策</w:t>
      </w:r>
    </w:p>
    <w:p>
      <w:pPr>
        <w:widowControl/>
        <w:spacing w:line="360" w:lineRule="auto"/>
        <w:ind w:left="840"/>
        <w:rPr>
          <w:rFonts w:hAnsi="宋体" w:cs="宋体"/>
          <w:szCs w:val="21"/>
          <w:highlight w:val="none"/>
        </w:rPr>
      </w:pPr>
      <w:r>
        <w:rPr>
          <w:rFonts w:hint="eastAsia" w:hAnsi="宋体" w:cs="宋体"/>
          <w:szCs w:val="21"/>
          <w:highlight w:val="none"/>
        </w:rPr>
        <w:t>1.2.1 《政府采购促进中小企业发展管理办法》(财库(2020)46号)</w:t>
      </w:r>
    </w:p>
    <w:p>
      <w:pPr>
        <w:widowControl/>
        <w:spacing w:line="360" w:lineRule="auto"/>
        <w:ind w:left="840"/>
        <w:rPr>
          <w:rFonts w:hAnsi="宋体" w:cs="宋体"/>
          <w:szCs w:val="21"/>
          <w:highlight w:val="none"/>
        </w:rPr>
      </w:pPr>
      <w:r>
        <w:rPr>
          <w:rFonts w:hint="eastAsia" w:hAnsi="宋体" w:cs="宋体"/>
          <w:szCs w:val="21"/>
          <w:highlight w:val="none"/>
        </w:rPr>
        <w:t>1.2.2 《关于政府采购支持监狱企业发展有关问题的通知》(财库〔2014〕68号)</w:t>
      </w:r>
    </w:p>
    <w:p>
      <w:pPr>
        <w:widowControl/>
        <w:spacing w:line="360" w:lineRule="auto"/>
        <w:ind w:left="840"/>
        <w:rPr>
          <w:rFonts w:hAnsi="宋体" w:cs="宋体"/>
          <w:szCs w:val="21"/>
          <w:highlight w:val="none"/>
        </w:rPr>
      </w:pPr>
      <w:r>
        <w:rPr>
          <w:rFonts w:hint="eastAsia" w:hAnsi="宋体" w:cs="宋体"/>
          <w:szCs w:val="21"/>
          <w:highlight w:val="none"/>
        </w:rPr>
        <w:t>1.2.3 《关于促进残疾人就业政府采购政策的通知》（财库〔2017〕141号)</w:t>
      </w:r>
    </w:p>
    <w:p>
      <w:pPr>
        <w:widowControl/>
        <w:spacing w:line="360" w:lineRule="auto"/>
        <w:ind w:left="420"/>
        <w:rPr>
          <w:rFonts w:hAnsi="宋体" w:cs="宋体"/>
          <w:szCs w:val="21"/>
          <w:highlight w:val="none"/>
        </w:rPr>
      </w:pPr>
      <w:r>
        <w:rPr>
          <w:rFonts w:hint="eastAsia" w:hAnsi="宋体" w:cs="宋体"/>
          <w:szCs w:val="21"/>
          <w:highlight w:val="none"/>
        </w:rPr>
        <w:t>2.采购项目品目：详见招标公告</w:t>
      </w:r>
    </w:p>
    <w:p>
      <w:pPr>
        <w:widowControl/>
        <w:spacing w:line="360" w:lineRule="auto"/>
        <w:ind w:left="420"/>
        <w:rPr>
          <w:rFonts w:hAnsi="宋体" w:cs="宋体"/>
          <w:szCs w:val="21"/>
          <w:highlight w:val="none"/>
        </w:rPr>
      </w:pPr>
      <w:r>
        <w:rPr>
          <w:rFonts w:hint="eastAsia" w:hAnsi="宋体" w:cs="宋体"/>
          <w:szCs w:val="21"/>
          <w:highlight w:val="none"/>
        </w:rPr>
        <w:t>3.项目基本情况介绍：</w:t>
      </w:r>
    </w:p>
    <w:p>
      <w:pPr>
        <w:widowControl/>
        <w:spacing w:line="360" w:lineRule="auto"/>
        <w:ind w:firstLine="560"/>
        <w:rPr>
          <w:rFonts w:hAnsi="宋体" w:cs="宋体"/>
          <w:szCs w:val="21"/>
          <w:highlight w:val="none"/>
        </w:rPr>
      </w:pPr>
      <w:r>
        <w:rPr>
          <w:rFonts w:hint="eastAsia" w:hAnsi="宋体" w:cs="宋体"/>
          <w:szCs w:val="21"/>
          <w:highlight w:val="none"/>
        </w:rPr>
        <w:t>本次采购是为了满足国家海洋局南海标准计量中心的业务需求。</w:t>
      </w:r>
    </w:p>
    <w:p>
      <w:pPr>
        <w:widowControl/>
        <w:spacing w:line="360" w:lineRule="auto"/>
        <w:ind w:firstLine="588"/>
        <w:rPr>
          <w:rFonts w:hAnsi="宋体" w:cs="宋体"/>
          <w:szCs w:val="21"/>
          <w:highlight w:val="none"/>
        </w:rPr>
      </w:pPr>
      <w:r>
        <w:rPr>
          <w:rFonts w:hint="eastAsia" w:hAnsi="宋体" w:cs="宋体"/>
          <w:szCs w:val="21"/>
          <w:highlight w:val="none"/>
        </w:rPr>
        <w:t>五、供应商资格：</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1.供应商应具备《政府采购法》第二十二条规定的条件；</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2.落实政府采购政策需满足的资格要求：本项目属于专门面向中小企业采购的项目。（本项目所属行业：其他服务业</w:t>
      </w:r>
      <w:bookmarkStart w:id="51" w:name="_GoBack"/>
      <w:bookmarkEnd w:id="51"/>
      <w:r>
        <w:rPr>
          <w:rFonts w:hint="eastAsia" w:hAnsi="宋体" w:cs="宋体"/>
          <w:szCs w:val="21"/>
          <w:highlight w:val="none"/>
        </w:rPr>
        <w:t>）</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3.具有独立民事责任的法人、其他组织或者自然人，并取得合法工商执照或者其它法人（负责人）证书，如供应商为自然人的需提供自然人身份证明。</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4.信用记录：供应商未被列入“信用中国”网站(www.creditchina.gov.cn)“失信被执行人或重大税收违法失信主体或政府采购严重违法失信行为记录名单”记录名单；不处于中国政府采购网(www.ccgp.gov.cn)“政府采购严重违法失信行为信息记录”中的禁止参加政府采购活动期间。（以采购代理机构在投标（响应）截止日当天在“信用中国”网站（www.creditchina.gov.cn）及中国政府采购网(www.ccgp.gov.cn)查询结果为准，注：如相关失信记录已失效，供应商需提供相关证明资料。）</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5.具备</w:t>
      </w:r>
      <w:r>
        <w:rPr>
          <w:rFonts w:hint="eastAsia" w:hAnsi="宋体"/>
          <w:szCs w:val="21"/>
          <w:highlight w:val="none"/>
        </w:rPr>
        <w:t>《劳务派遣经营许可证》</w:t>
      </w:r>
      <w:r>
        <w:rPr>
          <w:rFonts w:hint="eastAsia" w:hAnsi="宋体" w:cs="宋体"/>
          <w:szCs w:val="21"/>
          <w:highlight w:val="none"/>
        </w:rPr>
        <w:t>；</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6.提供</w:t>
      </w:r>
      <w:r>
        <w:rPr>
          <w:rFonts w:hint="eastAsia"/>
          <w:highlight w:val="none"/>
        </w:rPr>
        <w:t>近6个月</w:t>
      </w:r>
      <w:r>
        <w:rPr>
          <w:rFonts w:hint="eastAsia" w:hAnsi="宋体" w:cs="宋体"/>
          <w:szCs w:val="21"/>
          <w:highlight w:val="none"/>
        </w:rPr>
        <w:t>内任意一个月的依法缴纳社会保险的证明（缴费凭证）复印件，如依法不需要缴纳社会保障资金的，应提供相应文件证明其依法不需要缴纳社会保障资金；</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7.提供</w:t>
      </w:r>
      <w:r>
        <w:rPr>
          <w:rFonts w:hint="eastAsia"/>
          <w:highlight w:val="none"/>
        </w:rPr>
        <w:t>近6个月</w:t>
      </w:r>
      <w:r>
        <w:rPr>
          <w:rFonts w:hint="eastAsia" w:hAnsi="宋体" w:cs="宋体"/>
          <w:szCs w:val="21"/>
          <w:highlight w:val="none"/>
        </w:rPr>
        <w:t>内任意一个月的依法缴纳税收的证明（纳税凭证）复印件，如依法免税的，应提供相应文件证明其依法免税；</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8.本项目不接受联合体投标；</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9.供应商参加政府采购活动前三年内，在经营活动中没有重大违法记录（可参照报价函相关承诺格式内容）。重大违法记录，是指供应商因违法经营受到刑事处罚或者责令停产停业、吊销许可证或者执照、较大数额罚款等行政处罚。（较大数额罚款按照财库〔2022〕3号文，“较大数额罚款”认定为200万元以上的罚款，法律、行政法规以及国务院有关部门明确规定相关领域“较大数额罚款”标准高于200万元的，从其规定。）</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10.提供履行合同所必需的设备和专业技术能力的书面声明；（提供《资格声明书》，格式详见招标文件附表2.2）。</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11.存在隶属关系或同属一母公司或法人的企业，仅能由一家企业参与投标。</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12.已办理报名并成功购买本招标文件的供应商。</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六、获取招标文件：</w:t>
      </w:r>
    </w:p>
    <w:p>
      <w:pPr>
        <w:spacing w:line="360" w:lineRule="auto"/>
        <w:ind w:right="-34" w:firstLine="735" w:firstLineChars="350"/>
        <w:jc w:val="both"/>
        <w:rPr>
          <w:rFonts w:hAnsi="宋体" w:cs="宋体"/>
          <w:szCs w:val="21"/>
          <w:highlight w:val="none"/>
        </w:rPr>
      </w:pPr>
      <w:r>
        <w:rPr>
          <w:rFonts w:hAnsi="宋体" w:cs="宋体"/>
          <w:szCs w:val="21"/>
          <w:highlight w:val="none"/>
        </w:rPr>
        <w:t>1.</w:t>
      </w:r>
      <w:r>
        <w:rPr>
          <w:rFonts w:hint="eastAsia" w:hAnsi="宋体" w:cs="宋体"/>
          <w:szCs w:val="21"/>
          <w:highlight w:val="none"/>
        </w:rPr>
        <w:t>时间：</w:t>
      </w:r>
      <w:r>
        <w:rPr>
          <w:rFonts w:hAnsi="宋体" w:cs="宋体"/>
          <w:szCs w:val="21"/>
          <w:highlight w:val="none"/>
        </w:rPr>
        <w:t>2022</w:t>
      </w:r>
      <w:r>
        <w:rPr>
          <w:rFonts w:hint="eastAsia" w:hAnsi="宋体" w:cs="宋体"/>
          <w:szCs w:val="21"/>
          <w:highlight w:val="none"/>
        </w:rPr>
        <w:t>年</w:t>
      </w:r>
      <w:r>
        <w:rPr>
          <w:rFonts w:hAnsi="宋体" w:cs="宋体"/>
          <w:szCs w:val="21"/>
          <w:highlight w:val="none"/>
        </w:rPr>
        <w:t>12</w:t>
      </w:r>
      <w:r>
        <w:rPr>
          <w:rFonts w:hint="eastAsia" w:hAnsi="宋体" w:cs="宋体"/>
          <w:szCs w:val="21"/>
          <w:highlight w:val="none"/>
        </w:rPr>
        <w:t>月</w:t>
      </w:r>
      <w:r>
        <w:rPr>
          <w:rFonts w:hint="eastAsia" w:hAnsi="宋体" w:cs="宋体"/>
          <w:szCs w:val="21"/>
          <w:highlight w:val="none"/>
          <w:lang w:val="en-US" w:eastAsia="zh-CN"/>
        </w:rPr>
        <w:t>26</w:t>
      </w:r>
      <w:r>
        <w:rPr>
          <w:rFonts w:hint="eastAsia" w:hAnsi="宋体" w:cs="宋体"/>
          <w:szCs w:val="21"/>
          <w:highlight w:val="none"/>
        </w:rPr>
        <w:t>日至</w:t>
      </w:r>
      <w:r>
        <w:rPr>
          <w:rFonts w:hAnsi="宋体" w:cs="宋体"/>
          <w:szCs w:val="21"/>
          <w:highlight w:val="none"/>
        </w:rPr>
        <w:t>202</w:t>
      </w:r>
      <w:r>
        <w:rPr>
          <w:rFonts w:hint="eastAsia" w:hAnsi="宋体" w:cs="宋体"/>
          <w:szCs w:val="21"/>
          <w:highlight w:val="none"/>
          <w:lang w:val="en-US" w:eastAsia="zh-CN"/>
        </w:rPr>
        <w:t>3</w:t>
      </w:r>
      <w:r>
        <w:rPr>
          <w:rFonts w:hint="eastAsia" w:hAnsi="宋体" w:cs="宋体"/>
          <w:szCs w:val="21"/>
          <w:highlight w:val="none"/>
        </w:rPr>
        <w:t>年</w:t>
      </w:r>
      <w:r>
        <w:rPr>
          <w:rFonts w:hint="eastAsia" w:hAnsi="宋体" w:cs="宋体"/>
          <w:szCs w:val="21"/>
          <w:highlight w:val="none"/>
          <w:lang w:val="en-US" w:eastAsia="zh-CN"/>
        </w:rPr>
        <w:t>1</w:t>
      </w:r>
      <w:r>
        <w:rPr>
          <w:rFonts w:hint="eastAsia" w:hAnsi="宋体" w:cs="宋体"/>
          <w:szCs w:val="21"/>
          <w:highlight w:val="none"/>
        </w:rPr>
        <w:t>月</w:t>
      </w:r>
      <w:r>
        <w:rPr>
          <w:rFonts w:hint="eastAsia" w:hAnsi="宋体" w:cs="宋体"/>
          <w:szCs w:val="21"/>
          <w:highlight w:val="none"/>
          <w:lang w:val="en-US" w:eastAsia="zh-CN"/>
        </w:rPr>
        <w:t>3</w:t>
      </w:r>
      <w:r>
        <w:rPr>
          <w:rFonts w:hint="eastAsia" w:hAnsi="宋体" w:cs="宋体"/>
          <w:szCs w:val="21"/>
          <w:highlight w:val="none"/>
        </w:rPr>
        <w:t>日，每天上午</w:t>
      </w:r>
      <w:r>
        <w:rPr>
          <w:rFonts w:hAnsi="宋体" w:cs="宋体"/>
          <w:szCs w:val="21"/>
          <w:highlight w:val="none"/>
        </w:rPr>
        <w:t>0</w:t>
      </w:r>
      <w:r>
        <w:rPr>
          <w:rFonts w:hint="eastAsia" w:hAnsi="宋体" w:cs="宋体"/>
          <w:szCs w:val="21"/>
          <w:highlight w:val="none"/>
          <w:lang w:val="en-US" w:eastAsia="zh-CN"/>
        </w:rPr>
        <w:t>9</w:t>
      </w:r>
      <w:r>
        <w:rPr>
          <w:rFonts w:hAnsi="宋体" w:cs="宋体"/>
          <w:szCs w:val="21"/>
          <w:highlight w:val="none"/>
        </w:rPr>
        <w:t>:00</w:t>
      </w:r>
      <w:r>
        <w:rPr>
          <w:rFonts w:hint="eastAsia" w:hAnsi="宋体" w:cs="宋体"/>
          <w:szCs w:val="21"/>
          <w:highlight w:val="none"/>
        </w:rPr>
        <w:t>至</w:t>
      </w:r>
      <w:r>
        <w:rPr>
          <w:rFonts w:hAnsi="宋体" w:cs="宋体"/>
          <w:szCs w:val="21"/>
          <w:highlight w:val="none"/>
        </w:rPr>
        <w:t>12:00</w:t>
      </w:r>
      <w:r>
        <w:rPr>
          <w:rFonts w:hint="eastAsia" w:hAnsi="宋体" w:cs="宋体"/>
          <w:szCs w:val="21"/>
          <w:highlight w:val="none"/>
        </w:rPr>
        <w:t>，下午</w:t>
      </w:r>
      <w:r>
        <w:rPr>
          <w:rFonts w:hAnsi="宋体" w:cs="宋体"/>
          <w:szCs w:val="21"/>
          <w:highlight w:val="none"/>
        </w:rPr>
        <w:t>1</w:t>
      </w:r>
      <w:r>
        <w:rPr>
          <w:rFonts w:hint="eastAsia" w:hAnsi="宋体" w:cs="宋体"/>
          <w:szCs w:val="21"/>
          <w:highlight w:val="none"/>
          <w:lang w:val="en-US" w:eastAsia="zh-CN"/>
        </w:rPr>
        <w:t>4</w:t>
      </w:r>
      <w:r>
        <w:rPr>
          <w:rFonts w:hAnsi="宋体" w:cs="宋体"/>
          <w:szCs w:val="21"/>
          <w:highlight w:val="none"/>
        </w:rPr>
        <w:t>:</w:t>
      </w:r>
      <w:r>
        <w:rPr>
          <w:rFonts w:hint="eastAsia" w:hAnsi="宋体" w:cs="宋体"/>
          <w:szCs w:val="21"/>
          <w:highlight w:val="none"/>
          <w:lang w:val="en-US" w:eastAsia="zh-CN"/>
        </w:rPr>
        <w:t>3</w:t>
      </w:r>
      <w:r>
        <w:rPr>
          <w:rFonts w:hAnsi="宋体" w:cs="宋体"/>
          <w:szCs w:val="21"/>
          <w:highlight w:val="none"/>
        </w:rPr>
        <w:t>0</w:t>
      </w:r>
      <w:r>
        <w:rPr>
          <w:rFonts w:hint="eastAsia" w:hAnsi="宋体" w:cs="宋体"/>
          <w:szCs w:val="21"/>
          <w:highlight w:val="none"/>
        </w:rPr>
        <w:t>至</w:t>
      </w:r>
      <w:r>
        <w:rPr>
          <w:rFonts w:hint="eastAsia" w:hAnsi="宋体" w:cs="宋体"/>
          <w:szCs w:val="21"/>
          <w:highlight w:val="none"/>
          <w:lang w:val="en-US" w:eastAsia="zh-CN"/>
        </w:rPr>
        <w:t>17</w:t>
      </w:r>
      <w:r>
        <w:rPr>
          <w:rFonts w:hAnsi="宋体" w:cs="宋体"/>
          <w:szCs w:val="21"/>
          <w:highlight w:val="none"/>
        </w:rPr>
        <w:t>:</w:t>
      </w:r>
      <w:r>
        <w:rPr>
          <w:rFonts w:hint="eastAsia" w:hAnsi="宋体" w:cs="宋体"/>
          <w:szCs w:val="21"/>
          <w:highlight w:val="none"/>
          <w:lang w:val="en-US" w:eastAsia="zh-CN"/>
        </w:rPr>
        <w:t>30</w:t>
      </w:r>
      <w:r>
        <w:rPr>
          <w:rFonts w:hint="eastAsia" w:hAnsi="宋体" w:cs="宋体"/>
          <w:szCs w:val="21"/>
          <w:highlight w:val="none"/>
        </w:rPr>
        <w:t>。（北京时间，法定节假日除外。）</w:t>
      </w:r>
    </w:p>
    <w:p>
      <w:pPr>
        <w:spacing w:line="360" w:lineRule="auto"/>
        <w:ind w:right="-34" w:firstLine="735" w:firstLineChars="350"/>
        <w:jc w:val="both"/>
        <w:rPr>
          <w:rFonts w:hAnsi="宋体" w:cs="宋体"/>
          <w:szCs w:val="21"/>
          <w:highlight w:val="none"/>
        </w:rPr>
      </w:pPr>
      <w:r>
        <w:rPr>
          <w:rFonts w:hAnsi="宋体" w:cs="宋体"/>
          <w:szCs w:val="21"/>
          <w:highlight w:val="none"/>
        </w:rPr>
        <w:t>2.</w:t>
      </w:r>
      <w:r>
        <w:rPr>
          <w:rFonts w:hint="eastAsia" w:hAnsi="宋体" w:cs="宋体"/>
          <w:szCs w:val="21"/>
          <w:highlight w:val="none"/>
        </w:rPr>
        <w:t>地点：远东电子交易平台（详细可查看下载专区的《供应商操作手册》。））</w:t>
      </w:r>
    </w:p>
    <w:p>
      <w:pPr>
        <w:spacing w:line="360" w:lineRule="auto"/>
        <w:ind w:right="-34" w:firstLine="735" w:firstLineChars="350"/>
        <w:jc w:val="both"/>
        <w:rPr>
          <w:rFonts w:hAnsi="宋体" w:cs="宋体"/>
          <w:szCs w:val="21"/>
          <w:highlight w:val="none"/>
        </w:rPr>
      </w:pPr>
      <w:r>
        <w:rPr>
          <w:rFonts w:hint="eastAsia" w:hAnsi="宋体" w:cs="宋体"/>
          <w:szCs w:val="21"/>
          <w:highlight w:val="none"/>
        </w:rPr>
        <w:t>注意：本项目采购文件只在远东电子交易平台在线上发售，报价供应商在购买采购文件之前，登陆广东远东招标代理有限公司网站（远东电子交易平台）进行网上注册。有关网上注册、报名相关疑问，可至电（代理机构）高小姐，联系方式：</w:t>
      </w:r>
      <w:r>
        <w:rPr>
          <w:rFonts w:hAnsi="宋体" w:cs="宋体"/>
          <w:szCs w:val="21"/>
          <w:highlight w:val="none"/>
        </w:rPr>
        <w:t>020-83642820-</w:t>
      </w:r>
      <w:r>
        <w:rPr>
          <w:rFonts w:hint="eastAsia" w:hAnsi="宋体" w:cs="宋体"/>
          <w:szCs w:val="21"/>
          <w:highlight w:val="none"/>
        </w:rPr>
        <w:t>826。</w:t>
      </w:r>
    </w:p>
    <w:p>
      <w:pPr>
        <w:spacing w:line="360" w:lineRule="auto"/>
        <w:ind w:right="-34" w:firstLine="735" w:firstLineChars="350"/>
        <w:jc w:val="both"/>
        <w:rPr>
          <w:rFonts w:hAnsi="宋体" w:cs="宋体"/>
          <w:szCs w:val="21"/>
          <w:highlight w:val="none"/>
        </w:rPr>
      </w:pPr>
      <w:r>
        <w:rPr>
          <w:rFonts w:hAnsi="宋体" w:cs="宋体"/>
          <w:szCs w:val="21"/>
          <w:highlight w:val="none"/>
        </w:rPr>
        <w:t>3.</w:t>
      </w:r>
      <w:r>
        <w:rPr>
          <w:rFonts w:hint="eastAsia" w:hAnsi="宋体" w:cs="宋体"/>
          <w:szCs w:val="21"/>
          <w:highlight w:val="none"/>
        </w:rPr>
        <w:t>方式：自行下载。</w:t>
      </w:r>
    </w:p>
    <w:p>
      <w:pPr>
        <w:spacing w:line="360" w:lineRule="auto"/>
        <w:ind w:right="-34" w:firstLine="735" w:firstLineChars="350"/>
        <w:jc w:val="both"/>
        <w:rPr>
          <w:highlight w:val="none"/>
        </w:rPr>
      </w:pPr>
      <w:r>
        <w:rPr>
          <w:rFonts w:hAnsi="宋体" w:cs="宋体"/>
          <w:szCs w:val="21"/>
          <w:highlight w:val="none"/>
        </w:rPr>
        <w:t>4.</w:t>
      </w:r>
      <w:r>
        <w:rPr>
          <w:rFonts w:hint="eastAsia" w:hAnsi="宋体" w:cs="宋体"/>
          <w:szCs w:val="21"/>
          <w:highlight w:val="none"/>
        </w:rPr>
        <w:t>售价：￥50</w:t>
      </w:r>
      <w:r>
        <w:rPr>
          <w:rFonts w:hAnsi="宋体" w:cs="宋体"/>
          <w:szCs w:val="21"/>
          <w:highlight w:val="none"/>
        </w:rPr>
        <w:t>0.00</w:t>
      </w:r>
      <w:r>
        <w:rPr>
          <w:rFonts w:hint="eastAsia" w:hAnsi="宋体" w:cs="宋体"/>
          <w:szCs w:val="21"/>
          <w:highlight w:val="none"/>
        </w:rPr>
        <w:t>元，本公告包含的采购文件售价总和。</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七、投标截止时间：202</w:t>
      </w:r>
      <w:r>
        <w:rPr>
          <w:rFonts w:hint="eastAsia" w:hAnsi="宋体" w:cs="宋体"/>
          <w:szCs w:val="21"/>
          <w:highlight w:val="none"/>
          <w:lang w:val="en-US" w:eastAsia="zh-CN"/>
        </w:rPr>
        <w:t>3</w:t>
      </w:r>
      <w:r>
        <w:rPr>
          <w:rFonts w:hint="eastAsia" w:hAnsi="宋体" w:cs="宋体"/>
          <w:szCs w:val="21"/>
          <w:highlight w:val="none"/>
        </w:rPr>
        <w:t>年</w:t>
      </w:r>
      <w:r>
        <w:rPr>
          <w:rFonts w:hint="eastAsia" w:hAnsi="宋体" w:cs="宋体"/>
          <w:szCs w:val="21"/>
          <w:highlight w:val="none"/>
          <w:lang w:val="en-US" w:eastAsia="zh-CN"/>
        </w:rPr>
        <w:t>1</w:t>
      </w:r>
      <w:r>
        <w:rPr>
          <w:rFonts w:hint="eastAsia" w:hAnsi="宋体" w:cs="宋体"/>
          <w:szCs w:val="21"/>
          <w:highlight w:val="none"/>
        </w:rPr>
        <w:t>月</w:t>
      </w:r>
      <w:r>
        <w:rPr>
          <w:rFonts w:hint="eastAsia" w:hAnsi="宋体" w:cs="宋体"/>
          <w:szCs w:val="21"/>
          <w:highlight w:val="none"/>
          <w:lang w:val="en-US" w:eastAsia="zh-CN"/>
        </w:rPr>
        <w:t>16</w:t>
      </w:r>
      <w:r>
        <w:rPr>
          <w:rFonts w:hint="eastAsia" w:hAnsi="宋体" w:cs="宋体"/>
          <w:szCs w:val="21"/>
          <w:highlight w:val="none"/>
        </w:rPr>
        <w:t>日09时30分</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八、投标文件递交地点：广州市越秀区越秀北路222号越良大厦13楼开标室</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九、开标评标时间：202</w:t>
      </w:r>
      <w:r>
        <w:rPr>
          <w:rFonts w:hint="eastAsia" w:hAnsi="宋体" w:cs="宋体"/>
          <w:szCs w:val="21"/>
          <w:highlight w:val="none"/>
          <w:lang w:val="en-US" w:eastAsia="zh-CN"/>
        </w:rPr>
        <w:t>3</w:t>
      </w:r>
      <w:r>
        <w:rPr>
          <w:rFonts w:hint="eastAsia" w:hAnsi="宋体" w:cs="宋体"/>
          <w:szCs w:val="21"/>
          <w:highlight w:val="none"/>
        </w:rPr>
        <w:t>年</w:t>
      </w:r>
      <w:r>
        <w:rPr>
          <w:rFonts w:hint="eastAsia" w:hAnsi="宋体" w:cs="宋体"/>
          <w:szCs w:val="21"/>
          <w:highlight w:val="none"/>
          <w:lang w:val="en-US" w:eastAsia="zh-CN"/>
        </w:rPr>
        <w:t>1</w:t>
      </w:r>
      <w:r>
        <w:rPr>
          <w:rFonts w:hint="eastAsia" w:hAnsi="宋体" w:cs="宋体"/>
          <w:szCs w:val="21"/>
          <w:highlight w:val="none"/>
        </w:rPr>
        <w:t>月</w:t>
      </w:r>
      <w:r>
        <w:rPr>
          <w:rFonts w:hint="eastAsia" w:hAnsi="宋体" w:cs="宋体"/>
          <w:szCs w:val="21"/>
          <w:highlight w:val="none"/>
          <w:lang w:val="en-US" w:eastAsia="zh-CN"/>
        </w:rPr>
        <w:t>16</w:t>
      </w:r>
      <w:r>
        <w:rPr>
          <w:rFonts w:hint="eastAsia" w:hAnsi="宋体" w:cs="宋体"/>
          <w:szCs w:val="21"/>
          <w:highlight w:val="none"/>
        </w:rPr>
        <w:t>日09时30分</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十、开标评标地点：广州市越秀区越秀北路222号越良大厦13楼开标室</w:t>
      </w:r>
    </w:p>
    <w:p>
      <w:pPr>
        <w:spacing w:line="360" w:lineRule="auto"/>
        <w:ind w:right="-34" w:firstLine="420" w:firstLineChars="200"/>
        <w:jc w:val="both"/>
        <w:rPr>
          <w:rFonts w:hAnsi="宋体" w:cs="宋体"/>
          <w:szCs w:val="21"/>
          <w:highlight w:val="none"/>
        </w:rPr>
      </w:pPr>
      <w:r>
        <w:rPr>
          <w:rFonts w:hint="eastAsia" w:hAnsi="宋体" w:cs="宋体"/>
          <w:szCs w:val="21"/>
          <w:highlight w:val="none"/>
        </w:rPr>
        <w:t>十一、本公告期限（5个工作日）自2022年</w:t>
      </w:r>
      <w:r>
        <w:rPr>
          <w:rFonts w:hint="eastAsia" w:hAnsi="宋体" w:cs="宋体"/>
          <w:szCs w:val="21"/>
          <w:highlight w:val="none"/>
          <w:lang w:val="en-US" w:eastAsia="zh-CN"/>
        </w:rPr>
        <w:t>12</w:t>
      </w:r>
      <w:r>
        <w:rPr>
          <w:rFonts w:hint="eastAsia" w:hAnsi="宋体" w:cs="宋体"/>
          <w:szCs w:val="21"/>
          <w:highlight w:val="none"/>
        </w:rPr>
        <w:t>月</w:t>
      </w:r>
      <w:r>
        <w:rPr>
          <w:rFonts w:hint="eastAsia" w:hAnsi="宋体" w:cs="宋体"/>
          <w:szCs w:val="21"/>
          <w:highlight w:val="none"/>
          <w:lang w:val="en-US" w:eastAsia="zh-CN"/>
        </w:rPr>
        <w:t>26</w:t>
      </w:r>
      <w:r>
        <w:rPr>
          <w:rFonts w:hint="eastAsia" w:hAnsi="宋体" w:cs="宋体"/>
          <w:szCs w:val="21"/>
          <w:highlight w:val="none"/>
        </w:rPr>
        <w:t>日至202</w:t>
      </w:r>
      <w:r>
        <w:rPr>
          <w:rFonts w:hint="eastAsia" w:hAnsi="宋体" w:cs="宋体"/>
          <w:szCs w:val="21"/>
          <w:highlight w:val="none"/>
          <w:lang w:val="en-US" w:eastAsia="zh-CN"/>
        </w:rPr>
        <w:t>3</w:t>
      </w:r>
      <w:r>
        <w:rPr>
          <w:rFonts w:hint="eastAsia" w:hAnsi="宋体" w:cs="宋体"/>
          <w:szCs w:val="21"/>
          <w:highlight w:val="none"/>
        </w:rPr>
        <w:t>年</w:t>
      </w:r>
      <w:r>
        <w:rPr>
          <w:rFonts w:hint="eastAsia" w:hAnsi="宋体" w:cs="宋体"/>
          <w:szCs w:val="21"/>
          <w:highlight w:val="none"/>
          <w:lang w:val="en-US" w:eastAsia="zh-CN"/>
        </w:rPr>
        <w:t>1</w:t>
      </w:r>
      <w:r>
        <w:rPr>
          <w:rFonts w:hint="eastAsia" w:hAnsi="宋体" w:cs="宋体"/>
          <w:szCs w:val="21"/>
          <w:highlight w:val="none"/>
        </w:rPr>
        <w:t>月</w:t>
      </w:r>
      <w:r>
        <w:rPr>
          <w:rFonts w:hint="eastAsia" w:hAnsi="宋体" w:cs="宋体"/>
          <w:szCs w:val="21"/>
          <w:highlight w:val="none"/>
          <w:lang w:val="en-US" w:eastAsia="zh-CN"/>
        </w:rPr>
        <w:t>3</w:t>
      </w:r>
      <w:r>
        <w:rPr>
          <w:rFonts w:hint="eastAsia" w:hAnsi="宋体" w:cs="宋体"/>
          <w:szCs w:val="21"/>
          <w:highlight w:val="none"/>
        </w:rPr>
        <w:t>日止。</w:t>
      </w:r>
    </w:p>
    <w:tbl>
      <w:tblPr>
        <w:tblStyle w:val="49"/>
        <w:tblW w:w="9587" w:type="dxa"/>
        <w:tblInd w:w="160" w:type="dxa"/>
        <w:tblLayout w:type="fixed"/>
        <w:tblCellMar>
          <w:top w:w="0" w:type="dxa"/>
          <w:left w:w="0" w:type="dxa"/>
          <w:bottom w:w="0" w:type="dxa"/>
          <w:right w:w="0" w:type="dxa"/>
        </w:tblCellMar>
      </w:tblPr>
      <w:tblGrid>
        <w:gridCol w:w="1933"/>
        <w:gridCol w:w="3415"/>
        <w:gridCol w:w="1620"/>
        <w:gridCol w:w="2619"/>
      </w:tblGrid>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代理机构联系人：</w:t>
            </w:r>
          </w:p>
        </w:tc>
        <w:tc>
          <w:tcPr>
            <w:tcW w:w="3415"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高小姐</w:t>
            </w:r>
          </w:p>
        </w:tc>
        <w:tc>
          <w:tcPr>
            <w:tcW w:w="1620" w:type="dxa"/>
            <w:tcMar>
              <w:top w:w="0" w:type="dxa"/>
              <w:left w:w="108" w:type="dxa"/>
              <w:bottom w:w="0" w:type="dxa"/>
              <w:right w:w="108" w:type="dxa"/>
            </w:tcMar>
          </w:tcPr>
          <w:p>
            <w:pPr>
              <w:widowControl/>
              <w:snapToGrid w:val="0"/>
              <w:rPr>
                <w:rFonts w:hAnsi="宋体" w:cs="宋体"/>
                <w:szCs w:val="21"/>
                <w:highlight w:val="none"/>
              </w:rPr>
            </w:pPr>
            <w:r>
              <w:rPr>
                <w:rFonts w:hint="eastAsia" w:hAnsi="宋体" w:cs="宋体"/>
                <w:szCs w:val="21"/>
                <w:highlight w:val="none"/>
              </w:rPr>
              <w:t>采购人联系人：</w:t>
            </w:r>
          </w:p>
        </w:tc>
        <w:tc>
          <w:tcPr>
            <w:tcW w:w="2619"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方先生</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电话：</w:t>
            </w:r>
          </w:p>
        </w:tc>
        <w:tc>
          <w:tcPr>
            <w:tcW w:w="3415"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020-83642820转826</w:t>
            </w:r>
          </w:p>
        </w:tc>
        <w:tc>
          <w:tcPr>
            <w:tcW w:w="1620" w:type="dxa"/>
            <w:tcMar>
              <w:top w:w="0" w:type="dxa"/>
              <w:left w:w="108" w:type="dxa"/>
              <w:bottom w:w="0" w:type="dxa"/>
              <w:right w:w="108" w:type="dxa"/>
            </w:tcMar>
          </w:tcPr>
          <w:p>
            <w:pPr>
              <w:widowControl/>
              <w:snapToGrid w:val="0"/>
              <w:rPr>
                <w:rFonts w:hAnsi="宋体" w:cs="宋体"/>
                <w:szCs w:val="21"/>
                <w:highlight w:val="none"/>
              </w:rPr>
            </w:pPr>
            <w:r>
              <w:rPr>
                <w:rFonts w:hint="eastAsia" w:hAnsi="宋体" w:cs="宋体"/>
                <w:szCs w:val="21"/>
                <w:highlight w:val="none"/>
              </w:rPr>
              <w:t>电话：</w:t>
            </w:r>
          </w:p>
        </w:tc>
        <w:tc>
          <w:tcPr>
            <w:tcW w:w="2619"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highlight w:val="none"/>
              </w:rPr>
              <w:t>020-84205272</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传真：</w:t>
            </w:r>
          </w:p>
        </w:tc>
        <w:tc>
          <w:tcPr>
            <w:tcW w:w="3415"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020-83642820转822</w:t>
            </w:r>
          </w:p>
        </w:tc>
        <w:tc>
          <w:tcPr>
            <w:tcW w:w="1620" w:type="dxa"/>
            <w:tcMar>
              <w:top w:w="0" w:type="dxa"/>
              <w:left w:w="108" w:type="dxa"/>
              <w:bottom w:w="0" w:type="dxa"/>
              <w:right w:w="108" w:type="dxa"/>
            </w:tcMar>
          </w:tcPr>
          <w:p>
            <w:pPr>
              <w:widowControl/>
              <w:snapToGrid w:val="0"/>
              <w:rPr>
                <w:rFonts w:hAnsi="宋体" w:cs="宋体"/>
                <w:szCs w:val="21"/>
                <w:highlight w:val="none"/>
              </w:rPr>
            </w:pPr>
            <w:r>
              <w:rPr>
                <w:rFonts w:hint="eastAsia" w:hAnsi="宋体" w:cs="宋体"/>
                <w:szCs w:val="21"/>
                <w:highlight w:val="none"/>
              </w:rPr>
              <w:t>传真：</w:t>
            </w:r>
          </w:p>
        </w:tc>
        <w:tc>
          <w:tcPr>
            <w:tcW w:w="2619"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highlight w:val="none"/>
              </w:rPr>
              <w:t>020-84205272</w:t>
            </w:r>
          </w:p>
        </w:tc>
      </w:tr>
      <w:tr>
        <w:tblPrEx>
          <w:tblCellMar>
            <w:top w:w="0" w:type="dxa"/>
            <w:left w:w="0" w:type="dxa"/>
            <w:bottom w:w="0" w:type="dxa"/>
            <w:right w:w="0" w:type="dxa"/>
          </w:tblCellMar>
        </w:tblPrEx>
        <w:trPr>
          <w:trHeight w:val="227" w:hRule="atLeast"/>
        </w:trPr>
        <w:tc>
          <w:tcPr>
            <w:tcW w:w="1933"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联系地址：</w:t>
            </w:r>
          </w:p>
        </w:tc>
        <w:tc>
          <w:tcPr>
            <w:tcW w:w="3415"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cs="宋体"/>
                <w:szCs w:val="21"/>
                <w:highlight w:val="none"/>
              </w:rPr>
              <w:t>广州市越秀区越秀北路222号越良大厦6楼</w:t>
            </w:r>
          </w:p>
        </w:tc>
        <w:tc>
          <w:tcPr>
            <w:tcW w:w="1620" w:type="dxa"/>
            <w:tcMar>
              <w:top w:w="0" w:type="dxa"/>
              <w:left w:w="108" w:type="dxa"/>
              <w:bottom w:w="0" w:type="dxa"/>
              <w:right w:w="108" w:type="dxa"/>
            </w:tcMar>
          </w:tcPr>
          <w:p>
            <w:pPr>
              <w:widowControl/>
              <w:snapToGrid w:val="0"/>
              <w:rPr>
                <w:rFonts w:hAnsi="宋体" w:cs="宋体"/>
                <w:szCs w:val="21"/>
                <w:highlight w:val="none"/>
              </w:rPr>
            </w:pPr>
            <w:r>
              <w:rPr>
                <w:rFonts w:hint="eastAsia" w:hAnsi="宋体" w:cs="宋体"/>
                <w:szCs w:val="21"/>
                <w:highlight w:val="none"/>
              </w:rPr>
              <w:t>联系地址：</w:t>
            </w:r>
          </w:p>
        </w:tc>
        <w:tc>
          <w:tcPr>
            <w:tcW w:w="2619" w:type="dxa"/>
            <w:tcMar>
              <w:top w:w="0" w:type="dxa"/>
              <w:left w:w="108" w:type="dxa"/>
              <w:bottom w:w="0" w:type="dxa"/>
              <w:right w:w="108" w:type="dxa"/>
            </w:tcMar>
          </w:tcPr>
          <w:p>
            <w:pPr>
              <w:widowControl/>
              <w:snapToGrid w:val="0"/>
              <w:spacing w:line="360" w:lineRule="auto"/>
              <w:rPr>
                <w:rFonts w:hAnsi="宋体" w:cs="宋体"/>
                <w:szCs w:val="21"/>
                <w:highlight w:val="none"/>
              </w:rPr>
            </w:pPr>
            <w:r>
              <w:rPr>
                <w:rFonts w:hint="eastAsia" w:hAnsi="宋体"/>
                <w:szCs w:val="21"/>
                <w:highlight w:val="none"/>
              </w:rPr>
              <w:t>广州市海珠区新港西路155号大院办公区域2号楼</w:t>
            </w:r>
          </w:p>
        </w:tc>
      </w:tr>
    </w:tbl>
    <w:p>
      <w:pPr>
        <w:widowControl/>
        <w:spacing w:line="360" w:lineRule="auto"/>
        <w:ind w:firstLine="4340"/>
        <w:jc w:val="right"/>
        <w:rPr>
          <w:rFonts w:hAnsi="宋体" w:cs="宋体"/>
          <w:szCs w:val="21"/>
          <w:highlight w:val="none"/>
        </w:rPr>
      </w:pPr>
    </w:p>
    <w:p>
      <w:pPr>
        <w:widowControl/>
        <w:spacing w:line="360" w:lineRule="auto"/>
        <w:ind w:firstLine="4340"/>
        <w:jc w:val="right"/>
        <w:rPr>
          <w:rFonts w:hAnsi="宋体" w:cs="宋体"/>
          <w:szCs w:val="21"/>
          <w:highlight w:val="none"/>
        </w:rPr>
      </w:pPr>
      <w:r>
        <w:rPr>
          <w:rFonts w:hint="eastAsia" w:hAnsi="宋体" w:cs="宋体"/>
          <w:szCs w:val="21"/>
          <w:highlight w:val="none"/>
        </w:rPr>
        <w:t>广东远东招标代理有限公司</w:t>
      </w:r>
    </w:p>
    <w:p>
      <w:pPr>
        <w:widowControl/>
        <w:spacing w:line="360" w:lineRule="auto"/>
        <w:ind w:right="315" w:firstLine="3920"/>
        <w:jc w:val="right"/>
        <w:rPr>
          <w:rFonts w:hAnsi="宋体" w:cs="宋体"/>
          <w:szCs w:val="21"/>
          <w:highlight w:val="none"/>
        </w:rPr>
      </w:pPr>
      <w:r>
        <w:rPr>
          <w:rFonts w:hint="eastAsia" w:hAnsi="宋体" w:cs="宋体"/>
          <w:szCs w:val="21"/>
          <w:highlight w:val="none"/>
        </w:rPr>
        <w:t>2022年</w:t>
      </w:r>
      <w:r>
        <w:rPr>
          <w:rFonts w:hAnsi="宋体" w:cs="宋体"/>
          <w:szCs w:val="21"/>
          <w:highlight w:val="none"/>
        </w:rPr>
        <w:t>12</w:t>
      </w:r>
      <w:r>
        <w:rPr>
          <w:rFonts w:hint="eastAsia" w:hAnsi="宋体" w:cs="宋体"/>
          <w:szCs w:val="21"/>
          <w:highlight w:val="none"/>
        </w:rPr>
        <w:t>月</w:t>
      </w:r>
      <w:r>
        <w:rPr>
          <w:rFonts w:hint="eastAsia" w:hAnsi="宋体" w:cs="宋体"/>
          <w:szCs w:val="21"/>
          <w:highlight w:val="none"/>
          <w:lang w:val="en-US" w:eastAsia="zh-CN"/>
        </w:rPr>
        <w:t>26</w:t>
      </w:r>
      <w:r>
        <w:rPr>
          <w:rFonts w:hint="eastAsia" w:hAnsi="宋体" w:cs="宋体"/>
          <w:szCs w:val="21"/>
          <w:highlight w:val="none"/>
        </w:rPr>
        <w:t>日</w:t>
      </w:r>
    </w:p>
    <w:p>
      <w:pPr>
        <w:pStyle w:val="4"/>
        <w:keepNext/>
        <w:keepLines/>
        <w:pageBreakBefore/>
        <w:tabs>
          <w:tab w:val="left" w:pos="1080"/>
        </w:tabs>
        <w:spacing w:line="360" w:lineRule="auto"/>
        <w:ind w:left="567" w:hanging="567"/>
        <w:jc w:val="center"/>
        <w:rPr>
          <w:rFonts w:hAnsi="宋体" w:cs="宋体"/>
          <w:b/>
          <w:bCs/>
          <w:kern w:val="44"/>
          <w:sz w:val="32"/>
          <w:szCs w:val="32"/>
          <w:highlight w:val="none"/>
          <w:lang w:val="zh-CN"/>
        </w:rPr>
      </w:pPr>
      <w:r>
        <w:rPr>
          <w:rFonts w:hint="eastAsia" w:hAnsi="宋体" w:cs="宋体"/>
          <w:b/>
          <w:bCs/>
          <w:kern w:val="44"/>
          <w:sz w:val="32"/>
          <w:szCs w:val="32"/>
          <w:highlight w:val="none"/>
          <w:lang w:val="zh-CN"/>
        </w:rPr>
        <w:t xml:space="preserve">  第二篇 </w:t>
      </w:r>
      <w:r>
        <w:rPr>
          <w:rFonts w:hint="eastAsia" w:hAnsi="宋体" w:cs="宋体"/>
          <w:b/>
          <w:bCs/>
          <w:kern w:val="44"/>
          <w:sz w:val="32"/>
          <w:szCs w:val="32"/>
          <w:highlight w:val="none"/>
          <w:lang w:val="zh-CN"/>
        </w:rPr>
        <w:tab/>
      </w:r>
      <w:r>
        <w:rPr>
          <w:rFonts w:hint="eastAsia" w:hAnsi="宋体" w:cs="宋体"/>
          <w:b/>
          <w:bCs/>
          <w:kern w:val="44"/>
          <w:sz w:val="32"/>
          <w:szCs w:val="32"/>
          <w:highlight w:val="none"/>
          <w:lang w:val="zh-CN"/>
        </w:rPr>
        <w:t>投标人须知</w:t>
      </w:r>
    </w:p>
    <w:p>
      <w:pPr>
        <w:pStyle w:val="4"/>
        <w:keepNext/>
        <w:keepLines/>
        <w:tabs>
          <w:tab w:val="left" w:pos="1134"/>
        </w:tabs>
        <w:spacing w:line="360" w:lineRule="auto"/>
        <w:ind w:left="1134" w:hanging="567"/>
        <w:jc w:val="center"/>
        <w:rPr>
          <w:rFonts w:hAnsi="宋体" w:cs="宋体"/>
          <w:b/>
          <w:bCs/>
          <w:kern w:val="44"/>
          <w:highlight w:val="none"/>
          <w:lang w:val="zh-CN"/>
        </w:rPr>
      </w:pPr>
      <w:r>
        <w:rPr>
          <w:rFonts w:hint="eastAsia" w:hAnsi="宋体" w:cs="宋体"/>
          <w:b/>
          <w:bCs/>
          <w:kern w:val="44"/>
          <w:highlight w:val="none"/>
          <w:lang w:val="zh-CN"/>
        </w:rPr>
        <w:t>一、投标须知前附表</w:t>
      </w:r>
    </w:p>
    <w:tbl>
      <w:tblPr>
        <w:tblStyle w:val="49"/>
        <w:tblW w:w="937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921"/>
        <w:gridCol w:w="67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blHeader/>
          <w:jc w:val="center"/>
        </w:trPr>
        <w:tc>
          <w:tcPr>
            <w:tcW w:w="699" w:type="dxa"/>
            <w:tcBorders>
              <w:top w:val="doub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项目</w:t>
            </w:r>
          </w:p>
        </w:tc>
        <w:tc>
          <w:tcPr>
            <w:tcW w:w="1921" w:type="dxa"/>
            <w:tcBorders>
              <w:top w:val="double" w:color="auto" w:sz="4" w:space="0"/>
              <w:left w:val="sing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内容</w:t>
            </w:r>
          </w:p>
        </w:tc>
        <w:tc>
          <w:tcPr>
            <w:tcW w:w="6756" w:type="dxa"/>
            <w:tcBorders>
              <w:top w:val="double" w:color="auto" w:sz="4" w:space="0"/>
              <w:left w:val="single" w:color="auto" w:sz="4" w:space="0"/>
              <w:bottom w:val="single" w:color="auto" w:sz="4" w:space="0"/>
              <w:right w:val="doub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资金来源</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财政资金。资金已落实。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restart"/>
            <w:tcBorders>
              <w:top w:val="single" w:color="auto" w:sz="4" w:space="0"/>
              <w:left w:val="doub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2</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合格的投标人</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u w:val="single"/>
              </w:rPr>
            </w:pPr>
            <w:r>
              <w:rPr>
                <w:rFonts w:hint="eastAsia" w:hAnsi="宋体" w:cs="宋体"/>
                <w:szCs w:val="21"/>
                <w:highlight w:val="none"/>
                <w:lang w:val="zh-CN"/>
              </w:rPr>
              <w:t>具体要求见本招标文件第一篇第五点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continue"/>
            <w:tcBorders>
              <w:left w:val="double" w:color="auto" w:sz="4" w:space="0"/>
              <w:right w:val="single" w:color="auto" w:sz="4" w:space="0"/>
            </w:tcBorders>
            <w:vAlign w:val="center"/>
          </w:tcPr>
          <w:p>
            <w:pPr>
              <w:spacing w:line="360" w:lineRule="auto"/>
              <w:ind w:left="125"/>
              <w:jc w:val="center"/>
              <w:rPr>
                <w:rFonts w:hAnsi="宋体" w:cs="宋体"/>
                <w:szCs w:val="21"/>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关于联合体</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ind w:right="-195" w:rightChars="-93"/>
              <w:rPr>
                <w:rFonts w:hAnsi="宋体" w:cs="宋体"/>
                <w:szCs w:val="21"/>
                <w:highlight w:val="none"/>
                <w:lang w:val="zh-CN"/>
              </w:rPr>
            </w:pPr>
            <w:r>
              <w:rPr>
                <w:rFonts w:hint="eastAsia" w:hAnsi="宋体" w:cs="宋体"/>
                <w:szCs w:val="21"/>
                <w:highlight w:val="none"/>
                <w:lang w:val="zh-CN"/>
              </w:rPr>
              <w:t>本项目不允许联合体投标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vMerge w:val="continue"/>
            <w:tcBorders>
              <w:left w:val="double" w:color="auto" w:sz="4" w:space="0"/>
              <w:right w:val="single" w:color="auto" w:sz="4" w:space="0"/>
            </w:tcBorders>
            <w:vAlign w:val="center"/>
          </w:tcPr>
          <w:p>
            <w:pPr>
              <w:spacing w:line="360" w:lineRule="auto"/>
              <w:ind w:left="125"/>
              <w:jc w:val="center"/>
              <w:rPr>
                <w:rFonts w:hAnsi="宋体" w:cs="宋体"/>
                <w:szCs w:val="21"/>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投标人所投货物必须满足条件</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详见第一篇《投标邀请书》中的规定。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699" w:type="dxa"/>
            <w:tcBorders>
              <w:left w:val="doub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3</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踏勘现场</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采购人不集中组织，由投标人自行踏勘。</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4</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rPr>
                <w:rFonts w:hAnsi="宋体" w:cs="宋体"/>
                <w:kern w:val="2"/>
                <w:szCs w:val="21"/>
                <w:highlight w:val="none"/>
                <w:lang w:val="zh-CN"/>
              </w:rPr>
            </w:pPr>
            <w:r>
              <w:rPr>
                <w:rFonts w:hint="eastAsia" w:hAnsi="宋体" w:cs="宋体"/>
                <w:kern w:val="2"/>
                <w:szCs w:val="21"/>
                <w:highlight w:val="none"/>
                <w:lang w:val="zh-CN"/>
              </w:rPr>
              <w:t>定义</w:t>
            </w:r>
          </w:p>
        </w:tc>
        <w:tc>
          <w:tcPr>
            <w:tcW w:w="6756" w:type="dxa"/>
            <w:tcBorders>
              <w:top w:val="single" w:color="auto" w:sz="4" w:space="0"/>
              <w:left w:val="single" w:color="auto" w:sz="4" w:space="0"/>
              <w:bottom w:val="single" w:color="auto" w:sz="4" w:space="0"/>
              <w:right w:val="double" w:color="auto" w:sz="4" w:space="0"/>
            </w:tcBorders>
            <w:vAlign w:val="center"/>
          </w:tcPr>
          <w:p>
            <w:pPr>
              <w:tabs>
                <w:tab w:val="left" w:pos="19"/>
                <w:tab w:val="left" w:pos="586"/>
              </w:tabs>
              <w:spacing w:line="360" w:lineRule="auto"/>
              <w:jc w:val="both"/>
              <w:rPr>
                <w:rFonts w:hAnsi="宋体" w:cs="宋体"/>
                <w:kern w:val="2"/>
                <w:szCs w:val="21"/>
                <w:highlight w:val="none"/>
                <w:lang w:val="zh-CN"/>
              </w:rPr>
            </w:pPr>
            <w:r>
              <w:rPr>
                <w:rFonts w:hint="eastAsia" w:hAnsi="宋体" w:cs="宋体"/>
                <w:kern w:val="2"/>
                <w:szCs w:val="21"/>
                <w:highlight w:val="none"/>
                <w:lang w:val="zh-CN"/>
              </w:rPr>
              <w:t>1.采购人：本项目的采购人是</w:t>
            </w:r>
            <w:r>
              <w:rPr>
                <w:rFonts w:hint="eastAsia" w:hAnsi="宋体" w:cs="宋体"/>
                <w:szCs w:val="21"/>
                <w:highlight w:val="none"/>
                <w:u w:val="single"/>
              </w:rPr>
              <w:t>国家海洋局南海标准计量中心</w:t>
            </w:r>
            <w:r>
              <w:rPr>
                <w:rFonts w:hint="eastAsia" w:hAnsi="宋体" w:cs="宋体"/>
                <w:kern w:val="2"/>
                <w:szCs w:val="21"/>
                <w:highlight w:val="none"/>
                <w:lang w:val="zh-CN"/>
              </w:rPr>
              <w:t>。</w:t>
            </w:r>
          </w:p>
          <w:p>
            <w:pPr>
              <w:tabs>
                <w:tab w:val="left" w:pos="19"/>
                <w:tab w:val="left" w:pos="586"/>
              </w:tabs>
              <w:spacing w:line="360" w:lineRule="auto"/>
              <w:jc w:val="both"/>
              <w:rPr>
                <w:rFonts w:hAnsi="宋体" w:cs="宋体"/>
                <w:kern w:val="2"/>
                <w:szCs w:val="21"/>
                <w:highlight w:val="none"/>
                <w:lang w:val="zh-CN"/>
              </w:rPr>
            </w:pPr>
            <w:r>
              <w:rPr>
                <w:rFonts w:hint="eastAsia" w:hAnsi="宋体" w:cs="宋体"/>
                <w:kern w:val="2"/>
                <w:szCs w:val="21"/>
                <w:highlight w:val="none"/>
                <w:lang w:val="zh-CN"/>
              </w:rPr>
              <w:t>2.采购代理机构：系指</w:t>
            </w:r>
            <w:r>
              <w:rPr>
                <w:rFonts w:hint="eastAsia" w:hAnsi="宋体" w:cs="宋体"/>
                <w:kern w:val="2"/>
                <w:szCs w:val="21"/>
                <w:highlight w:val="none"/>
                <w:u w:val="single"/>
                <w:lang w:val="zh-CN"/>
              </w:rPr>
              <w:t xml:space="preserve"> 广东远东招标代理有限公司</w:t>
            </w:r>
            <w:r>
              <w:rPr>
                <w:rFonts w:hint="eastAsia" w:hAnsi="宋体" w:cs="宋体"/>
                <w:kern w:val="2"/>
                <w:szCs w:val="21"/>
                <w:highlight w:val="none"/>
                <w:lang w:val="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5</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kern w:val="2"/>
                <w:szCs w:val="21"/>
                <w:highlight w:val="none"/>
                <w:lang w:val="zh-CN"/>
              </w:rPr>
              <w:t>招标文件的澄清</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1.采购人不统一组织答疑会</w:t>
            </w:r>
          </w:p>
          <w:p>
            <w:pPr>
              <w:spacing w:line="360" w:lineRule="auto"/>
              <w:rPr>
                <w:rFonts w:hAnsi="宋体" w:cs="宋体"/>
                <w:szCs w:val="21"/>
                <w:highlight w:val="none"/>
              </w:rPr>
            </w:pPr>
            <w:r>
              <w:rPr>
                <w:rFonts w:hint="eastAsia" w:hAnsi="宋体" w:cs="宋体"/>
                <w:szCs w:val="21"/>
                <w:highlight w:val="none"/>
              </w:rPr>
              <w:t>2.投标人质疑期限：招标文件公示期间或者自期满之日起7个工作日内以书面形式向采购人或招标代理机构提出质疑</w:t>
            </w:r>
          </w:p>
          <w:p>
            <w:pPr>
              <w:spacing w:line="360" w:lineRule="auto"/>
              <w:rPr>
                <w:rFonts w:hAnsi="宋体" w:cs="宋体"/>
                <w:szCs w:val="21"/>
                <w:highlight w:val="none"/>
              </w:rPr>
            </w:pPr>
            <w:r>
              <w:rPr>
                <w:rFonts w:hint="eastAsia" w:hAnsi="宋体" w:cs="宋体"/>
                <w:szCs w:val="21"/>
                <w:highlight w:val="none"/>
              </w:rPr>
              <w:t>3.采购人澄清、修补或答疑期限：在投标截止日期前</w:t>
            </w:r>
            <w:r>
              <w:rPr>
                <w:rFonts w:hint="eastAsia" w:hAnsi="宋体" w:cs="宋体"/>
                <w:szCs w:val="21"/>
                <w:highlight w:val="none"/>
                <w:u w:val="single"/>
              </w:rPr>
              <w:t>15</w:t>
            </w:r>
            <w:r>
              <w:rPr>
                <w:rFonts w:hint="eastAsia" w:hAnsi="宋体" w:cs="宋体"/>
                <w:szCs w:val="21"/>
                <w:highlight w:val="none"/>
              </w:rPr>
              <w:t>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99" w:type="dxa"/>
            <w:tcBorders>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6</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投标样板</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根据《用户需求书》要求设定；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7</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投标报价</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hAnsi="宋体" w:cs="宋体"/>
                <w:szCs w:val="21"/>
                <w:highlight w:val="none"/>
              </w:rPr>
            </w:pPr>
            <w:r>
              <w:rPr>
                <w:rFonts w:hint="eastAsia" w:hAnsi="宋体" w:cs="宋体"/>
                <w:szCs w:val="21"/>
                <w:highlight w:val="none"/>
              </w:rPr>
              <w:t>本采购项目最高投标限价为：详见第一篇《投标邀请书》中的规定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kern w:val="2"/>
                <w:szCs w:val="21"/>
                <w:highlight w:val="none"/>
                <w:lang w:val="zh-CN"/>
              </w:rPr>
              <w:t>8</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kern w:val="2"/>
                <w:szCs w:val="21"/>
                <w:highlight w:val="none"/>
                <w:lang w:val="zh-CN"/>
              </w:rPr>
              <w:t>证明投标人的资格性的证明文件</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highlight w:val="none"/>
              </w:rPr>
            </w:pPr>
            <w:r>
              <w:rPr>
                <w:rFonts w:hint="eastAsia"/>
                <w:highlight w:val="none"/>
              </w:rPr>
              <w:t>投标人具有履行合同所需的财务、技术和维护能力的资格证明文件(复印件加盖投标人法人公章)：</w:t>
            </w:r>
          </w:p>
          <w:p>
            <w:pPr>
              <w:spacing w:line="360" w:lineRule="auto"/>
              <w:ind w:right="-34"/>
              <w:jc w:val="both"/>
              <w:rPr>
                <w:rFonts w:hAnsi="宋体" w:cs="宋体"/>
                <w:szCs w:val="21"/>
                <w:highlight w:val="none"/>
              </w:rPr>
            </w:pPr>
            <w:r>
              <w:rPr>
                <w:rFonts w:hint="eastAsia" w:hAnsi="宋体" w:cs="宋体"/>
                <w:szCs w:val="21"/>
                <w:highlight w:val="none"/>
              </w:rPr>
              <w:t>1.供应商应具备《政府采购法》第二十二条规定的条件；</w:t>
            </w:r>
          </w:p>
          <w:p>
            <w:pPr>
              <w:spacing w:line="360" w:lineRule="auto"/>
              <w:ind w:right="-34"/>
              <w:jc w:val="both"/>
              <w:rPr>
                <w:rFonts w:hAnsi="宋体" w:cs="宋体"/>
                <w:szCs w:val="21"/>
                <w:highlight w:val="none"/>
              </w:rPr>
            </w:pPr>
            <w:r>
              <w:rPr>
                <w:rFonts w:hint="eastAsia" w:hAnsi="宋体" w:cs="宋体"/>
                <w:szCs w:val="21"/>
                <w:highlight w:val="none"/>
              </w:rPr>
              <w:t>2.落实政府采购政策需满足的资格要求：本项目属于专门面向中小企业采购的项目。（本项目所属行业：其他未列明行业）</w:t>
            </w:r>
          </w:p>
          <w:p>
            <w:pPr>
              <w:spacing w:line="360" w:lineRule="auto"/>
              <w:ind w:right="-34"/>
              <w:jc w:val="both"/>
              <w:rPr>
                <w:rFonts w:hAnsi="宋体" w:cs="宋体"/>
                <w:szCs w:val="21"/>
                <w:highlight w:val="none"/>
              </w:rPr>
            </w:pPr>
            <w:r>
              <w:rPr>
                <w:rFonts w:hint="eastAsia" w:hAnsi="宋体" w:cs="宋体"/>
                <w:szCs w:val="21"/>
                <w:highlight w:val="none"/>
              </w:rPr>
              <w:t>3.具有独立民事责任的法人、其他组织或者自然人，并取得合法工商执照或者其它法人（负责人）证书，如供应商为自然人的需提供自然人身份证明。</w:t>
            </w:r>
          </w:p>
          <w:p>
            <w:pPr>
              <w:spacing w:line="360" w:lineRule="auto"/>
              <w:ind w:right="-34"/>
              <w:jc w:val="both"/>
              <w:rPr>
                <w:rFonts w:hAnsi="宋体" w:cs="宋体"/>
                <w:szCs w:val="21"/>
                <w:highlight w:val="none"/>
              </w:rPr>
            </w:pPr>
            <w:r>
              <w:rPr>
                <w:rFonts w:hint="eastAsia" w:hAnsi="宋体" w:cs="宋体"/>
                <w:szCs w:val="21"/>
                <w:highlight w:val="none"/>
              </w:rPr>
              <w:t>4.信用记录：供应商未被列入“信用中国”网站(www.creditchina.gov.cn)“失信被执行人或重大税收违法失信主体或政府采购严重违法失信行为记录名单”记录名单；不处于中国政府采购网(www.ccgp.gov.cn)“政府采购严重违法失信行为信息记录”中的禁止参加政府采购活动期间。（以采购代理机构在投标（响应）截止日当天在“信用中国”网站（www.creditchina.gov.cn）及中国政府采购网(www.ccgp.gov.cn)查询结果为准，注：如相关失信记录已失效，供应商需提供相关证明资料。）</w:t>
            </w:r>
          </w:p>
          <w:p>
            <w:pPr>
              <w:spacing w:line="360" w:lineRule="auto"/>
              <w:ind w:right="-34"/>
              <w:jc w:val="both"/>
              <w:rPr>
                <w:rFonts w:hAnsi="宋体" w:cs="宋体"/>
                <w:szCs w:val="21"/>
                <w:highlight w:val="none"/>
              </w:rPr>
            </w:pPr>
            <w:r>
              <w:rPr>
                <w:rFonts w:hint="eastAsia" w:hAnsi="宋体" w:cs="宋体"/>
                <w:szCs w:val="21"/>
                <w:highlight w:val="none"/>
              </w:rPr>
              <w:t>5.具备</w:t>
            </w:r>
            <w:r>
              <w:rPr>
                <w:rFonts w:hint="eastAsia" w:hAnsi="宋体"/>
                <w:szCs w:val="21"/>
                <w:highlight w:val="none"/>
              </w:rPr>
              <w:t>《劳务派遣经营许可证》</w:t>
            </w:r>
            <w:r>
              <w:rPr>
                <w:rFonts w:hint="eastAsia" w:hAnsi="宋体" w:cs="宋体"/>
                <w:szCs w:val="21"/>
                <w:highlight w:val="none"/>
              </w:rPr>
              <w:t>；</w:t>
            </w:r>
          </w:p>
          <w:p>
            <w:pPr>
              <w:spacing w:line="360" w:lineRule="auto"/>
              <w:ind w:right="-34"/>
              <w:jc w:val="both"/>
              <w:rPr>
                <w:rFonts w:hAnsi="宋体" w:cs="宋体"/>
                <w:szCs w:val="21"/>
                <w:highlight w:val="none"/>
              </w:rPr>
            </w:pPr>
            <w:r>
              <w:rPr>
                <w:rFonts w:hint="eastAsia" w:hAnsi="宋体" w:cs="宋体"/>
                <w:szCs w:val="21"/>
                <w:highlight w:val="none"/>
              </w:rPr>
              <w:t>6.提供</w:t>
            </w:r>
            <w:r>
              <w:rPr>
                <w:rFonts w:hint="eastAsia"/>
                <w:highlight w:val="none"/>
              </w:rPr>
              <w:t>近6个月</w:t>
            </w:r>
            <w:r>
              <w:rPr>
                <w:rFonts w:hint="eastAsia" w:hAnsi="宋体" w:cs="宋体"/>
                <w:szCs w:val="21"/>
                <w:highlight w:val="none"/>
              </w:rPr>
              <w:t>内任意一个月的依法缴纳社会保险的证明（缴费凭证）复印件，如依法不需要缴纳社会保障资金的，应提供相应文件证明其依法不需要缴纳社会保障资金；</w:t>
            </w:r>
          </w:p>
          <w:p>
            <w:pPr>
              <w:spacing w:line="360" w:lineRule="auto"/>
              <w:ind w:right="-34"/>
              <w:jc w:val="both"/>
              <w:rPr>
                <w:rFonts w:hAnsi="宋体" w:cs="宋体"/>
                <w:szCs w:val="21"/>
                <w:highlight w:val="none"/>
              </w:rPr>
            </w:pPr>
            <w:r>
              <w:rPr>
                <w:rFonts w:hint="eastAsia" w:hAnsi="宋体" w:cs="宋体"/>
                <w:szCs w:val="21"/>
                <w:highlight w:val="none"/>
              </w:rPr>
              <w:t>7.提供</w:t>
            </w:r>
            <w:r>
              <w:rPr>
                <w:rFonts w:hint="eastAsia"/>
                <w:highlight w:val="none"/>
              </w:rPr>
              <w:t>近6个月</w:t>
            </w:r>
            <w:r>
              <w:rPr>
                <w:rFonts w:hint="eastAsia" w:hAnsi="宋体" w:cs="宋体"/>
                <w:szCs w:val="21"/>
                <w:highlight w:val="none"/>
              </w:rPr>
              <w:t>内任意一个月的依法缴纳税收的证明（纳税凭证）复印件，如依法免税的，应提供相应文件证明其依法免税；</w:t>
            </w:r>
          </w:p>
          <w:p>
            <w:pPr>
              <w:spacing w:line="360" w:lineRule="auto"/>
              <w:ind w:right="-34"/>
              <w:jc w:val="both"/>
              <w:rPr>
                <w:rFonts w:hAnsi="宋体" w:cs="宋体"/>
                <w:szCs w:val="21"/>
                <w:highlight w:val="none"/>
              </w:rPr>
            </w:pPr>
            <w:r>
              <w:rPr>
                <w:rFonts w:hint="eastAsia" w:hAnsi="宋体" w:cs="宋体"/>
                <w:szCs w:val="21"/>
                <w:highlight w:val="none"/>
              </w:rPr>
              <w:t>8.本项目不接受联合体投标；</w:t>
            </w:r>
          </w:p>
          <w:p>
            <w:pPr>
              <w:spacing w:line="360" w:lineRule="auto"/>
              <w:ind w:right="-34"/>
              <w:jc w:val="both"/>
              <w:rPr>
                <w:rFonts w:hAnsi="宋体" w:cs="宋体"/>
                <w:szCs w:val="21"/>
                <w:highlight w:val="none"/>
              </w:rPr>
            </w:pPr>
            <w:r>
              <w:rPr>
                <w:rFonts w:hint="eastAsia" w:hAnsi="宋体" w:cs="宋体"/>
                <w:szCs w:val="21"/>
                <w:highlight w:val="none"/>
              </w:rPr>
              <w:t>9.供应商参加政府采购活动前三年内，在经营活动中没有重大违法记录（可参照报价函相关承诺格式内容）。重大违法记录，是指供应商因违法经营受到刑事处罚或者责令停产停业、吊销许可证或者执照、较大数额罚款等行政处罚。（较大数额罚款按照财库〔2022〕3号文，“较大数额罚款”认定为200万元以上的罚款，法律、行政法规以及国务院有关部门明确规定相关领域“较大数额罚款”标准高于200万元的，从其规定。）</w:t>
            </w:r>
          </w:p>
          <w:p>
            <w:pPr>
              <w:spacing w:line="360" w:lineRule="auto"/>
              <w:ind w:right="-34"/>
              <w:jc w:val="both"/>
              <w:rPr>
                <w:rFonts w:hAnsi="宋体" w:cs="宋体"/>
                <w:szCs w:val="21"/>
                <w:highlight w:val="none"/>
              </w:rPr>
            </w:pPr>
            <w:r>
              <w:rPr>
                <w:rFonts w:hint="eastAsia" w:hAnsi="宋体" w:cs="宋体"/>
                <w:szCs w:val="21"/>
                <w:highlight w:val="none"/>
              </w:rPr>
              <w:t>10.提供履行合同所必需的设备和专业技术能力的书面声明；（提供《资格声明书》，格式详见招标文件附表2.2）。</w:t>
            </w:r>
          </w:p>
          <w:p>
            <w:pPr>
              <w:spacing w:line="360" w:lineRule="auto"/>
              <w:ind w:right="-34"/>
              <w:jc w:val="both"/>
              <w:rPr>
                <w:rFonts w:hAnsi="宋体" w:cs="宋体"/>
                <w:szCs w:val="21"/>
                <w:highlight w:val="none"/>
              </w:rPr>
            </w:pPr>
            <w:r>
              <w:rPr>
                <w:rFonts w:hint="eastAsia" w:hAnsi="宋体" w:cs="宋体"/>
                <w:szCs w:val="21"/>
                <w:highlight w:val="none"/>
              </w:rPr>
              <w:t>11.存在隶属关系或同属一母公司或法人的企业，仅能由一家企业参与投标。</w:t>
            </w:r>
          </w:p>
          <w:p>
            <w:pPr>
              <w:spacing w:line="360" w:lineRule="auto"/>
              <w:ind w:right="-34"/>
              <w:jc w:val="both"/>
              <w:rPr>
                <w:rFonts w:hAnsi="宋体" w:cs="宋体"/>
                <w:szCs w:val="21"/>
                <w:highlight w:val="none"/>
              </w:rPr>
            </w:pPr>
            <w:r>
              <w:rPr>
                <w:rFonts w:hint="eastAsia" w:hAnsi="宋体" w:cs="宋体"/>
                <w:szCs w:val="21"/>
                <w:highlight w:val="none"/>
              </w:rPr>
              <w:t>12.已办理报名并成功购买本招标文件的供应商。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9</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投标保证金</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hAnsi="宋体" w:cs="宋体"/>
                <w:bCs/>
                <w:szCs w:val="21"/>
                <w:highlight w:val="none"/>
                <w:lang w:val="zh-CN"/>
              </w:rPr>
            </w:pPr>
            <w:r>
              <w:rPr>
                <w:rFonts w:hint="eastAsia" w:hAnsi="宋体" w:cs="宋体"/>
                <w:bCs/>
                <w:szCs w:val="21"/>
                <w:highlight w:val="none"/>
              </w:rPr>
              <w:t>本次项目无需缴纳投标保证金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10</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kern w:val="2"/>
                <w:szCs w:val="21"/>
                <w:highlight w:val="none"/>
                <w:lang w:val="zh-CN"/>
              </w:rPr>
              <w:t>投标有效期</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hAnsi="宋体" w:cs="宋体"/>
                <w:bCs/>
                <w:szCs w:val="21"/>
                <w:highlight w:val="none"/>
              </w:rPr>
            </w:pPr>
            <w:r>
              <w:rPr>
                <w:rFonts w:hint="eastAsia" w:hAnsi="宋体" w:cs="宋体"/>
                <w:bCs/>
                <w:kern w:val="2"/>
                <w:szCs w:val="21"/>
                <w:highlight w:val="none"/>
                <w:lang w:val="zh-CN"/>
              </w:rPr>
              <w:t>递交投标文件截止日后90天内有效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11</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kern w:val="2"/>
                <w:szCs w:val="21"/>
                <w:highlight w:val="none"/>
                <w:lang w:val="zh-CN"/>
              </w:rPr>
            </w:pPr>
            <w:r>
              <w:rPr>
                <w:rFonts w:hint="eastAsia" w:hAnsi="宋体" w:cs="宋体"/>
                <w:kern w:val="2"/>
                <w:szCs w:val="21"/>
                <w:highlight w:val="none"/>
                <w:lang w:val="zh-CN"/>
              </w:rPr>
              <w:t>投标文件份数</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ind w:left="315" w:hanging="315" w:hangingChars="150"/>
              <w:jc w:val="both"/>
              <w:rPr>
                <w:rFonts w:hAnsi="宋体" w:cs="宋体"/>
                <w:szCs w:val="21"/>
                <w:highlight w:val="none"/>
              </w:rPr>
            </w:pPr>
            <w:r>
              <w:rPr>
                <w:rFonts w:hint="eastAsia" w:hAnsi="宋体" w:cs="宋体"/>
                <w:szCs w:val="21"/>
                <w:highlight w:val="none"/>
              </w:rPr>
              <w:t>1.投标文件由自查表、商务技术文件、经济文件</w:t>
            </w:r>
            <w:r>
              <w:rPr>
                <w:rFonts w:hint="eastAsia" w:hAnsi="宋体" w:cs="宋体"/>
                <w:kern w:val="2"/>
                <w:szCs w:val="21"/>
                <w:highlight w:val="none"/>
                <w:lang w:val="zh-CN"/>
              </w:rPr>
              <w:t>三部分</w:t>
            </w:r>
            <w:r>
              <w:rPr>
                <w:rFonts w:hint="eastAsia" w:hAnsi="宋体" w:cs="宋体"/>
                <w:szCs w:val="21"/>
                <w:highlight w:val="none"/>
              </w:rPr>
              <w:t>组成，合编成一本投标文件。</w:t>
            </w:r>
          </w:p>
          <w:p>
            <w:pPr>
              <w:autoSpaceDE/>
              <w:autoSpaceDN/>
              <w:adjustRightInd/>
              <w:spacing w:line="360" w:lineRule="auto"/>
              <w:jc w:val="both"/>
              <w:rPr>
                <w:rFonts w:hAnsi="宋体" w:cs="宋体"/>
                <w:szCs w:val="21"/>
                <w:highlight w:val="none"/>
              </w:rPr>
            </w:pPr>
            <w:r>
              <w:rPr>
                <w:rFonts w:hint="eastAsia" w:hAnsi="宋体" w:cs="宋体"/>
                <w:szCs w:val="21"/>
                <w:highlight w:val="none"/>
              </w:rPr>
              <w:t>2.唱标信封一份。</w:t>
            </w:r>
          </w:p>
          <w:p>
            <w:pPr>
              <w:autoSpaceDE/>
              <w:autoSpaceDN/>
              <w:adjustRightInd/>
              <w:spacing w:line="360" w:lineRule="auto"/>
              <w:jc w:val="both"/>
              <w:rPr>
                <w:rFonts w:hAnsi="宋体" w:cs="宋体"/>
                <w:szCs w:val="21"/>
                <w:highlight w:val="none"/>
              </w:rPr>
            </w:pPr>
            <w:r>
              <w:rPr>
                <w:rFonts w:hint="eastAsia" w:hAnsi="宋体" w:cs="宋体"/>
                <w:szCs w:val="21"/>
                <w:highlight w:val="none"/>
              </w:rPr>
              <w:t>3.电子文件一份。</w:t>
            </w:r>
          </w:p>
          <w:p>
            <w:pPr>
              <w:autoSpaceDE/>
              <w:autoSpaceDN/>
              <w:adjustRightInd/>
              <w:spacing w:line="360" w:lineRule="auto"/>
              <w:ind w:left="210" w:leftChars="100"/>
              <w:jc w:val="both"/>
              <w:rPr>
                <w:rFonts w:hAnsi="宋体" w:cs="宋体"/>
                <w:szCs w:val="21"/>
                <w:highlight w:val="none"/>
              </w:rPr>
            </w:pPr>
            <w:r>
              <w:rPr>
                <w:rFonts w:hint="eastAsia" w:hAnsi="宋体" w:cs="宋体"/>
                <w:szCs w:val="21"/>
                <w:highlight w:val="none"/>
              </w:rPr>
              <w:t>投标文件一式陆份，其中，壹份正本，陆份副本。</w:t>
            </w:r>
          </w:p>
          <w:p>
            <w:pPr>
              <w:autoSpaceDE/>
              <w:autoSpaceDN/>
              <w:adjustRightInd/>
              <w:spacing w:line="360" w:lineRule="auto"/>
              <w:ind w:left="210" w:leftChars="100"/>
              <w:jc w:val="both"/>
              <w:rPr>
                <w:rFonts w:hAnsi="宋体" w:cs="宋体"/>
                <w:szCs w:val="21"/>
                <w:highlight w:val="none"/>
              </w:rPr>
            </w:pPr>
            <w:r>
              <w:rPr>
                <w:rFonts w:hint="eastAsia" w:hAnsi="宋体" w:cs="宋体"/>
                <w:szCs w:val="21"/>
                <w:highlight w:val="none"/>
              </w:rPr>
              <w:t>投标文件密封包封为1包（内含投标文件正本及副本）</w:t>
            </w:r>
          </w:p>
          <w:p>
            <w:pPr>
              <w:autoSpaceDE/>
              <w:autoSpaceDN/>
              <w:adjustRightInd/>
              <w:spacing w:line="360" w:lineRule="auto"/>
              <w:ind w:left="210" w:leftChars="100"/>
              <w:jc w:val="both"/>
              <w:rPr>
                <w:rFonts w:hAnsi="宋体" w:cs="宋体"/>
                <w:szCs w:val="21"/>
                <w:highlight w:val="none"/>
              </w:rPr>
            </w:pPr>
            <w:r>
              <w:rPr>
                <w:rFonts w:hint="eastAsia" w:hAnsi="宋体" w:cs="宋体"/>
                <w:szCs w:val="21"/>
                <w:highlight w:val="none"/>
              </w:rPr>
              <w:t>唱标信封密封包封为1包（内含唱标信封1份，投标文件电子文件1份）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12</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kern w:val="2"/>
                <w:szCs w:val="21"/>
                <w:highlight w:val="none"/>
                <w:lang w:val="zh-CN"/>
              </w:rPr>
            </w:pPr>
            <w:r>
              <w:rPr>
                <w:rFonts w:hint="eastAsia" w:hAnsi="宋体" w:cs="宋体"/>
                <w:bCs/>
                <w:szCs w:val="21"/>
                <w:highlight w:val="none"/>
              </w:rPr>
              <w:t>投标文件的递交、接收和密封</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hAnsi="宋体" w:cs="宋体"/>
                <w:szCs w:val="21"/>
                <w:highlight w:val="none"/>
              </w:rPr>
            </w:pPr>
            <w:r>
              <w:rPr>
                <w:rFonts w:hint="eastAsia" w:hAnsi="宋体" w:cs="宋体"/>
                <w:szCs w:val="21"/>
                <w:highlight w:val="none"/>
              </w:rPr>
              <w:t>详见《投标邀请书》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13</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bCs/>
                <w:szCs w:val="21"/>
                <w:highlight w:val="none"/>
              </w:rPr>
            </w:pPr>
            <w:r>
              <w:rPr>
                <w:rFonts w:hint="eastAsia" w:hAnsi="宋体" w:cs="宋体"/>
                <w:bCs/>
                <w:szCs w:val="21"/>
                <w:highlight w:val="none"/>
              </w:rPr>
              <w:t>开标时间、地点</w:t>
            </w:r>
          </w:p>
        </w:tc>
        <w:tc>
          <w:tcPr>
            <w:tcW w:w="6756" w:type="dxa"/>
            <w:tcBorders>
              <w:top w:val="single" w:color="auto" w:sz="4" w:space="0"/>
              <w:left w:val="single" w:color="auto" w:sz="4" w:space="0"/>
              <w:bottom w:val="single" w:color="auto" w:sz="4" w:space="0"/>
              <w:right w:val="double" w:color="auto" w:sz="4" w:space="0"/>
            </w:tcBorders>
            <w:vAlign w:val="center"/>
          </w:tcPr>
          <w:p>
            <w:pPr>
              <w:autoSpaceDE/>
              <w:autoSpaceDN/>
              <w:adjustRightInd/>
              <w:spacing w:line="360" w:lineRule="auto"/>
              <w:jc w:val="both"/>
              <w:rPr>
                <w:rFonts w:hAnsi="宋体" w:cs="宋体"/>
                <w:szCs w:val="21"/>
                <w:highlight w:val="none"/>
              </w:rPr>
            </w:pPr>
            <w:r>
              <w:rPr>
                <w:rFonts w:hint="eastAsia" w:hAnsi="宋体" w:cs="宋体"/>
                <w:szCs w:val="21"/>
                <w:highlight w:val="none"/>
              </w:rPr>
              <w:t>详见《投标邀请书》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14</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bCs/>
                <w:szCs w:val="21"/>
                <w:highlight w:val="none"/>
              </w:rPr>
            </w:pPr>
            <w:r>
              <w:rPr>
                <w:rFonts w:hint="eastAsia" w:hAnsi="宋体" w:cs="宋体"/>
                <w:bCs/>
                <w:szCs w:val="21"/>
                <w:highlight w:val="none"/>
              </w:rPr>
              <w:t>评标委员会</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评标委员会成员共</w:t>
            </w:r>
            <w:r>
              <w:rPr>
                <w:rFonts w:hint="eastAsia" w:hAnsi="宋体" w:cs="宋体"/>
                <w:szCs w:val="21"/>
                <w:highlight w:val="none"/>
                <w:u w:val="single"/>
                <w:lang w:val="en-US" w:eastAsia="zh-CN"/>
              </w:rPr>
              <w:t>7</w:t>
            </w:r>
            <w:r>
              <w:rPr>
                <w:rFonts w:hint="eastAsia" w:hAnsi="宋体" w:cs="宋体"/>
                <w:szCs w:val="21"/>
                <w:highlight w:val="none"/>
              </w:rPr>
              <w:t>人：</w:t>
            </w:r>
            <w:r>
              <w:rPr>
                <w:rFonts w:hint="eastAsia" w:hAnsi="宋体" w:cs="宋体"/>
                <w:kern w:val="2"/>
                <w:szCs w:val="21"/>
                <w:highlight w:val="none"/>
                <w:lang w:val="zh-CN"/>
              </w:rPr>
              <w:t>技术、经济等方面的专家由</w:t>
            </w:r>
            <w:r>
              <w:rPr>
                <w:rFonts w:hint="eastAsia" w:hAnsi="宋体" w:cs="宋体"/>
                <w:kern w:val="2"/>
                <w:szCs w:val="21"/>
                <w:highlight w:val="none"/>
              </w:rPr>
              <w:t>财政部</w:t>
            </w:r>
            <w:r>
              <w:rPr>
                <w:rFonts w:hint="eastAsia" w:hAnsi="宋体" w:cs="宋体"/>
                <w:kern w:val="2"/>
                <w:szCs w:val="21"/>
                <w:highlight w:val="none"/>
                <w:lang w:val="zh-CN"/>
              </w:rPr>
              <w:t>专家库中</w:t>
            </w:r>
            <w:r>
              <w:rPr>
                <w:rFonts w:hint="eastAsia" w:hAnsi="宋体" w:cs="宋体"/>
                <w:szCs w:val="21"/>
                <w:highlight w:val="none"/>
              </w:rPr>
              <w:t>随机抽取确定。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15</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bCs/>
                <w:szCs w:val="21"/>
                <w:highlight w:val="none"/>
              </w:rPr>
            </w:pPr>
            <w:r>
              <w:rPr>
                <w:rFonts w:hint="eastAsia" w:hAnsi="宋体" w:cs="宋体"/>
                <w:bCs/>
                <w:szCs w:val="21"/>
                <w:highlight w:val="none"/>
              </w:rPr>
              <w:t>评标方法</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szCs w:val="21"/>
                <w:highlight w:val="none"/>
              </w:rPr>
              <w:t>综合评分法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16</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szCs w:val="21"/>
                <w:highlight w:val="none"/>
              </w:rPr>
            </w:pPr>
            <w:r>
              <w:rPr>
                <w:rFonts w:hint="eastAsia" w:hAnsi="宋体" w:cs="宋体"/>
                <w:szCs w:val="21"/>
                <w:highlight w:val="none"/>
              </w:rPr>
              <w:t>信息发布媒体</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highlight w:val="none"/>
              </w:rPr>
            </w:pPr>
            <w:r>
              <w:rPr>
                <w:rFonts w:hint="eastAsia"/>
                <w:highlight w:val="none"/>
              </w:rPr>
              <w:t>1.中国政府采购网（</w:t>
            </w:r>
            <w:r>
              <w:rPr>
                <w:highlight w:val="none"/>
              </w:rPr>
              <w:fldChar w:fldCharType="begin"/>
            </w:r>
            <w:r>
              <w:rPr>
                <w:highlight w:val="none"/>
              </w:rPr>
              <w:instrText xml:space="preserve"> HYPERLINK "http://www.ccgp.gov.cn" </w:instrText>
            </w:r>
            <w:r>
              <w:rPr>
                <w:highlight w:val="none"/>
              </w:rPr>
              <w:fldChar w:fldCharType="separate"/>
            </w:r>
            <w:r>
              <w:rPr>
                <w:rFonts w:hint="eastAsia"/>
                <w:highlight w:val="none"/>
              </w:rPr>
              <w:t>http://www.ccgp.gov.cn</w:t>
            </w:r>
            <w:r>
              <w:rPr>
                <w:rFonts w:hint="eastAsia"/>
                <w:highlight w:val="none"/>
              </w:rPr>
              <w:fldChar w:fldCharType="end"/>
            </w:r>
            <w:r>
              <w:rPr>
                <w:rFonts w:hint="eastAsia"/>
                <w:highlight w:val="none"/>
              </w:rPr>
              <w:t>）；</w:t>
            </w:r>
          </w:p>
          <w:p>
            <w:pPr>
              <w:pStyle w:val="35"/>
              <w:jc w:val="both"/>
              <w:rPr>
                <w:highlight w:val="none"/>
              </w:rPr>
            </w:pPr>
            <w:r>
              <w:rPr>
                <w:rFonts w:hint="eastAsia" w:cs="宋体"/>
                <w:szCs w:val="21"/>
                <w:highlight w:val="none"/>
              </w:rPr>
              <w:t>2.广东远东招标代理有限公司网（http://www.gdydzb.com）</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9" w:type="dxa"/>
            <w:tcBorders>
              <w:top w:val="single" w:color="auto" w:sz="4" w:space="0"/>
              <w:left w:val="double" w:color="auto" w:sz="4" w:space="0"/>
              <w:bottom w:val="single" w:color="auto" w:sz="4" w:space="0"/>
              <w:right w:val="single" w:color="auto" w:sz="4" w:space="0"/>
            </w:tcBorders>
            <w:vAlign w:val="center"/>
          </w:tcPr>
          <w:p>
            <w:pPr>
              <w:spacing w:line="360" w:lineRule="auto"/>
              <w:jc w:val="center"/>
              <w:rPr>
                <w:rFonts w:hAnsi="宋体" w:cs="宋体"/>
                <w:szCs w:val="21"/>
                <w:highlight w:val="none"/>
              </w:rPr>
            </w:pPr>
            <w:r>
              <w:rPr>
                <w:rFonts w:hint="eastAsia" w:hAnsi="宋体" w:cs="宋体"/>
                <w:szCs w:val="21"/>
                <w:highlight w:val="none"/>
              </w:rPr>
              <w:t>17</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Ansi="宋体" w:cs="宋体"/>
                <w:bCs/>
                <w:szCs w:val="21"/>
                <w:highlight w:val="none"/>
              </w:rPr>
            </w:pPr>
            <w:r>
              <w:rPr>
                <w:rFonts w:hint="eastAsia" w:hAnsi="宋体" w:cs="宋体"/>
                <w:bCs/>
                <w:szCs w:val="21"/>
                <w:highlight w:val="none"/>
              </w:rPr>
              <w:t>履约保证金</w:t>
            </w:r>
          </w:p>
        </w:tc>
        <w:tc>
          <w:tcPr>
            <w:tcW w:w="6756" w:type="dxa"/>
            <w:tcBorders>
              <w:top w:val="single" w:color="auto" w:sz="4" w:space="0"/>
              <w:left w:val="single" w:color="auto" w:sz="4" w:space="0"/>
              <w:bottom w:val="single" w:color="auto" w:sz="4" w:space="0"/>
              <w:right w:val="double" w:color="auto" w:sz="4" w:space="0"/>
            </w:tcBorders>
            <w:vAlign w:val="center"/>
          </w:tcPr>
          <w:p>
            <w:pPr>
              <w:spacing w:line="360" w:lineRule="auto"/>
              <w:rPr>
                <w:rFonts w:hAnsi="宋体" w:cs="宋体"/>
                <w:szCs w:val="21"/>
                <w:highlight w:val="none"/>
              </w:rPr>
            </w:pPr>
            <w:r>
              <w:rPr>
                <w:rFonts w:hint="eastAsia" w:hAnsi="宋体" w:cs="宋体"/>
                <w:bCs/>
                <w:szCs w:val="21"/>
                <w:highlight w:val="none"/>
              </w:rPr>
              <w:t>不适用</w:t>
            </w:r>
          </w:p>
        </w:tc>
      </w:tr>
    </w:tbl>
    <w:p>
      <w:pPr>
        <w:tabs>
          <w:tab w:val="left" w:pos="567"/>
        </w:tabs>
        <w:spacing w:line="312" w:lineRule="auto"/>
        <w:ind w:left="567" w:hanging="567"/>
        <w:jc w:val="both"/>
        <w:rPr>
          <w:rFonts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pPr>
    </w:p>
    <w:p>
      <w:pPr>
        <w:pStyle w:val="4"/>
        <w:keepNext/>
        <w:keepLines/>
        <w:tabs>
          <w:tab w:val="left" w:pos="1134"/>
        </w:tabs>
        <w:spacing w:line="360" w:lineRule="auto"/>
        <w:ind w:left="1134" w:hanging="567"/>
        <w:jc w:val="center"/>
        <w:rPr>
          <w:rFonts w:hAnsi="宋体" w:cs="宋体"/>
          <w:b/>
          <w:bCs/>
          <w:kern w:val="44"/>
          <w:highlight w:val="none"/>
          <w:lang w:val="zh-CN"/>
        </w:rPr>
      </w:pPr>
      <w:r>
        <w:rPr>
          <w:rFonts w:hint="eastAsia" w:hAnsi="宋体" w:cs="宋体"/>
          <w:b/>
          <w:bCs/>
          <w:kern w:val="44"/>
          <w:highlight w:val="none"/>
          <w:lang w:val="zh-CN"/>
        </w:rPr>
        <w:br w:type="page"/>
      </w:r>
      <w:r>
        <w:rPr>
          <w:rFonts w:hint="eastAsia" w:hAnsi="宋体" w:cs="宋体"/>
          <w:b/>
          <w:bCs/>
          <w:kern w:val="44"/>
          <w:highlight w:val="none"/>
          <w:lang w:val="zh-CN"/>
        </w:rPr>
        <w:t>二、投标须知</w:t>
      </w:r>
    </w:p>
    <w:p>
      <w:pPr>
        <w:pStyle w:val="6"/>
        <w:spacing w:line="360" w:lineRule="auto"/>
        <w:rPr>
          <w:rFonts w:hAnsi="宋体" w:cs="宋体"/>
          <w:b w:val="0"/>
          <w:bCs/>
          <w:kern w:val="44"/>
          <w:szCs w:val="21"/>
          <w:highlight w:val="none"/>
          <w:lang w:val="zh-CN"/>
        </w:rPr>
      </w:pPr>
      <w:bookmarkStart w:id="0" w:name="_Toc413396489"/>
      <w:r>
        <w:rPr>
          <w:rFonts w:hint="eastAsia" w:hAnsi="宋体" w:cs="宋体"/>
          <w:b w:val="0"/>
          <w:bCs/>
          <w:kern w:val="44"/>
          <w:szCs w:val="21"/>
          <w:highlight w:val="none"/>
          <w:lang w:val="zh-CN"/>
        </w:rPr>
        <w:t>（一）总则</w:t>
      </w:r>
      <w:bookmarkEnd w:id="0"/>
    </w:p>
    <w:p>
      <w:pPr>
        <w:tabs>
          <w:tab w:val="left" w:pos="567"/>
        </w:tabs>
        <w:spacing w:line="360" w:lineRule="auto"/>
        <w:ind w:left="567" w:hanging="567"/>
        <w:jc w:val="both"/>
        <w:rPr>
          <w:rFonts w:hAnsi="宋体" w:cs="宋体"/>
          <w:szCs w:val="21"/>
          <w:highlight w:val="none"/>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资金来源：详见</w:t>
      </w:r>
      <w:r>
        <w:rPr>
          <w:rFonts w:hint="eastAsia" w:hAnsi="宋体" w:cs="宋体"/>
          <w:szCs w:val="21"/>
          <w:highlight w:val="none"/>
        </w:rPr>
        <w:t>《投标须知前附表》。</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 xml:space="preserve">2    </w:t>
      </w:r>
      <w:r>
        <w:rPr>
          <w:rFonts w:hint="eastAsia" w:hAnsi="宋体" w:cs="宋体"/>
          <w:kern w:val="2"/>
          <w:szCs w:val="21"/>
          <w:highlight w:val="none"/>
          <w:lang w:val="zh-CN"/>
        </w:rPr>
        <w:t>招标适用范围：本招标文件仅适用于本次投标邀请中所叙述的货物及服务采购。本次招标采用一次报价一次评标定标的方式，投标人的报价必须固定，且只能作一个最有竞争力的报价和方案，否则将作无效投标处理。</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3     招标适用的法律：本次招标适用的主要法律法规为《中华人民共和国政府采购法》、《中华人民共和国政府采购法实施条例》（国务院第658号）、《政府采购货物和服务招标投标管理办法》（财政部令第87号）及国家和广东省政府采购相关法规。</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4</w:t>
      </w:r>
      <w:r>
        <w:rPr>
          <w:rFonts w:hint="eastAsia" w:hAnsi="宋体" w:cs="宋体"/>
          <w:kern w:val="2"/>
          <w:szCs w:val="21"/>
          <w:highlight w:val="none"/>
          <w:lang w:val="zh-CN"/>
        </w:rPr>
        <w:tab/>
      </w:r>
      <w:r>
        <w:rPr>
          <w:rFonts w:hint="eastAsia" w:hAnsi="宋体" w:cs="宋体"/>
          <w:kern w:val="2"/>
          <w:szCs w:val="21"/>
          <w:highlight w:val="none"/>
          <w:lang w:val="zh-CN"/>
        </w:rPr>
        <w:t>合格的投标人</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4.1</w:t>
      </w:r>
      <w:r>
        <w:rPr>
          <w:rFonts w:hint="eastAsia" w:hAnsi="宋体" w:cs="宋体"/>
          <w:kern w:val="2"/>
          <w:szCs w:val="21"/>
          <w:highlight w:val="none"/>
          <w:lang w:val="zh-CN"/>
        </w:rPr>
        <w:tab/>
      </w:r>
      <w:r>
        <w:rPr>
          <w:rFonts w:hint="eastAsia" w:hAnsi="宋体" w:cs="宋体"/>
          <w:kern w:val="2"/>
          <w:szCs w:val="21"/>
          <w:highlight w:val="none"/>
          <w:lang w:val="zh-CN"/>
        </w:rPr>
        <w:t>符合招标文件规定的资格要求及特殊条件要求，合格投标人的条件详见《投标须知前附表》的“合格的投标人”。</w:t>
      </w:r>
    </w:p>
    <w:p>
      <w:pPr>
        <w:tabs>
          <w:tab w:val="left" w:pos="567"/>
          <w:tab w:val="left" w:pos="720"/>
          <w:tab w:val="left" w:pos="3460"/>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4.2</w:t>
      </w:r>
      <w:r>
        <w:rPr>
          <w:rFonts w:hint="eastAsia" w:hAnsi="宋体" w:cs="宋体"/>
          <w:kern w:val="2"/>
          <w:szCs w:val="21"/>
          <w:highlight w:val="none"/>
          <w:lang w:val="zh-CN"/>
        </w:rPr>
        <w:tab/>
      </w:r>
      <w:r>
        <w:rPr>
          <w:rFonts w:hint="eastAsia" w:hAnsi="宋体" w:cs="宋体"/>
          <w:kern w:val="2"/>
          <w:szCs w:val="21"/>
          <w:highlight w:val="none"/>
          <w:lang w:val="zh-CN"/>
        </w:rPr>
        <w:t>投标人必须按《中华人民共和国政府采购法》及国家和地方政府采购相关法规的规定进行投标。</w:t>
      </w:r>
    </w:p>
    <w:p>
      <w:pPr>
        <w:tabs>
          <w:tab w:val="left" w:pos="1260"/>
        </w:tabs>
        <w:autoSpaceDE/>
        <w:autoSpaceDN/>
        <w:adjustRightInd/>
        <w:spacing w:line="360" w:lineRule="auto"/>
        <w:jc w:val="both"/>
        <w:rPr>
          <w:rFonts w:hAnsi="宋体" w:cs="宋体"/>
          <w:kern w:val="2"/>
          <w:szCs w:val="21"/>
          <w:highlight w:val="none"/>
          <w:lang w:val="zh-CN"/>
        </w:rPr>
      </w:pPr>
      <w:r>
        <w:rPr>
          <w:rFonts w:hint="eastAsia" w:hAnsi="宋体" w:cs="宋体"/>
          <w:kern w:val="2"/>
          <w:szCs w:val="21"/>
          <w:highlight w:val="none"/>
          <w:lang w:val="zh-CN"/>
        </w:rPr>
        <w:t>4.3  不同的投标人之间有下列情形之一的，不接受作为参与同一采购项目竞争的供应商：</w:t>
      </w:r>
    </w:p>
    <w:p>
      <w:pPr>
        <w:tabs>
          <w:tab w:val="left" w:pos="567"/>
        </w:tabs>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4.3.1单位负责人为同一人或者存在直接控股、管理关系的不同供应商彼此存在投资与被投资关系的；</w:t>
      </w:r>
    </w:p>
    <w:p>
      <w:pPr>
        <w:tabs>
          <w:tab w:val="left" w:pos="567"/>
        </w:tabs>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4.3.2为采购项目提供整体设计、规范编制或者项目管理、监理、检测等服务的供应商。</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4.4  本项目不允许联合体投标。</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5</w:t>
      </w:r>
      <w:r>
        <w:rPr>
          <w:rFonts w:hint="eastAsia" w:hAnsi="宋体" w:cs="宋体"/>
          <w:kern w:val="2"/>
          <w:szCs w:val="21"/>
          <w:highlight w:val="none"/>
          <w:lang w:val="zh-CN"/>
        </w:rPr>
        <w:tab/>
      </w:r>
      <w:r>
        <w:rPr>
          <w:rFonts w:hint="eastAsia" w:hAnsi="宋体" w:cs="宋体"/>
          <w:kern w:val="2"/>
          <w:szCs w:val="21"/>
          <w:highlight w:val="none"/>
          <w:lang w:val="zh-CN"/>
        </w:rPr>
        <w:t>纪律与保密事项</w:t>
      </w:r>
    </w:p>
    <w:p>
      <w:pPr>
        <w:autoSpaceDE/>
        <w:autoSpaceDN/>
        <w:adjustRightInd/>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5.1  投标人不得相互串通投标报价，或以不正当的手段妨碍、排挤其他投标人，扰乱招标市场，破坏公平竞争原则，不得损害采购人或其他投标人的合法权益，投标人不得以向采购人、评标委员会成员行贿或者采取其他不正当手段谋取中标。</w:t>
      </w:r>
    </w:p>
    <w:p>
      <w:pPr>
        <w:autoSpaceDE/>
        <w:autoSpaceDN/>
        <w:adjustRightInd/>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5.2  获得本招标文件者，应对文件进行保密，不得用作本次投标以外的任何用途。若有要求，开标后，投标人应归还招标文件中保密的文件和资料。</w:t>
      </w:r>
    </w:p>
    <w:p>
      <w:pPr>
        <w:tabs>
          <w:tab w:val="left" w:pos="720"/>
          <w:tab w:val="left" w:pos="3460"/>
        </w:tabs>
        <w:autoSpaceDE/>
        <w:autoSpaceDN/>
        <w:adjustRightInd/>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5.3  由采购人向投标人提供的图纸、详细资料、样品、模型、模件和所有其他资料，被视为保密资料，仅被用于它所规定的用途。除非得到采购人的同意，不能向任何第三方透露。开标结束后，应采购人要求，投标人应归还所有从采购人处获得的保密资料。</w:t>
      </w:r>
    </w:p>
    <w:p>
      <w:pPr>
        <w:tabs>
          <w:tab w:val="left" w:pos="720"/>
          <w:tab w:val="left" w:pos="3460"/>
        </w:tabs>
        <w:autoSpaceDE/>
        <w:autoSpaceDN/>
        <w:adjustRightInd/>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5.4  除投标人被要求对投标文件进行澄清外，在确定中标供应商之前，投标人不得与采购人就投标价格、投标方案等实质性内容进行谈判，也不得私下接触评标委员会成员。</w:t>
      </w:r>
    </w:p>
    <w:p>
      <w:pPr>
        <w:autoSpaceDE/>
        <w:autoSpaceDN/>
        <w:adjustRightInd/>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5.5  从递交投标文件截止之日起至授予合同期间，在投标文件的审查、澄清、比较和评价阶段，投标人试图对评标委员会和采购代理机构施加任何影响或对采购人的比较及授予合同的决定产生影响，都可能导致其投标文件被拒绝。</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6    其它说明</w:t>
      </w:r>
    </w:p>
    <w:p>
      <w:pPr>
        <w:tabs>
          <w:tab w:val="left" w:pos="567"/>
        </w:tabs>
        <w:spacing w:line="360" w:lineRule="auto"/>
        <w:ind w:left="567" w:hanging="567" w:hangingChars="270"/>
        <w:jc w:val="both"/>
        <w:rPr>
          <w:rFonts w:hAnsi="宋体" w:cs="宋体"/>
          <w:kern w:val="2"/>
          <w:szCs w:val="21"/>
          <w:highlight w:val="none"/>
          <w:lang w:val="zh-CN"/>
        </w:rPr>
      </w:pPr>
      <w:r>
        <w:rPr>
          <w:rFonts w:hint="eastAsia" w:hAnsi="宋体" w:cs="宋体"/>
          <w:kern w:val="2"/>
          <w:szCs w:val="21"/>
          <w:highlight w:val="none"/>
          <w:lang w:val="zh-CN"/>
        </w:rPr>
        <w:t>6.1  投标费用：不论投标结果如何，投标人应承担自身因投标文件编制、递交及其他参加本招标活动所涉及的一切费用，采购人对上述费用不负任何责任。</w:t>
      </w:r>
    </w:p>
    <w:p>
      <w:pPr>
        <w:tabs>
          <w:tab w:val="left" w:pos="567"/>
          <w:tab w:val="left" w:pos="927"/>
        </w:tabs>
        <w:spacing w:line="360" w:lineRule="auto"/>
        <w:ind w:left="630" w:hanging="630" w:hangingChars="300"/>
        <w:jc w:val="both"/>
        <w:rPr>
          <w:rFonts w:hAnsi="宋体" w:cs="宋体"/>
          <w:kern w:val="2"/>
          <w:szCs w:val="21"/>
          <w:highlight w:val="none"/>
          <w:lang w:val="zh-CN"/>
        </w:rPr>
      </w:pPr>
      <w:r>
        <w:rPr>
          <w:rFonts w:hint="eastAsia" w:hAnsi="宋体" w:cs="宋体"/>
          <w:kern w:val="2"/>
          <w:szCs w:val="21"/>
          <w:highlight w:val="none"/>
          <w:lang w:val="zh-CN"/>
        </w:rPr>
        <w:t>6.2  踏勘现场</w:t>
      </w:r>
    </w:p>
    <w:p>
      <w:pPr>
        <w:spacing w:line="360" w:lineRule="auto"/>
        <w:ind w:left="462" w:leftChars="220" w:firstLine="315" w:firstLineChars="150"/>
        <w:rPr>
          <w:rFonts w:hAnsi="宋体" w:cs="宋体"/>
          <w:kern w:val="2"/>
          <w:szCs w:val="21"/>
          <w:highlight w:val="none"/>
          <w:lang w:val="zh-CN"/>
        </w:rPr>
      </w:pPr>
      <w:r>
        <w:rPr>
          <w:rFonts w:hint="eastAsia" w:hAnsi="宋体" w:cs="宋体"/>
          <w:kern w:val="2"/>
          <w:szCs w:val="21"/>
          <w:highlight w:val="none"/>
          <w:lang w:val="zh-CN"/>
        </w:rPr>
        <w:t>（1）投标人应按本《投标须知前附表》所述时间和要求对工程现场及周围环境进行踏勘，投标人应充分重视和仔细地进行这种考察，以便获取那些须投标人自己负责的有关编制投标文件和签署合同所涉及现场所有的资料。一旦中标，这种考察即被认为其结果已在中标文件中得到充分反映。考察现场的费用由投标人自己承担。</w:t>
      </w:r>
    </w:p>
    <w:p>
      <w:pPr>
        <w:tabs>
          <w:tab w:val="left" w:pos="105"/>
        </w:tabs>
        <w:spacing w:line="360" w:lineRule="auto"/>
        <w:ind w:left="462" w:leftChars="220" w:firstLine="315" w:firstLineChars="150"/>
        <w:rPr>
          <w:rFonts w:hAnsi="宋体" w:cs="宋体"/>
          <w:kern w:val="2"/>
          <w:szCs w:val="21"/>
          <w:highlight w:val="none"/>
          <w:lang w:val="zh-CN"/>
        </w:rPr>
      </w:pPr>
      <w:r>
        <w:rPr>
          <w:rFonts w:hint="eastAsia" w:hAnsi="宋体" w:cs="宋体"/>
          <w:kern w:val="2"/>
          <w:szCs w:val="21"/>
          <w:highlight w:val="none"/>
          <w:lang w:val="zh-CN"/>
        </w:rPr>
        <w:t>（2）采购人向投标人提供的有关现场的数据和资料，是采购人现有的能被投标人利用的资料，采购人对投标人做出的任何推论、理解和结论均不负责任。</w:t>
      </w:r>
    </w:p>
    <w:p>
      <w:pPr>
        <w:spacing w:line="360" w:lineRule="auto"/>
        <w:ind w:left="462" w:leftChars="220" w:firstLine="315" w:firstLineChars="150"/>
        <w:rPr>
          <w:rFonts w:hAnsi="宋体" w:cs="宋体"/>
          <w:kern w:val="2"/>
          <w:szCs w:val="21"/>
          <w:highlight w:val="none"/>
          <w:lang w:val="zh-CN"/>
        </w:rPr>
      </w:pPr>
      <w:r>
        <w:rPr>
          <w:rFonts w:hint="eastAsia" w:hAnsi="宋体" w:cs="宋体"/>
          <w:kern w:val="2"/>
          <w:szCs w:val="21"/>
          <w:highlight w:val="none"/>
          <w:lang w:val="zh-CN"/>
        </w:rPr>
        <w:t>（3）经采购人允许，投标人可为踏勘目的进入采购人的项目现场。在考察过程中，投标人及其代表必须承担那些进入现场后，由于他们的行为所造成的人身伤害（不管是否致命）、财产损失或损坏，以及其他任何原因造成的损失、损坏或费用，投标人不得因此使采购人承担有关的责任和蒙受损失。</w:t>
      </w:r>
    </w:p>
    <w:p>
      <w:pPr>
        <w:spacing w:line="360" w:lineRule="auto"/>
        <w:ind w:left="462" w:leftChars="220" w:firstLine="315" w:firstLineChars="150"/>
        <w:rPr>
          <w:rFonts w:hAnsi="宋体" w:cs="宋体"/>
          <w:kern w:val="2"/>
          <w:szCs w:val="21"/>
          <w:highlight w:val="none"/>
          <w:lang w:val="zh-CN"/>
        </w:rPr>
      </w:pPr>
    </w:p>
    <w:p>
      <w:pPr>
        <w:pStyle w:val="6"/>
        <w:spacing w:line="360" w:lineRule="auto"/>
        <w:rPr>
          <w:rFonts w:hAnsi="宋体" w:cs="宋体"/>
          <w:b w:val="0"/>
          <w:bCs/>
          <w:kern w:val="44"/>
          <w:szCs w:val="21"/>
          <w:highlight w:val="none"/>
          <w:lang w:val="zh-CN"/>
        </w:rPr>
      </w:pPr>
      <w:bookmarkStart w:id="1" w:name="_Toc413396490"/>
      <w:r>
        <w:rPr>
          <w:rFonts w:hint="eastAsia" w:hAnsi="宋体" w:cs="宋体"/>
          <w:b w:val="0"/>
          <w:bCs/>
          <w:kern w:val="44"/>
          <w:szCs w:val="21"/>
          <w:highlight w:val="none"/>
          <w:lang w:val="zh-CN"/>
        </w:rPr>
        <w:t>（二）</w:t>
      </w:r>
      <w:r>
        <w:rPr>
          <w:rFonts w:hint="eastAsia" w:hAnsi="宋体" w:cs="宋体"/>
          <w:b w:val="0"/>
          <w:bCs/>
          <w:kern w:val="44"/>
          <w:szCs w:val="21"/>
          <w:highlight w:val="none"/>
          <w:lang w:val="zh-CN"/>
        </w:rPr>
        <w:tab/>
      </w:r>
      <w:r>
        <w:rPr>
          <w:rFonts w:hint="eastAsia" w:hAnsi="宋体" w:cs="宋体"/>
          <w:b w:val="0"/>
          <w:bCs/>
          <w:kern w:val="44"/>
          <w:szCs w:val="21"/>
          <w:highlight w:val="none"/>
          <w:lang w:val="zh-CN"/>
        </w:rPr>
        <w:t>招标文件</w:t>
      </w:r>
      <w:bookmarkEnd w:id="1"/>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7</w:t>
      </w:r>
      <w:r>
        <w:rPr>
          <w:rFonts w:hint="eastAsia" w:hAnsi="宋体" w:cs="宋体"/>
          <w:kern w:val="2"/>
          <w:szCs w:val="21"/>
          <w:highlight w:val="none"/>
          <w:lang w:val="zh-CN"/>
        </w:rPr>
        <w:tab/>
      </w:r>
      <w:r>
        <w:rPr>
          <w:rFonts w:hint="eastAsia" w:hAnsi="宋体" w:cs="宋体"/>
          <w:kern w:val="2"/>
          <w:szCs w:val="21"/>
          <w:highlight w:val="none"/>
          <w:lang w:val="zh-CN"/>
        </w:rPr>
        <w:t>招标文件的构成</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7.1</w:t>
      </w:r>
      <w:r>
        <w:rPr>
          <w:rFonts w:hint="eastAsia" w:hAnsi="宋体" w:cs="宋体"/>
          <w:kern w:val="2"/>
          <w:szCs w:val="21"/>
          <w:highlight w:val="none"/>
          <w:lang w:val="zh-CN"/>
        </w:rPr>
        <w:tab/>
      </w:r>
      <w:r>
        <w:rPr>
          <w:rFonts w:hint="eastAsia" w:hAnsi="宋体" w:cs="宋体"/>
          <w:kern w:val="2"/>
          <w:szCs w:val="21"/>
          <w:highlight w:val="none"/>
          <w:lang w:val="zh-CN"/>
        </w:rPr>
        <w:t>招标文件包括：</w:t>
      </w:r>
    </w:p>
    <w:p>
      <w:pPr>
        <w:tabs>
          <w:tab w:val="left" w:pos="1890"/>
        </w:tabs>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第一篇</w:t>
      </w:r>
      <w:r>
        <w:rPr>
          <w:rFonts w:hint="eastAsia" w:hAnsi="宋体" w:cs="宋体"/>
          <w:kern w:val="2"/>
          <w:szCs w:val="21"/>
          <w:highlight w:val="none"/>
          <w:lang w:val="zh-CN"/>
        </w:rPr>
        <w:tab/>
      </w:r>
      <w:r>
        <w:rPr>
          <w:rFonts w:hint="eastAsia" w:hAnsi="宋体" w:cs="宋体"/>
          <w:kern w:val="2"/>
          <w:szCs w:val="21"/>
          <w:highlight w:val="none"/>
          <w:lang w:val="zh-CN"/>
        </w:rPr>
        <w:t>投标邀请书</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第二篇</w:t>
      </w:r>
      <w:r>
        <w:rPr>
          <w:rFonts w:hint="eastAsia" w:hAnsi="宋体" w:cs="宋体"/>
          <w:kern w:val="2"/>
          <w:szCs w:val="21"/>
          <w:highlight w:val="none"/>
          <w:lang w:val="zh-CN"/>
        </w:rPr>
        <w:tab/>
      </w:r>
      <w:r>
        <w:rPr>
          <w:rFonts w:hint="eastAsia" w:hAnsi="宋体" w:cs="宋体"/>
          <w:kern w:val="2"/>
          <w:szCs w:val="21"/>
          <w:highlight w:val="none"/>
          <w:lang w:val="zh-CN"/>
        </w:rPr>
        <w:t>投标人须知</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第三篇</w:t>
      </w:r>
      <w:r>
        <w:rPr>
          <w:rFonts w:hint="eastAsia" w:hAnsi="宋体" w:cs="宋体"/>
          <w:kern w:val="2"/>
          <w:szCs w:val="21"/>
          <w:highlight w:val="none"/>
          <w:lang w:val="zh-CN"/>
        </w:rPr>
        <w:tab/>
      </w:r>
      <w:r>
        <w:rPr>
          <w:rFonts w:hint="eastAsia" w:hAnsi="宋体" w:cs="宋体"/>
          <w:kern w:val="2"/>
          <w:szCs w:val="21"/>
          <w:highlight w:val="none"/>
          <w:lang w:val="zh-CN"/>
        </w:rPr>
        <w:t>合同条款格式</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第四篇</w:t>
      </w:r>
      <w:r>
        <w:rPr>
          <w:rFonts w:hint="eastAsia" w:hAnsi="宋体" w:cs="宋体"/>
          <w:kern w:val="2"/>
          <w:szCs w:val="21"/>
          <w:highlight w:val="none"/>
          <w:lang w:val="zh-CN"/>
        </w:rPr>
        <w:tab/>
      </w:r>
      <w:r>
        <w:rPr>
          <w:rFonts w:hint="eastAsia" w:hAnsi="宋体" w:cs="宋体"/>
          <w:kern w:val="2"/>
          <w:szCs w:val="21"/>
          <w:highlight w:val="none"/>
          <w:lang w:val="zh-CN"/>
        </w:rPr>
        <w:t>用户需求书</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第五篇</w:t>
      </w:r>
      <w:r>
        <w:rPr>
          <w:rFonts w:hint="eastAsia" w:hAnsi="宋体" w:cs="宋体"/>
          <w:kern w:val="2"/>
          <w:szCs w:val="21"/>
          <w:highlight w:val="none"/>
          <w:lang w:val="zh-CN"/>
        </w:rPr>
        <w:tab/>
      </w:r>
      <w:r>
        <w:rPr>
          <w:rFonts w:hint="eastAsia" w:hAnsi="宋体" w:cs="宋体"/>
          <w:kern w:val="2"/>
          <w:szCs w:val="21"/>
          <w:highlight w:val="none"/>
          <w:lang w:val="zh-CN"/>
        </w:rPr>
        <w:t>投标文件格式</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附件一：  评标工作大纲</w:t>
      </w:r>
    </w:p>
    <w:p>
      <w:pPr>
        <w:spacing w:line="360" w:lineRule="auto"/>
        <w:ind w:left="1890" w:hanging="1050"/>
        <w:jc w:val="both"/>
        <w:rPr>
          <w:rFonts w:hAnsi="宋体" w:cs="宋体"/>
          <w:kern w:val="2"/>
          <w:szCs w:val="21"/>
          <w:highlight w:val="none"/>
          <w:lang w:val="zh-CN"/>
        </w:rPr>
      </w:pPr>
      <w:r>
        <w:rPr>
          <w:rFonts w:hint="eastAsia" w:hAnsi="宋体" w:cs="宋体"/>
          <w:kern w:val="2"/>
          <w:szCs w:val="21"/>
          <w:highlight w:val="none"/>
          <w:lang w:val="zh-CN"/>
        </w:rPr>
        <w:t>附件二：  中标服务费收费标准</w:t>
      </w:r>
    </w:p>
    <w:p>
      <w:pPr>
        <w:spacing w:line="360" w:lineRule="auto"/>
        <w:ind w:left="420" w:hanging="420" w:hangingChars="200"/>
        <w:jc w:val="both"/>
        <w:rPr>
          <w:rFonts w:hAnsi="宋体" w:cs="宋体"/>
          <w:kern w:val="2"/>
          <w:szCs w:val="21"/>
          <w:highlight w:val="none"/>
          <w:lang w:val="zh-CN"/>
        </w:rPr>
      </w:pPr>
      <w:r>
        <w:rPr>
          <w:rFonts w:hint="eastAsia" w:hAnsi="宋体" w:cs="宋体"/>
          <w:kern w:val="2"/>
          <w:szCs w:val="21"/>
          <w:highlight w:val="none"/>
          <w:lang w:val="zh-CN"/>
        </w:rPr>
        <w:t>7.2</w:t>
      </w:r>
      <w:r>
        <w:rPr>
          <w:rFonts w:hint="eastAsia" w:hAnsi="宋体" w:cs="宋体"/>
          <w:kern w:val="2"/>
          <w:szCs w:val="21"/>
          <w:highlight w:val="none"/>
          <w:lang w:val="zh-CN"/>
        </w:rPr>
        <w:tab/>
      </w:r>
      <w:r>
        <w:rPr>
          <w:rFonts w:hint="eastAsia" w:hAnsi="宋体" w:cs="宋体"/>
          <w:kern w:val="2"/>
          <w:szCs w:val="21"/>
          <w:highlight w:val="none"/>
          <w:lang w:val="zh-CN"/>
        </w:rPr>
        <w:t>投标人应认真阅读、并充分理解招标文件的全部内容（包括所有的补充、修改内容、重要事项、格式、条款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pPr>
        <w:spacing w:line="360" w:lineRule="auto"/>
        <w:jc w:val="both"/>
        <w:rPr>
          <w:rFonts w:hAnsi="宋体" w:cs="宋体"/>
          <w:kern w:val="2"/>
          <w:szCs w:val="21"/>
          <w:highlight w:val="none"/>
          <w:lang w:val="zh-CN"/>
        </w:rPr>
      </w:pPr>
      <w:r>
        <w:rPr>
          <w:rFonts w:hint="eastAsia" w:hAnsi="宋体" w:cs="宋体"/>
          <w:kern w:val="2"/>
          <w:szCs w:val="21"/>
          <w:highlight w:val="none"/>
          <w:lang w:val="zh-CN"/>
        </w:rPr>
        <w:t>7.3 本招标文件使用的词语有如下定义：</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“采购人”系指依法进行政府采购的国家机关、事业单位、团体组织等。</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“采购代理机构”系指广东远东招标代理有限公司。</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“投标人”系指响应招标、参加投标竞争的具有独立民事责任的法人、其他组织或者自然人，并取得合法工商执照或者其它法人（负责人）证书。</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“中标人”系指由评标委员会评审推荐，经法定程序确定获得本项目中标资格的投标人。</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“评标委员会” 系指依法组建，负责本次招标的评标工作机构。</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“甲方”系指在合同条款中指明的采购人。</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“乙方”系指在合同条款中指明的本合同项下提供货物和相关服务的公司或实体。</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“招标文件”系指由采购代理机构发出的本招标文件，包括全部章节和附件。</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“投标文件”系指投标人根据本招标文件向采购代理机构提交的全部文件。</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“书面函件”系统手写、打字或印刷的函件，包括电传、电报和传真。</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“合同”系统由本次采购所产生的合同或合约文件。</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“日期”系指公历日。</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“时间”系指北京时间。</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货物”系指投标人须向采购人提供的符合招标文件要求的货物等，其来源地均应为中华人民共和国或与中华人民共和国有官方贸易关系的国家或地区。招标文件中没有提及招标货物来源地的，根据《政府采购法》的相关规定均应是本国货物，优先采购自主创新、节能、环保产品。投标的货物必须是合法生产的符合国家有关标准要求的全新原厂生产的产品，并满足政府采购招标文件规定的规格、参数、质量、价格、有效期、售后服务等要求。所有国内制造的货物必须具备出厂合格证和相关检测报告；所有进口货物必须均为合法正当渠道进口的且具备原产地证明、中国商检证明及合法进货渠道全套单证。在验收货物时，中标供应商必须提供上述全部相关资料及证明文件。</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“服务”系指与本项目有关的除货物和工程以外的其他政府采购对象，其中包括：投标人须承担的运输、安装、技术支持、培训以及招标文件规定的其它服务。</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 xml:space="preserve"> “实质性响应”系指符合招标文件的所有要求、条款、条件和规定，且没有不利于项目实施质量效果和服务保障的重大偏离或保留。</w:t>
      </w:r>
    </w:p>
    <w:p>
      <w:pPr>
        <w:numPr>
          <w:ilvl w:val="0"/>
          <w:numId w:val="7"/>
        </w:numPr>
        <w:tabs>
          <w:tab w:val="left" w:pos="993"/>
        </w:tabs>
        <w:spacing w:line="360" w:lineRule="auto"/>
        <w:ind w:left="1134" w:hanging="708"/>
        <w:jc w:val="both"/>
        <w:rPr>
          <w:rFonts w:hAnsi="宋体" w:cs="宋体"/>
          <w:kern w:val="2"/>
          <w:szCs w:val="21"/>
          <w:highlight w:val="none"/>
          <w:lang w:val="zh-CN"/>
        </w:rPr>
      </w:pPr>
      <w:r>
        <w:rPr>
          <w:rFonts w:hint="eastAsia" w:hAnsi="宋体" w:cs="宋体"/>
          <w:kern w:val="2"/>
          <w:szCs w:val="21"/>
          <w:highlight w:val="none"/>
          <w:lang w:val="zh-CN"/>
        </w:rPr>
        <w:t>“重大偏离或保留”系指影响到招标文件规定的范围、质量和性能或限制了采购人的权力和投标人义务的规定，而纠正这些偏离将影响到其它投标人的公平竞争地位。</w:t>
      </w:r>
    </w:p>
    <w:p>
      <w:pPr>
        <w:numPr>
          <w:ilvl w:val="0"/>
          <w:numId w:val="7"/>
        </w:numPr>
        <w:tabs>
          <w:tab w:val="left" w:pos="846"/>
        </w:tabs>
        <w:spacing w:line="360" w:lineRule="auto"/>
        <w:ind w:left="846" w:hanging="420"/>
        <w:rPr>
          <w:rFonts w:hAnsi="宋体" w:cs="宋体"/>
          <w:kern w:val="2"/>
          <w:szCs w:val="21"/>
          <w:highlight w:val="none"/>
          <w:lang w:val="zh-CN"/>
        </w:rPr>
      </w:pPr>
      <w:r>
        <w:rPr>
          <w:rFonts w:hint="eastAsia" w:hAnsi="宋体" w:cs="宋体"/>
          <w:kern w:val="2"/>
          <w:szCs w:val="21"/>
          <w:highlight w:val="none"/>
          <w:lang w:val="zh-CN"/>
        </w:rPr>
        <w:t>政府采购法第二十二条第一款第五项所称重大违法记录，是指供应商因违法经营受到刑事处罚或责令停产停业、吊销许可证或者执照、较大数额罚款等行政处罚。</w:t>
      </w:r>
    </w:p>
    <w:p>
      <w:pPr>
        <w:spacing w:line="360" w:lineRule="auto"/>
        <w:jc w:val="both"/>
        <w:rPr>
          <w:rFonts w:hAnsi="宋体" w:cs="宋体"/>
          <w:kern w:val="2"/>
          <w:szCs w:val="21"/>
          <w:highlight w:val="none"/>
          <w:lang w:val="zh-CN"/>
        </w:rPr>
      </w:pPr>
      <w:r>
        <w:rPr>
          <w:rFonts w:hint="eastAsia" w:hAnsi="宋体" w:cs="宋体"/>
          <w:kern w:val="2"/>
          <w:szCs w:val="21"/>
          <w:highlight w:val="none"/>
          <w:lang w:val="zh-CN"/>
        </w:rPr>
        <w:t>7.4 知识产权</w:t>
      </w:r>
    </w:p>
    <w:p>
      <w:pPr>
        <w:spacing w:line="360" w:lineRule="auto"/>
        <w:ind w:left="462" w:leftChars="220" w:firstLine="315" w:firstLineChars="150"/>
        <w:rPr>
          <w:rFonts w:hAnsi="宋体" w:cs="宋体"/>
          <w:szCs w:val="21"/>
          <w:highlight w:val="none"/>
          <w:lang w:val="en-GB"/>
        </w:rPr>
      </w:pPr>
      <w:r>
        <w:rPr>
          <w:rFonts w:hint="eastAsia" w:hAnsi="宋体" w:cs="宋体"/>
          <w:szCs w:val="21"/>
          <w:highlight w:val="none"/>
          <w:lang w:val="en-GB"/>
        </w:rPr>
        <w:t>投标人必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8</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招标文件的澄清</w:t>
      </w:r>
    </w:p>
    <w:p>
      <w:pPr>
        <w:tabs>
          <w:tab w:val="left" w:pos="567"/>
        </w:tabs>
        <w:spacing w:line="360" w:lineRule="auto"/>
        <w:ind w:left="567" w:hanging="567"/>
        <w:jc w:val="both"/>
        <w:rPr>
          <w:rFonts w:hAnsi="宋体" w:cs="宋体"/>
          <w:bCs/>
          <w:kern w:val="2"/>
          <w:szCs w:val="21"/>
          <w:highlight w:val="none"/>
          <w:lang w:val="zh-CN"/>
        </w:rPr>
      </w:pPr>
      <w:r>
        <w:rPr>
          <w:rFonts w:hint="eastAsia" w:hAnsi="宋体" w:cs="宋体"/>
          <w:kern w:val="2"/>
          <w:szCs w:val="21"/>
          <w:highlight w:val="none"/>
          <w:lang w:val="zh-CN"/>
        </w:rPr>
        <w:t>8.1</w:t>
      </w:r>
      <w:r>
        <w:rPr>
          <w:rFonts w:hint="eastAsia" w:hAnsi="宋体" w:cs="宋体"/>
          <w:kern w:val="2"/>
          <w:szCs w:val="21"/>
          <w:highlight w:val="none"/>
          <w:lang w:val="zh-CN"/>
        </w:rPr>
        <w:tab/>
      </w:r>
      <w:r>
        <w:rPr>
          <w:rFonts w:hint="eastAsia" w:hAnsi="宋体" w:cs="宋体"/>
          <w:bCs/>
          <w:kern w:val="2"/>
          <w:szCs w:val="21"/>
          <w:highlight w:val="none"/>
          <w:lang w:val="zh-CN"/>
        </w:rPr>
        <w:t>投标人对本招标文件如有技术和商务的疑问，请按投标邀请书中载明的邮政地址以书面形式（包括信函或传真等（应加盖公章），下同）向采购代理机构提出询问, 采购代理机构在三个工作日内对供应商提出的询问作出答复。</w:t>
      </w:r>
    </w:p>
    <w:p>
      <w:pPr>
        <w:tabs>
          <w:tab w:val="left" w:pos="567"/>
        </w:tabs>
        <w:spacing w:line="360" w:lineRule="auto"/>
        <w:ind w:left="567" w:hanging="567"/>
        <w:jc w:val="both"/>
        <w:rPr>
          <w:rFonts w:hAnsi="宋体" w:cs="宋体"/>
          <w:bCs/>
          <w:kern w:val="2"/>
          <w:szCs w:val="21"/>
          <w:highlight w:val="none"/>
          <w:lang w:val="zh-CN"/>
        </w:rPr>
      </w:pPr>
      <w:r>
        <w:rPr>
          <w:rFonts w:hint="eastAsia" w:hAnsi="宋体" w:cs="宋体"/>
          <w:bCs/>
          <w:kern w:val="2"/>
          <w:szCs w:val="21"/>
          <w:highlight w:val="none"/>
          <w:lang w:val="zh-CN"/>
        </w:rPr>
        <w:t>8.2</w:t>
      </w:r>
      <w:r>
        <w:rPr>
          <w:rFonts w:hint="eastAsia" w:hAnsi="宋体" w:cs="宋体"/>
          <w:bCs/>
          <w:kern w:val="2"/>
          <w:szCs w:val="21"/>
          <w:highlight w:val="none"/>
          <w:lang w:val="zh-CN"/>
        </w:rPr>
        <w:tab/>
      </w:r>
      <w:r>
        <w:rPr>
          <w:rFonts w:hint="eastAsia" w:hAnsi="宋体" w:cs="宋体"/>
          <w:bCs/>
          <w:kern w:val="2"/>
          <w:szCs w:val="21"/>
          <w:highlight w:val="none"/>
          <w:lang w:val="zh-CN"/>
        </w:rPr>
        <w:t>根据需要，采购代理机构和采购人可组织相关专家在《投标须知前附表》规定的时间和地点召开投标答疑会，解答投标人在此之前以书面或当场提出的对招标文件的澄清要求，随后以书面形式通知本招标文件的所有收受人。答疑或澄清文件作为招标文件的组成部分，如与招标文件的内容不一致的，以答疑或澄清文件的内容为准。</w:t>
      </w:r>
    </w:p>
    <w:p>
      <w:pPr>
        <w:tabs>
          <w:tab w:val="left" w:pos="567"/>
        </w:tabs>
        <w:spacing w:line="360" w:lineRule="auto"/>
        <w:ind w:left="567" w:hanging="567"/>
        <w:jc w:val="both"/>
        <w:rPr>
          <w:rFonts w:hAnsi="宋体" w:cs="宋体"/>
          <w:bCs/>
          <w:kern w:val="2"/>
          <w:szCs w:val="21"/>
          <w:highlight w:val="none"/>
          <w:lang w:val="zh-CN"/>
        </w:rPr>
      </w:pPr>
      <w:r>
        <w:rPr>
          <w:rFonts w:hint="eastAsia" w:hAnsi="宋体" w:cs="宋体"/>
          <w:bCs/>
          <w:kern w:val="2"/>
          <w:szCs w:val="21"/>
          <w:highlight w:val="none"/>
          <w:lang w:val="zh-CN"/>
        </w:rPr>
        <w:t>8.3  投标人在规定的时间内未对招标文件澄清或提出疑问的，采购代理机构和采购人将视其为无异议。对招标文件中描述有歧意或前后不一致的地方，评标委员会有权进行评判，但对同一条款的评判应适用于每个投标人。</w:t>
      </w:r>
    </w:p>
    <w:p>
      <w:pPr>
        <w:tabs>
          <w:tab w:val="left" w:pos="567"/>
        </w:tabs>
        <w:spacing w:line="360" w:lineRule="auto"/>
        <w:ind w:left="567" w:hanging="567"/>
        <w:jc w:val="both"/>
        <w:rPr>
          <w:rFonts w:hAnsi="宋体" w:cs="宋体"/>
          <w:bCs/>
          <w:kern w:val="2"/>
          <w:szCs w:val="21"/>
          <w:highlight w:val="none"/>
          <w:lang w:val="zh-CN"/>
        </w:rPr>
      </w:pPr>
      <w:r>
        <w:rPr>
          <w:rFonts w:hint="eastAsia" w:hAnsi="宋体" w:cs="宋体"/>
          <w:bCs/>
          <w:kern w:val="2"/>
          <w:szCs w:val="21"/>
          <w:highlight w:val="none"/>
          <w:lang w:val="zh-CN"/>
        </w:rPr>
        <w:t>8.4  招标过程中的一切修改文件或补充文件一旦确认后与招标文件具有同等法律效力，投标人有责任履行相应的义务。</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9</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招标文件的修改</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9.1</w:t>
      </w:r>
      <w:r>
        <w:rPr>
          <w:rFonts w:hint="eastAsia" w:hAnsi="宋体" w:cs="宋体"/>
          <w:kern w:val="2"/>
          <w:szCs w:val="21"/>
          <w:highlight w:val="none"/>
          <w:lang w:val="zh-CN"/>
        </w:rPr>
        <w:tab/>
      </w:r>
      <w:r>
        <w:rPr>
          <w:rFonts w:hint="eastAsia" w:hAnsi="宋体" w:cs="宋体"/>
          <w:kern w:val="2"/>
          <w:szCs w:val="21"/>
          <w:highlight w:val="none"/>
          <w:lang w:val="zh-CN"/>
        </w:rPr>
        <w:t>在递交投标文件截止日期前的任何时候，无论何故，采购代理机构可主动地或在答复投标人提出澄清的问题,同时经采购人同意后对招标文件进行澄清或修改，但不得改变采购标的和资格条件。澄清或者修改应当在原公告发布媒体上发布澄清公告。澄清或者修改的内容为招标文件、资格预审文件、投标邀请书的组成部分。采购代理机构在投标截止时间至少15日前，以书面的形式通知所有获取招标文件的潜在投标人；不足15日的，采购代理机构应当顺延提交投标文件的截止时间。</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9.2</w:t>
      </w:r>
      <w:r>
        <w:rPr>
          <w:rFonts w:hint="eastAsia" w:hAnsi="宋体" w:cs="宋体"/>
          <w:kern w:val="2"/>
          <w:szCs w:val="21"/>
          <w:highlight w:val="none"/>
          <w:lang w:val="zh-CN"/>
        </w:rPr>
        <w:tab/>
      </w:r>
      <w:r>
        <w:rPr>
          <w:rFonts w:hint="eastAsia" w:hAnsi="宋体" w:cs="宋体"/>
          <w:kern w:val="2"/>
          <w:szCs w:val="21"/>
          <w:highlight w:val="none"/>
          <w:lang w:val="zh-CN"/>
        </w:rPr>
        <w:t>招标文件的修改将以书面函件形式通知所有购买招标文件的投标人，并对其具有约束力。投标人在收到上述通知后</w:t>
      </w:r>
      <w:r>
        <w:rPr>
          <w:rFonts w:hint="eastAsia" w:hAnsi="宋体" w:cs="宋体"/>
          <w:bCs/>
          <w:kern w:val="2"/>
          <w:szCs w:val="21"/>
          <w:highlight w:val="none"/>
          <w:lang w:val="zh-CN"/>
        </w:rPr>
        <w:t>24小时内</w:t>
      </w:r>
      <w:r>
        <w:rPr>
          <w:rFonts w:hint="eastAsia" w:hAnsi="宋体" w:cs="宋体"/>
          <w:kern w:val="2"/>
          <w:szCs w:val="21"/>
          <w:highlight w:val="none"/>
          <w:lang w:val="zh-CN"/>
        </w:rPr>
        <w:t>应立即以书面</w:t>
      </w:r>
      <w:r>
        <w:rPr>
          <w:rFonts w:hint="eastAsia" w:hAnsi="宋体" w:cs="宋体"/>
          <w:bCs/>
          <w:kern w:val="2"/>
          <w:szCs w:val="21"/>
          <w:highlight w:val="none"/>
          <w:lang w:val="zh-CN"/>
        </w:rPr>
        <w:t>形式（应加盖公章）</w:t>
      </w:r>
      <w:r>
        <w:rPr>
          <w:rFonts w:hint="eastAsia" w:hAnsi="宋体" w:cs="宋体"/>
          <w:kern w:val="2"/>
          <w:szCs w:val="21"/>
          <w:highlight w:val="none"/>
          <w:lang w:val="zh-CN"/>
        </w:rPr>
        <w:t>向采购代理机构确认</w:t>
      </w:r>
      <w:r>
        <w:rPr>
          <w:rFonts w:hint="eastAsia" w:hAnsi="宋体" w:cs="宋体"/>
          <w:bCs/>
          <w:kern w:val="2"/>
          <w:szCs w:val="21"/>
          <w:highlight w:val="none"/>
          <w:lang w:val="zh-CN"/>
        </w:rPr>
        <w:t>，逾期不提交书面确认的，视为已确认。</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9.3</w:t>
      </w:r>
      <w:r>
        <w:rPr>
          <w:rFonts w:hint="eastAsia" w:hAnsi="宋体" w:cs="宋体"/>
          <w:kern w:val="2"/>
          <w:szCs w:val="21"/>
          <w:highlight w:val="none"/>
          <w:lang w:val="zh-CN"/>
        </w:rPr>
        <w:tab/>
      </w:r>
      <w:r>
        <w:rPr>
          <w:rFonts w:hint="eastAsia" w:hAnsi="宋体" w:cs="宋体"/>
          <w:kern w:val="2"/>
          <w:szCs w:val="21"/>
          <w:highlight w:val="none"/>
          <w:lang w:val="zh-CN"/>
        </w:rPr>
        <w:t>为使投标人在准备投标文件时有合理的时间考虑招标文件的修改，采购代理机构可酌情推迟本项目递交投标文件截止日期，但应发布公告并书面通知所有购买招标文件的潜在投标人。</w:t>
      </w:r>
    </w:p>
    <w:p>
      <w:pPr>
        <w:spacing w:line="360" w:lineRule="auto"/>
        <w:ind w:left="567" w:hanging="567"/>
        <w:jc w:val="both"/>
        <w:rPr>
          <w:rFonts w:hAnsi="宋体" w:cs="宋体"/>
          <w:kern w:val="2"/>
          <w:szCs w:val="21"/>
          <w:highlight w:val="none"/>
          <w:lang w:val="zh-CN"/>
        </w:rPr>
      </w:pPr>
    </w:p>
    <w:p>
      <w:pPr>
        <w:pStyle w:val="6"/>
        <w:spacing w:line="360" w:lineRule="auto"/>
        <w:rPr>
          <w:rFonts w:hAnsi="宋体" w:cs="宋体"/>
          <w:b w:val="0"/>
          <w:bCs/>
          <w:kern w:val="44"/>
          <w:szCs w:val="21"/>
          <w:highlight w:val="none"/>
          <w:lang w:val="zh-CN"/>
        </w:rPr>
      </w:pPr>
      <w:bookmarkStart w:id="2" w:name="_Toc413396491"/>
      <w:r>
        <w:rPr>
          <w:rFonts w:hint="eastAsia" w:hAnsi="宋体" w:cs="宋体"/>
          <w:b w:val="0"/>
          <w:bCs/>
          <w:kern w:val="44"/>
          <w:szCs w:val="21"/>
          <w:highlight w:val="none"/>
          <w:lang w:val="zh-CN"/>
        </w:rPr>
        <w:t>（三）</w:t>
      </w:r>
      <w:r>
        <w:rPr>
          <w:rFonts w:hint="eastAsia" w:hAnsi="宋体" w:cs="宋体"/>
          <w:b w:val="0"/>
          <w:bCs/>
          <w:kern w:val="44"/>
          <w:szCs w:val="21"/>
          <w:highlight w:val="none"/>
          <w:lang w:val="zh-CN"/>
        </w:rPr>
        <w:tab/>
      </w:r>
      <w:r>
        <w:rPr>
          <w:rFonts w:hint="eastAsia" w:hAnsi="宋体" w:cs="宋体"/>
          <w:b w:val="0"/>
          <w:bCs/>
          <w:kern w:val="44"/>
          <w:szCs w:val="21"/>
          <w:highlight w:val="none"/>
          <w:lang w:val="zh-CN"/>
        </w:rPr>
        <w:t>投标文件的编制</w:t>
      </w:r>
      <w:bookmarkEnd w:id="2"/>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10</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投标使用的文字及度量衡单位。</w:t>
      </w:r>
    </w:p>
    <w:p>
      <w:pPr>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10.1  投标人应仔细阅读招标文件的所有内容，并按招标文件的规定及附件要求的内容和格式，提交完整的投标文件，并保证所提供全部资料的真实性，所有不完整的投标将被拒绝。</w:t>
      </w:r>
    </w:p>
    <w:p>
      <w:pPr>
        <w:spacing w:line="360" w:lineRule="auto"/>
        <w:jc w:val="both"/>
        <w:rPr>
          <w:rFonts w:hAnsi="宋体" w:cs="宋体"/>
          <w:kern w:val="2"/>
          <w:szCs w:val="21"/>
          <w:highlight w:val="none"/>
          <w:lang w:val="zh-CN"/>
        </w:rPr>
      </w:pPr>
      <w:r>
        <w:rPr>
          <w:rFonts w:hint="eastAsia" w:hAnsi="宋体" w:cs="宋体"/>
          <w:kern w:val="2"/>
          <w:szCs w:val="21"/>
          <w:highlight w:val="none"/>
          <w:lang w:val="zh-CN"/>
        </w:rPr>
        <w:t>10.2  投标文件使用的度量衡单位采用中华人民共和国法定计量单位。</w:t>
      </w:r>
    </w:p>
    <w:p>
      <w:pPr>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10.3  投标人提交的投标文件以及投标人与采购代理机构就有关投标的所有来往函电均应使用中文。投标人提交的支持文件或印刷的资料可以用另一种语言，但相应内容应附有中文翻译本，对不同文字文本投标文件的解释发生异议的，以中文文本为准。对中文翻译有异议的，以权威机构的译本为准。</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10.4  招标文件中，如标有“★”的条款均为必须完全满足指标，投标人须进行实质性响应，投标人若有一项带“★”的条款未响应或不满足，将按无效投标处理。</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10.5  招标文件中，如标有“▲”的条款均为评审的重要评分指标，投标人若有部分“▲”条款未响应或不满足，将导致其响应性评审严重扣分。</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10.6  投标人应对投标内容提供完整的、详细的、清晰的技术说明，如投标人对指定的技术要求建议做任何改动，应在投标文件中清楚地注明；投标人对招标文件的对应要求应当给予唯一的实质性响应，否则将视为不响应。技术参数要求中标注有具体数值要求的，投标人必须在技术规格响应表中标注实际数值，不标注数值者视为不响应。投标人应在投标文件中提供投标产品彩页或相应技术参数的厂家使用说明书复印件作为技术证明文件，否则评标委员会有权视相应技术参数响应不符合招标要求。（如厂家的产品使用说明书为英文版，请同时提供中文版）</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10.7  投标人响应招标需求应具体、明确，含糊不清、不确切、直接复制招标文件中技术规格或参数要求的，或伪造、变造证明材料的，按照不完全响应或完全不响应处理。构成提供虚假材料的，移送监管部门查处。</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10.8  投标人对招标文件的商务合同不允许实质性偏离，否则将视为不响应。</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10.9  资格文件视为投标文件不可分割的一部份，投标人应提供相关证件、证明文件的复印件，否则，评标委员会有权不予采信。评审结果确定后，招标代理机构将按照采购人的要求通知评标委员会推荐的第一中标候选人在2个工作日内，按招标文件中所列需要核对原件的资料（标注“○”的文件），包括相关证件、证明文件、合同、中标通知书或验收报告等的原件送采购人核对与投标文件中的复印件是否一致。投标人的相关证件、证明文件、合同和其他文件的原件、复印件没有按招标文件规定提交或提交的原件与复印件不一致的，其投标无效。</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10.10  投标文件按规定加盖的投标人公章必须为企业投标人公章，且与投标人名称一致，不能以其它业务章或附属机构章代替。需签名之处必须由当事人</w:t>
      </w:r>
      <w:r>
        <w:rPr>
          <w:rFonts w:hint="eastAsia" w:hAnsi="宋体" w:cs="宋体"/>
          <w:szCs w:val="21"/>
          <w:highlight w:val="none"/>
        </w:rPr>
        <w:t>签字或盖章</w:t>
      </w:r>
      <w:r>
        <w:rPr>
          <w:rFonts w:hint="eastAsia" w:hAnsi="宋体" w:cs="宋体"/>
          <w:kern w:val="2"/>
          <w:szCs w:val="21"/>
          <w:highlight w:val="none"/>
          <w:lang w:val="zh-CN"/>
        </w:rPr>
        <w:t>。</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11</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投标文件的组成</w:t>
      </w:r>
    </w:p>
    <w:p>
      <w:pPr>
        <w:spacing w:line="360" w:lineRule="auto"/>
        <w:ind w:left="630" w:hanging="630" w:hangingChars="300"/>
        <w:jc w:val="both"/>
        <w:rPr>
          <w:rFonts w:hAnsi="宋体" w:cs="宋体"/>
          <w:kern w:val="2"/>
          <w:szCs w:val="21"/>
          <w:highlight w:val="none"/>
          <w:lang w:val="zh-CN"/>
        </w:rPr>
      </w:pPr>
      <w:r>
        <w:rPr>
          <w:rFonts w:hint="eastAsia" w:hAnsi="宋体" w:cs="宋体"/>
          <w:kern w:val="2"/>
          <w:szCs w:val="21"/>
          <w:highlight w:val="none"/>
          <w:lang w:val="zh-CN"/>
        </w:rPr>
        <w:t>11.1 投标文件由自查表、商务技术文件、经济文件组成，三部分合编成一本文件</w:t>
      </w:r>
      <w:r>
        <w:rPr>
          <w:rFonts w:hint="eastAsia" w:hAnsi="宋体" w:cs="宋体"/>
          <w:szCs w:val="21"/>
          <w:highlight w:val="none"/>
          <w:lang w:val="zh-CN"/>
        </w:rPr>
        <w:t>（格式见第五篇投标文件格式）</w:t>
      </w:r>
      <w:r>
        <w:rPr>
          <w:rFonts w:hint="eastAsia" w:hAnsi="宋体" w:cs="宋体"/>
          <w:kern w:val="2"/>
          <w:szCs w:val="21"/>
          <w:highlight w:val="none"/>
          <w:lang w:val="zh-CN"/>
        </w:rPr>
        <w:t>。</w:t>
      </w:r>
    </w:p>
    <w:p>
      <w:pPr>
        <w:spacing w:line="360" w:lineRule="auto"/>
        <w:ind w:firstLine="422"/>
        <w:rPr>
          <w:rFonts w:hAnsi="宋体" w:cs="宋体"/>
          <w:bCs/>
          <w:szCs w:val="21"/>
          <w:highlight w:val="none"/>
          <w:lang w:val="zh-CN"/>
        </w:rPr>
      </w:pPr>
      <w:r>
        <w:rPr>
          <w:rFonts w:hint="eastAsia" w:hAnsi="宋体" w:cs="宋体"/>
          <w:bCs/>
          <w:szCs w:val="21"/>
          <w:highlight w:val="none"/>
          <w:lang w:val="zh-CN"/>
        </w:rPr>
        <w:t>第一节、自查表</w:t>
      </w:r>
    </w:p>
    <w:p>
      <w:pPr>
        <w:spacing w:line="360" w:lineRule="auto"/>
        <w:ind w:firstLine="422"/>
        <w:rPr>
          <w:rFonts w:hAnsi="宋体" w:cs="宋体"/>
          <w:bCs/>
          <w:kern w:val="2"/>
          <w:szCs w:val="21"/>
          <w:highlight w:val="none"/>
          <w:lang w:val="zh-CN"/>
        </w:rPr>
      </w:pPr>
      <w:r>
        <w:rPr>
          <w:rFonts w:hint="eastAsia" w:hAnsi="宋体" w:cs="宋体"/>
          <w:bCs/>
          <w:szCs w:val="21"/>
          <w:highlight w:val="none"/>
          <w:lang w:val="zh-CN"/>
        </w:rPr>
        <w:t>第二节、</w:t>
      </w:r>
      <w:r>
        <w:rPr>
          <w:rFonts w:hint="eastAsia" w:hAnsi="宋体" w:cs="宋体"/>
          <w:bCs/>
          <w:kern w:val="2"/>
          <w:szCs w:val="21"/>
          <w:highlight w:val="none"/>
          <w:lang w:val="zh-CN"/>
        </w:rPr>
        <w:t>商务技术文件</w:t>
      </w:r>
    </w:p>
    <w:p>
      <w:pPr>
        <w:spacing w:line="360" w:lineRule="auto"/>
        <w:ind w:firstLine="422"/>
        <w:rPr>
          <w:rFonts w:hAnsi="宋体" w:cs="宋体"/>
          <w:bCs/>
          <w:szCs w:val="21"/>
          <w:highlight w:val="none"/>
        </w:rPr>
      </w:pPr>
      <w:r>
        <w:rPr>
          <w:rFonts w:hint="eastAsia" w:hAnsi="宋体" w:cs="宋体"/>
          <w:bCs/>
          <w:szCs w:val="21"/>
          <w:highlight w:val="none"/>
          <w:lang w:val="zh-CN"/>
        </w:rPr>
        <w:t>第三节、经济文件</w:t>
      </w:r>
    </w:p>
    <w:p>
      <w:pPr>
        <w:spacing w:line="360" w:lineRule="auto"/>
        <w:jc w:val="both"/>
        <w:rPr>
          <w:rFonts w:hAnsi="宋体" w:cs="宋体"/>
          <w:bCs/>
          <w:szCs w:val="21"/>
          <w:highlight w:val="none"/>
          <w:lang w:val="zh-CN"/>
        </w:rPr>
      </w:pPr>
      <w:r>
        <w:rPr>
          <w:rFonts w:hint="eastAsia" w:hAnsi="宋体" w:cs="宋体"/>
          <w:szCs w:val="21"/>
          <w:highlight w:val="none"/>
        </w:rPr>
        <w:t>11</w:t>
      </w:r>
      <w:r>
        <w:rPr>
          <w:rFonts w:hint="eastAsia" w:hAnsi="宋体" w:cs="宋体"/>
          <w:bCs/>
          <w:kern w:val="2"/>
          <w:szCs w:val="21"/>
          <w:highlight w:val="none"/>
          <w:lang w:val="zh-CN"/>
        </w:rPr>
        <w:t>.2 唱标信封</w:t>
      </w:r>
    </w:p>
    <w:p>
      <w:pPr>
        <w:spacing w:line="360" w:lineRule="auto"/>
        <w:ind w:firstLine="210" w:firstLineChars="100"/>
        <w:jc w:val="both"/>
        <w:rPr>
          <w:rFonts w:hAnsi="宋体" w:cs="宋体"/>
          <w:bCs/>
          <w:kern w:val="2"/>
          <w:szCs w:val="21"/>
          <w:highlight w:val="none"/>
          <w:lang w:val="zh-CN"/>
        </w:rPr>
      </w:pPr>
      <w:r>
        <w:rPr>
          <w:rFonts w:hint="eastAsia" w:hAnsi="宋体" w:cs="宋体"/>
          <w:bCs/>
          <w:kern w:val="2"/>
          <w:szCs w:val="21"/>
          <w:highlight w:val="none"/>
          <w:lang w:val="zh-CN"/>
        </w:rPr>
        <w:t>1)  投标函（从投标文件正本中复印，加盖投标人公章）；</w:t>
      </w:r>
    </w:p>
    <w:p>
      <w:pPr>
        <w:spacing w:line="360" w:lineRule="auto"/>
        <w:ind w:firstLine="210" w:firstLineChars="100"/>
        <w:jc w:val="both"/>
        <w:rPr>
          <w:rFonts w:hAnsi="宋体" w:cs="宋体"/>
          <w:bCs/>
          <w:kern w:val="2"/>
          <w:szCs w:val="21"/>
          <w:highlight w:val="none"/>
          <w:lang w:val="zh-CN"/>
        </w:rPr>
      </w:pPr>
      <w:r>
        <w:rPr>
          <w:rFonts w:hint="eastAsia" w:hAnsi="宋体" w:cs="宋体"/>
          <w:bCs/>
          <w:kern w:val="2"/>
          <w:szCs w:val="21"/>
          <w:highlight w:val="none"/>
          <w:lang w:val="zh-CN"/>
        </w:rPr>
        <w:t>2)  投标报价总表（从投标文件正本中复印，该表内容如与正本不一致的，以正本内容为准，加盖投标人公章）；</w:t>
      </w:r>
    </w:p>
    <w:p>
      <w:pPr>
        <w:spacing w:line="360" w:lineRule="auto"/>
        <w:ind w:firstLine="210" w:firstLineChars="100"/>
        <w:jc w:val="both"/>
        <w:rPr>
          <w:rFonts w:hAnsi="宋体" w:cs="宋体"/>
          <w:bCs/>
          <w:kern w:val="2"/>
          <w:szCs w:val="21"/>
          <w:highlight w:val="none"/>
          <w:lang w:val="zh-CN"/>
        </w:rPr>
      </w:pPr>
      <w:r>
        <w:rPr>
          <w:rFonts w:hint="eastAsia" w:hAnsi="宋体" w:cs="宋体"/>
          <w:bCs/>
          <w:kern w:val="2"/>
          <w:szCs w:val="21"/>
          <w:highlight w:val="none"/>
          <w:lang w:val="zh-CN"/>
        </w:rPr>
        <w:t>3） 法定代表人\负责人证明书及法人授权证明书（原件）；</w:t>
      </w:r>
    </w:p>
    <w:p>
      <w:pPr>
        <w:spacing w:line="360" w:lineRule="auto"/>
        <w:ind w:firstLine="210" w:firstLineChars="100"/>
        <w:jc w:val="both"/>
        <w:rPr>
          <w:rFonts w:hAnsi="宋体" w:cs="宋体"/>
          <w:bCs/>
          <w:kern w:val="2"/>
          <w:szCs w:val="21"/>
          <w:highlight w:val="none"/>
          <w:lang w:val="zh-CN"/>
        </w:rPr>
      </w:pPr>
      <w:r>
        <w:rPr>
          <w:rFonts w:hint="eastAsia" w:hAnsi="宋体" w:cs="宋体"/>
          <w:bCs/>
          <w:kern w:val="2"/>
          <w:szCs w:val="21"/>
          <w:highlight w:val="none"/>
          <w:lang w:val="zh-CN"/>
        </w:rPr>
        <w:t>4） 电子文件（含投标文件经济文件、商务技术文件, 电子投标文件采用U盘装载，其中经济部分需用MS office的excel格式提供。）</w:t>
      </w:r>
    </w:p>
    <w:p>
      <w:pPr>
        <w:spacing w:line="360" w:lineRule="auto"/>
        <w:rPr>
          <w:rFonts w:hAnsi="宋体" w:cs="宋体"/>
          <w:szCs w:val="21"/>
          <w:highlight w:val="none"/>
        </w:rPr>
      </w:pPr>
      <w:r>
        <w:rPr>
          <w:rFonts w:hint="eastAsia" w:hAnsi="宋体" w:cs="宋体"/>
          <w:szCs w:val="21"/>
          <w:highlight w:val="none"/>
          <w:lang w:val="zh-CN"/>
        </w:rPr>
        <w:t>11.3 投标人编制投标文件必须包括但不限于上述内容。</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12</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投标报价</w:t>
      </w:r>
    </w:p>
    <w:p>
      <w:pPr>
        <w:autoSpaceDE/>
        <w:autoSpaceDN/>
        <w:adjustRightInd/>
        <w:spacing w:line="360" w:lineRule="auto"/>
        <w:ind w:left="630" w:hanging="630" w:hangingChars="300"/>
        <w:rPr>
          <w:rFonts w:hAnsi="宋体" w:cs="宋体"/>
          <w:kern w:val="2"/>
          <w:szCs w:val="21"/>
          <w:highlight w:val="none"/>
          <w:lang w:val="zh-CN"/>
        </w:rPr>
      </w:pPr>
      <w:r>
        <w:rPr>
          <w:rFonts w:hint="eastAsia" w:hAnsi="宋体" w:cs="宋体"/>
          <w:kern w:val="2"/>
          <w:szCs w:val="21"/>
          <w:highlight w:val="none"/>
          <w:lang w:val="zh-CN"/>
        </w:rPr>
        <w:t>12.1</w:t>
      </w:r>
      <w:r>
        <w:rPr>
          <w:rFonts w:hint="eastAsia" w:hAnsi="宋体" w:cs="宋体"/>
          <w:kern w:val="2"/>
          <w:szCs w:val="21"/>
          <w:highlight w:val="none"/>
          <w:lang w:val="zh-CN"/>
        </w:rPr>
        <w:tab/>
      </w:r>
      <w:r>
        <w:rPr>
          <w:rFonts w:hint="eastAsia" w:hAnsi="宋体" w:cs="宋体"/>
          <w:szCs w:val="21"/>
          <w:highlight w:val="none"/>
        </w:rPr>
        <w:t>本次招标必须对该项目的全部内容进行报价，少报漏报将导致其无效。</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12.2  投标人投标总价是以投标人可独立完成本项目，并在通过准确核算后，可满足预期实施效果、验收标准和符合自身合法利益的前提下所作出的综合性合理最终含税报价，对在投标文件和合同书中未有明确列述、投标方案设计遗漏失误、市场剧变、汇率、利率因素和不可预见的费用等均视为已完全考虑到并包括在投标总价之内。投标人应自行增加项目正常、合法、安全运行及使用所必需但招标文件没有列明或包含的内容及费用，并在投标文件中加以详细说明，如果投标人在中标并签署合同后，在提供招标范围内的服务工作中出现的任何遗漏，均由中标人免费提供，采购人将不再支付任何费用。对超出常规、具有特别意义或会引起竞争非议的报价须作出特别说明。</w:t>
      </w:r>
    </w:p>
    <w:p>
      <w:pPr>
        <w:tabs>
          <w:tab w:val="left" w:pos="567"/>
        </w:tabs>
        <w:spacing w:line="360" w:lineRule="auto"/>
        <w:ind w:left="567" w:hanging="567"/>
        <w:jc w:val="both"/>
        <w:rPr>
          <w:rFonts w:hAnsi="宋体" w:cs="宋体"/>
          <w:szCs w:val="21"/>
          <w:highlight w:val="none"/>
        </w:rPr>
      </w:pPr>
      <w:r>
        <w:rPr>
          <w:rFonts w:hint="eastAsia" w:hAnsi="宋体" w:cs="宋体"/>
          <w:kern w:val="2"/>
          <w:szCs w:val="21"/>
          <w:highlight w:val="none"/>
          <w:lang w:val="zh-CN"/>
        </w:rPr>
        <w:t>12.3</w:t>
      </w:r>
      <w:r>
        <w:rPr>
          <w:rFonts w:hint="eastAsia" w:hAnsi="宋体" w:cs="宋体"/>
          <w:kern w:val="2"/>
          <w:szCs w:val="21"/>
          <w:highlight w:val="none"/>
          <w:lang w:val="zh-CN"/>
        </w:rPr>
        <w:tab/>
      </w:r>
      <w:r>
        <w:rPr>
          <w:rFonts w:hint="eastAsia" w:hAnsi="宋体" w:cs="宋体"/>
          <w:szCs w:val="21"/>
          <w:highlight w:val="none"/>
        </w:rPr>
        <w:t>投标报价不是唯一的或不是固定不变的投标文件将被作为非响应性投标而予以拒绝。投标人所报的投标价在合同执行期间是固定不变的，投标人不得以任何理由予以变更。</w:t>
      </w:r>
    </w:p>
    <w:p>
      <w:pPr>
        <w:autoSpaceDE/>
        <w:autoSpaceDN/>
        <w:adjustRightInd/>
        <w:spacing w:line="360" w:lineRule="auto"/>
        <w:ind w:left="630" w:hanging="630" w:hangingChars="300"/>
        <w:rPr>
          <w:rFonts w:hAnsi="宋体" w:cs="宋体"/>
          <w:szCs w:val="21"/>
          <w:highlight w:val="none"/>
        </w:rPr>
      </w:pPr>
      <w:r>
        <w:rPr>
          <w:rFonts w:hint="eastAsia" w:hAnsi="宋体" w:cs="宋体"/>
          <w:kern w:val="2"/>
          <w:szCs w:val="21"/>
          <w:highlight w:val="none"/>
          <w:lang w:val="zh-CN"/>
        </w:rPr>
        <w:t>12.4</w:t>
      </w:r>
      <w:r>
        <w:rPr>
          <w:rFonts w:hint="eastAsia" w:hAnsi="宋体" w:cs="宋体"/>
          <w:kern w:val="2"/>
          <w:szCs w:val="21"/>
          <w:highlight w:val="none"/>
          <w:lang w:val="zh-CN"/>
        </w:rPr>
        <w:tab/>
      </w:r>
      <w:r>
        <w:rPr>
          <w:rFonts w:hint="eastAsia" w:hAnsi="宋体" w:cs="宋体"/>
          <w:szCs w:val="21"/>
          <w:highlight w:val="none"/>
        </w:rPr>
        <w:t>合同项下，买方需要的服务和附带备品、配件所需的费用，如果投标人是另外单独报价的，评分时计入投标报价总价。确定中标人后，在合同规定的承包范围内中标人不得以任何理由追加设备费用、辅材费用或其他费用。</w:t>
      </w:r>
    </w:p>
    <w:p>
      <w:pPr>
        <w:spacing w:line="360" w:lineRule="auto"/>
        <w:ind w:left="567" w:hanging="567"/>
        <w:jc w:val="both"/>
        <w:rPr>
          <w:rFonts w:hAnsi="宋体" w:cs="宋体"/>
          <w:bCs/>
          <w:szCs w:val="21"/>
          <w:highlight w:val="none"/>
        </w:rPr>
      </w:pPr>
      <w:r>
        <w:rPr>
          <w:rFonts w:hint="eastAsia" w:hAnsi="宋体" w:cs="宋体"/>
          <w:kern w:val="2"/>
          <w:szCs w:val="21"/>
          <w:highlight w:val="none"/>
          <w:lang w:val="zh-CN"/>
        </w:rPr>
        <w:t>12.5</w:t>
      </w:r>
      <w:r>
        <w:rPr>
          <w:rFonts w:hint="eastAsia" w:hAnsi="宋体" w:cs="宋体"/>
          <w:kern w:val="2"/>
          <w:szCs w:val="21"/>
          <w:highlight w:val="none"/>
          <w:lang w:val="zh-CN"/>
        </w:rPr>
        <w:tab/>
      </w:r>
      <w:r>
        <w:rPr>
          <w:rFonts w:hint="eastAsia" w:hAnsi="宋体" w:cs="宋体"/>
          <w:bCs/>
          <w:szCs w:val="21"/>
          <w:highlight w:val="none"/>
        </w:rPr>
        <w:t>本次招标实行“最高限价”制度。投标人的投标报价高于最高限价的，该投标人的投标文件将被视为非响应性报价予以废标。</w:t>
      </w:r>
    </w:p>
    <w:p>
      <w:pPr>
        <w:tabs>
          <w:tab w:val="left" w:pos="720"/>
          <w:tab w:val="left" w:pos="346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12.6  投标人必须以人民币报价，以其它货币标价的投标将予以拒绝。投标文件的大写金额和小写金额不一致的，以大写金额为准；总价金额与按单价汇总金额不一致的，以单价金额计算结果为准；单价金额小数点有明显错位的，应以总价为准，并修改单价。</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13</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证明投标人的合格性的证明文件</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13.1</w:t>
      </w:r>
      <w:r>
        <w:rPr>
          <w:rFonts w:hint="eastAsia" w:hAnsi="宋体" w:cs="宋体"/>
          <w:kern w:val="2"/>
          <w:szCs w:val="21"/>
          <w:highlight w:val="none"/>
          <w:lang w:val="zh-CN"/>
        </w:rPr>
        <w:tab/>
      </w:r>
      <w:r>
        <w:rPr>
          <w:rFonts w:hint="eastAsia" w:hAnsi="宋体" w:cs="宋体"/>
          <w:kern w:val="2"/>
          <w:szCs w:val="21"/>
          <w:highlight w:val="none"/>
          <w:lang w:val="zh-CN"/>
        </w:rPr>
        <w:t>根据</w:t>
      </w:r>
      <w:r>
        <w:rPr>
          <w:highlight w:val="none"/>
        </w:rPr>
        <w:fldChar w:fldCharType="begin"/>
      </w:r>
      <w:r>
        <w:rPr>
          <w:highlight w:val="none"/>
        </w:rPr>
        <w:instrText xml:space="preserve"> HYPERLINK "l%20" </w:instrText>
      </w:r>
      <w:r>
        <w:rPr>
          <w:highlight w:val="none"/>
        </w:rPr>
        <w:fldChar w:fldCharType="separate"/>
      </w:r>
      <w:r>
        <w:rPr>
          <w:rFonts w:hint="eastAsia" w:hAnsi="宋体" w:cs="宋体"/>
          <w:kern w:val="2"/>
          <w:szCs w:val="21"/>
          <w:highlight w:val="none"/>
          <w:lang w:val="zh-CN"/>
        </w:rPr>
        <w:t>第13.2款</w:t>
      </w:r>
      <w:r>
        <w:rPr>
          <w:rFonts w:hint="eastAsia" w:hAnsi="宋体" w:cs="宋体"/>
          <w:kern w:val="2"/>
          <w:szCs w:val="21"/>
          <w:highlight w:val="none"/>
          <w:lang w:val="zh-CN"/>
        </w:rPr>
        <w:fldChar w:fldCharType="end"/>
      </w:r>
      <w:r>
        <w:rPr>
          <w:rFonts w:hint="eastAsia" w:hAnsi="宋体" w:cs="宋体"/>
          <w:kern w:val="2"/>
          <w:szCs w:val="21"/>
          <w:highlight w:val="none"/>
          <w:lang w:val="zh-CN"/>
        </w:rPr>
        <w:t>规定，投标人须提交证明其有资格进行投标和有能力履行合同的文件，作为投标文件的一部分。</w:t>
      </w:r>
    </w:p>
    <w:p>
      <w:pPr>
        <w:spacing w:line="360" w:lineRule="auto"/>
        <w:ind w:left="567" w:hanging="567"/>
        <w:jc w:val="both"/>
        <w:rPr>
          <w:rFonts w:hAnsi="宋体" w:cs="宋体"/>
          <w:kern w:val="2"/>
          <w:szCs w:val="21"/>
          <w:highlight w:val="none"/>
          <w:vertAlign w:val="superscript"/>
          <w:lang w:val="zh-CN"/>
        </w:rPr>
      </w:pPr>
      <w:r>
        <w:rPr>
          <w:rFonts w:hint="eastAsia" w:hAnsi="宋体" w:cs="宋体"/>
          <w:kern w:val="2"/>
          <w:szCs w:val="21"/>
          <w:highlight w:val="none"/>
          <w:lang w:val="zh-CN"/>
        </w:rPr>
        <w:t>13.2</w:t>
      </w:r>
      <w:r>
        <w:rPr>
          <w:rFonts w:hint="eastAsia" w:hAnsi="宋体" w:cs="宋体"/>
          <w:kern w:val="2"/>
          <w:szCs w:val="21"/>
          <w:highlight w:val="none"/>
          <w:lang w:val="zh-CN"/>
        </w:rPr>
        <w:tab/>
      </w:r>
      <w:r>
        <w:rPr>
          <w:rFonts w:hint="eastAsia" w:hAnsi="宋体" w:cs="宋体"/>
          <w:kern w:val="2"/>
          <w:szCs w:val="21"/>
          <w:highlight w:val="none"/>
          <w:lang w:val="zh-CN"/>
        </w:rPr>
        <w:t>投标人提供的履行合同的资格证明文件</w:t>
      </w:r>
      <w:r>
        <w:rPr>
          <w:rFonts w:hint="eastAsia" w:hAnsi="宋体" w:cs="宋体"/>
          <w:szCs w:val="21"/>
          <w:highlight w:val="none"/>
        </w:rPr>
        <w:t>：详</w:t>
      </w:r>
      <w:r>
        <w:rPr>
          <w:rFonts w:hint="eastAsia" w:hAnsi="宋体" w:cs="宋体"/>
          <w:kern w:val="2"/>
          <w:szCs w:val="21"/>
          <w:highlight w:val="none"/>
          <w:lang w:val="zh-CN"/>
        </w:rPr>
        <w:t>见</w:t>
      </w:r>
      <w:r>
        <w:rPr>
          <w:rFonts w:hint="eastAsia" w:hAnsi="宋体" w:cs="宋体"/>
          <w:szCs w:val="21"/>
          <w:highlight w:val="none"/>
        </w:rPr>
        <w:t>《投标须知前附表》。</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14</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证明货物和服务的合格性并符合招标文件规定的声明文件</w:t>
      </w:r>
    </w:p>
    <w:p>
      <w:pPr>
        <w:tabs>
          <w:tab w:val="left" w:pos="675"/>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15.1</w:t>
      </w:r>
      <w:r>
        <w:rPr>
          <w:rFonts w:hint="eastAsia" w:hAnsi="宋体" w:cs="宋体"/>
          <w:kern w:val="2"/>
          <w:szCs w:val="21"/>
          <w:highlight w:val="none"/>
          <w:lang w:val="zh-CN"/>
        </w:rPr>
        <w:tab/>
      </w:r>
      <w:r>
        <w:rPr>
          <w:rFonts w:hint="eastAsia" w:hAnsi="宋体" w:cs="宋体"/>
          <w:kern w:val="2"/>
          <w:szCs w:val="21"/>
          <w:highlight w:val="none"/>
          <w:lang w:val="zh-CN"/>
        </w:rPr>
        <w:t>投标人须提交证明其所提供的服务和货物的合格性并符合招标文件规定的声明文件，作为投标文件的一部分。</w:t>
      </w:r>
    </w:p>
    <w:p>
      <w:pPr>
        <w:spacing w:line="360" w:lineRule="auto"/>
        <w:jc w:val="both"/>
        <w:rPr>
          <w:rFonts w:hAnsi="宋体" w:cs="宋体"/>
          <w:kern w:val="2"/>
          <w:szCs w:val="21"/>
          <w:highlight w:val="none"/>
          <w:lang w:val="zh-CN"/>
        </w:rPr>
      </w:pPr>
      <w:r>
        <w:rPr>
          <w:rFonts w:hint="eastAsia" w:hAnsi="宋体" w:cs="宋体"/>
          <w:kern w:val="2"/>
          <w:szCs w:val="21"/>
          <w:highlight w:val="none"/>
          <w:lang w:val="zh-CN"/>
        </w:rPr>
        <w:t>15.2  证明货物和服务与招标文件的要求相一致的文件可以是文字资料、图纸和数据资料。</w:t>
      </w:r>
    </w:p>
    <w:p>
      <w:pPr>
        <w:spacing w:line="360" w:lineRule="auto"/>
        <w:ind w:left="630" w:hanging="630" w:hangingChars="300"/>
        <w:jc w:val="both"/>
        <w:rPr>
          <w:rFonts w:hAnsi="宋体" w:cs="宋体"/>
          <w:kern w:val="2"/>
          <w:szCs w:val="21"/>
          <w:highlight w:val="none"/>
          <w:lang w:val="zh-CN"/>
        </w:rPr>
      </w:pPr>
      <w:r>
        <w:rPr>
          <w:rFonts w:hint="eastAsia" w:hAnsi="宋体" w:cs="宋体"/>
          <w:kern w:val="2"/>
          <w:szCs w:val="21"/>
          <w:highlight w:val="none"/>
          <w:lang w:val="zh-CN"/>
        </w:rPr>
        <w:t>15.3  为说明第15.1款的规定，投标人应注意本招标文件在《用户需求书》中</w:t>
      </w:r>
      <w:r>
        <w:rPr>
          <w:rFonts w:hint="eastAsia" w:hAnsi="宋体" w:cs="宋体"/>
          <w:szCs w:val="21"/>
          <w:highlight w:val="none"/>
        </w:rPr>
        <w:t>对服务、技术要求所描述的特征或说明</w:t>
      </w:r>
      <w:r>
        <w:rPr>
          <w:rFonts w:hint="eastAsia" w:hAnsi="宋体" w:cs="宋体"/>
          <w:kern w:val="2"/>
          <w:szCs w:val="21"/>
          <w:highlight w:val="none"/>
          <w:lang w:val="zh-CN"/>
        </w:rPr>
        <w:t xml:space="preserve">等仅系说明并非进行限制，投标人按行业技术和以往的服务经验，投标人可提出替代方案，但该替代方案应相当于或优胜于《用户需求书》中的规定，合格优质的完成招标内容和包含的全部实际工序及服务，以使采购人满意。 </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15</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投标保证金：无需缴纳</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16</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投标有效期</w:t>
      </w:r>
    </w:p>
    <w:p>
      <w:pPr>
        <w:tabs>
          <w:tab w:val="left" w:pos="567"/>
        </w:tabs>
        <w:spacing w:line="360" w:lineRule="auto"/>
        <w:ind w:left="567" w:hanging="567"/>
        <w:jc w:val="both"/>
        <w:rPr>
          <w:rFonts w:hAnsi="宋体" w:cs="宋体"/>
          <w:b/>
          <w:bCs/>
          <w:kern w:val="2"/>
          <w:szCs w:val="21"/>
          <w:highlight w:val="none"/>
          <w:lang w:val="zh-CN"/>
        </w:rPr>
      </w:pPr>
      <w:r>
        <w:rPr>
          <w:rFonts w:hint="eastAsia" w:hAnsi="宋体" w:cs="宋体"/>
          <w:kern w:val="2"/>
          <w:szCs w:val="21"/>
          <w:highlight w:val="none"/>
          <w:lang w:val="zh-CN"/>
        </w:rPr>
        <w:t>16.1</w:t>
      </w:r>
      <w:r>
        <w:rPr>
          <w:rFonts w:hint="eastAsia" w:hAnsi="宋体" w:cs="宋体"/>
          <w:kern w:val="2"/>
          <w:szCs w:val="21"/>
          <w:highlight w:val="none"/>
          <w:lang w:val="zh-CN"/>
        </w:rPr>
        <w:tab/>
      </w:r>
      <w:r>
        <w:rPr>
          <w:rFonts w:hint="eastAsia" w:hAnsi="宋体" w:cs="宋体"/>
          <w:b/>
          <w:kern w:val="2"/>
          <w:szCs w:val="21"/>
          <w:highlight w:val="none"/>
          <w:lang w:val="zh-CN"/>
        </w:rPr>
        <w:t>投标文件应在</w:t>
      </w:r>
      <w:r>
        <w:rPr>
          <w:rFonts w:hint="eastAsia" w:hAnsi="宋体" w:cs="宋体"/>
          <w:b/>
          <w:szCs w:val="21"/>
          <w:highlight w:val="none"/>
        </w:rPr>
        <w:t>《投标须知前附表》</w:t>
      </w:r>
      <w:r>
        <w:rPr>
          <w:rFonts w:hint="eastAsia" w:hAnsi="宋体" w:cs="宋体"/>
          <w:b/>
          <w:kern w:val="2"/>
          <w:szCs w:val="21"/>
          <w:highlight w:val="none"/>
          <w:lang w:val="zh-CN"/>
        </w:rPr>
        <w:t>规定的时间内保持有效。投标有效期比规定时间短的将被视为非响应性投标而予以拒绝。</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16.2</w:t>
      </w:r>
      <w:r>
        <w:rPr>
          <w:rFonts w:hint="eastAsia" w:hAnsi="宋体" w:cs="宋体"/>
          <w:kern w:val="2"/>
          <w:szCs w:val="21"/>
          <w:highlight w:val="none"/>
          <w:lang w:val="zh-CN"/>
        </w:rPr>
        <w:tab/>
      </w:r>
      <w:r>
        <w:rPr>
          <w:rFonts w:hint="eastAsia" w:hAnsi="宋体" w:cs="宋体"/>
          <w:kern w:val="2"/>
          <w:szCs w:val="21"/>
          <w:highlight w:val="none"/>
          <w:lang w:val="zh-CN"/>
        </w:rPr>
        <w:t>中标人的投标文件作为合同附件，合同失效时同时失效。</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16.3</w:t>
      </w:r>
      <w:r>
        <w:rPr>
          <w:rFonts w:hint="eastAsia" w:hAnsi="宋体" w:cs="宋体"/>
          <w:kern w:val="2"/>
          <w:szCs w:val="21"/>
          <w:highlight w:val="none"/>
          <w:lang w:val="zh-CN"/>
        </w:rPr>
        <w:tab/>
      </w:r>
      <w:r>
        <w:rPr>
          <w:rFonts w:hint="eastAsia" w:hAnsi="宋体" w:cs="宋体"/>
          <w:kern w:val="2"/>
          <w:szCs w:val="21"/>
          <w:highlight w:val="none"/>
          <w:lang w:val="zh-CN"/>
        </w:rPr>
        <w:t>在特殊情况下，采购代理机构可于投标有效期满之前要求投标人同意延长有效期。要求与答复均应为书面形式往来。投标人可以拒绝上述要求。对于同意该要求的投标人，既不要求也不允许其修改投标文件。</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17</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投标文件的式样和签署</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17.1</w:t>
      </w:r>
      <w:r>
        <w:rPr>
          <w:rFonts w:hint="eastAsia" w:hAnsi="宋体" w:cs="宋体"/>
          <w:kern w:val="2"/>
          <w:szCs w:val="21"/>
          <w:highlight w:val="none"/>
          <w:lang w:val="zh-CN"/>
        </w:rPr>
        <w:tab/>
      </w:r>
      <w:r>
        <w:rPr>
          <w:rFonts w:hint="eastAsia" w:hAnsi="宋体" w:cs="宋体"/>
          <w:kern w:val="2"/>
          <w:szCs w:val="21"/>
          <w:highlight w:val="none"/>
          <w:lang w:val="zh-CN"/>
        </w:rPr>
        <w:t>投标人应准备投标文件一份正本和</w:t>
      </w:r>
      <w:r>
        <w:rPr>
          <w:rFonts w:hint="eastAsia" w:hAnsi="宋体" w:cs="宋体"/>
          <w:szCs w:val="21"/>
          <w:highlight w:val="none"/>
        </w:rPr>
        <w:t>《投标须知前附表》</w:t>
      </w:r>
      <w:r>
        <w:rPr>
          <w:rFonts w:hint="eastAsia" w:hAnsi="宋体" w:cs="宋体"/>
          <w:kern w:val="2"/>
          <w:szCs w:val="21"/>
          <w:highlight w:val="none"/>
          <w:lang w:val="zh-CN"/>
        </w:rPr>
        <w:t>规定的副本份数，</w:t>
      </w:r>
      <w:r>
        <w:rPr>
          <w:rFonts w:hint="eastAsia" w:hAnsi="宋体" w:cs="宋体"/>
          <w:szCs w:val="21"/>
          <w:highlight w:val="none"/>
        </w:rPr>
        <w:t>每一份投标文件均需编上页次，装订成册（不允许使用活页夹），并要明确注明 “正本”或“副本”字样，一旦正本和副本发现差异，以正本为准。</w:t>
      </w:r>
      <w:r>
        <w:rPr>
          <w:rFonts w:hint="eastAsia" w:hAnsi="宋体" w:cs="宋体"/>
          <w:kern w:val="2"/>
          <w:szCs w:val="21"/>
          <w:highlight w:val="none"/>
          <w:lang w:val="zh-CN"/>
        </w:rPr>
        <w:t>所有投标文件必须封入密封完好的信封或包装，封口加盖投标人公章。</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17.2</w:t>
      </w:r>
      <w:r>
        <w:rPr>
          <w:rFonts w:hint="eastAsia" w:hAnsi="宋体" w:cs="宋体"/>
          <w:kern w:val="2"/>
          <w:szCs w:val="21"/>
          <w:highlight w:val="none"/>
          <w:lang w:val="zh-CN"/>
        </w:rPr>
        <w:tab/>
      </w:r>
      <w:r>
        <w:rPr>
          <w:rFonts w:hint="eastAsia" w:hAnsi="宋体" w:cs="宋体"/>
          <w:bCs/>
          <w:kern w:val="2"/>
          <w:szCs w:val="21"/>
          <w:highlight w:val="none"/>
          <w:lang w:val="zh-CN"/>
        </w:rPr>
        <w:t>投标文件正本和副本须打印或用不褪色墨水书写，由投标人法定代表人\负责人或其授权代表签字，后者须将“法人授权委托证明书”以书面形式附在投标文件中。</w:t>
      </w:r>
      <w:r>
        <w:rPr>
          <w:rFonts w:hint="eastAsia" w:hAnsi="宋体" w:cs="宋体"/>
          <w:kern w:val="2"/>
          <w:szCs w:val="21"/>
          <w:highlight w:val="none"/>
          <w:lang w:val="zh-CN"/>
        </w:rPr>
        <w:t>副本文件可由正本文件复印而成。</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17.3</w:t>
      </w:r>
      <w:r>
        <w:rPr>
          <w:rFonts w:hint="eastAsia" w:hAnsi="宋体" w:cs="宋体"/>
          <w:kern w:val="2"/>
          <w:szCs w:val="21"/>
          <w:highlight w:val="none"/>
          <w:lang w:val="zh-CN"/>
        </w:rPr>
        <w:tab/>
      </w:r>
      <w:r>
        <w:rPr>
          <w:rFonts w:hint="eastAsia" w:hAnsi="宋体" w:cs="宋体"/>
          <w:kern w:val="2"/>
          <w:szCs w:val="21"/>
          <w:highlight w:val="none"/>
          <w:lang w:val="zh-CN"/>
        </w:rPr>
        <w:t>投标文件须由投标人的合法授权代表正式签署，投标人除可对投标文件的错处作必要修改外，投标文件中不许有加行、涂抹或改写。</w:t>
      </w:r>
      <w:r>
        <w:rPr>
          <w:rFonts w:hint="eastAsia" w:hAnsi="宋体" w:cs="宋体"/>
          <w:b/>
          <w:kern w:val="2"/>
          <w:szCs w:val="21"/>
          <w:highlight w:val="none"/>
          <w:lang w:val="zh-CN"/>
        </w:rPr>
        <w:t>任何涂改或修正（如有）须由原签署人签字确认</w:t>
      </w:r>
      <w:r>
        <w:rPr>
          <w:rFonts w:hint="eastAsia" w:hAnsi="宋体" w:cs="宋体"/>
          <w:b/>
          <w:bCs/>
          <w:kern w:val="2"/>
          <w:szCs w:val="21"/>
          <w:highlight w:val="none"/>
          <w:lang w:val="zh-CN"/>
        </w:rPr>
        <w:t>，并加盖投标人公章。</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17.4</w:t>
      </w:r>
      <w:r>
        <w:rPr>
          <w:rFonts w:hint="eastAsia" w:hAnsi="宋体" w:cs="宋体"/>
          <w:kern w:val="2"/>
          <w:szCs w:val="21"/>
          <w:highlight w:val="none"/>
          <w:lang w:val="zh-CN"/>
        </w:rPr>
        <w:tab/>
      </w:r>
      <w:r>
        <w:rPr>
          <w:rFonts w:hint="eastAsia" w:hAnsi="宋体" w:cs="宋体"/>
          <w:kern w:val="2"/>
          <w:szCs w:val="21"/>
          <w:highlight w:val="none"/>
          <w:lang w:val="zh-CN"/>
        </w:rPr>
        <w:t>投标文件的[正本]及所有[副本]的</w:t>
      </w:r>
      <w:r>
        <w:rPr>
          <w:rFonts w:hint="eastAsia" w:hAnsi="宋体" w:cs="宋体"/>
          <w:b/>
          <w:kern w:val="2"/>
          <w:szCs w:val="21"/>
          <w:highlight w:val="none"/>
          <w:lang w:val="zh-CN"/>
        </w:rPr>
        <w:t>封面及骑缝</w:t>
      </w:r>
      <w:r>
        <w:rPr>
          <w:rFonts w:hint="eastAsia" w:hAnsi="宋体" w:cs="宋体"/>
          <w:kern w:val="2"/>
          <w:szCs w:val="21"/>
          <w:highlight w:val="none"/>
          <w:lang w:val="zh-CN"/>
        </w:rPr>
        <w:t>均须由投标人加盖投标人公章。</w:t>
      </w:r>
    </w:p>
    <w:p>
      <w:pPr>
        <w:spacing w:line="360" w:lineRule="auto"/>
        <w:ind w:left="567" w:hanging="567"/>
        <w:jc w:val="both"/>
        <w:rPr>
          <w:rFonts w:hAnsi="宋体" w:cs="宋体"/>
          <w:b/>
          <w:bCs/>
          <w:kern w:val="2"/>
          <w:szCs w:val="21"/>
          <w:highlight w:val="none"/>
          <w:u w:val="single"/>
          <w:lang w:val="zh-CN"/>
        </w:rPr>
      </w:pPr>
      <w:r>
        <w:rPr>
          <w:rFonts w:hint="eastAsia" w:hAnsi="宋体" w:cs="宋体"/>
          <w:kern w:val="2"/>
          <w:szCs w:val="21"/>
          <w:highlight w:val="none"/>
          <w:lang w:val="zh-CN"/>
        </w:rPr>
        <w:t>17.5</w:t>
      </w:r>
      <w:r>
        <w:rPr>
          <w:rFonts w:hint="eastAsia" w:hAnsi="宋体" w:cs="宋体"/>
          <w:kern w:val="2"/>
          <w:szCs w:val="21"/>
          <w:highlight w:val="none"/>
          <w:lang w:val="zh-CN"/>
        </w:rPr>
        <w:tab/>
      </w:r>
      <w:r>
        <w:rPr>
          <w:rFonts w:hint="eastAsia" w:hAnsi="宋体" w:cs="宋体"/>
          <w:kern w:val="2"/>
          <w:szCs w:val="21"/>
          <w:highlight w:val="none"/>
          <w:lang w:val="zh-CN"/>
        </w:rPr>
        <w:t>投标文件的封面应注明“采购项目名称、采购编号、投标人名称、投标日期等”。</w:t>
      </w:r>
    </w:p>
    <w:p>
      <w:pPr>
        <w:spacing w:line="360" w:lineRule="auto"/>
        <w:ind w:left="567" w:hanging="567"/>
        <w:jc w:val="both"/>
        <w:rPr>
          <w:rFonts w:hAnsi="宋体" w:cs="宋体"/>
          <w:b/>
          <w:bCs/>
          <w:kern w:val="2"/>
          <w:szCs w:val="21"/>
          <w:highlight w:val="none"/>
          <w:lang w:val="zh-CN"/>
        </w:rPr>
      </w:pPr>
      <w:r>
        <w:rPr>
          <w:rFonts w:hint="eastAsia" w:hAnsi="宋体" w:cs="宋体"/>
          <w:kern w:val="2"/>
          <w:szCs w:val="21"/>
          <w:highlight w:val="none"/>
          <w:lang w:val="zh-CN"/>
        </w:rPr>
        <w:t>17.6</w:t>
      </w:r>
      <w:r>
        <w:rPr>
          <w:rFonts w:hint="eastAsia" w:hAnsi="宋体" w:cs="宋体"/>
          <w:kern w:val="2"/>
          <w:szCs w:val="21"/>
          <w:highlight w:val="none"/>
          <w:lang w:val="zh-CN"/>
        </w:rPr>
        <w:tab/>
      </w:r>
      <w:r>
        <w:rPr>
          <w:rFonts w:hint="eastAsia" w:hAnsi="宋体" w:cs="宋体"/>
          <w:kern w:val="2"/>
          <w:szCs w:val="21"/>
          <w:highlight w:val="none"/>
          <w:lang w:val="zh-CN"/>
        </w:rPr>
        <w:t>电子文件用U盘储存，并密封于“唱标信封”内。</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17.7</w:t>
      </w:r>
      <w:r>
        <w:rPr>
          <w:rFonts w:hint="eastAsia" w:hAnsi="宋体" w:cs="宋体"/>
          <w:kern w:val="2"/>
          <w:szCs w:val="21"/>
          <w:highlight w:val="none"/>
          <w:lang w:val="zh-CN"/>
        </w:rPr>
        <w:tab/>
      </w:r>
      <w:r>
        <w:rPr>
          <w:rFonts w:hint="eastAsia" w:hAnsi="宋体" w:cs="宋体"/>
          <w:kern w:val="2"/>
          <w:szCs w:val="21"/>
          <w:highlight w:val="none"/>
          <w:lang w:val="zh-CN"/>
        </w:rPr>
        <w:t>电报、电传、传真的投标概不接受。</w:t>
      </w:r>
    </w:p>
    <w:p>
      <w:pPr>
        <w:spacing w:line="360" w:lineRule="auto"/>
        <w:ind w:left="567" w:hanging="567"/>
        <w:jc w:val="both"/>
        <w:rPr>
          <w:rFonts w:hAnsi="宋体" w:cs="宋体"/>
          <w:kern w:val="2"/>
          <w:szCs w:val="21"/>
          <w:highlight w:val="none"/>
          <w:u w:val="single"/>
          <w:lang w:val="zh-CN"/>
        </w:rPr>
      </w:pPr>
    </w:p>
    <w:p>
      <w:pPr>
        <w:pStyle w:val="6"/>
        <w:spacing w:line="360" w:lineRule="auto"/>
        <w:rPr>
          <w:rFonts w:hAnsi="宋体" w:cs="宋体"/>
          <w:b w:val="0"/>
          <w:bCs/>
          <w:kern w:val="44"/>
          <w:szCs w:val="21"/>
          <w:highlight w:val="none"/>
          <w:lang w:val="zh-CN"/>
        </w:rPr>
      </w:pPr>
      <w:bookmarkStart w:id="3" w:name="_Toc413396492"/>
      <w:r>
        <w:rPr>
          <w:rFonts w:hint="eastAsia" w:hAnsi="宋体" w:cs="宋体"/>
          <w:b w:val="0"/>
          <w:bCs/>
          <w:kern w:val="44"/>
          <w:szCs w:val="21"/>
          <w:highlight w:val="none"/>
          <w:lang w:val="zh-CN"/>
        </w:rPr>
        <w:t>（四）</w:t>
      </w:r>
      <w:r>
        <w:rPr>
          <w:rFonts w:hint="eastAsia" w:hAnsi="宋体" w:cs="宋体"/>
          <w:b w:val="0"/>
          <w:bCs/>
          <w:kern w:val="44"/>
          <w:szCs w:val="21"/>
          <w:highlight w:val="none"/>
          <w:lang w:val="zh-CN"/>
        </w:rPr>
        <w:tab/>
      </w:r>
      <w:r>
        <w:rPr>
          <w:rFonts w:hint="eastAsia" w:hAnsi="宋体" w:cs="宋体"/>
          <w:b w:val="0"/>
          <w:bCs/>
          <w:kern w:val="44"/>
          <w:szCs w:val="21"/>
          <w:highlight w:val="none"/>
          <w:lang w:val="zh-CN"/>
        </w:rPr>
        <w:t>投标文件的递交</w:t>
      </w:r>
      <w:bookmarkEnd w:id="3"/>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18</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投标文件的密封和标记：</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18.1</w:t>
      </w:r>
      <w:r>
        <w:rPr>
          <w:rFonts w:hint="eastAsia" w:hAnsi="宋体" w:cs="宋体"/>
          <w:kern w:val="2"/>
          <w:szCs w:val="21"/>
          <w:highlight w:val="none"/>
          <w:lang w:val="zh-CN"/>
        </w:rPr>
        <w:tab/>
      </w:r>
      <w:r>
        <w:rPr>
          <w:rFonts w:hint="eastAsia" w:hAnsi="宋体" w:cs="宋体"/>
          <w:kern w:val="2"/>
          <w:szCs w:val="21"/>
          <w:highlight w:val="none"/>
          <w:lang w:val="zh-CN"/>
        </w:rPr>
        <w:t>投标人应将投标文件（不含唱标信封）一起密封在一个不透明的外层封装中。</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18.2</w:t>
      </w:r>
      <w:r>
        <w:rPr>
          <w:rFonts w:hint="eastAsia" w:hAnsi="宋体" w:cs="宋体"/>
          <w:kern w:val="2"/>
          <w:szCs w:val="21"/>
          <w:highlight w:val="none"/>
          <w:lang w:val="zh-CN"/>
        </w:rPr>
        <w:tab/>
      </w:r>
      <w:r>
        <w:rPr>
          <w:rFonts w:hint="eastAsia" w:hAnsi="宋体" w:cs="宋体"/>
          <w:b/>
          <w:bCs/>
          <w:kern w:val="2"/>
          <w:szCs w:val="21"/>
          <w:highlight w:val="none"/>
          <w:lang w:val="zh-CN"/>
        </w:rPr>
        <w:t>唱标信封应单独密封并加盖投标人公章，与投标文件一同提交。</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18.3</w:t>
      </w:r>
      <w:r>
        <w:rPr>
          <w:rFonts w:hint="eastAsia" w:hAnsi="宋体" w:cs="宋体"/>
          <w:kern w:val="2"/>
          <w:szCs w:val="21"/>
          <w:highlight w:val="none"/>
          <w:lang w:val="zh-CN"/>
        </w:rPr>
        <w:tab/>
      </w:r>
      <w:r>
        <w:rPr>
          <w:rFonts w:hint="eastAsia" w:hAnsi="宋体" w:cs="宋体"/>
          <w:kern w:val="2"/>
          <w:szCs w:val="21"/>
          <w:highlight w:val="none"/>
          <w:lang w:val="zh-CN"/>
        </w:rPr>
        <w:t>投标文件密封封装标记：外层密封封装表面应正确标明投标人名称、地址、项目名称、包号（如有）、投标文件名称、并注明投标文件递交截止时间之前不得开封（在封口位置的封条上标注注明），封口位置须加盖投标人公章；</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18.4</w:t>
      </w:r>
      <w:r>
        <w:rPr>
          <w:rFonts w:hint="eastAsia" w:hAnsi="宋体" w:cs="宋体"/>
          <w:kern w:val="2"/>
          <w:szCs w:val="21"/>
          <w:highlight w:val="none"/>
          <w:lang w:val="zh-CN"/>
        </w:rPr>
        <w:tab/>
      </w:r>
      <w:r>
        <w:rPr>
          <w:rFonts w:hint="eastAsia" w:hAnsi="宋体" w:cs="宋体"/>
          <w:kern w:val="2"/>
          <w:szCs w:val="21"/>
          <w:highlight w:val="none"/>
          <w:lang w:val="zh-CN"/>
        </w:rPr>
        <w:t>如果因密封封装未按本款规定密封和标记，导致采购代理机构对投标文件误投、提前拆封或错放的，由投标承担责任。对由此造成提前开封的投标文件，采购代理机构予以拒绝，并退回投标人。</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19</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bCs/>
          <w:szCs w:val="21"/>
          <w:highlight w:val="none"/>
        </w:rPr>
        <w:t>投标文件的递交、接收和密封</w:t>
      </w:r>
    </w:p>
    <w:p>
      <w:pPr>
        <w:tabs>
          <w:tab w:val="left" w:pos="0"/>
        </w:tabs>
        <w:spacing w:line="360" w:lineRule="auto"/>
        <w:jc w:val="both"/>
        <w:rPr>
          <w:rFonts w:hAnsi="宋体" w:cs="宋体"/>
          <w:kern w:val="2"/>
          <w:szCs w:val="21"/>
          <w:highlight w:val="none"/>
          <w:lang w:val="zh-CN"/>
        </w:rPr>
      </w:pPr>
      <w:r>
        <w:rPr>
          <w:rFonts w:hint="eastAsia" w:hAnsi="宋体" w:cs="宋体"/>
          <w:kern w:val="2"/>
          <w:szCs w:val="21"/>
          <w:highlight w:val="none"/>
          <w:lang w:val="zh-CN"/>
        </w:rPr>
        <w:t>19.1 投标人代表应按《投标须知前附表》所规定的时间和地点向代理机构递交投标文件。</w:t>
      </w:r>
    </w:p>
    <w:p>
      <w:pPr>
        <w:tabs>
          <w:tab w:val="left" w:pos="567"/>
        </w:tabs>
        <w:spacing w:line="360" w:lineRule="auto"/>
        <w:ind w:left="569" w:hanging="569" w:hangingChars="270"/>
        <w:jc w:val="both"/>
        <w:rPr>
          <w:rFonts w:hAnsi="宋体" w:cs="宋体"/>
          <w:b/>
          <w:kern w:val="2"/>
          <w:szCs w:val="21"/>
          <w:highlight w:val="none"/>
          <w:lang w:val="zh-CN"/>
        </w:rPr>
      </w:pPr>
      <w:r>
        <w:rPr>
          <w:rFonts w:hint="eastAsia" w:hAnsi="宋体" w:cs="宋体"/>
          <w:b/>
          <w:kern w:val="2"/>
          <w:szCs w:val="21"/>
          <w:highlight w:val="none"/>
          <w:lang w:val="zh-CN"/>
        </w:rPr>
        <w:t>19.2 投标人应凭</w:t>
      </w:r>
      <w:r>
        <w:rPr>
          <w:rFonts w:hint="eastAsia" w:hAnsi="宋体" w:cs="宋体"/>
          <w:b/>
          <w:szCs w:val="21"/>
          <w:highlight w:val="none"/>
          <w:lang w:val="zh-CN"/>
        </w:rPr>
        <w:t>以下资料递交投标文件：法定代表人\负责人证明书原件、法定代表人\负责人授权委托书原件（非法投标人应凭定代表人参加时提供）、投标人授权代表本人身份证原件；</w:t>
      </w:r>
    </w:p>
    <w:p>
      <w:pPr>
        <w:tabs>
          <w:tab w:val="left" w:pos="0"/>
        </w:tabs>
        <w:spacing w:line="360" w:lineRule="auto"/>
        <w:jc w:val="both"/>
        <w:rPr>
          <w:rFonts w:hAnsi="宋体" w:cs="宋体"/>
          <w:kern w:val="2"/>
          <w:szCs w:val="21"/>
          <w:highlight w:val="none"/>
          <w:lang w:val="zh-CN"/>
        </w:rPr>
      </w:pPr>
      <w:r>
        <w:rPr>
          <w:rFonts w:hint="eastAsia" w:hAnsi="宋体" w:cs="宋体"/>
          <w:kern w:val="2"/>
          <w:szCs w:val="21"/>
          <w:highlight w:val="none"/>
          <w:lang w:val="zh-CN"/>
        </w:rPr>
        <w:t>19.3 若出现以下情况，采购人将拒绝接收投标文件：</w:t>
      </w:r>
    </w:p>
    <w:p>
      <w:pPr>
        <w:tabs>
          <w:tab w:val="left" w:pos="0"/>
        </w:tabs>
        <w:spacing w:line="360" w:lineRule="auto"/>
        <w:ind w:firstLine="525" w:firstLineChars="250"/>
        <w:jc w:val="both"/>
        <w:rPr>
          <w:rFonts w:hAnsi="宋体" w:cs="宋体"/>
          <w:kern w:val="2"/>
          <w:szCs w:val="21"/>
          <w:highlight w:val="none"/>
          <w:lang w:val="zh-CN"/>
        </w:rPr>
      </w:pPr>
      <w:r>
        <w:rPr>
          <w:rFonts w:hint="eastAsia" w:hAnsi="宋体" w:cs="宋体"/>
          <w:kern w:val="2"/>
          <w:szCs w:val="21"/>
          <w:highlight w:val="none"/>
          <w:lang w:val="zh-CN"/>
        </w:rPr>
        <w:t>19.3.1 在投标截止时间后逾期或未在指定地点递交投标文件的；</w:t>
      </w:r>
    </w:p>
    <w:p>
      <w:pPr>
        <w:tabs>
          <w:tab w:val="left" w:pos="0"/>
        </w:tabs>
        <w:spacing w:line="360" w:lineRule="auto"/>
        <w:ind w:firstLine="525" w:firstLineChars="250"/>
        <w:jc w:val="both"/>
        <w:rPr>
          <w:rFonts w:hAnsi="宋体" w:cs="宋体"/>
          <w:kern w:val="2"/>
          <w:szCs w:val="21"/>
          <w:highlight w:val="none"/>
          <w:lang w:val="zh-CN"/>
        </w:rPr>
      </w:pPr>
      <w:r>
        <w:rPr>
          <w:rFonts w:hint="eastAsia" w:hAnsi="宋体" w:cs="宋体"/>
          <w:kern w:val="2"/>
          <w:szCs w:val="21"/>
          <w:highlight w:val="none"/>
          <w:lang w:val="zh-CN"/>
        </w:rPr>
        <w:t>19.3.2 投标文件未密封的；</w:t>
      </w:r>
    </w:p>
    <w:p>
      <w:pPr>
        <w:tabs>
          <w:tab w:val="left" w:pos="0"/>
        </w:tabs>
        <w:spacing w:line="360" w:lineRule="auto"/>
        <w:ind w:left="1200" w:leftChars="220" w:hanging="738" w:hangingChars="350"/>
        <w:jc w:val="both"/>
        <w:rPr>
          <w:rFonts w:hAnsi="宋体" w:cs="宋体"/>
          <w:b/>
          <w:kern w:val="2"/>
          <w:szCs w:val="21"/>
          <w:highlight w:val="none"/>
          <w:lang w:val="zh-CN"/>
        </w:rPr>
      </w:pPr>
      <w:r>
        <w:rPr>
          <w:rFonts w:hint="eastAsia" w:hAnsi="宋体" w:cs="宋体"/>
          <w:b/>
          <w:kern w:val="2"/>
          <w:szCs w:val="21"/>
          <w:highlight w:val="none"/>
          <w:lang w:val="zh-CN"/>
        </w:rPr>
        <w:t>19.3.3 在投标截止时，投标人授权代表未凭法定代表人\负责人证明书原件、法定代表人\负责人授权委托书原件（非法定代表人\负责人参加时提供）、本人身份证原件递交投标文件的。</w:t>
      </w:r>
    </w:p>
    <w:p>
      <w:pPr>
        <w:tabs>
          <w:tab w:val="left" w:pos="0"/>
        </w:tabs>
        <w:spacing w:line="360" w:lineRule="auto"/>
        <w:ind w:left="420" w:hanging="420" w:hangingChars="200"/>
        <w:jc w:val="both"/>
        <w:rPr>
          <w:rFonts w:hAnsi="宋体" w:cs="宋体"/>
          <w:kern w:val="2"/>
          <w:szCs w:val="21"/>
          <w:highlight w:val="none"/>
          <w:lang w:val="zh-CN"/>
        </w:rPr>
      </w:pPr>
      <w:r>
        <w:rPr>
          <w:rFonts w:hint="eastAsia" w:hAnsi="宋体" w:cs="宋体"/>
          <w:kern w:val="2"/>
          <w:szCs w:val="21"/>
          <w:highlight w:val="none"/>
          <w:lang w:val="zh-CN"/>
        </w:rPr>
        <w:t>19.4 如投标文件不能在接收标书当天开启时，须按机密件集中封存在指定的地点，并由投标人全体见证密封，开标前再从封标室解封、取出。</w:t>
      </w:r>
    </w:p>
    <w:p>
      <w:pPr>
        <w:tabs>
          <w:tab w:val="left" w:pos="0"/>
        </w:tabs>
        <w:spacing w:line="360" w:lineRule="auto"/>
        <w:ind w:left="420" w:hanging="420" w:hangingChars="200"/>
        <w:jc w:val="both"/>
        <w:rPr>
          <w:rFonts w:hAnsi="宋体" w:cs="宋体"/>
          <w:kern w:val="2"/>
          <w:szCs w:val="21"/>
          <w:highlight w:val="none"/>
          <w:lang w:val="zh-CN"/>
        </w:rPr>
      </w:pPr>
      <w:r>
        <w:rPr>
          <w:rFonts w:hint="eastAsia" w:hAnsi="宋体" w:cs="宋体"/>
          <w:kern w:val="2"/>
          <w:szCs w:val="21"/>
          <w:highlight w:val="none"/>
          <w:lang w:val="zh-CN"/>
        </w:rPr>
        <w:t>19.5 全体投标人应见证封标及标书的解封、取出过程,如投标人不参加见证封标及标书的解封、取出过程，视同认可投标文件的封存的解封、取出过程与结果。</w:t>
      </w:r>
    </w:p>
    <w:p>
      <w:pPr>
        <w:tabs>
          <w:tab w:val="left" w:pos="0"/>
        </w:tabs>
        <w:spacing w:line="360" w:lineRule="auto"/>
        <w:ind w:left="525" w:hanging="525" w:hangingChars="250"/>
        <w:jc w:val="both"/>
        <w:rPr>
          <w:rFonts w:hAnsi="宋体" w:cs="宋体"/>
          <w:kern w:val="2"/>
          <w:szCs w:val="21"/>
          <w:highlight w:val="none"/>
          <w:lang w:val="zh-CN"/>
        </w:rPr>
      </w:pPr>
      <w:r>
        <w:rPr>
          <w:rFonts w:hint="eastAsia" w:hAnsi="宋体" w:cs="宋体"/>
          <w:kern w:val="2"/>
          <w:szCs w:val="21"/>
          <w:highlight w:val="none"/>
          <w:lang w:val="zh-CN"/>
        </w:rPr>
        <w:t>19.6 采购人可按照第7款的规定修改招标文件并酌情延长递交投标文件的截止时间，因此，业已规定的采购代理机构和投标人的一切权利和义务将按延期后的递交投标文件截止时间履行。</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20</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迟交的投标文件</w:t>
      </w:r>
    </w:p>
    <w:p>
      <w:pPr>
        <w:spacing w:line="360" w:lineRule="auto"/>
        <w:ind w:firstLine="567"/>
        <w:jc w:val="both"/>
        <w:rPr>
          <w:rFonts w:hAnsi="宋体" w:cs="宋体"/>
          <w:kern w:val="2"/>
          <w:szCs w:val="21"/>
          <w:highlight w:val="none"/>
          <w:lang w:val="zh-CN"/>
        </w:rPr>
      </w:pPr>
      <w:r>
        <w:rPr>
          <w:rFonts w:hint="eastAsia" w:hAnsi="宋体" w:cs="宋体"/>
          <w:kern w:val="2"/>
          <w:szCs w:val="21"/>
          <w:highlight w:val="none"/>
          <w:lang w:val="zh-CN"/>
        </w:rPr>
        <w:t>根据第19款规定，采购代理机构将拒绝任何晚于递交投标文件截止时间交到的投标文件。</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21</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投标文件的修改和撤回</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21.1</w:t>
      </w:r>
      <w:r>
        <w:rPr>
          <w:rFonts w:hint="eastAsia" w:hAnsi="宋体" w:cs="宋体"/>
          <w:kern w:val="2"/>
          <w:szCs w:val="21"/>
          <w:highlight w:val="none"/>
          <w:lang w:val="zh-CN"/>
        </w:rPr>
        <w:tab/>
      </w:r>
      <w:r>
        <w:rPr>
          <w:rFonts w:hint="eastAsia" w:hAnsi="宋体" w:cs="宋体"/>
          <w:kern w:val="2"/>
          <w:szCs w:val="21"/>
          <w:highlight w:val="none"/>
          <w:lang w:val="zh-CN"/>
        </w:rPr>
        <w:t>投标人可在递交投标文件截止时间前对其递交的投标文件进行修改或撤回，但须在递交投标文件截止时间前向采购代理机构提出修改或撤回的书面通知。</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21.2</w:t>
      </w:r>
      <w:r>
        <w:rPr>
          <w:rFonts w:hint="eastAsia" w:hAnsi="宋体" w:cs="宋体"/>
          <w:kern w:val="2"/>
          <w:szCs w:val="21"/>
          <w:highlight w:val="none"/>
          <w:lang w:val="zh-CN"/>
        </w:rPr>
        <w:tab/>
      </w:r>
      <w:r>
        <w:rPr>
          <w:rFonts w:hint="eastAsia" w:hAnsi="宋体" w:cs="宋体"/>
          <w:kern w:val="2"/>
          <w:szCs w:val="21"/>
          <w:highlight w:val="none"/>
          <w:lang w:val="zh-CN"/>
        </w:rPr>
        <w:t>投标人对投标文件的修改或撤回的通知应按第17款和第18款规定进行准备、密封、标注和递送。</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21.3</w:t>
      </w:r>
      <w:r>
        <w:rPr>
          <w:rFonts w:hint="eastAsia" w:hAnsi="宋体" w:cs="宋体"/>
          <w:kern w:val="2"/>
          <w:szCs w:val="21"/>
          <w:highlight w:val="none"/>
          <w:lang w:val="zh-CN"/>
        </w:rPr>
        <w:tab/>
      </w:r>
      <w:r>
        <w:rPr>
          <w:rFonts w:hint="eastAsia" w:hAnsi="宋体" w:cs="宋体"/>
          <w:kern w:val="2"/>
          <w:szCs w:val="21"/>
          <w:highlight w:val="none"/>
          <w:lang w:val="zh-CN"/>
        </w:rPr>
        <w:t>递交投标文件截止时间后，投标人不得修改投标文件。</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21.4</w:t>
      </w:r>
      <w:r>
        <w:rPr>
          <w:rFonts w:hint="eastAsia" w:hAnsi="宋体" w:cs="宋体"/>
          <w:kern w:val="2"/>
          <w:szCs w:val="21"/>
          <w:highlight w:val="none"/>
          <w:lang w:val="zh-CN"/>
        </w:rPr>
        <w:tab/>
      </w:r>
      <w:r>
        <w:rPr>
          <w:rFonts w:hint="eastAsia" w:hAnsi="宋体" w:cs="宋体"/>
          <w:kern w:val="2"/>
          <w:szCs w:val="21"/>
          <w:highlight w:val="none"/>
          <w:lang w:val="zh-CN"/>
        </w:rPr>
        <w:t>投标人不得在递交投标文件截止时间起至第16款规定的投标有效期期满前撤回其投标文件。</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21.5  采购代理机构收到投标文件后，应当如实记载投标文件的送达时间和密封情况，签收保存，并向投标人出具签收回执。任何单位和个人不得在开标前开启投标文件。</w:t>
      </w:r>
    </w:p>
    <w:p>
      <w:pPr>
        <w:pStyle w:val="6"/>
        <w:spacing w:line="360" w:lineRule="auto"/>
        <w:rPr>
          <w:rFonts w:hAnsi="宋体" w:cs="宋体"/>
          <w:b w:val="0"/>
          <w:bCs/>
          <w:kern w:val="44"/>
          <w:szCs w:val="21"/>
          <w:highlight w:val="none"/>
          <w:lang w:val="zh-CN"/>
        </w:rPr>
      </w:pPr>
      <w:bookmarkStart w:id="4" w:name="_Toc413396493"/>
      <w:r>
        <w:rPr>
          <w:rFonts w:hint="eastAsia" w:hAnsi="宋体" w:cs="宋体"/>
          <w:b w:val="0"/>
          <w:bCs/>
          <w:kern w:val="44"/>
          <w:szCs w:val="21"/>
          <w:highlight w:val="none"/>
          <w:lang w:val="zh-CN"/>
        </w:rPr>
        <w:t>（五）</w:t>
      </w:r>
      <w:r>
        <w:rPr>
          <w:rFonts w:hint="eastAsia" w:hAnsi="宋体" w:cs="宋体"/>
          <w:b w:val="0"/>
          <w:bCs/>
          <w:kern w:val="44"/>
          <w:szCs w:val="21"/>
          <w:highlight w:val="none"/>
          <w:lang w:val="zh-CN"/>
        </w:rPr>
        <w:tab/>
      </w:r>
      <w:r>
        <w:rPr>
          <w:rFonts w:hint="eastAsia" w:hAnsi="宋体" w:cs="宋体"/>
          <w:b w:val="0"/>
          <w:bCs/>
          <w:kern w:val="44"/>
          <w:szCs w:val="21"/>
          <w:highlight w:val="none"/>
          <w:lang w:val="zh-CN"/>
        </w:rPr>
        <w:t>开标、评标与定标</w:t>
      </w:r>
      <w:bookmarkEnd w:id="4"/>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22</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开标</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22.1</w:t>
      </w:r>
      <w:r>
        <w:rPr>
          <w:rFonts w:hint="eastAsia" w:hAnsi="宋体" w:cs="宋体"/>
          <w:kern w:val="2"/>
          <w:szCs w:val="21"/>
          <w:highlight w:val="none"/>
          <w:lang w:val="zh-CN"/>
        </w:rPr>
        <w:tab/>
      </w:r>
      <w:r>
        <w:rPr>
          <w:rFonts w:hint="eastAsia" w:hAnsi="宋体" w:cs="宋体"/>
          <w:kern w:val="2"/>
          <w:szCs w:val="21"/>
          <w:highlight w:val="none"/>
          <w:lang w:val="zh-CN"/>
        </w:rPr>
        <w:t>采购代理机构在投标人代表自愿出席的情况下，在</w:t>
      </w:r>
      <w:r>
        <w:rPr>
          <w:rFonts w:hint="eastAsia" w:hAnsi="宋体" w:cs="宋体"/>
          <w:szCs w:val="21"/>
          <w:highlight w:val="none"/>
        </w:rPr>
        <w:t>《投标须知前附表》</w:t>
      </w:r>
      <w:r>
        <w:rPr>
          <w:rFonts w:hint="eastAsia" w:hAnsi="宋体" w:cs="宋体"/>
          <w:kern w:val="2"/>
          <w:szCs w:val="21"/>
          <w:highlight w:val="none"/>
          <w:lang w:val="zh-CN"/>
        </w:rPr>
        <w:t>规定的地点和时间开标, 出席代表需登记以示出席。如投标人代表（法定代表人\负责人或其授权代表）不到开标现场，视同认可开标结果。</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22.2</w:t>
      </w:r>
      <w:r>
        <w:rPr>
          <w:rFonts w:hint="eastAsia" w:hAnsi="宋体" w:cs="宋体"/>
          <w:kern w:val="2"/>
          <w:szCs w:val="21"/>
          <w:highlight w:val="none"/>
          <w:lang w:val="zh-CN"/>
        </w:rPr>
        <w:tab/>
      </w:r>
      <w:r>
        <w:rPr>
          <w:rFonts w:hint="eastAsia" w:hAnsi="宋体" w:cs="宋体"/>
          <w:kern w:val="2"/>
          <w:szCs w:val="21"/>
          <w:highlight w:val="none"/>
          <w:lang w:val="zh-CN"/>
        </w:rPr>
        <w:t>按照第21款规定，提交了可接受的“撤回”通知的投标文件将不予开封。</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22.3  递交投标文件截止时间后，</w:t>
      </w:r>
      <w:r>
        <w:rPr>
          <w:rFonts w:hint="eastAsia" w:hAnsi="宋体" w:cs="宋体"/>
          <w:szCs w:val="21"/>
          <w:highlight w:val="none"/>
          <w:lang w:val="zh-CN"/>
        </w:rPr>
        <w:t>监督人员和投标人代表将对所有的投标文件的密封性进行检查。</w:t>
      </w:r>
      <w:r>
        <w:rPr>
          <w:rFonts w:hint="eastAsia" w:hAnsi="宋体" w:cs="宋体"/>
          <w:kern w:val="2"/>
          <w:szCs w:val="21"/>
          <w:highlight w:val="none"/>
          <w:lang w:val="zh-CN"/>
        </w:rPr>
        <w:t>采购代理机构将当众宣读投标人名称、投标报价、折扣声明，以及招标文件规定要宣布的其他内容。若采购代理机构宣读的结果与投标文件不符时，投标人有权在开标现场提出异议，经有关监督人员或公证人员当场核查确认之后，可重新宣读其投标文件。若投标人现场未提出异议，则视为投标人确认宣读的结果。</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22.4</w:t>
      </w:r>
      <w:r>
        <w:rPr>
          <w:rFonts w:hint="eastAsia" w:hAnsi="宋体" w:cs="宋体"/>
          <w:kern w:val="2"/>
          <w:szCs w:val="21"/>
          <w:highlight w:val="none"/>
          <w:lang w:val="zh-CN"/>
        </w:rPr>
        <w:tab/>
      </w:r>
      <w:r>
        <w:rPr>
          <w:rFonts w:hint="eastAsia" w:hAnsi="宋体" w:cs="宋体"/>
          <w:kern w:val="2"/>
          <w:szCs w:val="21"/>
          <w:highlight w:val="none"/>
          <w:lang w:val="zh-CN"/>
        </w:rPr>
        <w:t>投标文件的投标报价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 xml:space="preserve">22.5 </w:t>
      </w:r>
      <w:r>
        <w:rPr>
          <w:rFonts w:hint="eastAsia" w:hAnsi="宋体" w:cs="宋体"/>
          <w:kern w:val="2"/>
          <w:szCs w:val="21"/>
          <w:highlight w:val="none"/>
          <w:lang w:val="zh-CN"/>
        </w:rPr>
        <w:tab/>
      </w:r>
      <w:r>
        <w:rPr>
          <w:rFonts w:hint="eastAsia" w:hAnsi="宋体" w:cs="宋体"/>
          <w:kern w:val="2"/>
          <w:szCs w:val="21"/>
          <w:highlight w:val="none"/>
          <w:lang w:val="zh-CN"/>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22.6  开标过程由采购代理机构负责记录，由参加开标的各投标人代表和相关工作人员签字确认后随采购文件一并存档。</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23</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szCs w:val="21"/>
          <w:highlight w:val="none"/>
        </w:rPr>
        <w:t>评标过程的保密性</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23.1</w:t>
      </w:r>
      <w:r>
        <w:rPr>
          <w:rFonts w:hint="eastAsia" w:hAnsi="宋体" w:cs="宋体"/>
          <w:kern w:val="2"/>
          <w:szCs w:val="21"/>
          <w:highlight w:val="none"/>
          <w:lang w:val="zh-CN"/>
        </w:rPr>
        <w:tab/>
      </w:r>
      <w:r>
        <w:rPr>
          <w:rFonts w:hint="eastAsia" w:hAnsi="宋体" w:cs="宋体"/>
          <w:kern w:val="2"/>
          <w:szCs w:val="21"/>
          <w:highlight w:val="none"/>
          <w:lang w:val="zh-CN"/>
        </w:rPr>
        <w:t>递交投标文件后，直至向中标人授予合同时止，凡与审查、澄清、评估和比较投标报价的有关资料以及</w:t>
      </w:r>
      <w:r>
        <w:rPr>
          <w:rFonts w:hint="eastAsia" w:hAnsi="宋体" w:cs="宋体"/>
          <w:szCs w:val="21"/>
          <w:highlight w:val="none"/>
        </w:rPr>
        <w:t>授标</w:t>
      </w:r>
      <w:r>
        <w:rPr>
          <w:rFonts w:hint="eastAsia" w:hAnsi="宋体" w:cs="宋体"/>
          <w:kern w:val="2"/>
          <w:szCs w:val="21"/>
          <w:highlight w:val="none"/>
          <w:lang w:val="zh-CN"/>
        </w:rPr>
        <w:t>意见等，</w:t>
      </w:r>
      <w:r>
        <w:rPr>
          <w:rFonts w:hint="eastAsia" w:hAnsi="宋体" w:cs="宋体"/>
          <w:szCs w:val="21"/>
          <w:highlight w:val="none"/>
        </w:rPr>
        <w:t>参与评标工作的有关人员</w:t>
      </w:r>
      <w:r>
        <w:rPr>
          <w:rFonts w:hint="eastAsia" w:hAnsi="宋体" w:cs="宋体"/>
          <w:kern w:val="2"/>
          <w:szCs w:val="21"/>
          <w:highlight w:val="none"/>
          <w:lang w:val="zh-CN"/>
        </w:rPr>
        <w:t>均不得向投标人及与评审无关的其他人透露，否则追究有关当事人的法律责任。</w:t>
      </w:r>
    </w:p>
    <w:p>
      <w:pPr>
        <w:tabs>
          <w:tab w:val="left" w:pos="567"/>
        </w:tabs>
        <w:spacing w:line="360" w:lineRule="auto"/>
        <w:ind w:left="567" w:right="18" w:hanging="567"/>
        <w:jc w:val="both"/>
        <w:rPr>
          <w:rFonts w:hAnsi="宋体" w:cs="宋体"/>
          <w:kern w:val="2"/>
          <w:szCs w:val="21"/>
          <w:highlight w:val="none"/>
          <w:lang w:val="zh-CN"/>
        </w:rPr>
      </w:pPr>
      <w:r>
        <w:rPr>
          <w:rFonts w:hint="eastAsia" w:hAnsi="宋体" w:cs="宋体"/>
          <w:kern w:val="2"/>
          <w:szCs w:val="21"/>
          <w:highlight w:val="none"/>
          <w:lang w:val="zh-CN"/>
        </w:rPr>
        <w:t>23.2</w:t>
      </w:r>
      <w:r>
        <w:rPr>
          <w:rFonts w:hint="eastAsia" w:hAnsi="宋体" w:cs="宋体"/>
          <w:kern w:val="2"/>
          <w:szCs w:val="21"/>
          <w:highlight w:val="none"/>
          <w:lang w:val="zh-CN"/>
        </w:rPr>
        <w:tab/>
      </w:r>
      <w:r>
        <w:rPr>
          <w:rFonts w:hint="eastAsia" w:hAnsi="宋体" w:cs="宋体"/>
          <w:kern w:val="2"/>
          <w:szCs w:val="21"/>
          <w:highlight w:val="none"/>
          <w:lang w:val="zh-CN"/>
        </w:rPr>
        <w:t>在评标过程中，如果投标人试图在投标文件审查、澄清、比较及授予合同方面向采购代理机构和采购人施加任何影响，其投标文件将被拒绝。</w:t>
      </w:r>
    </w:p>
    <w:p>
      <w:pPr>
        <w:autoSpaceDE/>
        <w:autoSpaceDN/>
        <w:adjustRightInd/>
        <w:spacing w:line="360" w:lineRule="auto"/>
        <w:ind w:left="525" w:hanging="525" w:hangingChars="250"/>
        <w:jc w:val="both"/>
        <w:rPr>
          <w:rFonts w:hAnsi="宋体" w:cs="宋体"/>
          <w:szCs w:val="21"/>
          <w:highlight w:val="none"/>
        </w:rPr>
      </w:pPr>
      <w:r>
        <w:rPr>
          <w:rFonts w:hint="eastAsia" w:hAnsi="宋体" w:cs="宋体"/>
          <w:szCs w:val="21"/>
          <w:highlight w:val="none"/>
          <w:lang w:val="zh-CN"/>
        </w:rPr>
        <w:t xml:space="preserve">23.3  </w:t>
      </w:r>
      <w:r>
        <w:rPr>
          <w:rFonts w:hint="eastAsia" w:hAnsi="宋体" w:cs="宋体"/>
          <w:szCs w:val="21"/>
          <w:highlight w:val="none"/>
        </w:rPr>
        <w:t>凡参与评标工作的有关人员均应自觉接受相关政府采购主管部门的监督，不得向他人透露已获得招标文件的潜在投标人的名称、数量以及可能影响公平竞争的有关投标报价的其他情况。</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24</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评标委员会</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24.1</w:t>
      </w:r>
      <w:r>
        <w:rPr>
          <w:rFonts w:hint="eastAsia" w:hAnsi="宋体" w:cs="宋体"/>
          <w:kern w:val="2"/>
          <w:szCs w:val="21"/>
          <w:highlight w:val="none"/>
          <w:lang w:val="zh-CN"/>
        </w:rPr>
        <w:tab/>
      </w:r>
      <w:r>
        <w:rPr>
          <w:rFonts w:hint="eastAsia" w:hAnsi="宋体" w:cs="宋体"/>
          <w:kern w:val="2"/>
          <w:szCs w:val="21"/>
          <w:highlight w:val="none"/>
          <w:lang w:val="zh-CN"/>
        </w:rPr>
        <w:t>采购代理机构依法组建评标委员会。评标委员会成员由采购人的代表和技术、经济等方面的专家组成，成员为</w:t>
      </w:r>
      <w:r>
        <w:rPr>
          <w:rFonts w:hint="eastAsia" w:hAnsi="宋体" w:cs="宋体"/>
          <w:kern w:val="2"/>
          <w:szCs w:val="21"/>
          <w:highlight w:val="none"/>
          <w:u w:val="single"/>
        </w:rPr>
        <w:t xml:space="preserve">7 </w:t>
      </w:r>
      <w:r>
        <w:rPr>
          <w:rFonts w:hint="eastAsia" w:hAnsi="宋体" w:cs="宋体"/>
          <w:kern w:val="2"/>
          <w:szCs w:val="21"/>
          <w:highlight w:val="none"/>
          <w:lang w:val="zh-CN"/>
        </w:rPr>
        <w:t>名或以上单数，其中，技术、经济等方面的专家在开标前两个工作日内由</w:t>
      </w:r>
      <w:r>
        <w:rPr>
          <w:rFonts w:hint="eastAsia" w:hAnsi="宋体" w:cs="宋体"/>
          <w:kern w:val="2"/>
          <w:szCs w:val="21"/>
          <w:highlight w:val="none"/>
        </w:rPr>
        <w:t>财政部</w:t>
      </w:r>
      <w:r>
        <w:rPr>
          <w:rFonts w:hint="eastAsia" w:hAnsi="宋体" w:cs="宋体"/>
          <w:kern w:val="2"/>
          <w:szCs w:val="21"/>
          <w:highlight w:val="none"/>
          <w:lang w:val="zh-CN"/>
        </w:rPr>
        <w:t>专家库中随机抽取产生。评标委员会的成员在评标过程中必须严格遵守相关招标投标规定。</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24.2</w:t>
      </w:r>
      <w:r>
        <w:rPr>
          <w:rFonts w:hint="eastAsia" w:hAnsi="宋体" w:cs="宋体"/>
          <w:kern w:val="2"/>
          <w:szCs w:val="21"/>
          <w:highlight w:val="none"/>
          <w:lang w:val="zh-CN"/>
        </w:rPr>
        <w:tab/>
      </w:r>
      <w:r>
        <w:rPr>
          <w:rFonts w:hint="eastAsia" w:hAnsi="宋体" w:cs="宋体"/>
          <w:kern w:val="2"/>
          <w:szCs w:val="21"/>
          <w:highlight w:val="none"/>
          <w:lang w:val="zh-CN"/>
        </w:rPr>
        <w:t>评标委员会将只对确定为实质上响应招标文件要求的投标，即通过初审的投标进行评价和比较，响应的依据是招标文件本身的内容，而不寻求其它证据。实质上响应的投标应该是与招标文件要求的全部主要条款、条件和规格相符，没有重大偏离的投标。</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24.3</w:t>
      </w:r>
      <w:r>
        <w:rPr>
          <w:rFonts w:hint="eastAsia" w:hAnsi="宋体" w:cs="宋体"/>
          <w:kern w:val="2"/>
          <w:szCs w:val="21"/>
          <w:highlight w:val="none"/>
          <w:lang w:val="zh-CN"/>
        </w:rPr>
        <w:tab/>
      </w:r>
      <w:r>
        <w:rPr>
          <w:rFonts w:hint="eastAsia" w:hAnsi="宋体" w:cs="宋体"/>
          <w:kern w:val="2"/>
          <w:szCs w:val="21"/>
          <w:highlight w:val="none"/>
          <w:lang w:val="zh-CN"/>
        </w:rPr>
        <w:t>评标委员会依法根据招标文件的规定，进行投标文件的评审、得出评审结果，评标委员会递交评标报告并依法向采购人推荐中标候选人。</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24.4 所有参加评标人员必须遵守国家、地方政府制定的有关招标投标的法则、规定，遵守有关招标投标招标投标的保密制度；如有违反者，给予行政处分；情节严重，构成犯罪的，由司法机关依法追究其刑事责任。</w:t>
      </w:r>
    </w:p>
    <w:p>
      <w:pPr>
        <w:spacing w:line="360" w:lineRule="auto"/>
        <w:ind w:left="567" w:hanging="567"/>
        <w:jc w:val="both"/>
        <w:rPr>
          <w:rFonts w:hAnsi="宋体" w:cs="宋体"/>
          <w:kern w:val="2"/>
          <w:szCs w:val="21"/>
          <w:highlight w:val="none"/>
          <w:lang w:val="zh-CN"/>
        </w:rPr>
      </w:pPr>
      <w:r>
        <w:rPr>
          <w:rFonts w:hint="eastAsia" w:hAnsi="宋体" w:cs="宋体"/>
          <w:kern w:val="2"/>
          <w:szCs w:val="21"/>
          <w:highlight w:val="none"/>
          <w:lang w:val="zh-CN"/>
        </w:rPr>
        <w:t>24.5 全体参与评标人员：</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24.5.1 必须遵守评标纪律、不得泄密；</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24.5.2 必须公正、不得循私；</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24.5.3 必须科学、不得草率；</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24.5.4 必须客观、不得带有成见；</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24.5.5 必须平等、不得强加于人；</w:t>
      </w:r>
    </w:p>
    <w:p>
      <w:pPr>
        <w:spacing w:line="360" w:lineRule="auto"/>
        <w:ind w:left="504" w:leftChars="220" w:hanging="42" w:hangingChars="20"/>
        <w:jc w:val="both"/>
        <w:rPr>
          <w:rFonts w:hAnsi="宋体" w:cs="宋体"/>
          <w:kern w:val="2"/>
          <w:szCs w:val="21"/>
          <w:highlight w:val="none"/>
          <w:lang w:val="zh-CN"/>
        </w:rPr>
      </w:pPr>
      <w:r>
        <w:rPr>
          <w:rFonts w:hint="eastAsia" w:hAnsi="宋体" w:cs="宋体"/>
          <w:kern w:val="2"/>
          <w:szCs w:val="21"/>
          <w:highlight w:val="none"/>
          <w:lang w:val="zh-CN"/>
        </w:rPr>
        <w:t>24.5.6 必须严谨、不得随意马虎。</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25</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投标文件的初审</w:t>
      </w:r>
    </w:p>
    <w:p>
      <w:pPr>
        <w:spacing w:line="360" w:lineRule="auto"/>
        <w:ind w:left="540" w:hanging="540"/>
        <w:jc w:val="both"/>
        <w:rPr>
          <w:rFonts w:hAnsi="宋体" w:cs="宋体"/>
          <w:kern w:val="2"/>
          <w:szCs w:val="21"/>
          <w:highlight w:val="none"/>
        </w:rPr>
      </w:pPr>
      <w:r>
        <w:rPr>
          <w:rFonts w:hint="eastAsia" w:hAnsi="宋体" w:cs="宋体"/>
          <w:kern w:val="2"/>
          <w:szCs w:val="21"/>
          <w:highlight w:val="none"/>
          <w:lang w:val="zh-CN"/>
        </w:rPr>
        <w:t>25.1 资格性检查：依据法律法规和招标文件的规定，由采购人或采购代理机构负责对投标文件中的资格证明等进行审查，以确定投标人是否具备投标资格。</w:t>
      </w:r>
      <w:r>
        <w:rPr>
          <w:rFonts w:hint="eastAsia" w:hAnsi="宋体" w:cs="宋体"/>
          <w:szCs w:val="21"/>
          <w:highlight w:val="none"/>
        </w:rPr>
        <w:t>详见评标工作大纲。</w:t>
      </w:r>
    </w:p>
    <w:p>
      <w:pPr>
        <w:spacing w:line="360" w:lineRule="auto"/>
        <w:ind w:left="540" w:hanging="540"/>
        <w:jc w:val="both"/>
        <w:rPr>
          <w:rFonts w:hAnsi="宋体" w:cs="宋体"/>
          <w:szCs w:val="21"/>
          <w:highlight w:val="none"/>
        </w:rPr>
      </w:pPr>
      <w:r>
        <w:rPr>
          <w:rFonts w:hint="eastAsia" w:hAnsi="宋体" w:cs="宋体"/>
          <w:kern w:val="2"/>
          <w:szCs w:val="21"/>
          <w:highlight w:val="none"/>
          <w:lang w:val="zh-CN"/>
        </w:rPr>
        <w:t>25.2 符合性检查：依据招标文件的规定，评审专家负责从投标文件的有效性、完整性和对招标文件的响应程度进行审查，以确定是否对招标文件的实质性要求作出响应。（具体内容</w:t>
      </w:r>
      <w:r>
        <w:rPr>
          <w:rFonts w:hint="eastAsia" w:hAnsi="宋体" w:cs="宋体"/>
          <w:szCs w:val="21"/>
          <w:highlight w:val="none"/>
        </w:rPr>
        <w:t>详见评标工作大纲）</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26</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投标文件的澄清</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26.1 为有助于投标文件的审查、评价和比较，评标期间，经评标委员会以书面形式提出动议，评标委员会书面发出澄清通知，要求投标人对投标文件含义不明确、同类问题表述不一致或者有明显文字和计算错误的内容作出澄清。</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26.2 投标人应以书面形式进行澄清、说明或补正，澄清、说明或补正的内容属于投标文件的组成部分，澄清中的承诺性意思表示在投标文件有效期内均对投标人有约束力。除评标委员会对评标中发现算术错误进行修正后要求投标人以澄清形式进行的核实和确认外，澄清不得超出投标文件的范围或改变投标文件的实质性内容，超出部分不作为评标委员会评审的依据。除上述规定的情形之外，评标委员会在评审过程中，不得接收来自评审现场以外的任何形式的文件资料。除评标委员会主动要求澄清、说明或者纠正外，评标定标期间，任何投标人均不得就与其投标相关的任何问题与评标委员会联系。</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26.3 评标委员会成员均应当阅读投标人的澄清，但应独立参考澄清对投标文件进行评审。整个澄清的过程不得存在排斥潜在投标人的现象。</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26.4 如果投标文件实质上不响应招标文件的各项要求，评标委员会将按照符合性审查标准予以拒绝，不接受投标人通过修改或撤销其不符合要求的差异或保留，使之成为具有响应性的投标。</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27</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对投标文件的比较和评价</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27.1</w:t>
      </w:r>
      <w:r>
        <w:rPr>
          <w:rFonts w:hint="eastAsia" w:hAnsi="宋体" w:cs="宋体"/>
          <w:kern w:val="2"/>
          <w:szCs w:val="21"/>
          <w:highlight w:val="none"/>
          <w:lang w:val="zh-CN"/>
        </w:rPr>
        <w:tab/>
      </w:r>
      <w:r>
        <w:rPr>
          <w:rFonts w:hint="eastAsia" w:hAnsi="宋体" w:cs="宋体"/>
          <w:kern w:val="2"/>
          <w:szCs w:val="21"/>
          <w:highlight w:val="none"/>
          <w:lang w:val="zh-CN"/>
        </w:rPr>
        <w:t>评标委员会将对资格性检查和符合性检查合格的投标文件进行比较和评价，包括技术、商务的详细评审。（</w:t>
      </w:r>
      <w:r>
        <w:rPr>
          <w:rFonts w:hint="eastAsia" w:hAnsi="宋体" w:cs="宋体"/>
          <w:szCs w:val="21"/>
          <w:highlight w:val="none"/>
        </w:rPr>
        <w:t>详见评标工作大纲）</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28</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评标原则及方法</w:t>
      </w:r>
    </w:p>
    <w:p>
      <w:pPr>
        <w:tabs>
          <w:tab w:val="left" w:pos="360"/>
        </w:tabs>
        <w:spacing w:line="360" w:lineRule="auto"/>
        <w:ind w:left="540" w:right="51" w:hanging="540"/>
        <w:jc w:val="both"/>
        <w:rPr>
          <w:rFonts w:hAnsi="宋体" w:cs="宋体"/>
          <w:szCs w:val="21"/>
          <w:highlight w:val="none"/>
        </w:rPr>
      </w:pPr>
      <w:r>
        <w:rPr>
          <w:rFonts w:hint="eastAsia" w:hAnsi="宋体" w:cs="宋体"/>
          <w:kern w:val="2"/>
          <w:szCs w:val="21"/>
          <w:highlight w:val="none"/>
          <w:lang w:val="zh-CN"/>
        </w:rPr>
        <w:t>28.1</w:t>
      </w:r>
      <w:r>
        <w:rPr>
          <w:rFonts w:hint="eastAsia" w:hAnsi="宋体" w:cs="宋体"/>
          <w:kern w:val="2"/>
          <w:szCs w:val="21"/>
          <w:highlight w:val="none"/>
          <w:lang w:val="zh-CN"/>
        </w:rPr>
        <w:tab/>
      </w:r>
      <w:r>
        <w:rPr>
          <w:rFonts w:hint="eastAsia" w:hAnsi="宋体" w:cs="宋体"/>
          <w:szCs w:val="21"/>
          <w:highlight w:val="none"/>
        </w:rPr>
        <w:t>坚持“公开、公平、公正、科学、择优”的评标原则，严格评审。</w:t>
      </w:r>
    </w:p>
    <w:p>
      <w:pPr>
        <w:tabs>
          <w:tab w:val="left" w:pos="360"/>
        </w:tabs>
        <w:spacing w:line="360" w:lineRule="auto"/>
        <w:ind w:left="540" w:right="51" w:hanging="540"/>
        <w:jc w:val="both"/>
        <w:rPr>
          <w:rFonts w:hAnsi="宋体" w:cs="宋体"/>
          <w:kern w:val="2"/>
          <w:szCs w:val="21"/>
          <w:highlight w:val="none"/>
          <w:lang w:val="zh-CN"/>
        </w:rPr>
      </w:pPr>
      <w:r>
        <w:rPr>
          <w:rFonts w:hint="eastAsia" w:hAnsi="宋体" w:cs="宋体"/>
          <w:kern w:val="2"/>
          <w:szCs w:val="21"/>
          <w:highlight w:val="none"/>
          <w:lang w:val="zh-CN"/>
        </w:rPr>
        <w:t>28.2 确定中标人的评标准则是：能够最大限度满足招标文件中规定的各项综合评价标准。评标委员会没有义务必须接受最低报价的投标。</w:t>
      </w:r>
    </w:p>
    <w:p>
      <w:pPr>
        <w:tabs>
          <w:tab w:val="left" w:pos="360"/>
        </w:tabs>
        <w:spacing w:line="360" w:lineRule="auto"/>
        <w:ind w:left="540" w:right="51" w:hanging="540"/>
        <w:jc w:val="both"/>
        <w:rPr>
          <w:rFonts w:hAnsi="宋体" w:cs="宋体"/>
          <w:kern w:val="2"/>
          <w:szCs w:val="21"/>
          <w:highlight w:val="none"/>
          <w:lang w:val="zh-CN"/>
        </w:rPr>
      </w:pPr>
      <w:r>
        <w:rPr>
          <w:rFonts w:hint="eastAsia" w:hAnsi="宋体" w:cs="宋体"/>
          <w:kern w:val="2"/>
          <w:szCs w:val="21"/>
          <w:highlight w:val="none"/>
          <w:lang w:val="zh-CN"/>
        </w:rPr>
        <w:t>28.3 具体评标方法</w:t>
      </w:r>
      <w:r>
        <w:rPr>
          <w:rFonts w:hint="eastAsia" w:hAnsi="宋体" w:cs="宋体"/>
          <w:szCs w:val="21"/>
          <w:highlight w:val="none"/>
        </w:rPr>
        <w:t>详见评标工作大纲。</w:t>
      </w:r>
    </w:p>
    <w:p>
      <w:pPr>
        <w:tabs>
          <w:tab w:val="left" w:pos="567"/>
          <w:tab w:val="left" w:pos="720"/>
          <w:tab w:val="left" w:pos="3460"/>
        </w:tabs>
        <w:spacing w:line="360" w:lineRule="auto"/>
        <w:ind w:left="567" w:hanging="567"/>
        <w:jc w:val="both"/>
        <w:rPr>
          <w:rFonts w:hAnsi="宋体" w:cs="宋体"/>
          <w:szCs w:val="21"/>
          <w:highlight w:val="none"/>
        </w:rPr>
      </w:pPr>
      <w:r>
        <w:rPr>
          <w:rFonts w:hint="eastAsia" w:hAnsi="宋体" w:cs="宋体"/>
          <w:szCs w:val="21"/>
          <w:highlight w:val="none"/>
        </w:rPr>
        <w:t>29  定标</w:t>
      </w:r>
    </w:p>
    <w:p>
      <w:pPr>
        <w:tabs>
          <w:tab w:val="left" w:pos="540"/>
          <w:tab w:val="left" w:pos="720"/>
          <w:tab w:val="left" w:pos="346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29.1 采购人确认评标委员会推荐的评标结果后，由采购人对中标候选供应商的资格和履约能力进行再次审查，凡发现中标候选供应商有下列情形之一的，将移交政府采购监督管理部门依法处理：</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提供虚假材料谋取中标的；</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采取不正当手段诋毁、排挤其他投标人的；</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与招标采购单位、其他投标人恶意串通的；</w:t>
      </w:r>
    </w:p>
    <w:p>
      <w:pPr>
        <w:tabs>
          <w:tab w:val="left" w:pos="540"/>
          <w:tab w:val="left" w:pos="1134"/>
        </w:tabs>
        <w:spacing w:line="360" w:lineRule="auto"/>
        <w:ind w:left="1134" w:right="15" w:rightChars="7"/>
        <w:jc w:val="both"/>
        <w:rPr>
          <w:rFonts w:hAnsi="宋体" w:cs="宋体"/>
          <w:kern w:val="2"/>
          <w:szCs w:val="21"/>
          <w:highlight w:val="none"/>
          <w:lang w:val="zh-CN"/>
        </w:rPr>
      </w:pPr>
      <w:r>
        <w:rPr>
          <w:rFonts w:hint="eastAsia" w:hAnsi="宋体" w:cs="宋体"/>
          <w:kern w:val="2"/>
          <w:szCs w:val="21"/>
          <w:highlight w:val="none"/>
          <w:lang w:val="zh-CN"/>
        </w:rPr>
        <w:t>3.1）不同投标人的投标文件由同一单位或者个人编制；</w:t>
      </w:r>
    </w:p>
    <w:p>
      <w:pPr>
        <w:tabs>
          <w:tab w:val="left" w:pos="540"/>
          <w:tab w:val="left" w:pos="1134"/>
        </w:tabs>
        <w:spacing w:line="360" w:lineRule="auto"/>
        <w:ind w:left="1134" w:right="15" w:rightChars="7"/>
        <w:jc w:val="both"/>
        <w:rPr>
          <w:rFonts w:hAnsi="宋体" w:cs="宋体"/>
          <w:kern w:val="2"/>
          <w:szCs w:val="21"/>
          <w:highlight w:val="none"/>
          <w:lang w:val="zh-CN"/>
        </w:rPr>
      </w:pPr>
      <w:r>
        <w:rPr>
          <w:rFonts w:hint="eastAsia" w:hAnsi="宋体" w:cs="宋体"/>
          <w:kern w:val="2"/>
          <w:szCs w:val="21"/>
          <w:highlight w:val="none"/>
          <w:lang w:val="zh-CN"/>
        </w:rPr>
        <w:t>3.2）不同投标人委托同一单位或者个人办理投标事宜；</w:t>
      </w:r>
    </w:p>
    <w:p>
      <w:pPr>
        <w:tabs>
          <w:tab w:val="left" w:pos="540"/>
          <w:tab w:val="left" w:pos="1134"/>
        </w:tabs>
        <w:spacing w:line="360" w:lineRule="auto"/>
        <w:ind w:left="1134" w:right="15" w:rightChars="7"/>
        <w:jc w:val="both"/>
        <w:rPr>
          <w:rFonts w:hAnsi="宋体" w:cs="宋体"/>
          <w:kern w:val="2"/>
          <w:szCs w:val="21"/>
          <w:highlight w:val="none"/>
          <w:lang w:val="zh-CN"/>
        </w:rPr>
      </w:pPr>
      <w:r>
        <w:rPr>
          <w:rFonts w:hint="eastAsia" w:hAnsi="宋体" w:cs="宋体"/>
          <w:kern w:val="2"/>
          <w:szCs w:val="21"/>
          <w:highlight w:val="none"/>
          <w:lang w:val="zh-CN"/>
        </w:rPr>
        <w:t>3.3）不同投标人的投标文件载明的项目管理成员或者联系人员为同一人；</w:t>
      </w:r>
    </w:p>
    <w:p>
      <w:pPr>
        <w:tabs>
          <w:tab w:val="left" w:pos="540"/>
          <w:tab w:val="left" w:pos="1134"/>
        </w:tabs>
        <w:spacing w:line="360" w:lineRule="auto"/>
        <w:ind w:left="1134" w:right="15" w:rightChars="7"/>
        <w:jc w:val="both"/>
        <w:rPr>
          <w:rFonts w:hAnsi="宋体" w:cs="宋体"/>
          <w:kern w:val="2"/>
          <w:szCs w:val="21"/>
          <w:highlight w:val="none"/>
          <w:lang w:val="zh-CN"/>
        </w:rPr>
      </w:pPr>
      <w:r>
        <w:rPr>
          <w:rFonts w:hint="eastAsia" w:hAnsi="宋体" w:cs="宋体"/>
          <w:kern w:val="2"/>
          <w:szCs w:val="21"/>
          <w:highlight w:val="none"/>
          <w:lang w:val="zh-CN"/>
        </w:rPr>
        <w:t>3.4）不同投标人的投标文件异常一致或者投标报价呈规律性差异；</w:t>
      </w:r>
    </w:p>
    <w:p>
      <w:pPr>
        <w:tabs>
          <w:tab w:val="left" w:pos="540"/>
          <w:tab w:val="left" w:pos="1134"/>
        </w:tabs>
        <w:spacing w:line="360" w:lineRule="auto"/>
        <w:ind w:left="1134" w:right="15" w:rightChars="7"/>
        <w:jc w:val="both"/>
        <w:rPr>
          <w:rFonts w:hAnsi="宋体" w:cs="宋体"/>
          <w:kern w:val="2"/>
          <w:szCs w:val="21"/>
          <w:highlight w:val="none"/>
          <w:lang w:val="zh-CN"/>
        </w:rPr>
      </w:pPr>
      <w:r>
        <w:rPr>
          <w:rFonts w:hint="eastAsia" w:hAnsi="宋体" w:cs="宋体"/>
          <w:kern w:val="2"/>
          <w:szCs w:val="21"/>
          <w:highlight w:val="none"/>
          <w:lang w:val="zh-CN"/>
        </w:rPr>
        <w:t>3.5）不同投标人的投标文件相互混装；</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向招标采购单位行贿或者提供其他不正当利益的；</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在招标过程中与招标采购单位进行协商谈判、不按照招标文件和中标供应商的投标文件订立合同，或者与采购单位另行订立背离合同实质性内容的协议的；</w:t>
      </w:r>
    </w:p>
    <w:p>
      <w:pPr>
        <w:numPr>
          <w:ilvl w:val="0"/>
          <w:numId w:val="8"/>
        </w:numPr>
        <w:tabs>
          <w:tab w:val="left" w:pos="540"/>
          <w:tab w:val="left" w:pos="1134"/>
          <w:tab w:val="clear" w:pos="960"/>
        </w:tabs>
        <w:spacing w:line="360" w:lineRule="auto"/>
        <w:ind w:left="1134" w:right="15" w:rightChars="7" w:hanging="594"/>
        <w:jc w:val="both"/>
        <w:rPr>
          <w:rFonts w:hAnsi="宋体" w:cs="宋体"/>
          <w:kern w:val="2"/>
          <w:szCs w:val="21"/>
          <w:highlight w:val="none"/>
          <w:lang w:val="zh-CN"/>
        </w:rPr>
      </w:pPr>
      <w:r>
        <w:rPr>
          <w:rFonts w:hint="eastAsia" w:hAnsi="宋体" w:cs="宋体"/>
          <w:kern w:val="2"/>
          <w:szCs w:val="21"/>
          <w:highlight w:val="none"/>
          <w:lang w:val="zh-CN"/>
        </w:rPr>
        <w:t>拒绝有关部门监督检查或者提供虚假情况的。</w:t>
      </w:r>
    </w:p>
    <w:p>
      <w:pPr>
        <w:tabs>
          <w:tab w:val="left" w:pos="540"/>
          <w:tab w:val="left" w:pos="720"/>
          <w:tab w:val="left" w:pos="346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29.2 投标人有前款（1）至（6）项情形之一的，中标无效。</w:t>
      </w:r>
    </w:p>
    <w:p>
      <w:pPr>
        <w:tabs>
          <w:tab w:val="left" w:pos="540"/>
          <w:tab w:val="left" w:pos="720"/>
          <w:tab w:val="left" w:pos="346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29.3 采购代理机构在评标结束后将评标推荐意见及招标结果确认书送采购人。采购人依法确定中标供应商。采购代理机构将中标结果在中国政府采购网（http://www.ccgp.gov.cn）、</w:t>
      </w:r>
      <w:r>
        <w:rPr>
          <w:rFonts w:hint="eastAsia" w:cs="宋体"/>
          <w:szCs w:val="21"/>
          <w:highlight w:val="none"/>
        </w:rPr>
        <w:t>广东远东招标代理有限公司网（http://www.gdydzb.com）</w:t>
      </w:r>
      <w:r>
        <w:rPr>
          <w:rFonts w:hint="eastAsia" w:hAnsi="宋体" w:cs="宋体"/>
          <w:kern w:val="2"/>
          <w:szCs w:val="21"/>
          <w:highlight w:val="none"/>
          <w:lang w:val="zh-CN"/>
        </w:rPr>
        <w:t>发布。</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30</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资格后审</w:t>
      </w:r>
    </w:p>
    <w:p>
      <w:pPr>
        <w:spacing w:line="360" w:lineRule="auto"/>
        <w:ind w:left="567" w:hanging="567" w:hangingChars="270"/>
        <w:rPr>
          <w:rFonts w:hAnsi="宋体" w:cs="宋体"/>
          <w:szCs w:val="21"/>
          <w:highlight w:val="none"/>
        </w:rPr>
      </w:pPr>
      <w:r>
        <w:rPr>
          <w:rFonts w:hint="eastAsia" w:hAnsi="宋体" w:cs="宋体"/>
          <w:kern w:val="2"/>
          <w:szCs w:val="21"/>
          <w:highlight w:val="none"/>
          <w:lang w:val="zh-CN"/>
        </w:rPr>
        <w:t>30.1</w:t>
      </w:r>
      <w:r>
        <w:rPr>
          <w:rFonts w:hint="eastAsia" w:hAnsi="宋体" w:cs="宋体"/>
          <w:kern w:val="2"/>
          <w:szCs w:val="21"/>
          <w:highlight w:val="none"/>
          <w:lang w:val="zh-CN"/>
        </w:rPr>
        <w:tab/>
      </w:r>
      <w:r>
        <w:rPr>
          <w:rFonts w:hint="eastAsia" w:hAnsi="宋体" w:cs="宋体"/>
          <w:szCs w:val="21"/>
          <w:highlight w:val="none"/>
        </w:rPr>
        <w:t>采购代理机构可应采购人的要求，组织资格后审，对所选择的提交了响应性的综合评分最高的投标人是否有资格能圆满地履行合同作出资格后审确认。</w:t>
      </w:r>
    </w:p>
    <w:p>
      <w:pPr>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30.2</w:t>
      </w:r>
      <w:r>
        <w:rPr>
          <w:rFonts w:hint="eastAsia" w:hAnsi="宋体" w:cs="宋体"/>
          <w:kern w:val="2"/>
          <w:szCs w:val="21"/>
          <w:highlight w:val="none"/>
          <w:lang w:val="zh-CN"/>
        </w:rPr>
        <w:tab/>
      </w:r>
      <w:r>
        <w:rPr>
          <w:rFonts w:hint="eastAsia" w:hAnsi="宋体" w:cs="宋体"/>
          <w:kern w:val="2"/>
          <w:szCs w:val="21"/>
          <w:highlight w:val="none"/>
          <w:lang w:val="zh-CN"/>
        </w:rPr>
        <w:t>审查将根据投标人提交的投标文件和资格后审认为其他必要的、合适的资料，包括有关验收报告、业绩合同的真实性，对投标人的财务等进行审查。如发现投标人存在弄虚作假行为，将追究其责任。</w:t>
      </w:r>
    </w:p>
    <w:p>
      <w:pPr>
        <w:spacing w:line="360" w:lineRule="auto"/>
        <w:ind w:left="540" w:right="18" w:hanging="540"/>
        <w:jc w:val="both"/>
        <w:rPr>
          <w:rFonts w:hAnsi="宋体" w:cs="宋体"/>
          <w:kern w:val="2"/>
          <w:szCs w:val="21"/>
          <w:highlight w:val="none"/>
          <w:lang w:val="zh-CN"/>
        </w:rPr>
      </w:pPr>
      <w:r>
        <w:rPr>
          <w:rFonts w:hint="eastAsia" w:hAnsi="宋体" w:cs="宋体"/>
          <w:szCs w:val="21"/>
          <w:highlight w:val="none"/>
        </w:rPr>
        <w:t>30.3</w:t>
      </w:r>
      <w:r>
        <w:rPr>
          <w:rFonts w:hint="eastAsia" w:hAnsi="宋体" w:cs="宋体"/>
          <w:szCs w:val="21"/>
          <w:highlight w:val="none"/>
        </w:rPr>
        <w:tab/>
      </w:r>
      <w:r>
        <w:rPr>
          <w:rFonts w:hint="eastAsia" w:hAnsi="宋体" w:cs="宋体"/>
          <w:kern w:val="2"/>
          <w:szCs w:val="21"/>
          <w:highlight w:val="none"/>
          <w:lang w:val="zh-CN"/>
        </w:rPr>
        <w:t>如果审查通过，则将合同授予该投标人；如果审查没有通过，则其投标文件被拒绝。在此情况下，将对下一个综合评分最高的投标人的能力做类似的审查</w:t>
      </w:r>
      <w:r>
        <w:rPr>
          <w:rFonts w:hint="eastAsia" w:hAnsi="宋体" w:cs="宋体"/>
          <w:szCs w:val="21"/>
          <w:highlight w:val="none"/>
        </w:rPr>
        <w:t>或重新招标。</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31</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评标委员会和采购人接受或拒绝任何投标或所有投标的权利</w:t>
      </w:r>
    </w:p>
    <w:p>
      <w:pPr>
        <w:spacing w:line="360" w:lineRule="auto"/>
        <w:ind w:left="540" w:right="18" w:hanging="540"/>
        <w:jc w:val="both"/>
        <w:rPr>
          <w:rFonts w:hAnsi="宋体" w:cs="宋体"/>
          <w:kern w:val="2"/>
          <w:szCs w:val="21"/>
          <w:highlight w:val="none"/>
          <w:lang w:val="zh-CN"/>
        </w:rPr>
      </w:pPr>
      <w:r>
        <w:rPr>
          <w:rFonts w:hint="eastAsia" w:hAnsi="宋体" w:cs="宋体"/>
          <w:szCs w:val="21"/>
          <w:highlight w:val="none"/>
        </w:rPr>
        <w:t>31.1</w:t>
      </w:r>
      <w:r>
        <w:rPr>
          <w:rFonts w:hint="eastAsia" w:hAnsi="宋体" w:cs="宋体"/>
          <w:szCs w:val="21"/>
          <w:highlight w:val="none"/>
        </w:rPr>
        <w:tab/>
      </w:r>
      <w:r>
        <w:rPr>
          <w:rFonts w:hint="eastAsia" w:hAnsi="宋体" w:cs="宋体"/>
          <w:kern w:val="2"/>
          <w:szCs w:val="21"/>
          <w:highlight w:val="none"/>
          <w:lang w:val="zh-CN"/>
        </w:rPr>
        <w:t>在授予合同前的任何时候，</w:t>
      </w:r>
      <w:r>
        <w:rPr>
          <w:rFonts w:hint="eastAsia" w:hAnsi="宋体" w:cs="宋体"/>
          <w:szCs w:val="21"/>
          <w:highlight w:val="none"/>
        </w:rPr>
        <w:t>评标委员会和采购人仍保留接受或拒绝任何投标</w:t>
      </w:r>
      <w:r>
        <w:rPr>
          <w:rFonts w:hint="eastAsia" w:hAnsi="宋体" w:cs="宋体"/>
          <w:kern w:val="2"/>
          <w:szCs w:val="21"/>
          <w:highlight w:val="none"/>
          <w:lang w:val="zh-CN"/>
        </w:rPr>
        <w:t>，宣布招标程序无效或拒绝所有投标的权利，无需向受影响的投标人承担任何责任。</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32</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中标通知</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32.1</w:t>
      </w:r>
      <w:r>
        <w:rPr>
          <w:rFonts w:hint="eastAsia" w:hAnsi="宋体" w:cs="宋体"/>
          <w:kern w:val="2"/>
          <w:szCs w:val="21"/>
          <w:highlight w:val="none"/>
          <w:lang w:val="zh-CN"/>
        </w:rPr>
        <w:tab/>
      </w:r>
      <w:r>
        <w:rPr>
          <w:rFonts w:hint="eastAsia" w:hAnsi="宋体" w:cs="宋体"/>
          <w:kern w:val="2"/>
          <w:szCs w:val="21"/>
          <w:highlight w:val="none"/>
          <w:lang w:val="zh-CN"/>
        </w:rPr>
        <w:t>投标文件有效期期满前，采购代理机构将以书面形式通知中标人其投标文件被接受。</w:t>
      </w:r>
    </w:p>
    <w:p>
      <w:pPr>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32.2</w:t>
      </w:r>
      <w:r>
        <w:rPr>
          <w:rFonts w:hint="eastAsia" w:hAnsi="宋体" w:cs="宋体"/>
          <w:kern w:val="2"/>
          <w:szCs w:val="21"/>
          <w:highlight w:val="none"/>
          <w:lang w:val="zh-CN"/>
        </w:rPr>
        <w:tab/>
      </w:r>
      <w:r>
        <w:rPr>
          <w:rFonts w:hint="eastAsia" w:hAnsi="宋体" w:cs="宋体"/>
          <w:kern w:val="2"/>
          <w:szCs w:val="21"/>
          <w:highlight w:val="none"/>
          <w:lang w:val="zh-CN"/>
        </w:rPr>
        <w:t>采购代理机构向中标人发出书面通知的同时，采购代理机构通知落选的投标人其投标文件未被接受而不提原因。</w:t>
      </w:r>
    </w:p>
    <w:p>
      <w:pPr>
        <w:tabs>
          <w:tab w:val="left" w:pos="540"/>
        </w:tabs>
        <w:spacing w:line="360" w:lineRule="auto"/>
        <w:ind w:left="540" w:right="18" w:hanging="540"/>
        <w:jc w:val="both"/>
        <w:rPr>
          <w:rFonts w:hAnsi="宋体" w:cs="宋体"/>
          <w:kern w:val="2"/>
          <w:szCs w:val="21"/>
          <w:highlight w:val="none"/>
          <w:u w:val="single"/>
          <w:lang w:val="zh-CN"/>
        </w:rPr>
      </w:pPr>
      <w:r>
        <w:rPr>
          <w:rFonts w:hint="eastAsia" w:hAnsi="宋体" w:cs="宋体"/>
          <w:kern w:val="2"/>
          <w:szCs w:val="21"/>
          <w:highlight w:val="none"/>
          <w:lang w:val="zh-CN"/>
        </w:rPr>
        <w:t>32.3 中标通知书是合同的一个组成部分。</w:t>
      </w:r>
    </w:p>
    <w:p>
      <w:pPr>
        <w:tabs>
          <w:tab w:val="left" w:pos="540"/>
        </w:tabs>
        <w:spacing w:line="360" w:lineRule="auto"/>
        <w:ind w:left="540" w:right="18" w:hanging="540"/>
        <w:jc w:val="both"/>
        <w:rPr>
          <w:rFonts w:hAnsi="宋体" w:cs="宋体"/>
          <w:szCs w:val="21"/>
          <w:highlight w:val="none"/>
        </w:rPr>
      </w:pPr>
      <w:r>
        <w:rPr>
          <w:rFonts w:hint="eastAsia" w:hAnsi="宋体" w:cs="宋体"/>
          <w:kern w:val="2"/>
          <w:szCs w:val="21"/>
          <w:highlight w:val="none"/>
          <w:lang w:val="zh-CN"/>
        </w:rPr>
        <w:t xml:space="preserve">32.4 </w:t>
      </w:r>
      <w:r>
        <w:rPr>
          <w:rFonts w:hint="eastAsia" w:hAnsi="宋体" w:cs="宋体"/>
          <w:bCs/>
          <w:szCs w:val="21"/>
          <w:highlight w:val="none"/>
        </w:rPr>
        <w:t>中标人如在收到招标结果通知后15日内不按规定领取中标通知书，则视为自动放弃中标资格，并按招标投标相关法律法规追究其相关责任。</w:t>
      </w:r>
    </w:p>
    <w:p>
      <w:pPr>
        <w:tabs>
          <w:tab w:val="left" w:pos="567"/>
          <w:tab w:val="left" w:pos="720"/>
          <w:tab w:val="left" w:pos="3460"/>
        </w:tabs>
        <w:spacing w:line="360" w:lineRule="auto"/>
        <w:ind w:left="567" w:hanging="567"/>
        <w:jc w:val="both"/>
        <w:rPr>
          <w:rFonts w:hAnsi="宋体" w:cs="宋体"/>
          <w:szCs w:val="21"/>
          <w:highlight w:val="none"/>
        </w:rPr>
      </w:pPr>
      <w:r>
        <w:rPr>
          <w:rFonts w:hint="eastAsia" w:hAnsi="宋体" w:cs="宋体"/>
          <w:szCs w:val="21"/>
          <w:highlight w:val="none"/>
        </w:rPr>
        <w:t>33  废标的认定</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33.1 符合专业条件的供应商或者对招标文件作实质响应的供应商不足三家的；</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33.2 出现影响采购公正的违法、违规行为的；</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33.3 投标人的报价均超过了最高限额，采购人不能支付的；</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33.4 因重大变故，采购任务取消的。</w:t>
      </w:r>
    </w:p>
    <w:p>
      <w:pPr>
        <w:tabs>
          <w:tab w:val="left" w:pos="540"/>
          <w:tab w:val="left" w:pos="720"/>
          <w:tab w:val="left" w:pos="3460"/>
        </w:tabs>
        <w:spacing w:line="360" w:lineRule="auto"/>
        <w:ind w:left="540" w:right="18" w:hanging="540"/>
        <w:jc w:val="both"/>
        <w:rPr>
          <w:rFonts w:hAnsi="宋体" w:cs="宋体"/>
          <w:kern w:val="2"/>
          <w:szCs w:val="21"/>
          <w:highlight w:val="none"/>
        </w:rPr>
      </w:pPr>
    </w:p>
    <w:p>
      <w:pPr>
        <w:pStyle w:val="6"/>
        <w:spacing w:line="360" w:lineRule="auto"/>
        <w:rPr>
          <w:rFonts w:hAnsi="宋体" w:cs="宋体"/>
          <w:b w:val="0"/>
          <w:bCs/>
          <w:kern w:val="44"/>
          <w:szCs w:val="21"/>
          <w:highlight w:val="none"/>
          <w:lang w:val="zh-CN"/>
        </w:rPr>
      </w:pPr>
      <w:bookmarkStart w:id="5" w:name="_Toc413396494"/>
      <w:r>
        <w:rPr>
          <w:rFonts w:hint="eastAsia" w:hAnsi="宋体" w:cs="宋体"/>
          <w:b w:val="0"/>
          <w:bCs/>
          <w:kern w:val="44"/>
          <w:szCs w:val="21"/>
          <w:highlight w:val="none"/>
          <w:lang w:val="zh-CN"/>
        </w:rPr>
        <w:t>（六）</w:t>
      </w:r>
      <w:r>
        <w:rPr>
          <w:rFonts w:hint="eastAsia" w:hAnsi="宋体" w:cs="宋体"/>
          <w:b w:val="0"/>
          <w:bCs/>
          <w:kern w:val="44"/>
          <w:szCs w:val="21"/>
          <w:highlight w:val="none"/>
          <w:lang w:val="zh-CN"/>
        </w:rPr>
        <w:tab/>
      </w:r>
      <w:r>
        <w:rPr>
          <w:rFonts w:hint="eastAsia" w:hAnsi="宋体" w:cs="宋体"/>
          <w:b w:val="0"/>
          <w:bCs/>
          <w:kern w:val="44"/>
          <w:szCs w:val="21"/>
          <w:highlight w:val="none"/>
          <w:lang w:val="zh-CN"/>
        </w:rPr>
        <w:t>授予合同</w:t>
      </w:r>
      <w:bookmarkEnd w:id="5"/>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34</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授予合同的准则</w:t>
      </w:r>
    </w:p>
    <w:p>
      <w:pPr>
        <w:tabs>
          <w:tab w:val="left" w:pos="540"/>
        </w:tabs>
        <w:spacing w:line="360" w:lineRule="auto"/>
        <w:ind w:left="540" w:right="51" w:hanging="540"/>
        <w:jc w:val="both"/>
        <w:rPr>
          <w:rFonts w:hAnsi="宋体" w:cs="宋体"/>
          <w:kern w:val="2"/>
          <w:szCs w:val="21"/>
          <w:highlight w:val="none"/>
          <w:lang w:val="zh-CN"/>
        </w:rPr>
      </w:pPr>
      <w:r>
        <w:rPr>
          <w:rFonts w:hint="eastAsia" w:hAnsi="宋体" w:cs="宋体"/>
          <w:kern w:val="2"/>
          <w:szCs w:val="21"/>
          <w:highlight w:val="none"/>
          <w:lang w:val="zh-CN"/>
        </w:rPr>
        <w:t>34.1 除</w:t>
      </w:r>
      <w:r>
        <w:rPr>
          <w:highlight w:val="none"/>
        </w:rPr>
        <w:fldChar w:fldCharType="begin"/>
      </w:r>
      <w:r>
        <w:rPr>
          <w:highlight w:val="none"/>
        </w:rPr>
        <w:instrText xml:space="preserve"> HYPERLINK "l%20" </w:instrText>
      </w:r>
      <w:r>
        <w:rPr>
          <w:highlight w:val="none"/>
        </w:rPr>
        <w:fldChar w:fldCharType="separate"/>
      </w:r>
      <w:r>
        <w:rPr>
          <w:rFonts w:hint="eastAsia" w:hAnsi="宋体" w:cs="宋体"/>
          <w:kern w:val="2"/>
          <w:szCs w:val="21"/>
          <w:highlight w:val="none"/>
          <w:lang w:val="zh-CN"/>
        </w:rPr>
        <w:t>第30款</w:t>
      </w:r>
      <w:r>
        <w:rPr>
          <w:rFonts w:hint="eastAsia" w:hAnsi="宋体" w:cs="宋体"/>
          <w:kern w:val="2"/>
          <w:szCs w:val="21"/>
          <w:highlight w:val="none"/>
          <w:lang w:val="zh-CN"/>
        </w:rPr>
        <w:fldChar w:fldCharType="end"/>
      </w:r>
      <w:r>
        <w:rPr>
          <w:rFonts w:hint="eastAsia" w:hAnsi="宋体" w:cs="宋体"/>
          <w:kern w:val="2"/>
          <w:szCs w:val="21"/>
          <w:highlight w:val="none"/>
          <w:lang w:val="zh-CN"/>
        </w:rPr>
        <w:t>规定外，采购人将合同授予其投标文件符合招标文件要求，并且能承诺履行合同，对采购人最为有利的投标人。</w:t>
      </w:r>
    </w:p>
    <w:p>
      <w:pPr>
        <w:tabs>
          <w:tab w:val="left" w:pos="540"/>
        </w:tabs>
        <w:spacing w:line="360" w:lineRule="auto"/>
        <w:ind w:left="540" w:right="51" w:hanging="540"/>
        <w:jc w:val="both"/>
        <w:rPr>
          <w:rFonts w:hAnsi="宋体" w:cs="宋体"/>
          <w:kern w:val="2"/>
          <w:szCs w:val="21"/>
          <w:highlight w:val="none"/>
          <w:lang w:val="zh-CN"/>
        </w:rPr>
      </w:pPr>
      <w:r>
        <w:rPr>
          <w:rFonts w:hint="eastAsia" w:hAnsi="宋体" w:cs="宋体"/>
          <w:kern w:val="2"/>
          <w:szCs w:val="21"/>
          <w:highlight w:val="none"/>
          <w:lang w:val="zh-CN"/>
        </w:rPr>
        <w:t>34.2 采购人依法</w:t>
      </w:r>
      <w:r>
        <w:rPr>
          <w:rFonts w:hint="eastAsia" w:hAnsi="宋体" w:cs="宋体"/>
          <w:szCs w:val="21"/>
          <w:highlight w:val="none"/>
        </w:rPr>
        <w:t>按照评标报告中推荐的中标候选人顺序</w:t>
      </w:r>
      <w:r>
        <w:rPr>
          <w:rFonts w:hint="eastAsia" w:hAnsi="宋体" w:cs="宋体"/>
          <w:kern w:val="2"/>
          <w:szCs w:val="21"/>
          <w:highlight w:val="none"/>
          <w:lang w:val="zh-CN"/>
        </w:rPr>
        <w:t>确定中标人。</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35</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合同的订立和履行</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35.1 采购代理机构通知中标人中标时，将提供招标文件中的合同格式（包括双方之间的有关协议）给中标人。</w:t>
      </w:r>
    </w:p>
    <w:p>
      <w:pPr>
        <w:tabs>
          <w:tab w:val="left" w:pos="540"/>
        </w:tabs>
        <w:spacing w:line="360" w:lineRule="auto"/>
        <w:ind w:left="567" w:hanging="567" w:hangingChars="270"/>
        <w:jc w:val="both"/>
        <w:rPr>
          <w:rFonts w:hAnsi="宋体" w:cs="宋体"/>
          <w:kern w:val="2"/>
          <w:szCs w:val="21"/>
          <w:highlight w:val="none"/>
          <w:lang w:val="zh-CN"/>
        </w:rPr>
      </w:pPr>
      <w:r>
        <w:rPr>
          <w:rFonts w:hint="eastAsia" w:hAnsi="宋体" w:cs="宋体"/>
          <w:kern w:val="2"/>
          <w:szCs w:val="21"/>
          <w:highlight w:val="none"/>
          <w:lang w:val="zh-CN"/>
        </w:rPr>
        <w:t>35.2中标人在自中标通知书发出之日起20日内，应派授权代表前往《投标须知前附表》注明的地点与采购人按招标文件要求和中标人投标文件承诺签订政府采购合同，合同签订内容不得超出招标文件和中标人投标文件的范围、也不得再行订立背离合同实质性内容的其他协议。</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35.3签订政府采购合同后2个工作日内，采购人应按规定将政府采购合同送财政部门备案。</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35.4 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tabs>
          <w:tab w:val="left" w:pos="540"/>
        </w:tabs>
        <w:spacing w:line="360" w:lineRule="auto"/>
        <w:ind w:left="540" w:right="18" w:hanging="540"/>
        <w:jc w:val="both"/>
        <w:rPr>
          <w:rFonts w:hAnsi="宋体" w:cs="宋体"/>
          <w:kern w:val="2"/>
          <w:szCs w:val="21"/>
          <w:highlight w:val="none"/>
          <w:lang w:val="zh-CN"/>
        </w:rPr>
      </w:pPr>
      <w:r>
        <w:rPr>
          <w:rFonts w:hint="eastAsia" w:hAnsi="宋体" w:cs="宋体"/>
          <w:kern w:val="2"/>
          <w:szCs w:val="21"/>
          <w:highlight w:val="none"/>
          <w:lang w:val="zh-CN"/>
        </w:rPr>
        <w:t>35.5 政府采购合同履行中，采购人需追加与合同标的相同的货物、工程或者服务的，在不改变合同其他条款的前提下，可以与供应商签订补充合同，但所补充合同的采购金额不得超过原采购金额的百分之十。签订补充合同的必须按照35.3条的规定备案。</w:t>
      </w:r>
    </w:p>
    <w:p>
      <w:pPr>
        <w:tabs>
          <w:tab w:val="left" w:pos="567"/>
        </w:tabs>
        <w:spacing w:line="360" w:lineRule="auto"/>
        <w:ind w:left="567" w:hanging="567"/>
        <w:jc w:val="both"/>
        <w:rPr>
          <w:rFonts w:hAnsi="宋体" w:cs="宋体"/>
          <w:kern w:val="2"/>
          <w:szCs w:val="21"/>
          <w:highlight w:val="none"/>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36</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lang w:val="zh-CN"/>
        </w:rPr>
        <w:t>履约</w:t>
      </w:r>
      <w:r>
        <w:rPr>
          <w:rFonts w:hint="eastAsia" w:hAnsi="宋体" w:cs="宋体"/>
          <w:bCs/>
          <w:szCs w:val="21"/>
          <w:highlight w:val="none"/>
        </w:rPr>
        <w:t>保证金：本项目不适用</w:t>
      </w:r>
    </w:p>
    <w:p>
      <w:pPr>
        <w:tabs>
          <w:tab w:val="left" w:pos="567"/>
        </w:tabs>
        <w:spacing w:line="360" w:lineRule="auto"/>
        <w:ind w:left="567" w:hanging="567"/>
        <w:jc w:val="both"/>
        <w:rPr>
          <w:rFonts w:hAnsi="宋体" w:cs="宋体"/>
          <w:kern w:val="2"/>
          <w:szCs w:val="21"/>
          <w:highlight w:val="none"/>
          <w:lang w:val="zh-CN"/>
        </w:rPr>
      </w:pP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37</w:t>
      </w:r>
      <w:r>
        <w:rPr>
          <w:rFonts w:hint="eastAsia" w:hAnsi="宋体" w:cs="宋体"/>
          <w:outline/>
          <w:kern w:val="2"/>
          <w:szCs w:val="21"/>
          <w:highlight w:val="none"/>
          <w:lang w:val="zh-CN"/>
          <w14:textOutline w14:w="9525" w14:cap="flat" w14:cmpd="sng" w14:algn="ctr">
            <w14:solidFill>
              <w14:srgbClr w14:val="000000"/>
            </w14:solidFill>
            <w14:prstDash w14:val="solid"/>
            <w14:round/>
          </w14:textOutline>
          <w14:textFill>
            <w14:noFill/>
          </w14:textFill>
        </w:rPr>
        <w:tab/>
      </w:r>
      <w:r>
        <w:rPr>
          <w:rFonts w:hint="eastAsia" w:hAnsi="宋体" w:cs="宋体"/>
          <w:kern w:val="2"/>
          <w:szCs w:val="21"/>
          <w:highlight w:val="none"/>
        </w:rPr>
        <w:t>招标代理</w:t>
      </w:r>
      <w:r>
        <w:rPr>
          <w:rFonts w:hint="eastAsia" w:hAnsi="宋体" w:cs="宋体"/>
          <w:kern w:val="2"/>
          <w:szCs w:val="21"/>
          <w:highlight w:val="none"/>
          <w:lang w:val="zh-CN"/>
        </w:rPr>
        <w:t>服务费</w:t>
      </w:r>
    </w:p>
    <w:p>
      <w:pPr>
        <w:spacing w:line="360" w:lineRule="auto"/>
        <w:rPr>
          <w:rFonts w:hAnsi="宋体" w:cs="宋体"/>
          <w:kern w:val="2"/>
          <w:szCs w:val="21"/>
          <w:highlight w:val="none"/>
          <w:lang w:val="zh-CN"/>
        </w:rPr>
      </w:pPr>
      <w:r>
        <w:rPr>
          <w:rFonts w:hint="eastAsia" w:hAnsi="宋体" w:cs="宋体"/>
          <w:kern w:val="2"/>
          <w:szCs w:val="21"/>
          <w:highlight w:val="none"/>
          <w:lang w:val="zh-CN"/>
        </w:rPr>
        <w:t>37.1</w:t>
      </w:r>
      <w:r>
        <w:rPr>
          <w:rFonts w:hint="eastAsia" w:hAnsi="宋体"/>
          <w:szCs w:val="21"/>
          <w:highlight w:val="none"/>
        </w:rPr>
        <w:t>中标人向采购代理机构支付招标代理服务费：中标人在收取《中标通知书》时应向采购代理机构交纳中标服务费，中标服务费的收费标准参照国家计委颁布的</w:t>
      </w:r>
      <w:r>
        <w:rPr>
          <w:rFonts w:ascii="宋体" w:hAnsi="宋体"/>
          <w:color w:val="000000"/>
          <w:szCs w:val="21"/>
          <w:highlight w:val="none"/>
          <w:u w:val="single"/>
        </w:rPr>
        <w:t>«</w:t>
      </w:r>
      <w:r>
        <w:rPr>
          <w:rFonts w:hint="eastAsia" w:ascii="宋体" w:hAnsi="宋体"/>
          <w:color w:val="000000"/>
          <w:szCs w:val="21"/>
          <w:highlight w:val="none"/>
          <w:u w:val="single"/>
        </w:rPr>
        <w:t>招标代理服务收费管理暂行办法</w:t>
      </w:r>
      <w:r>
        <w:rPr>
          <w:rFonts w:ascii="宋体" w:hAnsi="宋体"/>
          <w:color w:val="000000"/>
          <w:szCs w:val="21"/>
          <w:highlight w:val="none"/>
          <w:u w:val="single"/>
        </w:rPr>
        <w:t>»</w:t>
      </w:r>
      <w:r>
        <w:rPr>
          <w:rFonts w:hint="eastAsia" w:hAnsi="宋体"/>
          <w:szCs w:val="21"/>
          <w:highlight w:val="none"/>
        </w:rPr>
        <w:t>（计价格[2002]1980号）的</w:t>
      </w:r>
      <w:r>
        <w:rPr>
          <w:rFonts w:hint="eastAsia" w:hAnsi="宋体"/>
          <w:szCs w:val="21"/>
          <w:highlight w:val="none"/>
          <w:lang w:val="en-US" w:eastAsia="zh-CN"/>
        </w:rPr>
        <w:t>标准</w:t>
      </w:r>
      <w:r>
        <w:rPr>
          <w:rFonts w:hint="eastAsia" w:hAnsi="宋体"/>
          <w:szCs w:val="21"/>
          <w:highlight w:val="none"/>
        </w:rPr>
        <w:t>（服务类）</w:t>
      </w:r>
      <w:r>
        <w:rPr>
          <w:rFonts w:hint="eastAsia" w:hAnsi="宋体"/>
          <w:szCs w:val="21"/>
          <w:highlight w:val="none"/>
          <w:lang w:val="en-US" w:eastAsia="zh-CN"/>
        </w:rPr>
        <w:t>下浮20%</w:t>
      </w:r>
      <w:r>
        <w:rPr>
          <w:rFonts w:hint="eastAsia" w:hAnsi="宋体"/>
          <w:szCs w:val="21"/>
          <w:highlight w:val="none"/>
        </w:rPr>
        <w:t>执行。</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38.采购人在授予合同时变更采购货物和服务数量的权利</w:t>
      </w:r>
    </w:p>
    <w:p>
      <w:pPr>
        <w:spacing w:line="360" w:lineRule="auto"/>
        <w:ind w:left="539" w:right="17" w:hanging="539"/>
        <w:jc w:val="both"/>
        <w:rPr>
          <w:rFonts w:hAnsi="宋体" w:cs="宋体"/>
          <w:kern w:val="2"/>
          <w:szCs w:val="21"/>
          <w:highlight w:val="none"/>
          <w:lang w:val="zh-CN"/>
        </w:rPr>
      </w:pPr>
      <w:bookmarkStart w:id="6" w:name="_Hlk35578185"/>
      <w:bookmarkStart w:id="7" w:name="_Hlk35578186"/>
      <w:bookmarkStart w:id="8" w:name="_Hlk35578184"/>
      <w:r>
        <w:rPr>
          <w:rFonts w:hint="eastAsia" w:hAnsi="宋体" w:cs="宋体"/>
          <w:kern w:val="2"/>
          <w:szCs w:val="21"/>
          <w:highlight w:val="none"/>
          <w:lang w:val="zh-CN"/>
        </w:rPr>
        <w:t>38.1</w:t>
      </w:r>
      <w:bookmarkEnd w:id="6"/>
      <w:bookmarkEnd w:id="7"/>
      <w:bookmarkEnd w:id="8"/>
      <w:r>
        <w:rPr>
          <w:rFonts w:hint="eastAsia" w:hAnsi="宋体" w:cs="宋体"/>
          <w:kern w:val="2"/>
          <w:szCs w:val="21"/>
          <w:highlight w:val="none"/>
          <w:lang w:val="zh-CN"/>
        </w:rPr>
        <w:t xml:space="preserve"> 政府采购合同履行中，采购人需追加与合同标的相同的货物、工程或者服务的，在不改变合同其他条款的前提下，可以与供应商签订补充合同，但所补充合同的采购金额不得超过</w:t>
      </w:r>
      <w:r>
        <w:rPr>
          <w:rFonts w:hint="eastAsia" w:hAnsi="宋体" w:cs="宋体"/>
          <w:bCs/>
          <w:szCs w:val="21"/>
          <w:highlight w:val="none"/>
        </w:rPr>
        <w:t>相关法律法规</w:t>
      </w:r>
      <w:r>
        <w:rPr>
          <w:rFonts w:hint="eastAsia" w:hAnsi="宋体" w:cs="宋体"/>
          <w:kern w:val="2"/>
          <w:szCs w:val="21"/>
          <w:highlight w:val="none"/>
          <w:lang w:val="zh-CN"/>
        </w:rPr>
        <w:t>规定的幅度，以中标人投标报价的单价进行计算。签订补充合同的必须按照35.3条的规定备案。</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39.  发票</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39.1 该项目获得中标的中标人在执行合同过程中，向采购人出具的发票必须是由中标人开具，不得以其他单位或个人名义出具。</w:t>
      </w:r>
    </w:p>
    <w:p>
      <w:pPr>
        <w:spacing w:line="360" w:lineRule="auto"/>
        <w:rPr>
          <w:rFonts w:hAnsi="宋体" w:cs="宋体"/>
          <w:kern w:val="2"/>
          <w:szCs w:val="21"/>
          <w:highlight w:val="none"/>
          <w:lang w:val="zh-CN"/>
        </w:rPr>
      </w:pPr>
    </w:p>
    <w:p>
      <w:pPr>
        <w:pStyle w:val="6"/>
        <w:spacing w:line="360" w:lineRule="auto"/>
        <w:rPr>
          <w:rFonts w:hAnsi="宋体" w:cs="宋体"/>
          <w:b w:val="0"/>
          <w:bCs/>
          <w:kern w:val="44"/>
          <w:szCs w:val="21"/>
          <w:highlight w:val="none"/>
          <w:lang w:val="zh-CN"/>
        </w:rPr>
      </w:pPr>
      <w:bookmarkStart w:id="9" w:name="_Toc413396495"/>
      <w:r>
        <w:rPr>
          <w:rFonts w:hint="eastAsia" w:hAnsi="宋体" w:cs="宋体"/>
          <w:b w:val="0"/>
          <w:bCs/>
          <w:kern w:val="44"/>
          <w:szCs w:val="21"/>
          <w:highlight w:val="none"/>
          <w:lang w:val="zh-CN"/>
        </w:rPr>
        <w:t>（七）质疑与回复</w:t>
      </w:r>
      <w:bookmarkEnd w:id="9"/>
    </w:p>
    <w:p>
      <w:pPr>
        <w:spacing w:line="360" w:lineRule="auto"/>
        <w:rPr>
          <w:rFonts w:hAnsi="宋体" w:cs="宋体"/>
          <w:szCs w:val="21"/>
          <w:highlight w:val="none"/>
        </w:rPr>
      </w:pPr>
      <w:r>
        <w:rPr>
          <w:rFonts w:hint="eastAsia" w:hAnsi="宋体" w:cs="宋体"/>
          <w:szCs w:val="21"/>
          <w:highlight w:val="none"/>
        </w:rPr>
        <w:t>40   质疑与回复</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40.1 如果投标人对此次采购活动有疑问，可依法向采购代理机构提出质疑。采购人或者采购代理机构应当在收到投标人书面有效质疑的七个工作日内对供应商依法提出的询问作出答复。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40.2 政府采购法第五十二条规定的供应商应知其权益受到损害之日，是指：</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40.2.1 对可以质疑的采购文件提出质疑的，为采购文件公示期限届满之日起七个工作日内；</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40.2.2 对采购过程提出质疑的，为各采购程序环节结束之日；</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40.2.3 对中标或者成交结果提出质疑的，为中标或者成交结果公告期限届满之日。</w:t>
      </w:r>
    </w:p>
    <w:p>
      <w:pPr>
        <w:pStyle w:val="76"/>
        <w:ind w:firstLine="210" w:firstLineChars="100"/>
        <w:rPr>
          <w:rFonts w:ascii="宋体" w:hAnsi="宋体" w:cs="宋体"/>
          <w:highlight w:val="none"/>
          <w:lang w:val="zh-CN"/>
        </w:rPr>
      </w:pPr>
      <w:r>
        <w:rPr>
          <w:rFonts w:hint="eastAsia" w:ascii="宋体" w:hAnsi="宋体" w:cs="宋体"/>
          <w:bCs w:val="0"/>
          <w:spacing w:val="0"/>
          <w:kern w:val="2"/>
          <w:szCs w:val="21"/>
          <w:highlight w:val="none"/>
          <w:lang w:val="zh-CN"/>
        </w:rPr>
        <w:t>40.2.4 供应商在法定质疑期内只能一次性提出针对同一采购程序环节的质疑</w:t>
      </w:r>
      <w:r>
        <w:rPr>
          <w:rFonts w:hint="eastAsia" w:ascii="宋体" w:hAnsi="宋体" w:cs="宋体"/>
          <w:highlight w:val="none"/>
          <w:lang w:val="zh-CN"/>
        </w:rPr>
        <w:t>。</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40.3 询问或者质疑事项可能影响中标、成交结果的，采购人应当暂停签订合同，已经签订合同的，应当中止履行合同。</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40.4 投标人有质疑时，应当以书面形式（加盖投标人公章）在质疑有效期限内向采购代理机构交质疑书原件，逾期质疑无效。投标人以电话、传真或电邮形式提交的质疑属于无效质疑。质疑内容不得含有虚假、恶意成分。依据“谁主张谁举证”的原则，质疑者提供的质疑书应当包括下列主要内容：具体的质疑事项、事实依据及相关确凿的证明材料和注明事实的确切来源、投标人名称、联系人与联系电话、质疑时间，质疑书应当署名并由法定代表人\负责人签字盖章并加盖公章。采购代理机构受理书面质疑书原件之日起，在规定的期限内做出答复。对于捏造事实、滥用维权扰乱采购秩序的恶意质疑者或举证不全查无实据被驳回次数在一年内达三次以上，将纳入不良行为记录名单并承担相应的法律责任。供应商投诉的事项不得超出已质疑事项的范围。</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40.5　财政部门处理投诉事项采用书面审查的方式，必要时可以进行调查取证或者组织质证。</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对财政部门依法进行的调查取证，投诉人和与投诉事项有关的当事人应当如实反映情况，并提供相关材料。</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40.6 投诉人捏造事实、提供虚假材料或者以非法手段取得证明材料进行投诉的，财政部门应当予以驳回。</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财政部门受理投诉后，投诉人书面申请撤回投诉的，财政部门应当终止投诉处理程序。</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40.7 财政部门处理投诉事项，需要检验、检测、鉴定、专家评审以及需要投诉人补正材料的，所需时间不计算在投诉处理期限内。</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　　财政部门对投诉事项作出的处理决定，应当在省级以上人民政府财政部门指定的媒体上公告。</w:t>
      </w:r>
    </w:p>
    <w:p>
      <w:pPr>
        <w:pStyle w:val="6"/>
        <w:spacing w:line="360" w:lineRule="auto"/>
        <w:rPr>
          <w:rFonts w:hAnsi="宋体" w:cs="宋体"/>
          <w:b w:val="0"/>
          <w:bCs/>
          <w:kern w:val="44"/>
          <w:szCs w:val="21"/>
          <w:highlight w:val="none"/>
          <w:lang w:val="zh-CN"/>
        </w:rPr>
      </w:pPr>
      <w:r>
        <w:rPr>
          <w:rFonts w:hint="eastAsia" w:hAnsi="宋体" w:cs="宋体"/>
          <w:b w:val="0"/>
          <w:bCs/>
          <w:kern w:val="44"/>
          <w:szCs w:val="21"/>
          <w:highlight w:val="none"/>
          <w:lang w:val="zh-CN"/>
        </w:rPr>
        <w:t>（八）本项目适用的扶持性政策</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41.《政府采购促进中小企业发展管理办法》(财库(2020)46号)</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42.《关于政府采购支持监狱企业发展有关问题的通知》(财库〔2014〕68号)</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43.《关于促进残疾人就业政府采购政策的通知》（财库〔2017〕141号)</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44.《关于环境标志产品政府采购实施的意见》（财库〔2006〕90号</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45.《节能产品政府采购实施意见》的通知（财库〔2004〕185号）</w:t>
      </w:r>
    </w:p>
    <w:p>
      <w:pPr>
        <w:spacing w:line="360" w:lineRule="auto"/>
        <w:ind w:left="539" w:right="17" w:hanging="539"/>
        <w:jc w:val="both"/>
        <w:rPr>
          <w:rFonts w:hAnsi="宋体" w:cs="宋体"/>
          <w:kern w:val="2"/>
          <w:szCs w:val="21"/>
          <w:highlight w:val="none"/>
          <w:lang w:val="zh-CN"/>
        </w:rPr>
      </w:pPr>
      <w:r>
        <w:rPr>
          <w:rFonts w:hint="eastAsia" w:hAnsi="宋体" w:cs="宋体"/>
          <w:kern w:val="2"/>
          <w:szCs w:val="21"/>
          <w:highlight w:val="none"/>
          <w:lang w:val="zh-CN"/>
        </w:rPr>
        <w:t>46.《转发财政部 发展改革委 生态环境部 市场监管总局关于调整优化节能产品 环境标志产品政府采购执行机制的通知》（粤財采[2019] 1号）</w:t>
      </w:r>
    </w:p>
    <w:p>
      <w:pPr>
        <w:pStyle w:val="6"/>
        <w:spacing w:line="360" w:lineRule="auto"/>
        <w:rPr>
          <w:rFonts w:hAnsi="宋体" w:cs="宋体"/>
          <w:b w:val="0"/>
          <w:bCs/>
          <w:kern w:val="44"/>
          <w:szCs w:val="21"/>
          <w:highlight w:val="none"/>
          <w:lang w:val="zh-CN"/>
        </w:rPr>
      </w:pPr>
      <w:r>
        <w:rPr>
          <w:rFonts w:hint="eastAsia" w:hAnsi="宋体" w:cs="宋体"/>
          <w:b w:val="0"/>
          <w:bCs/>
          <w:kern w:val="44"/>
          <w:szCs w:val="21"/>
          <w:highlight w:val="none"/>
          <w:lang w:val="zh-CN"/>
        </w:rPr>
        <w:t>（九）实施政府采购信用担保：适用。</w:t>
      </w:r>
    </w:p>
    <w:p>
      <w:pPr>
        <w:pStyle w:val="76"/>
        <w:rPr>
          <w:rFonts w:ascii="宋体" w:hAnsi="宋体" w:cs="宋体"/>
          <w:highlight w:val="none"/>
          <w:lang w:val="zh-CN"/>
        </w:rPr>
      </w:pPr>
    </w:p>
    <w:p>
      <w:pPr>
        <w:pStyle w:val="4"/>
        <w:keepNext/>
        <w:keepLines/>
        <w:pageBreakBefore/>
        <w:tabs>
          <w:tab w:val="left" w:pos="1080"/>
        </w:tabs>
        <w:spacing w:line="360" w:lineRule="auto"/>
        <w:ind w:left="567" w:hanging="567"/>
        <w:jc w:val="center"/>
        <w:rPr>
          <w:rFonts w:hAnsi="宋体" w:cs="宋体"/>
          <w:kern w:val="44"/>
          <w:highlight w:val="none"/>
          <w:lang w:val="zh-CN"/>
        </w:rPr>
      </w:pPr>
      <w:r>
        <w:rPr>
          <w:rFonts w:hint="eastAsia" w:hAnsi="宋体" w:cs="宋体"/>
          <w:b/>
          <w:bCs/>
          <w:kern w:val="44"/>
          <w:sz w:val="32"/>
          <w:szCs w:val="32"/>
          <w:highlight w:val="none"/>
          <w:lang w:val="zh-CN"/>
        </w:rPr>
        <w:t>第三篇</w:t>
      </w:r>
      <w:r>
        <w:rPr>
          <w:rFonts w:hint="eastAsia" w:hAnsi="宋体" w:cs="宋体"/>
          <w:b/>
          <w:bCs/>
          <w:kern w:val="44"/>
          <w:sz w:val="32"/>
          <w:szCs w:val="32"/>
          <w:highlight w:val="none"/>
          <w:lang w:val="zh-CN"/>
        </w:rPr>
        <w:tab/>
      </w:r>
      <w:r>
        <w:rPr>
          <w:rFonts w:hint="eastAsia" w:hAnsi="宋体" w:cs="宋体"/>
          <w:b/>
          <w:bCs/>
          <w:kern w:val="44"/>
          <w:sz w:val="32"/>
          <w:szCs w:val="32"/>
          <w:highlight w:val="none"/>
          <w:lang w:val="zh-CN"/>
        </w:rPr>
        <w:t>合同条款格式</w:t>
      </w:r>
    </w:p>
    <w:p>
      <w:pPr>
        <w:jc w:val="center"/>
        <w:rPr>
          <w:rFonts w:hAnsi="宋体" w:cs="宋体"/>
          <w:highlight w:val="none"/>
        </w:rPr>
      </w:pPr>
      <w:r>
        <w:rPr>
          <w:rFonts w:hint="eastAsia" w:hAnsi="宋体" w:cs="宋体"/>
          <w:bCs/>
          <w:kern w:val="44"/>
          <w:highlight w:val="none"/>
          <w:lang w:val="zh-CN"/>
        </w:rPr>
        <w:t>（仅供参考，最终以甲、乙双方签订的合同为准）</w:t>
      </w:r>
    </w:p>
    <w:p>
      <w:pPr>
        <w:rPr>
          <w:rFonts w:hAnsi="宋体" w:cs="宋体"/>
          <w:szCs w:val="21"/>
          <w:highlight w:val="none"/>
        </w:rPr>
      </w:pPr>
    </w:p>
    <w:p>
      <w:pPr>
        <w:rPr>
          <w:rFonts w:hAnsi="宋体" w:cs="宋体"/>
          <w:szCs w:val="21"/>
          <w:highlight w:val="none"/>
        </w:rPr>
      </w:pPr>
    </w:p>
    <w:p>
      <w:pPr>
        <w:rPr>
          <w:rFonts w:hAnsi="宋体" w:cs="宋体"/>
          <w:szCs w:val="21"/>
          <w:highlight w:val="none"/>
        </w:rPr>
      </w:pPr>
    </w:p>
    <w:p>
      <w:pPr>
        <w:rPr>
          <w:rFonts w:hAnsi="宋体" w:cs="宋体"/>
          <w:szCs w:val="21"/>
          <w:highlight w:val="none"/>
        </w:rPr>
      </w:pPr>
    </w:p>
    <w:p>
      <w:pPr>
        <w:ind w:right="-26"/>
        <w:jc w:val="center"/>
        <w:rPr>
          <w:rFonts w:hAnsi="宋体" w:cs="宋体"/>
          <w:b/>
          <w:sz w:val="44"/>
          <w:szCs w:val="36"/>
          <w:highlight w:val="none"/>
        </w:rPr>
      </w:pPr>
      <w:r>
        <w:rPr>
          <w:rFonts w:hint="eastAsia" w:hAnsi="宋体" w:cs="宋体"/>
          <w:b/>
          <w:sz w:val="44"/>
          <w:szCs w:val="36"/>
          <w:highlight w:val="none"/>
        </w:rPr>
        <w:t>国家海洋局南海标准计量中心2023年船员</w:t>
      </w:r>
    </w:p>
    <w:p>
      <w:pPr>
        <w:ind w:right="-26"/>
        <w:jc w:val="center"/>
        <w:rPr>
          <w:rFonts w:hAnsi="宋体" w:cs="宋体"/>
          <w:b/>
          <w:sz w:val="44"/>
          <w:szCs w:val="36"/>
          <w:highlight w:val="none"/>
        </w:rPr>
      </w:pPr>
      <w:r>
        <w:rPr>
          <w:rFonts w:hint="eastAsia" w:hAnsi="宋体" w:cs="宋体"/>
          <w:b/>
          <w:sz w:val="44"/>
          <w:szCs w:val="36"/>
          <w:highlight w:val="none"/>
        </w:rPr>
        <w:t>服务采购项目</w:t>
      </w:r>
    </w:p>
    <w:p>
      <w:pPr>
        <w:ind w:right="-26"/>
        <w:jc w:val="center"/>
        <w:rPr>
          <w:rFonts w:hAnsi="宋体" w:cs="宋体"/>
          <w:b/>
          <w:sz w:val="44"/>
          <w:szCs w:val="36"/>
          <w:highlight w:val="none"/>
        </w:rPr>
      </w:pPr>
      <w:r>
        <w:rPr>
          <w:rFonts w:hint="eastAsia" w:hAnsi="宋体" w:cs="宋体"/>
          <w:b/>
          <w:sz w:val="44"/>
          <w:szCs w:val="36"/>
          <w:highlight w:val="none"/>
        </w:rPr>
        <w:t>合同</w:t>
      </w:r>
    </w:p>
    <w:p>
      <w:pPr>
        <w:ind w:right="-26"/>
        <w:jc w:val="center"/>
        <w:rPr>
          <w:rFonts w:hAnsi="宋体" w:cs="宋体"/>
          <w:b/>
          <w:sz w:val="44"/>
          <w:szCs w:val="36"/>
          <w:highlight w:val="none"/>
        </w:rPr>
      </w:pPr>
    </w:p>
    <w:p>
      <w:pPr>
        <w:ind w:right="-26"/>
        <w:jc w:val="center"/>
        <w:rPr>
          <w:rFonts w:hAnsi="宋体" w:cs="宋体"/>
          <w:b/>
          <w:sz w:val="36"/>
          <w:szCs w:val="36"/>
          <w:highlight w:val="none"/>
        </w:rPr>
      </w:pPr>
      <w:r>
        <w:rPr>
          <w:rFonts w:hint="eastAsia" w:hAnsi="宋体" w:cs="宋体"/>
          <w:b/>
          <w:sz w:val="36"/>
          <w:szCs w:val="36"/>
          <w:highlight w:val="none"/>
        </w:rPr>
        <w:t>（合同编号：）</w:t>
      </w:r>
    </w:p>
    <w:p>
      <w:pPr>
        <w:spacing w:line="700" w:lineRule="exact"/>
        <w:jc w:val="center"/>
        <w:rPr>
          <w:rFonts w:hAnsi="宋体" w:cs="宋体"/>
          <w:b/>
          <w:sz w:val="44"/>
          <w:highlight w:val="none"/>
        </w:rPr>
      </w:pPr>
    </w:p>
    <w:p>
      <w:pPr>
        <w:spacing w:line="700" w:lineRule="exact"/>
        <w:jc w:val="center"/>
        <w:rPr>
          <w:rFonts w:hAnsi="宋体" w:cs="宋体"/>
          <w:b/>
          <w:sz w:val="44"/>
          <w:highlight w:val="none"/>
        </w:rPr>
      </w:pPr>
    </w:p>
    <w:p>
      <w:pPr>
        <w:jc w:val="center"/>
        <w:rPr>
          <w:rFonts w:hAnsi="宋体" w:cs="宋体"/>
          <w:highlight w:val="none"/>
        </w:rPr>
      </w:pPr>
    </w:p>
    <w:p>
      <w:pPr>
        <w:jc w:val="center"/>
        <w:rPr>
          <w:rFonts w:hAnsi="宋体" w:cs="宋体"/>
          <w:highlight w:val="none"/>
        </w:rPr>
      </w:pPr>
    </w:p>
    <w:p>
      <w:pPr>
        <w:jc w:val="center"/>
        <w:rPr>
          <w:rFonts w:hAnsi="宋体" w:cs="宋体"/>
          <w:highlight w:val="none"/>
        </w:rPr>
      </w:pPr>
    </w:p>
    <w:p>
      <w:pPr>
        <w:jc w:val="center"/>
        <w:rPr>
          <w:rFonts w:hAnsi="宋体" w:cs="宋体"/>
          <w:sz w:val="32"/>
          <w:highlight w:val="none"/>
        </w:rPr>
      </w:pPr>
    </w:p>
    <w:p>
      <w:pPr>
        <w:jc w:val="center"/>
        <w:rPr>
          <w:rFonts w:hAnsi="宋体" w:cs="宋体"/>
          <w:sz w:val="32"/>
          <w:highlight w:val="none"/>
        </w:rPr>
      </w:pPr>
    </w:p>
    <w:p>
      <w:pPr>
        <w:jc w:val="center"/>
        <w:rPr>
          <w:rFonts w:hAnsi="宋体" w:cs="宋体"/>
          <w:sz w:val="32"/>
          <w:highlight w:val="none"/>
        </w:rPr>
      </w:pPr>
    </w:p>
    <w:p>
      <w:pPr>
        <w:jc w:val="center"/>
        <w:rPr>
          <w:rFonts w:hAnsi="宋体" w:cs="宋体"/>
          <w:sz w:val="32"/>
          <w:highlight w:val="none"/>
        </w:rPr>
      </w:pPr>
    </w:p>
    <w:p>
      <w:pPr>
        <w:jc w:val="center"/>
        <w:rPr>
          <w:rFonts w:hAnsi="宋体" w:cs="宋体"/>
          <w:sz w:val="32"/>
          <w:highlight w:val="none"/>
        </w:rPr>
      </w:pPr>
    </w:p>
    <w:p>
      <w:pPr>
        <w:jc w:val="center"/>
        <w:rPr>
          <w:rFonts w:hAnsi="宋体" w:cs="宋体"/>
          <w:sz w:val="32"/>
          <w:highlight w:val="none"/>
        </w:rPr>
      </w:pPr>
    </w:p>
    <w:p>
      <w:pPr>
        <w:jc w:val="center"/>
        <w:rPr>
          <w:rFonts w:hAnsi="宋体" w:cs="宋体"/>
          <w:sz w:val="28"/>
          <w:szCs w:val="28"/>
          <w:highlight w:val="none"/>
        </w:rPr>
      </w:pPr>
      <w:r>
        <w:rPr>
          <w:rFonts w:hint="eastAsia" w:hAnsi="宋体" w:cs="宋体"/>
          <w:sz w:val="28"/>
          <w:szCs w:val="28"/>
          <w:highlight w:val="none"/>
        </w:rPr>
        <w:t>甲方：国家海洋局南海标准计量中心</w:t>
      </w:r>
    </w:p>
    <w:p>
      <w:pPr>
        <w:ind w:firstLine="2800" w:firstLineChars="1000"/>
        <w:jc w:val="both"/>
        <w:rPr>
          <w:rFonts w:hAnsi="宋体" w:cs="宋体"/>
          <w:sz w:val="28"/>
          <w:szCs w:val="28"/>
          <w:highlight w:val="none"/>
        </w:rPr>
      </w:pPr>
      <w:r>
        <w:rPr>
          <w:rFonts w:hint="eastAsia" w:hAnsi="宋体" w:cs="宋体"/>
          <w:sz w:val="28"/>
          <w:szCs w:val="28"/>
          <w:highlight w:val="none"/>
        </w:rPr>
        <w:t>乙方：</w:t>
      </w:r>
    </w:p>
    <w:p>
      <w:pPr>
        <w:spacing w:line="360" w:lineRule="auto"/>
        <w:rPr>
          <w:rFonts w:hAnsi="宋体"/>
          <w:szCs w:val="21"/>
          <w:highlight w:val="none"/>
        </w:rPr>
      </w:pPr>
      <w:r>
        <w:rPr>
          <w:rFonts w:hint="eastAsia" w:hAnsi="宋体" w:cs="宋体"/>
          <w:sz w:val="44"/>
          <w:highlight w:val="none"/>
        </w:rPr>
        <w:br w:type="page"/>
      </w:r>
      <w:r>
        <w:rPr>
          <w:rFonts w:hint="eastAsia" w:hAnsi="宋体"/>
          <w:szCs w:val="21"/>
          <w:highlight w:val="none"/>
        </w:rPr>
        <w:t>甲     方：</w:t>
      </w:r>
      <w:r>
        <w:rPr>
          <w:rFonts w:hint="eastAsia" w:hAnsi="宋体"/>
          <w:szCs w:val="21"/>
          <w:highlight w:val="none"/>
          <w:u w:val="single"/>
        </w:rPr>
        <w:t>国家海洋局南海标准计量中心</w:t>
      </w:r>
    </w:p>
    <w:p>
      <w:pPr>
        <w:spacing w:line="360" w:lineRule="auto"/>
        <w:rPr>
          <w:rFonts w:hAnsi="宋体"/>
          <w:b/>
          <w:szCs w:val="21"/>
          <w:highlight w:val="none"/>
        </w:rPr>
      </w:pPr>
      <w:r>
        <w:rPr>
          <w:rFonts w:hint="eastAsia" w:hAnsi="宋体"/>
          <w:szCs w:val="21"/>
          <w:highlight w:val="none"/>
        </w:rPr>
        <w:t>乙     方：</w:t>
      </w:r>
    </w:p>
    <w:p>
      <w:pPr>
        <w:spacing w:line="360" w:lineRule="auto"/>
        <w:rPr>
          <w:rFonts w:hAnsi="宋体"/>
          <w:b/>
          <w:szCs w:val="21"/>
          <w:highlight w:val="none"/>
        </w:rPr>
      </w:pPr>
      <w:r>
        <w:rPr>
          <w:rFonts w:hAnsi="宋体"/>
          <w:b/>
          <w:szCs w:val="21"/>
          <w:highlight w:val="none"/>
        </w:rPr>
        <w:t>合同订立的目的</w:t>
      </w:r>
    </w:p>
    <w:p>
      <w:pPr>
        <w:spacing w:line="360" w:lineRule="auto"/>
        <w:rPr>
          <w:rFonts w:hAnsi="宋体" w:cs="新宋体"/>
          <w:szCs w:val="21"/>
          <w:highlight w:val="none"/>
        </w:rPr>
      </w:pPr>
      <w:r>
        <w:rPr>
          <w:rFonts w:hAnsi="宋体" w:cs="新宋体"/>
          <w:szCs w:val="21"/>
          <w:highlight w:val="none"/>
        </w:rPr>
        <w:t>甲乙双方在公平自愿的基础上，根据</w:t>
      </w:r>
      <w:r>
        <w:rPr>
          <w:rFonts w:hint="eastAsia" w:hAnsi="宋体"/>
          <w:szCs w:val="21"/>
          <w:highlight w:val="none"/>
        </w:rPr>
        <w:t>《中华人民共和国民法典》和</w:t>
      </w:r>
      <w:r>
        <w:rPr>
          <w:rFonts w:hAnsi="宋体" w:cs="新宋体"/>
          <w:szCs w:val="21"/>
          <w:highlight w:val="none"/>
        </w:rPr>
        <w:t>“国家海洋局南海标准计量中心</w:t>
      </w:r>
      <w:r>
        <w:rPr>
          <w:rFonts w:hint="eastAsia" w:hAnsi="宋体" w:cs="新宋体"/>
          <w:szCs w:val="21"/>
          <w:highlight w:val="none"/>
        </w:rPr>
        <w:t>2023年</w:t>
      </w:r>
      <w:r>
        <w:rPr>
          <w:rFonts w:hAnsi="宋体" w:cs="新宋体"/>
          <w:szCs w:val="21"/>
          <w:highlight w:val="none"/>
        </w:rPr>
        <w:t>船员服务采购项目（项目编号： ）”招标项目内容，经过平等友好协商，</w:t>
      </w:r>
      <w:r>
        <w:rPr>
          <w:rFonts w:hint="eastAsia" w:hAnsi="宋体" w:cs="新宋体"/>
          <w:szCs w:val="21"/>
          <w:highlight w:val="none"/>
        </w:rPr>
        <w:t>双方签订本项目合同</w:t>
      </w:r>
      <w:r>
        <w:rPr>
          <w:rFonts w:hAnsi="宋体" w:cs="新宋体"/>
          <w:szCs w:val="21"/>
          <w:highlight w:val="none"/>
        </w:rPr>
        <w:t>：甲方聘用乙方</w:t>
      </w:r>
      <w:r>
        <w:rPr>
          <w:rFonts w:hint="eastAsia" w:hAnsi="宋体" w:cs="新宋体"/>
          <w:szCs w:val="21"/>
          <w:highlight w:val="none"/>
        </w:rPr>
        <w:t>对甲方船舶进行管理、操作，</w:t>
      </w:r>
      <w:r>
        <w:rPr>
          <w:rFonts w:hint="eastAsia" w:hAnsi="宋体" w:cs="宋体"/>
          <w:szCs w:val="21"/>
          <w:highlight w:val="none"/>
        </w:rPr>
        <w:t>甲方船舶主要从事科考工作，船员除履行船员岗位职责外，还须协助船舶实验室、船载调查支撑设备的维护管理和操控工作等。</w:t>
      </w:r>
      <w:r>
        <w:rPr>
          <w:rFonts w:hint="eastAsia" w:hAnsi="宋体" w:cs="新宋体"/>
          <w:szCs w:val="21"/>
          <w:highlight w:val="none"/>
        </w:rPr>
        <w:t>具体表现为乙方为甲方船舶配备船员，安排</w:t>
      </w:r>
      <w:r>
        <w:rPr>
          <w:rFonts w:hAnsi="宋体" w:cs="新宋体"/>
          <w:szCs w:val="21"/>
          <w:highlight w:val="none"/>
        </w:rPr>
        <w:t>船员</w:t>
      </w:r>
      <w:r>
        <w:rPr>
          <w:rFonts w:hint="eastAsia" w:hAnsi="宋体" w:cs="新宋体"/>
          <w:szCs w:val="21"/>
          <w:highlight w:val="none"/>
        </w:rPr>
        <w:t>对甲方船舶进行日常管理和操作。</w:t>
      </w:r>
      <w:r>
        <w:rPr>
          <w:rFonts w:hAnsi="宋体" w:cs="新宋体"/>
          <w:szCs w:val="21"/>
          <w:highlight w:val="none"/>
        </w:rPr>
        <w:t>甲方向乙方支付报酬，乙方</w:t>
      </w:r>
      <w:r>
        <w:rPr>
          <w:rFonts w:hint="eastAsia" w:hAnsi="宋体" w:cs="新宋体"/>
          <w:szCs w:val="21"/>
          <w:highlight w:val="none"/>
        </w:rPr>
        <w:t>船员应妥善管理甲方船舶，对甲方负责，并保障船舶始终处于适航状态、符合</w:t>
      </w:r>
      <w:r>
        <w:rPr>
          <w:rFonts w:hAnsi="宋体" w:cs="新宋体"/>
          <w:szCs w:val="21"/>
          <w:highlight w:val="none"/>
        </w:rPr>
        <w:t>甲方正常作业的需要。</w:t>
      </w:r>
    </w:p>
    <w:p>
      <w:pPr>
        <w:spacing w:line="360" w:lineRule="auto"/>
        <w:rPr>
          <w:rFonts w:hAnsi="宋体" w:cs="新宋体"/>
          <w:b/>
          <w:szCs w:val="21"/>
          <w:highlight w:val="none"/>
        </w:rPr>
      </w:pPr>
      <w:r>
        <w:rPr>
          <w:rFonts w:hAnsi="宋体" w:cs="新宋体"/>
          <w:b/>
          <w:szCs w:val="21"/>
          <w:highlight w:val="none"/>
        </w:rPr>
        <w:t>第一条</w:t>
      </w:r>
      <w:r>
        <w:rPr>
          <w:rFonts w:hint="eastAsia" w:hAnsi="宋体" w:cs="新宋体"/>
          <w:b/>
          <w:szCs w:val="21"/>
          <w:highlight w:val="none"/>
        </w:rPr>
        <w:t xml:space="preserve"> 乙方的主要义务</w:t>
      </w:r>
    </w:p>
    <w:p>
      <w:pPr>
        <w:spacing w:line="360" w:lineRule="auto"/>
        <w:ind w:firstLine="422" w:firstLineChars="200"/>
        <w:rPr>
          <w:rFonts w:hAnsi="宋体" w:cs="新宋体"/>
          <w:b/>
          <w:szCs w:val="21"/>
          <w:highlight w:val="none"/>
        </w:rPr>
      </w:pPr>
      <w:r>
        <w:rPr>
          <w:rFonts w:hint="eastAsia" w:hAnsi="宋体" w:cs="新宋体"/>
          <w:b/>
          <w:szCs w:val="21"/>
          <w:highlight w:val="none"/>
        </w:rPr>
        <w:t>乙方完成甲方船员服务采购项目的主要内容（义务）为：为甲方船舶配备所需人数的适格</w:t>
      </w:r>
      <w:r>
        <w:rPr>
          <w:rFonts w:hAnsi="宋体" w:cs="新宋体"/>
          <w:b/>
          <w:szCs w:val="21"/>
          <w:highlight w:val="none"/>
        </w:rPr>
        <w:t>船员</w:t>
      </w:r>
      <w:r>
        <w:rPr>
          <w:rFonts w:hint="eastAsia" w:hAnsi="宋体" w:cs="新宋体"/>
          <w:b/>
          <w:szCs w:val="21"/>
          <w:highlight w:val="none"/>
        </w:rPr>
        <w:t>，对乙方船员的具体要求如下：</w:t>
      </w:r>
    </w:p>
    <w:p>
      <w:pPr>
        <w:spacing w:line="360" w:lineRule="auto"/>
        <w:ind w:firstLine="424" w:firstLineChars="202"/>
        <w:rPr>
          <w:rFonts w:hAnsi="宋体" w:cs="新宋体"/>
          <w:szCs w:val="21"/>
          <w:highlight w:val="none"/>
        </w:rPr>
      </w:pPr>
      <w:r>
        <w:rPr>
          <w:rFonts w:hAnsi="宋体" w:cs="新宋体"/>
          <w:szCs w:val="21"/>
          <w:highlight w:val="none"/>
        </w:rPr>
        <w:drawing>
          <wp:anchor distT="0" distB="0" distL="114300" distR="114300" simplePos="0" relativeHeight="251666432" behindDoc="0" locked="0" layoutInCell="1" allowOverlap="1">
            <wp:simplePos x="0" y="0"/>
            <wp:positionH relativeFrom="page">
              <wp:posOffset>6997700</wp:posOffset>
            </wp:positionH>
            <wp:positionV relativeFrom="paragraph">
              <wp:posOffset>80645</wp:posOffset>
            </wp:positionV>
            <wp:extent cx="8890" cy="6985"/>
            <wp:effectExtent l="0" t="0" r="3810" b="5715"/>
            <wp:wrapNone/>
            <wp:docPr id="16" name="图片 7"/>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rrowheads="1"/>
                    </pic:cNvPicPr>
                  </pic:nvPicPr>
                  <pic:blipFill>
                    <a:blip r:embed="rId12"/>
                    <a:srcRect/>
                    <a:stretch>
                      <a:fillRect/>
                    </a:stretch>
                  </pic:blipFill>
                  <pic:spPr>
                    <a:xfrm>
                      <a:off x="0" y="0"/>
                      <a:ext cx="8890" cy="6985"/>
                    </a:xfrm>
                    <a:prstGeom prst="rect">
                      <a:avLst/>
                    </a:prstGeom>
                    <a:noFill/>
                    <a:ln w="9525">
                      <a:noFill/>
                      <a:miter lim="800000"/>
                      <a:headEnd/>
                      <a:tailEnd/>
                    </a:ln>
                  </pic:spPr>
                </pic:pic>
              </a:graphicData>
            </a:graphic>
          </wp:anchor>
        </w:drawing>
      </w:r>
      <w:r>
        <w:rPr>
          <w:rFonts w:hAnsi="宋体" w:cs="新宋体"/>
          <w:szCs w:val="21"/>
          <w:highlight w:val="none"/>
        </w:rPr>
        <w:drawing>
          <wp:anchor distT="0" distB="0" distL="114300" distR="114300" simplePos="0" relativeHeight="251659264" behindDoc="1" locked="0" layoutInCell="1" allowOverlap="1">
            <wp:simplePos x="0" y="0"/>
            <wp:positionH relativeFrom="page">
              <wp:posOffset>3753485</wp:posOffset>
            </wp:positionH>
            <wp:positionV relativeFrom="paragraph">
              <wp:posOffset>340995</wp:posOffset>
            </wp:positionV>
            <wp:extent cx="6985" cy="8890"/>
            <wp:effectExtent l="635" t="0" r="1905" b="635"/>
            <wp:wrapNone/>
            <wp:docPr id="17" name="图片 8"/>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rrowheads="1"/>
                    </pic:cNvPicPr>
                  </pic:nvPicPr>
                  <pic:blipFill>
                    <a:blip r:embed="rId13"/>
                    <a:srcRect/>
                    <a:stretch>
                      <a:fillRect/>
                    </a:stretch>
                  </pic:blipFill>
                  <pic:spPr>
                    <a:xfrm>
                      <a:off x="0" y="0"/>
                      <a:ext cx="6985" cy="8890"/>
                    </a:xfrm>
                    <a:prstGeom prst="rect">
                      <a:avLst/>
                    </a:prstGeom>
                    <a:noFill/>
                    <a:ln w="9525">
                      <a:noFill/>
                      <a:miter lim="800000"/>
                      <a:headEnd/>
                      <a:tailEnd/>
                    </a:ln>
                  </pic:spPr>
                </pic:pic>
              </a:graphicData>
            </a:graphic>
          </wp:anchor>
        </w:drawing>
      </w:r>
      <w:r>
        <w:rPr>
          <w:rFonts w:hAnsi="宋体" w:cs="新宋体"/>
          <w:szCs w:val="21"/>
          <w:highlight w:val="none"/>
        </w:rPr>
        <w:t>l、任职资格：乙方负责根据甲方的需求为船舶配备符合“STCW 95”要求的合格、适任的船员，保证所派船员在上船前和在船服务期间内，持有船上相应工作所需的各种有效证件（所有驾驶员应当持有有效的GMDSS操作员证书</w:t>
      </w:r>
      <w:r>
        <w:rPr>
          <w:rFonts w:hint="eastAsia" w:hAnsi="宋体" w:cs="新宋体"/>
          <w:szCs w:val="21"/>
          <w:highlight w:val="none"/>
        </w:rPr>
        <w:t>）</w:t>
      </w:r>
      <w:r>
        <w:rPr>
          <w:rFonts w:hAnsi="宋体" w:cs="新宋体"/>
          <w:szCs w:val="21"/>
          <w:highlight w:val="none"/>
        </w:rPr>
        <w:t>，并确保船员的配备标准、职务、资格和证书符合我国相关法律、法规规定的培训等要求。</w:t>
      </w:r>
    </w:p>
    <w:p>
      <w:pPr>
        <w:spacing w:line="360" w:lineRule="auto"/>
        <w:ind w:firstLine="424" w:firstLineChars="202"/>
        <w:rPr>
          <w:rFonts w:ascii="仿宋" w:hAnsi="仿宋" w:eastAsia="仿宋" w:cs="仿宋"/>
          <w:sz w:val="24"/>
          <w:highlight w:val="none"/>
        </w:rPr>
      </w:pPr>
      <w:r>
        <w:rPr>
          <w:rFonts w:hAnsi="宋体" w:cs="新宋体"/>
          <w:szCs w:val="21"/>
          <w:highlight w:val="none"/>
        </w:rPr>
        <w:t>2、健康要求：</w:t>
      </w:r>
      <w:r>
        <w:rPr>
          <w:rFonts w:hint="eastAsia" w:hAnsi="宋体" w:cs="新宋体"/>
          <w:szCs w:val="21"/>
          <w:highlight w:val="none"/>
        </w:rPr>
        <w:t>乙方</w:t>
      </w:r>
      <w:r>
        <w:rPr>
          <w:rFonts w:hint="eastAsia" w:hAnsi="宋体" w:cs="新宋体"/>
          <w:bCs/>
          <w:szCs w:val="21"/>
          <w:highlight w:val="none"/>
        </w:rPr>
        <w:t>应当确保所有船员上船前已通过有资质的检查机构证明其适合所从事的工作的健康检查（包括但不限于：精神正常、无传染病、无残疾，双眼视力、辨色力正常。身体健康，具有正常履行船员岗位职责的身体条件，能够适应海上工作环境，在六级风力的海况下不会晕船等等），持有按照我国政府相应要求签发的有效健康证书或体检表。</w:t>
      </w:r>
    </w:p>
    <w:p>
      <w:pPr>
        <w:spacing w:line="360" w:lineRule="auto"/>
        <w:ind w:firstLine="424" w:firstLineChars="202"/>
        <w:rPr>
          <w:rFonts w:hAnsi="宋体" w:cs="新宋体"/>
          <w:szCs w:val="21"/>
          <w:highlight w:val="none"/>
        </w:rPr>
      </w:pPr>
      <w:r>
        <w:rPr>
          <w:rFonts w:hint="eastAsia" w:hAnsi="宋体" w:cs="新宋体"/>
          <w:szCs w:val="21"/>
          <w:highlight w:val="none"/>
        </w:rPr>
        <w:drawing>
          <wp:anchor distT="0" distB="0" distL="114300" distR="114300" simplePos="0" relativeHeight="251668480" behindDoc="1" locked="0" layoutInCell="1" allowOverlap="1">
            <wp:simplePos x="0" y="0"/>
            <wp:positionH relativeFrom="page">
              <wp:posOffset>3740150</wp:posOffset>
            </wp:positionH>
            <wp:positionV relativeFrom="paragraph">
              <wp:posOffset>5715</wp:posOffset>
            </wp:positionV>
            <wp:extent cx="8890" cy="8890"/>
            <wp:effectExtent l="0" t="3810" r="3810" b="0"/>
            <wp:wrapNone/>
            <wp:docPr id="23" name="图片 9"/>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rrowheads="1"/>
                    </pic:cNvPicPr>
                  </pic:nvPicPr>
                  <pic:blipFill>
                    <a:blip r:embed="rId14"/>
                    <a:srcRect/>
                    <a:stretch>
                      <a:fillRect/>
                    </a:stretch>
                  </pic:blipFill>
                  <pic:spPr>
                    <a:xfrm>
                      <a:off x="0" y="0"/>
                      <a:ext cx="8890" cy="8890"/>
                    </a:xfrm>
                    <a:prstGeom prst="rect">
                      <a:avLst/>
                    </a:prstGeom>
                    <a:noFill/>
                    <a:ln w="9525">
                      <a:noFill/>
                      <a:miter lim="800000"/>
                      <a:headEnd/>
                      <a:tailEnd/>
                    </a:ln>
                  </pic:spPr>
                </pic:pic>
              </a:graphicData>
            </a:graphic>
          </wp:anchor>
        </w:drawing>
      </w:r>
      <w:r>
        <w:rPr>
          <w:rFonts w:hint="eastAsia" w:hAnsi="宋体" w:cs="新宋体"/>
          <w:szCs w:val="21"/>
          <w:highlight w:val="none"/>
        </w:rPr>
        <w:t>3、无犯罪记录：乙方应当确保所有船员都无刑事犯罪记录，并将相关证明交甲方备案。</w:t>
      </w:r>
    </w:p>
    <w:p>
      <w:pPr>
        <w:spacing w:line="360" w:lineRule="auto"/>
        <w:ind w:firstLine="424" w:firstLineChars="202"/>
        <w:rPr>
          <w:rFonts w:hAnsi="宋体" w:cs="新宋体"/>
          <w:szCs w:val="21"/>
          <w:highlight w:val="none"/>
        </w:rPr>
      </w:pPr>
      <w:r>
        <w:rPr>
          <w:rFonts w:hint="eastAsia" w:hAnsi="宋体" w:cs="新宋体"/>
          <w:szCs w:val="21"/>
          <w:highlight w:val="none"/>
        </w:rPr>
        <w:t>4、乙方保证合法用工：乙方必须与其雇佣船员签订相关劳动合同，依照国家法律规定和劳动合同约定，</w:t>
      </w:r>
      <w:r>
        <w:rPr>
          <w:rFonts w:hAnsi="宋体" w:cs="新宋体"/>
          <w:szCs w:val="21"/>
          <w:highlight w:val="none"/>
        </w:rPr>
        <w:t>如期足额发放派遣</w:t>
      </w:r>
      <w:r>
        <w:rPr>
          <w:rFonts w:hint="eastAsia" w:hAnsi="宋体" w:cs="新宋体"/>
          <w:szCs w:val="21"/>
          <w:highlight w:val="none"/>
        </w:rPr>
        <w:t>人员</w:t>
      </w:r>
      <w:r>
        <w:rPr>
          <w:rFonts w:hAnsi="宋体" w:cs="新宋体"/>
          <w:szCs w:val="21"/>
          <w:highlight w:val="none"/>
        </w:rPr>
        <w:t>工资</w:t>
      </w:r>
      <w:r>
        <w:rPr>
          <w:rFonts w:hint="eastAsia" w:hAnsi="宋体" w:cs="新宋体"/>
          <w:szCs w:val="21"/>
          <w:highlight w:val="none"/>
        </w:rPr>
        <w:t>，为派遣人员代扣代缴五险一金及个人所得税。甲方有权审查乙方与员工合同签订及参保情况。</w:t>
      </w:r>
    </w:p>
    <w:p>
      <w:pPr>
        <w:spacing w:line="360" w:lineRule="auto"/>
        <w:ind w:firstLine="424" w:firstLineChars="202"/>
        <w:rPr>
          <w:rFonts w:hAnsi="宋体" w:cs="新宋体"/>
          <w:szCs w:val="21"/>
          <w:highlight w:val="none"/>
        </w:rPr>
      </w:pPr>
      <w:r>
        <w:rPr>
          <w:rFonts w:hint="eastAsia" w:hAnsi="宋体" w:cs="新宋体"/>
          <w:szCs w:val="21"/>
          <w:highlight w:val="none"/>
        </w:rPr>
        <w:t>5、乙方服务内容要求：乙方须及时掌握国家和省有关劳动标准、劳动条件、工资福利、社会保险等方面的最新政策动态并及时书面知会甲方，积极配合甲方对新政策规定的组织实施。</w:t>
      </w:r>
    </w:p>
    <w:p>
      <w:pPr>
        <w:spacing w:line="360" w:lineRule="auto"/>
        <w:ind w:firstLine="424" w:firstLineChars="202"/>
        <w:rPr>
          <w:rFonts w:hAnsi="宋体" w:cs="新宋体"/>
          <w:szCs w:val="21"/>
          <w:highlight w:val="none"/>
        </w:rPr>
      </w:pPr>
      <w:r>
        <w:rPr>
          <w:rFonts w:hint="eastAsia" w:hAnsi="宋体" w:cs="新宋体"/>
          <w:szCs w:val="21"/>
          <w:highlight w:val="none"/>
        </w:rPr>
        <w:t>6、相关协议：乙方须保证其工作人员及其雇佣船员遵守国家保密法律法规和甲方的相关规定，对甲方的保密信息负有保密责任。</w:t>
      </w:r>
    </w:p>
    <w:p>
      <w:pPr>
        <w:spacing w:line="360" w:lineRule="auto"/>
        <w:rPr>
          <w:rFonts w:hAnsi="宋体" w:cs="Arial Unicode MS"/>
          <w:b/>
          <w:szCs w:val="21"/>
          <w:highlight w:val="none"/>
        </w:rPr>
      </w:pPr>
      <w:r>
        <w:rPr>
          <w:rFonts w:hAnsi="宋体" w:cs="Arial Unicode MS"/>
          <w:b/>
          <w:szCs w:val="21"/>
          <w:highlight w:val="none"/>
        </w:rPr>
        <w:t>第二条合同期限</w:t>
      </w:r>
    </w:p>
    <w:p>
      <w:pPr>
        <w:spacing w:line="360" w:lineRule="auto"/>
        <w:ind w:firstLine="424" w:firstLineChars="202"/>
        <w:rPr>
          <w:rFonts w:hint="eastAsia" w:hAnsi="宋体" w:cs="新宋体"/>
          <w:szCs w:val="21"/>
          <w:highlight w:val="none"/>
        </w:rPr>
      </w:pPr>
      <w:r>
        <w:rPr>
          <w:rFonts w:hint="eastAsia" w:hAnsi="宋体" w:cs="新宋体"/>
          <w:szCs w:val="21"/>
          <w:highlight w:val="none"/>
        </w:rPr>
        <w:t>合同期限自签订之日起</w:t>
      </w:r>
      <w:r>
        <w:rPr>
          <w:rFonts w:hint="eastAsia" w:hAnsi="宋体" w:cs="宋体"/>
          <w:szCs w:val="21"/>
          <w:highlight w:val="none"/>
          <w:lang w:val="zh-CN"/>
        </w:rPr>
        <w:t>至202</w:t>
      </w:r>
      <w:r>
        <w:rPr>
          <w:rFonts w:hint="eastAsia" w:hAnsi="宋体" w:cs="宋体"/>
          <w:szCs w:val="21"/>
          <w:highlight w:val="none"/>
        </w:rPr>
        <w:t>3</w:t>
      </w:r>
      <w:r>
        <w:rPr>
          <w:rFonts w:hint="eastAsia" w:hAnsi="宋体" w:cs="宋体"/>
          <w:szCs w:val="21"/>
          <w:highlight w:val="none"/>
          <w:lang w:val="zh-CN"/>
        </w:rPr>
        <w:t>年</w:t>
      </w:r>
      <w:r>
        <w:rPr>
          <w:rFonts w:hint="eastAsia" w:hAnsi="宋体" w:cs="宋体"/>
          <w:szCs w:val="21"/>
          <w:highlight w:val="none"/>
        </w:rPr>
        <w:t>12</w:t>
      </w:r>
      <w:r>
        <w:rPr>
          <w:rFonts w:hint="eastAsia" w:hAnsi="宋体" w:cs="宋体"/>
          <w:szCs w:val="21"/>
          <w:highlight w:val="none"/>
          <w:lang w:val="zh-CN"/>
        </w:rPr>
        <w:t>月</w:t>
      </w:r>
      <w:r>
        <w:rPr>
          <w:rFonts w:hint="eastAsia" w:hAnsi="宋体" w:cs="宋体"/>
          <w:szCs w:val="21"/>
          <w:highlight w:val="none"/>
        </w:rPr>
        <w:t>31</w:t>
      </w:r>
      <w:r>
        <w:rPr>
          <w:rFonts w:hint="eastAsia" w:hAnsi="宋体" w:cs="宋体"/>
          <w:szCs w:val="21"/>
          <w:highlight w:val="none"/>
          <w:lang w:val="zh-CN"/>
        </w:rPr>
        <w:t>日</w:t>
      </w:r>
      <w:r>
        <w:rPr>
          <w:rFonts w:hint="eastAsia" w:hAnsi="宋体" w:cs="新宋体"/>
          <w:szCs w:val="21"/>
          <w:highlight w:val="none"/>
        </w:rPr>
        <w:t>止。</w:t>
      </w:r>
    </w:p>
    <w:p>
      <w:pPr>
        <w:spacing w:line="360" w:lineRule="auto"/>
        <w:ind w:firstLine="424" w:firstLineChars="202"/>
        <w:rPr>
          <w:rFonts w:hint="eastAsia" w:hAnsi="宋体" w:eastAsia="宋体" w:cs="新宋体"/>
          <w:szCs w:val="21"/>
          <w:highlight w:val="none"/>
          <w:lang w:eastAsia="zh-CN"/>
        </w:rPr>
      </w:pPr>
      <w:r>
        <w:rPr>
          <w:rFonts w:hint="eastAsia" w:hAnsi="宋体" w:cs="新宋体"/>
          <w:szCs w:val="21"/>
          <w:highlight w:val="none"/>
          <w:lang w:eastAsia="zh-CN"/>
        </w:rPr>
        <w:t>（</w:t>
      </w:r>
      <w:r>
        <w:rPr>
          <w:rFonts w:hint="eastAsia" w:hAnsi="宋体" w:cs="新宋体"/>
          <w:szCs w:val="21"/>
          <w:highlight w:val="none"/>
          <w:lang w:val="en-US" w:eastAsia="zh-CN"/>
        </w:rPr>
        <w:t>注：</w:t>
      </w:r>
      <w:r>
        <w:rPr>
          <w:rFonts w:hint="eastAsia" w:hAnsi="宋体" w:cs="新宋体"/>
          <w:szCs w:val="21"/>
          <w:highlight w:val="none"/>
          <w:lang w:eastAsia="zh-CN"/>
        </w:rPr>
        <w:t>本项目执行金额达到</w:t>
      </w:r>
      <w:r>
        <w:rPr>
          <w:rFonts w:hint="eastAsia" w:hAnsi="宋体" w:cs="新宋体"/>
          <w:szCs w:val="21"/>
          <w:highlight w:val="none"/>
          <w:lang w:val="en-US" w:eastAsia="zh-CN"/>
        </w:rPr>
        <w:t>1623.97万元</w:t>
      </w:r>
      <w:r>
        <w:rPr>
          <w:rFonts w:hint="eastAsia" w:hAnsi="宋体" w:cs="新宋体"/>
          <w:szCs w:val="21"/>
          <w:highlight w:val="none"/>
          <w:lang w:eastAsia="zh-CN"/>
        </w:rPr>
        <w:t>时，合同自动终止；或本项目执行时间到2023年12月31日时，无论执行金额是否达到</w:t>
      </w:r>
      <w:r>
        <w:rPr>
          <w:rFonts w:hint="eastAsia" w:hAnsi="宋体" w:cs="新宋体"/>
          <w:szCs w:val="21"/>
          <w:highlight w:val="none"/>
          <w:lang w:val="en-US" w:eastAsia="zh-CN"/>
        </w:rPr>
        <w:t>1623.97万元</w:t>
      </w:r>
      <w:r>
        <w:rPr>
          <w:rFonts w:hint="eastAsia" w:hAnsi="宋体" w:cs="新宋体"/>
          <w:szCs w:val="21"/>
          <w:highlight w:val="none"/>
          <w:lang w:eastAsia="zh-CN"/>
        </w:rPr>
        <w:t>，合同均自动终止。）</w:t>
      </w:r>
    </w:p>
    <w:p>
      <w:pPr>
        <w:spacing w:line="360" w:lineRule="auto"/>
        <w:rPr>
          <w:rFonts w:hAnsi="宋体" w:cs="Arial Unicode MS"/>
          <w:b/>
          <w:szCs w:val="21"/>
          <w:highlight w:val="none"/>
        </w:rPr>
      </w:pPr>
      <w:r>
        <w:rPr>
          <w:rFonts w:hint="eastAsia" w:hAnsi="宋体" w:cs="Arial Unicode MS"/>
          <w:b/>
          <w:szCs w:val="21"/>
          <w:highlight w:val="none"/>
        </w:rPr>
        <w:t>第三条 乙方配备船员的相关规定</w:t>
      </w:r>
    </w:p>
    <w:p>
      <w:pPr>
        <w:spacing w:line="360" w:lineRule="auto"/>
        <w:ind w:firstLine="424" w:firstLineChars="202"/>
        <w:rPr>
          <w:rFonts w:hAnsi="宋体" w:cs="新宋体"/>
          <w:szCs w:val="21"/>
          <w:highlight w:val="none"/>
        </w:rPr>
      </w:pPr>
      <w:r>
        <w:rPr>
          <w:rFonts w:hint="eastAsia" w:hAnsi="宋体" w:cs="新宋体"/>
          <w:szCs w:val="21"/>
          <w:highlight w:val="none"/>
        </w:rPr>
        <w:t>1、船员配备：船员按甲方船舶运行管理的实际需求配备，以甲方实际派员需求为准。乙方根据甲方的船员配备要求，经与甲方确认，按需及时配备船员。</w:t>
      </w:r>
    </w:p>
    <w:p>
      <w:pPr>
        <w:spacing w:line="360" w:lineRule="auto"/>
        <w:ind w:firstLine="424" w:firstLineChars="202"/>
        <w:rPr>
          <w:rFonts w:hAnsi="宋体" w:cs="新宋体"/>
          <w:szCs w:val="21"/>
          <w:highlight w:val="none"/>
        </w:rPr>
      </w:pPr>
      <w:r>
        <w:rPr>
          <w:rFonts w:hAnsi="宋体" w:cs="新宋体"/>
          <w:szCs w:val="21"/>
          <w:highlight w:val="none"/>
        </w:rPr>
        <w:t>2</w:t>
      </w:r>
      <w:r>
        <w:rPr>
          <w:rFonts w:hint="eastAsia" w:hAnsi="宋体" w:cs="新宋体"/>
          <w:szCs w:val="21"/>
          <w:highlight w:val="none"/>
        </w:rPr>
        <w:t>、派出前管理：船员派出前的管理教育工作由乙方负责，乙方应加强对船员派出前的教育及派出后的跟踪管理。同时，乙方应定期派员上船了解情况，及时处理船员管理中出现的问题，并做好船员的思想工作，保持船员队伍稳定和工作积极性。</w:t>
      </w:r>
    </w:p>
    <w:p>
      <w:pPr>
        <w:spacing w:line="360" w:lineRule="auto"/>
        <w:ind w:firstLine="424" w:firstLineChars="202"/>
        <w:rPr>
          <w:rFonts w:hint="eastAsia" w:hAnsi="宋体" w:cs="新宋体"/>
          <w:szCs w:val="21"/>
          <w:highlight w:val="none"/>
        </w:rPr>
      </w:pPr>
      <w:r>
        <w:rPr>
          <w:rFonts w:hAnsi="宋体" w:cs="新宋体"/>
          <w:szCs w:val="21"/>
          <w:highlight w:val="none"/>
        </w:rPr>
        <w:t>3</w:t>
      </w:r>
      <w:r>
        <w:rPr>
          <w:rFonts w:hint="eastAsia" w:hAnsi="宋体" w:cs="新宋体"/>
          <w:szCs w:val="21"/>
          <w:highlight w:val="none"/>
        </w:rPr>
        <w:t>、响应时间及善后：</w:t>
      </w:r>
      <w:r>
        <w:rPr>
          <w:rFonts w:hint="eastAsia" w:hAnsi="宋体" w:cs="新宋体"/>
          <w:szCs w:val="21"/>
          <w:highlight w:val="none"/>
          <w:lang w:val="en-US" w:eastAsia="zh-CN"/>
        </w:rPr>
        <w:t>乙方</w:t>
      </w:r>
      <w:r>
        <w:rPr>
          <w:rFonts w:hint="eastAsia" w:hAnsi="宋体" w:cs="新宋体"/>
          <w:szCs w:val="21"/>
          <w:highlight w:val="none"/>
        </w:rPr>
        <w:t>根据甲方</w:t>
      </w:r>
      <w:r>
        <w:rPr>
          <w:rFonts w:hint="eastAsia" w:hAnsi="宋体" w:cs="新宋体"/>
          <w:szCs w:val="21"/>
          <w:highlight w:val="none"/>
          <w:lang w:val="en-US" w:eastAsia="zh-CN"/>
        </w:rPr>
        <w:t>书面配员需求</w:t>
      </w:r>
      <w:r>
        <w:rPr>
          <w:rFonts w:hint="eastAsia" w:hAnsi="宋体" w:cs="新宋体"/>
          <w:szCs w:val="21"/>
          <w:highlight w:val="none"/>
        </w:rPr>
        <w:t>一般</w:t>
      </w:r>
      <w:r>
        <w:rPr>
          <w:rFonts w:hint="eastAsia" w:hAnsi="宋体" w:cs="新宋体"/>
          <w:szCs w:val="21"/>
          <w:highlight w:val="none"/>
          <w:lang w:val="en-US" w:eastAsia="zh-CN"/>
        </w:rPr>
        <w:t>在三天内</w:t>
      </w:r>
      <w:r>
        <w:rPr>
          <w:rFonts w:hint="eastAsia" w:hAnsi="宋体" w:cs="新宋体"/>
          <w:szCs w:val="21"/>
          <w:highlight w:val="none"/>
        </w:rPr>
        <w:t>响应</w:t>
      </w:r>
      <w:r>
        <w:rPr>
          <w:rFonts w:hint="eastAsia" w:hAnsi="宋体" w:cs="新宋体"/>
          <w:szCs w:val="21"/>
          <w:highlight w:val="none"/>
          <w:lang w:val="en-US" w:eastAsia="zh-CN"/>
        </w:rPr>
        <w:t>，并将面试合格的拟派船员相关资料提供甲方</w:t>
      </w:r>
      <w:r>
        <w:rPr>
          <w:rFonts w:hint="eastAsia" w:hAnsi="宋体" w:cs="新宋体"/>
          <w:szCs w:val="21"/>
          <w:highlight w:val="none"/>
        </w:rPr>
        <w:t>（72小时，在必要或紧急情况下，乙方应在一天内完成适格船员的配备任务</w:t>
      </w:r>
      <w:r>
        <w:rPr>
          <w:rFonts w:hint="eastAsia" w:hAnsi="宋体" w:cs="新宋体"/>
          <w:szCs w:val="21"/>
          <w:highlight w:val="none"/>
          <w:lang w:eastAsia="zh-CN"/>
        </w:rPr>
        <w:t>；</w:t>
      </w:r>
      <w:r>
        <w:rPr>
          <w:rFonts w:hint="eastAsia" w:hAnsi="宋体" w:cs="新宋体"/>
          <w:szCs w:val="21"/>
          <w:highlight w:val="none"/>
        </w:rPr>
        <w:t>乙方有义务将其为管理、操作甲方船舶而配备船员的名单及详细资料</w:t>
      </w:r>
      <w:r>
        <w:rPr>
          <w:rFonts w:hint="eastAsia" w:hAnsi="宋体" w:cs="新宋体"/>
          <w:szCs w:val="21"/>
          <w:highlight w:val="none"/>
          <w:lang w:val="en-US" w:eastAsia="zh-CN"/>
        </w:rPr>
        <w:t>提供</w:t>
      </w:r>
      <w:r>
        <w:rPr>
          <w:rFonts w:hint="eastAsia" w:hAnsi="宋体" w:cs="新宋体"/>
          <w:szCs w:val="21"/>
          <w:highlight w:val="none"/>
        </w:rPr>
        <w:t>甲方</w:t>
      </w:r>
      <w:r>
        <w:rPr>
          <w:rFonts w:hint="eastAsia" w:hAnsi="宋体" w:cs="新宋体"/>
          <w:szCs w:val="21"/>
          <w:highlight w:val="none"/>
          <w:lang w:val="en-US" w:eastAsia="zh-CN"/>
        </w:rPr>
        <w:t>备案</w:t>
      </w:r>
      <w:r>
        <w:rPr>
          <w:rFonts w:hint="eastAsia" w:hAnsi="宋体" w:cs="新宋体"/>
          <w:szCs w:val="21"/>
          <w:highlight w:val="none"/>
        </w:rPr>
        <w:t>）</w:t>
      </w:r>
      <w:r>
        <w:rPr>
          <w:rFonts w:hint="eastAsia" w:hAnsi="宋体" w:cs="新宋体"/>
          <w:szCs w:val="21"/>
          <w:highlight w:val="none"/>
          <w:lang w:eastAsia="zh-CN"/>
        </w:rPr>
        <w:t>，</w:t>
      </w:r>
      <w:r>
        <w:rPr>
          <w:rFonts w:hint="eastAsia" w:hAnsi="宋体" w:cs="新宋体"/>
          <w:szCs w:val="21"/>
          <w:highlight w:val="none"/>
          <w:lang w:val="en-US" w:eastAsia="zh-CN"/>
        </w:rPr>
        <w:t>甲方对拟派船员情况确认后，书面回复乙方，乙方收到甲方回复后二天内派</w:t>
      </w:r>
      <w:r>
        <w:rPr>
          <w:rFonts w:hint="eastAsia" w:hAnsi="宋体" w:cs="新宋体"/>
          <w:szCs w:val="21"/>
          <w:highlight w:val="none"/>
        </w:rPr>
        <w:t>员</w:t>
      </w:r>
      <w:r>
        <w:rPr>
          <w:rFonts w:hint="eastAsia" w:hAnsi="宋体" w:cs="新宋体"/>
          <w:szCs w:val="21"/>
          <w:highlight w:val="none"/>
          <w:lang w:val="en-US" w:eastAsia="zh-CN"/>
        </w:rPr>
        <w:t>到岗</w:t>
      </w:r>
      <w:r>
        <w:rPr>
          <w:rFonts w:hint="eastAsia" w:hAnsi="宋体" w:cs="新宋体"/>
          <w:szCs w:val="21"/>
          <w:highlight w:val="none"/>
        </w:rPr>
        <w:t>。如有船员离岗，乙方应及时补充</w:t>
      </w:r>
      <w:r>
        <w:rPr>
          <w:rFonts w:hint="eastAsia" w:hAnsi="宋体" w:cs="新宋体"/>
          <w:szCs w:val="21"/>
          <w:highlight w:val="none"/>
          <w:lang w:eastAsia="zh-CN"/>
        </w:rPr>
        <w:t>船员到岗</w:t>
      </w:r>
      <w:r>
        <w:rPr>
          <w:rFonts w:hint="eastAsia" w:hAnsi="宋体" w:cs="新宋体"/>
          <w:szCs w:val="21"/>
          <w:highlight w:val="none"/>
        </w:rPr>
        <w:t>，由此而产生的额外费用（如有），由乙方自行负责。甲方落实上级机构改革要求，适当安排在编船员上岗，乙方应当按甲方的要求在合同规定的响应时间内完成船员的更换，并组织做好被更换船员的善后工作。船员涉及劳动（劳务）纠纷的，由乙方负责处理并依法依规承担相应费用，相关责任和费用与甲方无关。</w:t>
      </w:r>
    </w:p>
    <w:p>
      <w:pPr>
        <w:spacing w:line="360" w:lineRule="auto"/>
        <w:ind w:firstLine="424" w:firstLineChars="202"/>
        <w:rPr>
          <w:rFonts w:hAnsi="宋体" w:cs="新宋体"/>
          <w:szCs w:val="21"/>
          <w:highlight w:val="none"/>
        </w:rPr>
      </w:pPr>
      <w:bookmarkStart w:id="10" w:name="OLE_LINK194"/>
      <w:bookmarkStart w:id="11" w:name="OLE_LINK195"/>
      <w:bookmarkStart w:id="12" w:name="OLE_LINK193"/>
      <w:r>
        <w:rPr>
          <w:rFonts w:hAnsi="宋体" w:cs="新宋体"/>
          <w:szCs w:val="21"/>
          <w:highlight w:val="none"/>
        </w:rPr>
        <w:t>4</w:t>
      </w:r>
      <w:r>
        <w:rPr>
          <w:rFonts w:hint="eastAsia" w:hAnsi="宋体" w:cs="新宋体"/>
          <w:szCs w:val="21"/>
          <w:highlight w:val="none"/>
        </w:rPr>
        <w:t>、</w:t>
      </w:r>
      <w:bookmarkEnd w:id="10"/>
      <w:bookmarkEnd w:id="11"/>
      <w:bookmarkEnd w:id="12"/>
      <w:r>
        <w:rPr>
          <w:rFonts w:hint="eastAsia" w:hAnsi="宋体" w:cs="新宋体"/>
          <w:bCs/>
          <w:szCs w:val="21"/>
          <w:highlight w:val="none"/>
        </w:rPr>
        <w:t>乙方船员须遵守甲方规定，保护甲方船舶和甲方利益，如甲方发现乙方船员有不适宜在岗的情况并向乙方提出时，乙方应及时且无条件为甲方更换合格的船员。</w:t>
      </w:r>
    </w:p>
    <w:p>
      <w:pPr>
        <w:spacing w:line="360" w:lineRule="auto"/>
        <w:ind w:firstLine="424" w:firstLineChars="202"/>
        <w:rPr>
          <w:rFonts w:hAnsi="宋体" w:cs="新宋体"/>
          <w:szCs w:val="21"/>
          <w:highlight w:val="none"/>
        </w:rPr>
      </w:pPr>
      <w:r>
        <w:rPr>
          <w:rFonts w:hAnsi="宋体" w:cs="新宋体"/>
          <w:szCs w:val="21"/>
          <w:highlight w:val="none"/>
        </w:rPr>
        <w:t>5</w:t>
      </w:r>
      <w:r>
        <w:rPr>
          <w:rFonts w:hint="eastAsia" w:hAnsi="宋体" w:cs="新宋体"/>
          <w:szCs w:val="21"/>
          <w:highlight w:val="none"/>
        </w:rPr>
        <w:t>、船员考评：</w:t>
      </w:r>
      <w:r>
        <w:rPr>
          <w:rFonts w:hAnsi="宋体" w:cs="新宋体"/>
          <w:szCs w:val="21"/>
          <w:highlight w:val="none"/>
        </w:rPr>
        <w:t>甲方有权对</w:t>
      </w:r>
      <w:r>
        <w:rPr>
          <w:rFonts w:hint="eastAsia" w:hAnsi="宋体" w:cs="新宋体"/>
          <w:szCs w:val="21"/>
          <w:highlight w:val="none"/>
        </w:rPr>
        <w:t>乙方</w:t>
      </w:r>
      <w:r>
        <w:rPr>
          <w:rFonts w:hAnsi="宋体" w:cs="新宋体"/>
          <w:szCs w:val="21"/>
          <w:highlight w:val="none"/>
        </w:rPr>
        <w:t>船员进行不定期考评，</w:t>
      </w:r>
      <w:r>
        <w:rPr>
          <w:rFonts w:hint="eastAsia" w:hAnsi="宋体" w:cs="新宋体"/>
          <w:szCs w:val="21"/>
          <w:highlight w:val="none"/>
        </w:rPr>
        <w:t>甲方的考评结果乙方应予认可，船员考评结果为不合格时，甲方有权要求乙方予以更换，乙方应及时且无条件提供合格的接替船员，经甲方审核并通过后，及时</w:t>
      </w:r>
      <w:r>
        <w:rPr>
          <w:rFonts w:hAnsi="宋体" w:cs="新宋体"/>
          <w:szCs w:val="21"/>
          <w:highlight w:val="none"/>
        </w:rPr>
        <w:t>予以更换</w:t>
      </w:r>
      <w:r>
        <w:rPr>
          <w:rFonts w:hint="eastAsia" w:hAnsi="宋体" w:cs="新宋体"/>
          <w:szCs w:val="21"/>
          <w:highlight w:val="none"/>
        </w:rPr>
        <w:t>。</w:t>
      </w:r>
    </w:p>
    <w:p>
      <w:pPr>
        <w:spacing w:line="360" w:lineRule="auto"/>
        <w:ind w:firstLine="424" w:firstLineChars="202"/>
        <w:rPr>
          <w:rFonts w:hAnsi="宋体" w:cs="新宋体"/>
          <w:szCs w:val="21"/>
          <w:highlight w:val="none"/>
        </w:rPr>
      </w:pPr>
      <w:r>
        <w:rPr>
          <w:rFonts w:hAnsi="宋体" w:cs="新宋体"/>
          <w:szCs w:val="21"/>
          <w:highlight w:val="none"/>
        </w:rPr>
        <w:t>6</w:t>
      </w:r>
      <w:r>
        <w:rPr>
          <w:rFonts w:hint="eastAsia" w:hAnsi="宋体" w:cs="新宋体"/>
          <w:szCs w:val="21"/>
          <w:highlight w:val="none"/>
        </w:rPr>
        <w:t>、船员培训：乙方的管理级船员应接受甲方岗前培训。乙方应按甲方要求安排船员进行上船前培训。乙方须针对甲方的规章制度，对船员进行培训。</w:t>
      </w:r>
    </w:p>
    <w:p>
      <w:pPr>
        <w:spacing w:line="360" w:lineRule="auto"/>
        <w:ind w:firstLine="424" w:firstLineChars="202"/>
        <w:rPr>
          <w:rFonts w:hAnsi="宋体" w:cs="新宋体"/>
          <w:szCs w:val="21"/>
          <w:highlight w:val="none"/>
        </w:rPr>
      </w:pPr>
      <w:r>
        <w:rPr>
          <w:rFonts w:hAnsi="宋体" w:cs="新宋体"/>
          <w:szCs w:val="21"/>
          <w:highlight w:val="none"/>
        </w:rPr>
        <w:t>7</w:t>
      </w:r>
      <w:r>
        <w:rPr>
          <w:rFonts w:hint="eastAsia" w:hAnsi="宋体" w:cs="新宋体"/>
          <w:szCs w:val="21"/>
          <w:highlight w:val="none"/>
        </w:rPr>
        <w:t>、响应时效：</w:t>
      </w:r>
      <w:r>
        <w:rPr>
          <w:rFonts w:hAnsi="宋体" w:cs="新宋体"/>
          <w:szCs w:val="21"/>
          <w:highlight w:val="none"/>
        </w:rPr>
        <w:t>乙方</w:t>
      </w:r>
      <w:r>
        <w:rPr>
          <w:rFonts w:hint="eastAsia" w:hAnsi="宋体" w:cs="新宋体"/>
          <w:szCs w:val="21"/>
          <w:highlight w:val="none"/>
        </w:rPr>
        <w:t>接到甲方的一般响应需求通知</w:t>
      </w:r>
      <w:r>
        <w:rPr>
          <w:rFonts w:hAnsi="宋体" w:cs="新宋体"/>
          <w:szCs w:val="21"/>
          <w:highlight w:val="none"/>
        </w:rPr>
        <w:t>(含船员更换）时，</w:t>
      </w:r>
      <w:r>
        <w:rPr>
          <w:rFonts w:hint="eastAsia" w:hAnsi="宋体" w:cs="新宋体"/>
          <w:szCs w:val="21"/>
          <w:highlight w:val="none"/>
          <w:lang w:val="en-US" w:eastAsia="zh-CN"/>
        </w:rPr>
        <w:t>按本合同第三条第3款执行</w:t>
      </w:r>
      <w:r>
        <w:rPr>
          <w:rFonts w:hint="eastAsia" w:hAnsi="宋体" w:cs="新宋体"/>
          <w:szCs w:val="21"/>
          <w:highlight w:val="none"/>
        </w:rPr>
        <w:t>。</w:t>
      </w:r>
    </w:p>
    <w:p>
      <w:pPr>
        <w:spacing w:line="360" w:lineRule="auto"/>
        <w:rPr>
          <w:rFonts w:hAnsi="宋体" w:cs="Arial Unicode MS"/>
          <w:b/>
          <w:szCs w:val="21"/>
          <w:highlight w:val="none"/>
        </w:rPr>
      </w:pPr>
      <w:r>
        <w:rPr>
          <w:rFonts w:hAnsi="宋体" w:cs="Arial Unicode MS"/>
          <w:b/>
          <w:szCs w:val="21"/>
          <w:highlight w:val="none"/>
        </w:rPr>
        <w:t>第四条</w:t>
      </w:r>
      <w:r>
        <w:rPr>
          <w:rFonts w:hint="eastAsia" w:hAnsi="宋体" w:cs="Arial Unicode MS"/>
          <w:b/>
          <w:szCs w:val="21"/>
          <w:highlight w:val="none"/>
        </w:rPr>
        <w:t>乙方船员工作时间及休假</w:t>
      </w:r>
    </w:p>
    <w:p>
      <w:pPr>
        <w:spacing w:line="360" w:lineRule="auto"/>
        <w:ind w:firstLine="420" w:firstLineChars="200"/>
        <w:rPr>
          <w:rFonts w:hAnsi="宋体" w:cs="新宋体"/>
          <w:szCs w:val="21"/>
          <w:highlight w:val="none"/>
        </w:rPr>
      </w:pPr>
      <w:r>
        <w:rPr>
          <w:rFonts w:hint="eastAsia" w:hAnsi="宋体" w:cs="新宋体"/>
          <w:szCs w:val="21"/>
          <w:highlight w:val="none"/>
        </w:rPr>
        <w:t>1、船员工作时间：以甲方用工时间为准，甲方有权根据船舶操作需要适当缩短或延长。</w:t>
      </w:r>
    </w:p>
    <w:p>
      <w:pPr>
        <w:spacing w:line="360" w:lineRule="auto"/>
        <w:ind w:firstLine="420" w:firstLineChars="200"/>
        <w:rPr>
          <w:highlight w:val="none"/>
        </w:rPr>
      </w:pPr>
      <w:r>
        <w:rPr>
          <w:rFonts w:hint="eastAsia" w:hAnsi="宋体" w:cs="新宋体"/>
          <w:szCs w:val="21"/>
          <w:highlight w:val="none"/>
        </w:rPr>
        <w:t>2、船员休假：船员在船舶上每工作2个月可享有5日的休假，应当按经甲方确认的休假流程办理审批手续。船舶执行任务期间，不允许休假。船员在休假期间，应遵守法律法规、疫情防控要求和船舶管理相关制度。</w:t>
      </w:r>
    </w:p>
    <w:p>
      <w:pPr>
        <w:spacing w:line="360" w:lineRule="auto"/>
        <w:rPr>
          <w:rFonts w:hAnsi="宋体" w:cs="Arial Unicode MS"/>
          <w:b/>
          <w:szCs w:val="21"/>
          <w:highlight w:val="none"/>
        </w:rPr>
      </w:pPr>
      <w:r>
        <w:rPr>
          <w:rFonts w:hAnsi="宋体" w:cs="Arial Unicode MS"/>
          <w:b/>
          <w:szCs w:val="21"/>
          <w:highlight w:val="none"/>
        </w:rPr>
        <w:t>第五条 船员待遇、医疗与劳保</w:t>
      </w:r>
      <w:r>
        <w:rPr>
          <w:rFonts w:hint="eastAsia" w:hAnsi="宋体" w:cs="Arial Unicode MS"/>
          <w:b/>
          <w:szCs w:val="21"/>
          <w:highlight w:val="none"/>
        </w:rPr>
        <w:t>等</w:t>
      </w:r>
    </w:p>
    <w:p>
      <w:pPr>
        <w:pStyle w:val="2"/>
        <w:spacing w:line="360" w:lineRule="auto"/>
        <w:ind w:firstLine="421"/>
        <w:rPr>
          <w:rFonts w:hAnsi="宋体" w:cs="Arial Unicode MS"/>
          <w:b/>
          <w:szCs w:val="21"/>
          <w:highlight w:val="none"/>
        </w:rPr>
      </w:pPr>
      <w:r>
        <w:rPr>
          <w:rFonts w:hint="eastAsia" w:hAnsi="宋体" w:cs="Arial Unicode MS"/>
          <w:b/>
          <w:szCs w:val="21"/>
          <w:highlight w:val="none"/>
        </w:rPr>
        <w:t>甲方向乙方支付的费用，包含乙方船员的工资、待遇、社保、公积金等费用（统称船员成本费用），以及乙方提供本项目服务所包含的管理费用、风险费用及企业利润等全部费用（统称管理费），所有费用都是含税费用。</w:t>
      </w:r>
    </w:p>
    <w:p>
      <w:pPr>
        <w:spacing w:line="360" w:lineRule="auto"/>
        <w:ind w:firstLine="420" w:firstLineChars="200"/>
        <w:rPr>
          <w:rFonts w:hAnsi="宋体" w:cs="新宋体"/>
          <w:szCs w:val="21"/>
          <w:highlight w:val="none"/>
        </w:rPr>
      </w:pPr>
      <w:r>
        <w:rPr>
          <w:rFonts w:hint="eastAsia" w:hAnsi="宋体" w:cs="新宋体"/>
          <w:szCs w:val="21"/>
          <w:highlight w:val="none"/>
        </w:rPr>
        <w:t>1、船员工资：船员工资为包干工资，</w:t>
      </w:r>
      <w:r>
        <w:rPr>
          <w:rFonts w:hint="eastAsia" w:hAnsi="宋体" w:cs="新宋体"/>
          <w:szCs w:val="21"/>
          <w:highlight w:val="none"/>
          <w:lang w:val="zh-CN"/>
        </w:rPr>
        <w:t>工资费用</w:t>
      </w:r>
      <w:r>
        <w:rPr>
          <w:rFonts w:hint="eastAsia" w:hAnsi="宋体" w:cs="新宋体"/>
          <w:szCs w:val="21"/>
          <w:highlight w:val="none"/>
        </w:rPr>
        <w:t>已</w:t>
      </w:r>
      <w:r>
        <w:rPr>
          <w:rFonts w:hint="eastAsia" w:hAnsi="宋体" w:cs="新宋体"/>
          <w:szCs w:val="21"/>
          <w:highlight w:val="none"/>
          <w:lang w:val="zh-CN"/>
        </w:rPr>
        <w:t>包括基本工资、岗位绩效、社会保险费和公积金（五险一金）等。其中，岗位绩效占工资总额的</w:t>
      </w:r>
      <w:r>
        <w:rPr>
          <w:rFonts w:hint="eastAsia" w:hAnsi="宋体" w:cs="新宋体"/>
          <w:szCs w:val="21"/>
          <w:highlight w:val="none"/>
        </w:rPr>
        <w:t>40%，</w:t>
      </w:r>
      <w:r>
        <w:rPr>
          <w:rFonts w:hint="eastAsia" w:hAnsi="宋体" w:cs="新宋体"/>
          <w:szCs w:val="21"/>
          <w:highlight w:val="none"/>
          <w:lang w:val="zh-CN"/>
        </w:rPr>
        <w:t>乙方</w:t>
      </w:r>
      <w:r>
        <w:rPr>
          <w:rFonts w:hint="eastAsia" w:hAnsi="宋体" w:cs="新宋体"/>
          <w:szCs w:val="21"/>
          <w:highlight w:val="none"/>
          <w:lang w:val="en-US" w:eastAsia="zh-CN"/>
        </w:rPr>
        <w:t>提供</w:t>
      </w:r>
      <w:r>
        <w:rPr>
          <w:rFonts w:hint="eastAsia" w:hAnsi="宋体" w:cs="新宋体"/>
          <w:szCs w:val="21"/>
          <w:highlight w:val="none"/>
          <w:lang w:val="zh-CN"/>
        </w:rPr>
        <w:t>岗位绩效考核方案（包含日常工作考核、自修考核，扩大自修奖励分配</w:t>
      </w:r>
      <w:r>
        <w:rPr>
          <w:rFonts w:hint="eastAsia" w:hAnsi="宋体" w:cs="新宋体"/>
          <w:szCs w:val="21"/>
          <w:highlight w:val="none"/>
        </w:rPr>
        <w:t>等</w:t>
      </w:r>
      <w:r>
        <w:rPr>
          <w:rFonts w:hint="eastAsia" w:hAnsi="宋体" w:cs="新宋体"/>
          <w:szCs w:val="21"/>
          <w:highlight w:val="none"/>
          <w:lang w:val="zh-CN"/>
        </w:rPr>
        <w:t>方案），</w:t>
      </w:r>
      <w:r>
        <w:rPr>
          <w:rFonts w:hint="eastAsia" w:hAnsi="宋体" w:cs="新宋体"/>
          <w:szCs w:val="21"/>
          <w:highlight w:val="none"/>
          <w:lang w:val="en-US" w:eastAsia="zh-CN"/>
        </w:rPr>
        <w:t>经甲方</w:t>
      </w:r>
      <w:r>
        <w:rPr>
          <w:rFonts w:hint="eastAsia" w:hAnsi="宋体" w:cs="新宋体"/>
          <w:szCs w:val="21"/>
          <w:highlight w:val="none"/>
          <w:lang w:val="zh-CN"/>
        </w:rPr>
        <w:t>同意</w:t>
      </w:r>
      <w:r>
        <w:rPr>
          <w:rFonts w:hint="eastAsia" w:hAnsi="宋体" w:cs="新宋体"/>
          <w:szCs w:val="21"/>
          <w:highlight w:val="none"/>
          <w:lang w:val="en-US" w:eastAsia="zh-CN"/>
        </w:rPr>
        <w:t>后实施</w:t>
      </w:r>
      <w:r>
        <w:rPr>
          <w:rFonts w:hint="eastAsia" w:hAnsi="宋体" w:cs="新宋体"/>
          <w:szCs w:val="21"/>
          <w:highlight w:val="none"/>
          <w:lang w:val="zh-CN"/>
        </w:rPr>
        <w:t>，岗位绩效须</w:t>
      </w:r>
      <w:r>
        <w:rPr>
          <w:rFonts w:hint="eastAsia" w:hAnsi="宋体" w:cs="新宋体"/>
          <w:szCs w:val="21"/>
          <w:highlight w:val="none"/>
        </w:rPr>
        <w:t>甲乙方</w:t>
      </w:r>
      <w:r>
        <w:rPr>
          <w:rFonts w:hint="eastAsia" w:hAnsi="宋体" w:cs="新宋体"/>
          <w:szCs w:val="21"/>
          <w:highlight w:val="none"/>
          <w:lang w:val="zh-CN"/>
        </w:rPr>
        <w:t>共同考核后发放。</w:t>
      </w:r>
      <w:r>
        <w:rPr>
          <w:rFonts w:hint="eastAsia" w:hAnsi="宋体" w:cs="新宋体"/>
          <w:szCs w:val="21"/>
          <w:highlight w:val="none"/>
        </w:rPr>
        <w:t>乙方按月把船员工资发放到船员指定的账户内，甲方定期与乙方结算。乙方应如实发放船员工资，如乙方未如实发放、出现克扣</w:t>
      </w:r>
      <w:r>
        <w:rPr>
          <w:rFonts w:hint="eastAsia" w:hAnsi="宋体" w:cs="新宋体"/>
          <w:szCs w:val="21"/>
          <w:highlight w:val="none"/>
          <w:lang w:val="en-US" w:eastAsia="zh-CN"/>
        </w:rPr>
        <w:t>船员</w:t>
      </w:r>
      <w:r>
        <w:rPr>
          <w:rFonts w:hint="eastAsia" w:hAnsi="宋体" w:cs="新宋体"/>
          <w:szCs w:val="21"/>
          <w:highlight w:val="none"/>
        </w:rPr>
        <w:t>工资等情况，相关法律责任均由乙方自行承担。乙方按照法律规定为船员代扣代缴个人所得税和代扣代缴社会保险。甲方有权对乙方支付给所雇佣船员的社保缴纳及相关福利待遇进行抽查或监督，乙方应予配合，如发现乙方存在未依法依约办理、缴纳社保</w:t>
      </w:r>
      <w:r>
        <w:rPr>
          <w:rFonts w:hint="eastAsia" w:hAnsi="宋体" w:cs="新宋体"/>
          <w:szCs w:val="21"/>
          <w:highlight w:val="none"/>
          <w:lang w:eastAsia="zh-CN"/>
        </w:rPr>
        <w:t>、</w:t>
      </w:r>
      <w:r>
        <w:rPr>
          <w:rFonts w:hint="eastAsia" w:hAnsi="宋体" w:cs="新宋体"/>
          <w:szCs w:val="21"/>
          <w:highlight w:val="none"/>
        </w:rPr>
        <w:t>公积金</w:t>
      </w:r>
      <w:r>
        <w:rPr>
          <w:rFonts w:hint="eastAsia" w:hAnsi="宋体" w:cs="新宋体"/>
          <w:szCs w:val="21"/>
          <w:highlight w:val="none"/>
          <w:lang w:eastAsia="zh-CN"/>
        </w:rPr>
        <w:t>、</w:t>
      </w:r>
      <w:r>
        <w:rPr>
          <w:rFonts w:hint="eastAsia" w:hAnsi="宋体" w:cs="新宋体"/>
          <w:szCs w:val="21"/>
          <w:highlight w:val="none"/>
          <w:lang w:val="en-US" w:eastAsia="zh-CN"/>
        </w:rPr>
        <w:t>克扣船员工资</w:t>
      </w:r>
      <w:r>
        <w:rPr>
          <w:rFonts w:hint="eastAsia" w:hAnsi="宋体" w:cs="新宋体"/>
          <w:szCs w:val="21"/>
          <w:highlight w:val="none"/>
        </w:rPr>
        <w:t>等情况，甲方有权终止服务合同，由此产生的一切经济及法律责任均由乙方承担。</w:t>
      </w:r>
    </w:p>
    <w:p>
      <w:pPr>
        <w:spacing w:line="360" w:lineRule="auto"/>
        <w:ind w:firstLine="420" w:firstLineChars="200"/>
        <w:rPr>
          <w:rFonts w:hAnsi="宋体" w:cs="新宋体"/>
          <w:szCs w:val="21"/>
          <w:highlight w:val="none"/>
        </w:rPr>
      </w:pPr>
      <w:r>
        <w:rPr>
          <w:rFonts w:hint="eastAsia" w:hAnsi="宋体" w:cs="新宋体"/>
          <w:szCs w:val="21"/>
          <w:highlight w:val="none"/>
        </w:rPr>
        <w:t>2、船员伙食：船员在甲方船舶工作期间，甲方为其提供与甲方工作人员同等的伙食待遇。</w:t>
      </w:r>
    </w:p>
    <w:p>
      <w:pPr>
        <w:spacing w:line="360" w:lineRule="auto"/>
        <w:ind w:firstLine="420" w:firstLineChars="200"/>
        <w:rPr>
          <w:rFonts w:hAnsi="宋体" w:cs="新宋体"/>
          <w:szCs w:val="21"/>
          <w:highlight w:val="none"/>
        </w:rPr>
      </w:pPr>
      <w:r>
        <w:rPr>
          <w:rFonts w:hint="eastAsia" w:hAnsi="宋体" w:cs="新宋体"/>
          <w:szCs w:val="21"/>
          <w:highlight w:val="none"/>
        </w:rPr>
        <w:t>3、其他劳务补助（包括出海补助等）：甲方可根据具体情况给予乙方船员额外奖励，具体标准按甲方有关规定执行。</w:t>
      </w:r>
    </w:p>
    <w:p>
      <w:pPr>
        <w:spacing w:line="360" w:lineRule="auto"/>
        <w:ind w:firstLine="420" w:firstLineChars="200"/>
        <w:rPr>
          <w:rFonts w:hAnsi="宋体" w:cs="新宋体"/>
          <w:szCs w:val="21"/>
          <w:highlight w:val="none"/>
        </w:rPr>
      </w:pPr>
      <w:r>
        <w:rPr>
          <w:rFonts w:hint="eastAsia" w:hAnsi="宋体" w:cs="新宋体"/>
          <w:szCs w:val="21"/>
          <w:highlight w:val="none"/>
        </w:rPr>
        <w:t>4、船员医疗：甲方船舶配备部分常用药品，所有在船船员可以免费使用。</w:t>
      </w:r>
    </w:p>
    <w:p>
      <w:pPr>
        <w:spacing w:line="360" w:lineRule="auto"/>
        <w:ind w:firstLine="420" w:firstLineChars="200"/>
        <w:rPr>
          <w:rFonts w:hAnsi="宋体" w:cs="新宋体"/>
          <w:szCs w:val="21"/>
          <w:highlight w:val="none"/>
        </w:rPr>
      </w:pPr>
      <w:r>
        <w:rPr>
          <w:rFonts w:hint="eastAsia" w:hAnsi="宋体" w:cs="新宋体"/>
          <w:szCs w:val="21"/>
          <w:highlight w:val="none"/>
        </w:rPr>
        <w:t>乙方船员在上岗服务期间生病或受伤的，乙方按照国内工伤保险条例的规定及船员人身意外伤害保险和附加医疗保险处理。（但因船员隐瞒既往病史而上船后发作的或因船员生活不检点感染性病的以及其它慢性疾病除外）。甲方对由于船员本人自杀、自残或违法犯罪行为，有意隐瞒既往病史（包括但不限于心脏病、高血压、糖尿病、肝炎等慢性疾病以及性病等）造成的伤亡不负任何责任，由乙方负责处理并承担因此而产生的有关费用。</w:t>
      </w:r>
    </w:p>
    <w:p>
      <w:pPr>
        <w:spacing w:line="360" w:lineRule="auto"/>
        <w:ind w:firstLine="420" w:firstLineChars="200"/>
        <w:rPr>
          <w:rFonts w:hAnsi="宋体" w:cs="新宋体"/>
          <w:szCs w:val="21"/>
          <w:highlight w:val="none"/>
        </w:rPr>
      </w:pPr>
      <w:r>
        <w:rPr>
          <w:rFonts w:hint="eastAsia" w:hAnsi="宋体" w:cs="新宋体"/>
          <w:szCs w:val="21"/>
          <w:highlight w:val="none"/>
        </w:rPr>
        <w:t>5、船员劳保：船员劳保由乙方承担，除劳保服装由甲方按实际岗位数量（如同一岗位出现换人，只按一个岗位计算）的服装需求予以保障，但因换人导致的超出部分，劳保服装费用由乙方承担。</w:t>
      </w:r>
    </w:p>
    <w:p>
      <w:pPr>
        <w:spacing w:line="360" w:lineRule="auto"/>
        <w:rPr>
          <w:rFonts w:hAnsi="宋体" w:cs="Arial Unicode MS"/>
          <w:b/>
          <w:szCs w:val="21"/>
          <w:highlight w:val="none"/>
        </w:rPr>
      </w:pPr>
      <w:r>
        <w:rPr>
          <w:rFonts w:hint="eastAsia" w:hAnsi="宋体" w:cs="Arial Unicode MS"/>
          <w:b/>
          <w:szCs w:val="21"/>
          <w:highlight w:val="none"/>
        </w:rPr>
        <w:t>第六条 船员离职和返回</w:t>
      </w:r>
    </w:p>
    <w:p>
      <w:pPr>
        <w:spacing w:line="360" w:lineRule="auto"/>
        <w:ind w:firstLine="424" w:firstLineChars="202"/>
        <w:rPr>
          <w:rFonts w:hAnsi="宋体" w:cs="新宋体"/>
          <w:szCs w:val="21"/>
          <w:highlight w:val="none"/>
        </w:rPr>
      </w:pPr>
      <w:r>
        <w:rPr>
          <w:rFonts w:hint="eastAsia" w:hAnsi="宋体" w:cs="新宋体"/>
          <w:szCs w:val="21"/>
          <w:highlight w:val="none"/>
        </w:rPr>
        <w:t>1、船员离职：如乙方收到船员申请离职或离岗，应在2个工作日内以书面形式告知甲方，乙方经甲方确认后与该船员办理有关离职等手续，并在3个日历日内补充新船员到岗，离岗船员与新船员工作交接后才可离岗，不得影响船舶正常运行和甲方工作的开展。</w:t>
      </w:r>
    </w:p>
    <w:p>
      <w:pPr>
        <w:spacing w:line="360" w:lineRule="auto"/>
        <w:ind w:firstLine="424" w:firstLineChars="202"/>
        <w:rPr>
          <w:rFonts w:hAnsi="宋体" w:cs="新宋体"/>
          <w:szCs w:val="21"/>
          <w:highlight w:val="none"/>
        </w:rPr>
      </w:pPr>
      <w:r>
        <w:rPr>
          <w:rFonts w:hint="eastAsia" w:hAnsi="宋体" w:cs="新宋体"/>
          <w:szCs w:val="21"/>
          <w:highlight w:val="none"/>
        </w:rPr>
        <w:t>2、船员退回：乙方船员有下列情况之一的，甲方有权要求退回该船员。退回的船员涉及劳动（劳务）纠纷的，该纠纷与甲方无关，由乙方负责处理并依法承担相应责任：</w:t>
      </w:r>
    </w:p>
    <w:p>
      <w:pPr>
        <w:spacing w:line="360" w:lineRule="auto"/>
        <w:ind w:firstLine="424" w:firstLineChars="202"/>
        <w:rPr>
          <w:rFonts w:hAnsi="宋体" w:cs="新宋体"/>
          <w:szCs w:val="21"/>
          <w:highlight w:val="none"/>
        </w:rPr>
      </w:pPr>
      <w:r>
        <w:rPr>
          <w:rFonts w:hint="eastAsia" w:hAnsi="宋体" w:cs="新宋体"/>
          <w:szCs w:val="21"/>
          <w:highlight w:val="none"/>
        </w:rPr>
        <w:t>1）严重违反国家法律、法规，依法被追究刑事责任的；</w:t>
      </w:r>
    </w:p>
    <w:p>
      <w:pPr>
        <w:spacing w:line="360" w:lineRule="auto"/>
        <w:ind w:firstLine="424" w:firstLineChars="202"/>
        <w:rPr>
          <w:rFonts w:hAnsi="宋体" w:cs="新宋体"/>
          <w:szCs w:val="21"/>
          <w:highlight w:val="none"/>
        </w:rPr>
      </w:pPr>
      <w:r>
        <w:rPr>
          <w:rFonts w:hint="eastAsia" w:hAnsi="宋体" w:cs="新宋体"/>
          <w:szCs w:val="21"/>
          <w:highlight w:val="none"/>
        </w:rPr>
        <w:t>2）严重违反劳动纪律或甲乙各自依法制定的规章制度，符合开除、除名、辞退条件的；</w:t>
      </w:r>
    </w:p>
    <w:p>
      <w:pPr>
        <w:spacing w:line="360" w:lineRule="auto"/>
        <w:ind w:firstLine="424" w:firstLineChars="202"/>
        <w:rPr>
          <w:rFonts w:hAnsi="宋体" w:cs="新宋体"/>
          <w:szCs w:val="21"/>
          <w:highlight w:val="none"/>
        </w:rPr>
      </w:pPr>
      <w:r>
        <w:rPr>
          <w:rFonts w:hint="eastAsia" w:hAnsi="宋体" w:cs="新宋体"/>
          <w:szCs w:val="21"/>
          <w:highlight w:val="none"/>
        </w:rPr>
        <w:t>3）严重失职、营私舞弊或泄露国家秘密，给国家造成重大损失的；</w:t>
      </w:r>
    </w:p>
    <w:p>
      <w:pPr>
        <w:spacing w:line="360" w:lineRule="auto"/>
        <w:ind w:firstLine="424" w:firstLineChars="202"/>
        <w:rPr>
          <w:rFonts w:hAnsi="宋体" w:cs="新宋体"/>
          <w:szCs w:val="21"/>
          <w:highlight w:val="none"/>
        </w:rPr>
      </w:pPr>
      <w:r>
        <w:rPr>
          <w:rFonts w:hint="eastAsia" w:hAnsi="宋体" w:cs="新宋体"/>
          <w:szCs w:val="21"/>
          <w:highlight w:val="none"/>
        </w:rPr>
        <w:t>4）违反甲方管理要求的；</w:t>
      </w:r>
    </w:p>
    <w:p>
      <w:pPr>
        <w:spacing w:line="360" w:lineRule="auto"/>
        <w:ind w:firstLine="424" w:firstLineChars="202"/>
        <w:rPr>
          <w:rFonts w:hAnsi="宋体" w:cs="新宋体"/>
          <w:szCs w:val="21"/>
          <w:highlight w:val="none"/>
        </w:rPr>
      </w:pPr>
      <w:r>
        <w:rPr>
          <w:rFonts w:hint="eastAsia" w:hAnsi="宋体" w:cs="新宋体"/>
          <w:szCs w:val="21"/>
          <w:highlight w:val="none"/>
        </w:rPr>
        <w:t>5）该船员对完成甲方的工作任务造成严重影响，经甲方提出后，拒不改正的；</w:t>
      </w:r>
    </w:p>
    <w:p>
      <w:pPr>
        <w:spacing w:line="360" w:lineRule="auto"/>
        <w:ind w:firstLine="424" w:firstLineChars="202"/>
        <w:rPr>
          <w:rFonts w:hAnsi="宋体" w:cs="新宋体"/>
          <w:szCs w:val="21"/>
          <w:highlight w:val="none"/>
        </w:rPr>
      </w:pPr>
      <w:r>
        <w:rPr>
          <w:rFonts w:hint="eastAsia" w:hAnsi="宋体" w:cs="新宋体"/>
          <w:szCs w:val="21"/>
          <w:highlight w:val="none"/>
        </w:rPr>
        <w:t>6）派遣员工同时与其他用人单位建立劳动关系的；</w:t>
      </w:r>
    </w:p>
    <w:p>
      <w:pPr>
        <w:spacing w:line="360" w:lineRule="auto"/>
        <w:ind w:firstLine="424" w:firstLineChars="202"/>
        <w:rPr>
          <w:rFonts w:hAnsi="宋体" w:cs="新宋体"/>
          <w:szCs w:val="21"/>
          <w:highlight w:val="none"/>
        </w:rPr>
      </w:pPr>
      <w:r>
        <w:rPr>
          <w:rFonts w:hint="eastAsia" w:hAnsi="宋体" w:cs="新宋体"/>
          <w:szCs w:val="21"/>
          <w:highlight w:val="none"/>
        </w:rPr>
        <w:t>7）在合同期内不符合录用条件的（如甲方对乙方提供的人员不满意要求更换时，乙方必须及时且无条件的为甲方更换合格的人员）；</w:t>
      </w:r>
    </w:p>
    <w:p>
      <w:pPr>
        <w:spacing w:line="360" w:lineRule="auto"/>
        <w:ind w:firstLine="424" w:firstLineChars="202"/>
        <w:rPr>
          <w:rFonts w:hAnsi="宋体" w:cs="新宋体"/>
          <w:szCs w:val="21"/>
          <w:highlight w:val="none"/>
        </w:rPr>
      </w:pPr>
      <w:r>
        <w:rPr>
          <w:rFonts w:hint="eastAsia" w:hAnsi="宋体" w:cs="新宋体"/>
          <w:szCs w:val="21"/>
          <w:highlight w:val="none"/>
        </w:rPr>
        <w:t>8）因派遣船员自身原因（参见第五条第4款）或者因乙方原因（如未按本合同要求配各合格的船员或未适当履行船员管理义务等）未完成合同期被提前遣返的；</w:t>
      </w:r>
    </w:p>
    <w:p>
      <w:pPr>
        <w:spacing w:line="360" w:lineRule="auto"/>
        <w:ind w:firstLine="424" w:firstLineChars="202"/>
        <w:rPr>
          <w:rFonts w:hAnsi="宋体" w:cs="新宋体"/>
          <w:szCs w:val="21"/>
          <w:highlight w:val="none"/>
        </w:rPr>
      </w:pPr>
      <w:r>
        <w:rPr>
          <w:rFonts w:hint="eastAsia" w:hAnsi="宋体" w:cs="新宋体"/>
          <w:szCs w:val="21"/>
          <w:highlight w:val="none"/>
        </w:rPr>
        <w:t>因上述原因退回时，乙方应负责妥善处理船员离岗以及接替船员上岗的相关事宜，确保不影响船舶运行和甲方工作，该船员离岗以及接替船员上岗的费用均由乙方承担。若船员不服提起仲裁或诉讼的，由乙方负责依法妥善处理并承担相应责任；若经劳动部门、仲裁机构、法院等作出的承担赔偿责任的行政处分、裁决或判决，认定用人单位或甲方需承担责任的，该责任最终由乙方承担。甲方可向乙方进行追偿，追偿范围包括但不仅限于经济补偿金、赔偿金、行政罚款及甲方因此所产生的应诉费用、律师费用和差旅费等。</w:t>
      </w:r>
    </w:p>
    <w:p>
      <w:pPr>
        <w:spacing w:line="360" w:lineRule="auto"/>
        <w:rPr>
          <w:rFonts w:hAnsi="宋体" w:cs="Arial Unicode MS"/>
          <w:b/>
          <w:szCs w:val="21"/>
          <w:highlight w:val="none"/>
        </w:rPr>
      </w:pPr>
      <w:r>
        <w:rPr>
          <w:rFonts w:hint="eastAsia" w:hAnsi="宋体" w:cs="Arial Unicode MS"/>
          <w:b/>
          <w:szCs w:val="21"/>
          <w:highlight w:val="none"/>
        </w:rPr>
        <w:t>第七条 出海期间的意外保险</w:t>
      </w:r>
    </w:p>
    <w:p>
      <w:pPr>
        <w:spacing w:line="360" w:lineRule="auto"/>
        <w:ind w:firstLine="424" w:firstLineChars="202"/>
        <w:rPr>
          <w:rFonts w:hAnsi="宋体" w:cs="新宋体"/>
          <w:szCs w:val="21"/>
          <w:highlight w:val="none"/>
        </w:rPr>
      </w:pPr>
      <w:r>
        <w:rPr>
          <w:rFonts w:hint="eastAsia" w:hAnsi="宋体" w:cs="新宋体"/>
          <w:szCs w:val="21"/>
          <w:highlight w:val="none"/>
        </w:rPr>
        <w:t>船舶出海期间，甲方为乙方船员办理与甲方工作人员同等保额的人身意外伤害保险，保险费用由甲方承担。</w:t>
      </w:r>
    </w:p>
    <w:p>
      <w:pPr>
        <w:spacing w:line="360" w:lineRule="auto"/>
        <w:rPr>
          <w:rFonts w:hAnsi="宋体" w:cs="Arial Unicode MS"/>
          <w:b/>
          <w:szCs w:val="21"/>
          <w:highlight w:val="none"/>
        </w:rPr>
      </w:pPr>
      <w:r>
        <w:rPr>
          <w:rFonts w:hAnsi="宋体" w:cs="Arial Unicode MS"/>
          <w:b/>
          <w:szCs w:val="21"/>
          <w:highlight w:val="none"/>
        </w:rPr>
        <w:t>第八条 船员管理</w:t>
      </w:r>
    </w:p>
    <w:p>
      <w:pPr>
        <w:spacing w:line="360" w:lineRule="auto"/>
        <w:ind w:firstLine="424" w:firstLineChars="202"/>
        <w:rPr>
          <w:rFonts w:hAnsi="宋体" w:cs="新宋体"/>
          <w:szCs w:val="21"/>
          <w:highlight w:val="none"/>
        </w:rPr>
      </w:pPr>
      <w:r>
        <w:rPr>
          <w:rFonts w:hint="eastAsia" w:hAnsi="宋体" w:cs="新宋体"/>
          <w:szCs w:val="21"/>
          <w:highlight w:val="none"/>
        </w:rPr>
        <w:t>1、乙方应保证船员遵守国际公约、港口国、国家安全法和我国的法律、法规及各种相关规定，并对船员的工作负有监督管理责任。</w:t>
      </w:r>
    </w:p>
    <w:p>
      <w:pPr>
        <w:spacing w:line="360" w:lineRule="auto"/>
        <w:ind w:firstLine="424" w:firstLineChars="202"/>
        <w:rPr>
          <w:rFonts w:hAnsi="宋体" w:cs="新宋体"/>
          <w:szCs w:val="21"/>
          <w:highlight w:val="none"/>
        </w:rPr>
      </w:pPr>
      <w:r>
        <w:rPr>
          <w:rFonts w:hint="eastAsia" w:hAnsi="宋体" w:cs="新宋体"/>
          <w:szCs w:val="21"/>
          <w:highlight w:val="none"/>
        </w:rPr>
        <w:t>2、乙方应教育船员遵守甲方的规章制度，船员违反甲方的规章制度，造成甲方经济损失的，视为乙方违约，乙方应承担连带赔偿责任。</w:t>
      </w:r>
    </w:p>
    <w:p>
      <w:pPr>
        <w:spacing w:line="360" w:lineRule="auto"/>
        <w:rPr>
          <w:rFonts w:hAnsi="宋体" w:cs="Arial Unicode MS"/>
          <w:b/>
          <w:szCs w:val="21"/>
          <w:highlight w:val="none"/>
        </w:rPr>
      </w:pPr>
      <w:r>
        <w:rPr>
          <w:rFonts w:hAnsi="宋体" w:cs="Arial Unicode MS"/>
          <w:b/>
          <w:szCs w:val="21"/>
          <w:highlight w:val="none"/>
        </w:rPr>
        <w:t>第九条 双方代表登船</w:t>
      </w:r>
    </w:p>
    <w:p>
      <w:pPr>
        <w:spacing w:line="360" w:lineRule="auto"/>
        <w:ind w:firstLine="424" w:firstLineChars="202"/>
        <w:rPr>
          <w:rFonts w:hAnsi="宋体" w:cs="Arial Unicode MS"/>
          <w:b/>
          <w:szCs w:val="21"/>
          <w:highlight w:val="none"/>
        </w:rPr>
      </w:pPr>
      <w:r>
        <w:rPr>
          <w:rFonts w:hAnsi="宋体" w:cs="新宋体"/>
          <w:szCs w:val="21"/>
          <w:highlight w:val="none"/>
        </w:rPr>
        <w:t>为保证船舶的安全操作，甲乙双方在必要时应派代表登船检查</w:t>
      </w:r>
      <w:r>
        <w:rPr>
          <w:rFonts w:hint="eastAsia" w:hAnsi="宋体" w:cs="新宋体"/>
          <w:szCs w:val="21"/>
          <w:highlight w:val="none"/>
        </w:rPr>
        <w:t>乙方</w:t>
      </w:r>
      <w:r>
        <w:rPr>
          <w:rFonts w:hAnsi="宋体" w:cs="新宋体"/>
          <w:szCs w:val="21"/>
          <w:highlight w:val="none"/>
        </w:rPr>
        <w:t>船员的工作或处理有关事宜，由此发生的各种费用</w:t>
      </w:r>
      <w:r>
        <w:rPr>
          <w:rFonts w:hint="eastAsia" w:hAnsi="宋体" w:cs="新宋体"/>
          <w:szCs w:val="21"/>
          <w:highlight w:val="none"/>
        </w:rPr>
        <w:t>（</w:t>
      </w:r>
      <w:r>
        <w:rPr>
          <w:rFonts w:hAnsi="宋体" w:cs="新宋体"/>
          <w:szCs w:val="21"/>
          <w:highlight w:val="none"/>
        </w:rPr>
        <w:t>包括差旅费、在船伙食费等</w:t>
      </w:r>
      <w:r>
        <w:rPr>
          <w:rFonts w:hint="eastAsia" w:hAnsi="宋体" w:cs="新宋体"/>
          <w:szCs w:val="21"/>
          <w:highlight w:val="none"/>
        </w:rPr>
        <w:t>）</w:t>
      </w:r>
      <w:r>
        <w:rPr>
          <w:rFonts w:hAnsi="宋体" w:cs="新宋体"/>
          <w:szCs w:val="21"/>
          <w:highlight w:val="none"/>
        </w:rPr>
        <w:t>以及可能产生的各种风险责任由双方各自承担。</w:t>
      </w:r>
    </w:p>
    <w:p>
      <w:pPr>
        <w:spacing w:line="360" w:lineRule="auto"/>
        <w:rPr>
          <w:rFonts w:hAnsi="宋体" w:cs="Arial Unicode MS"/>
          <w:b/>
          <w:szCs w:val="21"/>
          <w:highlight w:val="none"/>
        </w:rPr>
      </w:pPr>
      <w:r>
        <w:rPr>
          <w:rFonts w:hAnsi="宋体" w:cs="Arial Unicode MS"/>
          <w:b/>
          <w:szCs w:val="21"/>
          <w:highlight w:val="none"/>
        </w:rPr>
        <w:t>第十条 报酬支付与费用承担</w:t>
      </w:r>
    </w:p>
    <w:p>
      <w:pPr>
        <w:spacing w:line="360" w:lineRule="auto"/>
        <w:ind w:firstLine="424" w:firstLineChars="202"/>
        <w:rPr>
          <w:rFonts w:hint="default" w:hAnsi="宋体" w:eastAsia="宋体" w:cs="新宋体"/>
          <w:szCs w:val="21"/>
          <w:highlight w:val="none"/>
          <w:lang w:val="en-US" w:eastAsia="zh-CN"/>
        </w:rPr>
      </w:pPr>
      <w:r>
        <w:rPr>
          <w:rFonts w:hint="eastAsia" w:hAnsi="宋体" w:cs="新宋体"/>
          <w:szCs w:val="21"/>
          <w:highlight w:val="none"/>
        </w:rPr>
        <w:t>1、乙方船员的报酬标准按照乙方投标标准执行，甲方有权</w:t>
      </w:r>
      <w:r>
        <w:rPr>
          <w:rFonts w:hint="eastAsia" w:hAnsi="宋体" w:cs="新宋体"/>
          <w:szCs w:val="21"/>
          <w:highlight w:val="none"/>
          <w:lang w:val="en-US" w:eastAsia="zh-CN"/>
        </w:rPr>
        <w:t>核查</w:t>
      </w:r>
      <w:r>
        <w:rPr>
          <w:rFonts w:hint="eastAsia" w:hAnsi="宋体" w:cs="新宋体"/>
          <w:szCs w:val="21"/>
          <w:highlight w:val="none"/>
        </w:rPr>
        <w:t>相关工资待遇发放、社会保险费和公积金（五险一金）代扣代缴及个税代扣代缴等情况。</w:t>
      </w:r>
    </w:p>
    <w:p>
      <w:pPr>
        <w:spacing w:line="360" w:lineRule="auto"/>
        <w:ind w:firstLine="424" w:firstLineChars="202"/>
        <w:rPr>
          <w:rFonts w:hAnsi="宋体" w:cs="新宋体"/>
          <w:szCs w:val="21"/>
          <w:highlight w:val="none"/>
        </w:rPr>
      </w:pPr>
      <w:r>
        <w:rPr>
          <w:rFonts w:hint="eastAsia" w:hAnsi="宋体" w:cs="新宋体"/>
          <w:szCs w:val="21"/>
          <w:highlight w:val="none"/>
        </w:rPr>
        <w:t>2、船员出海补助：甲乙双方同意，乙方船员出海时甲方可根据情况给予一定的补助，出海补助可由甲方直接支付给乙方船员。</w:t>
      </w:r>
    </w:p>
    <w:p>
      <w:pPr>
        <w:spacing w:line="360" w:lineRule="auto"/>
        <w:ind w:firstLine="424" w:firstLineChars="202"/>
        <w:rPr>
          <w:rFonts w:hAnsi="宋体" w:cs="新宋体"/>
          <w:szCs w:val="21"/>
          <w:highlight w:val="none"/>
        </w:rPr>
      </w:pPr>
      <w:r>
        <w:rPr>
          <w:rFonts w:hint="eastAsia" w:hAnsi="宋体" w:cs="新宋体"/>
          <w:szCs w:val="21"/>
          <w:highlight w:val="none"/>
        </w:rPr>
        <w:t>3、</w:t>
      </w:r>
      <w:r>
        <w:rPr>
          <w:rFonts w:hAnsi="宋体" w:cs="新宋体"/>
          <w:szCs w:val="21"/>
          <w:highlight w:val="none"/>
        </w:rPr>
        <w:t>甲方向乙方支付的费用包含船员成本费用和管理费用</w:t>
      </w:r>
      <w:r>
        <w:rPr>
          <w:rFonts w:hint="eastAsia" w:hAnsi="宋体" w:cs="新宋体"/>
          <w:szCs w:val="21"/>
          <w:highlight w:val="none"/>
        </w:rPr>
        <w:t>（</w:t>
      </w:r>
      <w:r>
        <w:rPr>
          <w:rFonts w:hAnsi="宋体" w:cs="新宋体"/>
          <w:szCs w:val="21"/>
          <w:highlight w:val="none"/>
        </w:rPr>
        <w:t>所有费用的</w:t>
      </w:r>
      <w:r>
        <w:rPr>
          <w:rFonts w:hint="eastAsia" w:hAnsi="宋体" w:cs="新宋体"/>
          <w:szCs w:val="21"/>
          <w:highlight w:val="none"/>
        </w:rPr>
        <w:t>价格</w:t>
      </w:r>
      <w:r>
        <w:rPr>
          <w:rFonts w:hAnsi="宋体" w:cs="新宋体"/>
          <w:szCs w:val="21"/>
          <w:highlight w:val="none"/>
        </w:rPr>
        <w:t>均为含税</w:t>
      </w:r>
      <w:r>
        <w:rPr>
          <w:rFonts w:hint="eastAsia" w:hAnsi="宋体" w:cs="新宋体"/>
          <w:szCs w:val="21"/>
          <w:highlight w:val="none"/>
        </w:rPr>
        <w:t>价格），</w:t>
      </w:r>
      <w:r>
        <w:rPr>
          <w:rFonts w:hAnsi="宋体" w:cs="新宋体"/>
          <w:szCs w:val="21"/>
          <w:highlight w:val="none"/>
        </w:rPr>
        <w:t>船员成本费用</w:t>
      </w:r>
      <w:r>
        <w:rPr>
          <w:rFonts w:hint="eastAsia" w:hAnsi="宋体" w:cs="新宋体"/>
          <w:szCs w:val="21"/>
          <w:highlight w:val="none"/>
        </w:rPr>
        <w:t>包括基本工资、岗位绩效、社会保险费和公积金（五险一金）单位缴纳部分。</w:t>
      </w:r>
      <w:r>
        <w:rPr>
          <w:rFonts w:hAnsi="宋体" w:cs="新宋体"/>
          <w:szCs w:val="21"/>
          <w:highlight w:val="none"/>
        </w:rPr>
        <w:t>管理费用包含</w:t>
      </w:r>
      <w:r>
        <w:rPr>
          <w:rFonts w:hint="eastAsia" w:hAnsi="宋体" w:cs="新宋体"/>
          <w:szCs w:val="21"/>
          <w:highlight w:val="none"/>
        </w:rPr>
        <w:t>乙方负责办理</w:t>
      </w:r>
      <w:r>
        <w:rPr>
          <w:rFonts w:hAnsi="宋体" w:cs="新宋体"/>
          <w:szCs w:val="21"/>
          <w:highlight w:val="none"/>
        </w:rPr>
        <w:t>用工手续办理、人员工资发放、劳保福利和社会劳动保险的代扣代缴、计划生育管理费、残疾人就业保障金、上下船路费、向采购人开具的发票税金等劳动用工管理及完成本项目所产生的全部费用、风险费用及企业利润等全部费用。</w:t>
      </w:r>
      <w:r>
        <w:rPr>
          <w:rFonts w:hint="eastAsia" w:hAnsi="宋体" w:cs="新宋体"/>
          <w:szCs w:val="21"/>
          <w:highlight w:val="none"/>
        </w:rPr>
        <w:t>乙方收取的管理费用（即乙方的服务报酬），按照实际发生船员成本费用总额的</w:t>
      </w:r>
      <w:r>
        <w:rPr>
          <w:rFonts w:hint="eastAsia" w:hAnsi="宋体" w:cs="新宋体"/>
          <w:szCs w:val="21"/>
          <w:highlight w:val="none"/>
          <w:u w:val="single"/>
        </w:rPr>
        <w:t xml:space="preserve">    </w:t>
      </w:r>
      <w:r>
        <w:rPr>
          <w:rFonts w:hint="eastAsia" w:hAnsi="宋体" w:cs="新宋体"/>
          <w:szCs w:val="21"/>
          <w:highlight w:val="none"/>
        </w:rPr>
        <w:t>%计算。</w:t>
      </w:r>
    </w:p>
    <w:p>
      <w:pPr>
        <w:spacing w:line="360" w:lineRule="auto"/>
        <w:ind w:firstLine="424" w:firstLineChars="202"/>
        <w:rPr>
          <w:rFonts w:hAnsi="宋体" w:cs="新宋体"/>
          <w:szCs w:val="21"/>
          <w:highlight w:val="none"/>
        </w:rPr>
      </w:pPr>
      <w:r>
        <w:rPr>
          <w:rFonts w:hint="eastAsia" w:hAnsi="宋体" w:cs="新宋体"/>
          <w:szCs w:val="21"/>
          <w:highlight w:val="none"/>
        </w:rPr>
        <w:t>4、结算票据：</w:t>
      </w:r>
    </w:p>
    <w:p>
      <w:pPr>
        <w:spacing w:line="360" w:lineRule="auto"/>
        <w:ind w:firstLine="424" w:firstLineChars="202"/>
        <w:rPr>
          <w:rFonts w:hAnsi="宋体" w:cs="新宋体"/>
          <w:szCs w:val="21"/>
          <w:highlight w:val="none"/>
        </w:rPr>
      </w:pPr>
      <w:r>
        <w:rPr>
          <w:rFonts w:hint="eastAsia" w:hAnsi="宋体" w:cs="新宋体"/>
          <w:szCs w:val="21"/>
          <w:highlight w:val="none"/>
        </w:rPr>
        <w:t>（1）乙方收取甲方的服务费用（含税费）应向甲方提供等额正式发票；</w:t>
      </w:r>
    </w:p>
    <w:p>
      <w:pPr>
        <w:spacing w:line="360" w:lineRule="auto"/>
        <w:ind w:firstLine="424" w:firstLineChars="202"/>
        <w:rPr>
          <w:rFonts w:hAnsi="宋体" w:cs="新宋体"/>
          <w:szCs w:val="21"/>
          <w:highlight w:val="none"/>
        </w:rPr>
      </w:pPr>
      <w:r>
        <w:rPr>
          <w:rFonts w:hint="eastAsia" w:hAnsi="宋体" w:cs="新宋体"/>
          <w:szCs w:val="21"/>
          <w:highlight w:val="none"/>
        </w:rPr>
        <w:t>（2）乙方发放的船员工资，应向甲方提供工资发放凭据；</w:t>
      </w:r>
    </w:p>
    <w:p>
      <w:pPr>
        <w:spacing w:line="360" w:lineRule="auto"/>
        <w:ind w:firstLine="424" w:firstLineChars="202"/>
        <w:rPr>
          <w:rFonts w:hint="eastAsia" w:hAnsi="宋体" w:cs="新宋体"/>
          <w:szCs w:val="21"/>
          <w:highlight w:val="none"/>
        </w:rPr>
      </w:pPr>
      <w:r>
        <w:rPr>
          <w:rFonts w:hint="eastAsia" w:hAnsi="宋体" w:cs="新宋体"/>
          <w:szCs w:val="21"/>
          <w:highlight w:val="none"/>
        </w:rPr>
        <w:t>（3）乙方代扣的船员社保费、公积金以及其他费用，应向甲方提供代扣代缴存的凭据。</w:t>
      </w:r>
    </w:p>
    <w:p>
      <w:pPr>
        <w:pStyle w:val="2"/>
        <w:ind w:firstLine="420" w:firstLineChars="200"/>
        <w:rPr>
          <w:highlight w:val="none"/>
        </w:rPr>
      </w:pPr>
      <w:r>
        <w:rPr>
          <w:rFonts w:hint="eastAsia" w:hAnsi="宋体" w:cs="新宋体"/>
          <w:szCs w:val="21"/>
          <w:highlight w:val="none"/>
        </w:rPr>
        <w:t>5、支付方式</w:t>
      </w:r>
    </w:p>
    <w:p>
      <w:pPr>
        <w:spacing w:line="360" w:lineRule="auto"/>
        <w:ind w:firstLine="424" w:firstLineChars="202"/>
        <w:rPr>
          <w:highlight w:val="none"/>
        </w:rPr>
      </w:pPr>
      <w:r>
        <w:rPr>
          <w:rFonts w:hint="eastAsia" w:hAnsi="宋体" w:cs="新宋体"/>
          <w:szCs w:val="21"/>
          <w:highlight w:val="none"/>
          <w:lang w:val="en-US" w:eastAsia="zh-CN"/>
        </w:rPr>
        <w:t>乙方根据甲方确认的考核方案每月5日前完成上月船员考核（包括船舶实际配员和船员考勤），每月10日前根据考核结果和合同要求编制上月《船员工资费用明细表》，并提交采购人审核，审核</w:t>
      </w:r>
      <w:r>
        <w:rPr>
          <w:rFonts w:hint="eastAsia" w:hAnsi="宋体" w:cs="新宋体"/>
          <w:szCs w:val="21"/>
          <w:highlight w:val="none"/>
        </w:rPr>
        <w:t>无异议后，乙方按明细表在3个</w:t>
      </w:r>
      <w:r>
        <w:rPr>
          <w:rFonts w:hint="eastAsia" w:hAnsi="宋体" w:cs="新宋体"/>
          <w:szCs w:val="21"/>
          <w:highlight w:val="none"/>
          <w:lang w:eastAsia="zh-CN"/>
        </w:rPr>
        <w:t>工作</w:t>
      </w:r>
      <w:r>
        <w:rPr>
          <w:rFonts w:hint="eastAsia" w:hAnsi="宋体" w:cs="新宋体"/>
          <w:szCs w:val="21"/>
          <w:highlight w:val="none"/>
        </w:rPr>
        <w:t>日内发放</w:t>
      </w:r>
      <w:r>
        <w:rPr>
          <w:rFonts w:hint="eastAsia" w:hAnsi="宋体" w:cs="新宋体"/>
          <w:szCs w:val="21"/>
          <w:highlight w:val="none"/>
          <w:lang w:val="en-US" w:eastAsia="zh-CN"/>
        </w:rPr>
        <w:t>上月</w:t>
      </w:r>
      <w:r>
        <w:rPr>
          <w:rFonts w:hint="eastAsia" w:hAnsi="宋体" w:cs="新宋体"/>
          <w:szCs w:val="21"/>
          <w:highlight w:val="none"/>
        </w:rPr>
        <w:t xml:space="preserve">船员工资。工资发放后乙方按本合同 </w:t>
      </w:r>
      <w:r>
        <w:rPr>
          <w:rFonts w:hint="eastAsia" w:hAnsi="宋体" w:cs="新宋体"/>
          <w:b/>
          <w:szCs w:val="21"/>
          <w:highlight w:val="none"/>
          <w:u w:val="single"/>
        </w:rPr>
        <w:t>第十条第4款、结算票据</w:t>
      </w:r>
      <w:r>
        <w:rPr>
          <w:rFonts w:hint="eastAsia" w:hAnsi="宋体" w:cs="新宋体"/>
          <w:b/>
          <w:szCs w:val="21"/>
          <w:highlight w:val="none"/>
        </w:rPr>
        <w:t xml:space="preserve"> </w:t>
      </w:r>
      <w:r>
        <w:rPr>
          <w:rFonts w:hint="eastAsia" w:hAnsi="宋体" w:cs="新宋体"/>
          <w:szCs w:val="21"/>
          <w:highlight w:val="none"/>
        </w:rPr>
        <w:t>将工资发放凭据、发票等结算票据提供甲方。甲方于收到结算票据后5个工作日内将费用汇入乙方指定账号。（上述时间节点如遇节假日则相应顺延）</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船员工资费用明细表应包括以下项目： </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（1）船员基本工资； </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（2）船员岗位绩效工资；  </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（3）社会保险费； </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（4）商业保险费； </w:t>
      </w:r>
    </w:p>
    <w:p>
      <w:pPr>
        <w:spacing w:line="360" w:lineRule="auto"/>
        <w:ind w:firstLine="424" w:firstLineChars="202"/>
        <w:rPr>
          <w:rFonts w:hAnsi="宋体" w:cs="新宋体"/>
          <w:szCs w:val="21"/>
          <w:highlight w:val="none"/>
        </w:rPr>
      </w:pPr>
      <w:r>
        <w:rPr>
          <w:rFonts w:hint="eastAsia" w:hAnsi="宋体" w:cs="新宋体"/>
          <w:szCs w:val="21"/>
          <w:highlight w:val="none"/>
        </w:rPr>
        <w:t xml:space="preserve">（5）船员管理费。 </w:t>
      </w:r>
    </w:p>
    <w:p>
      <w:pPr>
        <w:spacing w:line="360" w:lineRule="auto"/>
        <w:ind w:firstLine="424" w:firstLineChars="202"/>
        <w:rPr>
          <w:rFonts w:hAnsi="宋体" w:cs="新宋体"/>
          <w:szCs w:val="21"/>
          <w:highlight w:val="none"/>
        </w:rPr>
      </w:pPr>
      <w:r>
        <w:rPr>
          <w:rFonts w:hint="eastAsia" w:hAnsi="宋体" w:cs="新宋体"/>
          <w:szCs w:val="21"/>
          <w:highlight w:val="none"/>
        </w:rPr>
        <w:t>因甲方使用的是财政资金，前款规定的甲方付款时间为甲方向政府财政支付部门提出办理财政支付申请手续的时间（不含政府财政支付部门审核拨付的时间）。</w:t>
      </w:r>
    </w:p>
    <w:p>
      <w:pPr>
        <w:spacing w:line="360" w:lineRule="auto"/>
        <w:ind w:firstLine="424" w:firstLineChars="202"/>
        <w:rPr>
          <w:rFonts w:hint="default" w:eastAsia="宋体"/>
          <w:highlight w:val="none"/>
          <w:lang w:val="en-US" w:eastAsia="zh-CN"/>
        </w:rPr>
      </w:pPr>
      <w:r>
        <w:rPr>
          <w:rFonts w:hint="eastAsia" w:hAnsi="宋体" w:cs="新宋体"/>
          <w:szCs w:val="21"/>
          <w:highlight w:val="none"/>
        </w:rPr>
        <w:t>乙方</w:t>
      </w:r>
      <w:r>
        <w:rPr>
          <w:rFonts w:hint="eastAsia" w:hAnsi="宋体" w:cs="新宋体"/>
          <w:szCs w:val="21"/>
          <w:highlight w:val="none"/>
          <w:lang w:val="en-US" w:eastAsia="zh-CN"/>
        </w:rPr>
        <w:t>应当按合同约定及时发放</w:t>
      </w:r>
      <w:r>
        <w:rPr>
          <w:rFonts w:hint="eastAsia" w:hAnsi="宋体" w:cs="新宋体"/>
          <w:szCs w:val="21"/>
          <w:highlight w:val="none"/>
        </w:rPr>
        <w:t>船员工资。如因财政拨款等客观因素造成甲方延期结算费用的，乙方承诺保证船员工资正常发放，以保障甲方船舶正常运转和甲方工作的正常开展。</w:t>
      </w:r>
    </w:p>
    <w:p>
      <w:pPr>
        <w:spacing w:line="360" w:lineRule="auto"/>
        <w:ind w:firstLine="426" w:firstLineChars="202"/>
        <w:rPr>
          <w:rFonts w:hint="eastAsia" w:hAnsi="宋体"/>
          <w:b/>
          <w:bCs/>
          <w:szCs w:val="21"/>
          <w:highlight w:val="none"/>
        </w:rPr>
      </w:pPr>
      <w:r>
        <w:rPr>
          <w:rFonts w:hint="eastAsia" w:hAnsi="宋体"/>
          <w:b/>
          <w:bCs/>
          <w:szCs w:val="21"/>
          <w:highlight w:val="none"/>
        </w:rPr>
        <w:t>注：乙方明确同意，合同服务期内，甲方实际需求量未达到招标需求量的，按照甲方实际需求量执行；乙方应收取的管理费用，按第十条第</w:t>
      </w:r>
      <w:r>
        <w:rPr>
          <w:rFonts w:hAnsi="宋体"/>
          <w:b/>
          <w:bCs/>
          <w:szCs w:val="21"/>
          <w:highlight w:val="none"/>
        </w:rPr>
        <w:t>3</w:t>
      </w:r>
      <w:r>
        <w:rPr>
          <w:rFonts w:hint="eastAsia" w:hAnsi="宋体"/>
          <w:b/>
          <w:bCs/>
          <w:szCs w:val="21"/>
          <w:highlight w:val="none"/>
        </w:rPr>
        <w:t>款的约定的实际发生船员成本费用总额的</w:t>
      </w:r>
      <w:r>
        <w:rPr>
          <w:rFonts w:hint="eastAsia" w:hAnsi="宋体"/>
          <w:b/>
          <w:bCs/>
          <w:szCs w:val="21"/>
          <w:highlight w:val="none"/>
          <w:u w:val="single"/>
        </w:rPr>
        <w:t xml:space="preserve">    </w:t>
      </w:r>
      <w:r>
        <w:rPr>
          <w:rFonts w:hAnsi="宋体"/>
          <w:b/>
          <w:bCs/>
          <w:szCs w:val="21"/>
          <w:highlight w:val="none"/>
        </w:rPr>
        <w:t>%</w:t>
      </w:r>
      <w:r>
        <w:rPr>
          <w:rFonts w:hint="eastAsia" w:hAnsi="宋体"/>
          <w:b/>
          <w:bCs/>
          <w:szCs w:val="21"/>
          <w:highlight w:val="none"/>
        </w:rPr>
        <w:t>进行结算。实际支出的船员成本和相应管理费据实结算。</w:t>
      </w:r>
    </w:p>
    <w:p>
      <w:pPr>
        <w:tabs>
          <w:tab w:val="left" w:pos="709"/>
        </w:tabs>
        <w:spacing w:beforeLines="50" w:afterLines="50" w:line="360" w:lineRule="auto"/>
        <w:outlineLvl w:val="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第十一条</w:t>
      </w: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b/>
          <w:bCs/>
          <w:sz w:val="21"/>
          <w:szCs w:val="21"/>
          <w:highlight w:val="none"/>
          <w:lang w:val="en-US" w:eastAsia="zh-CN"/>
        </w:rPr>
        <w:t>船员服务</w:t>
      </w:r>
      <w:r>
        <w:rPr>
          <w:rFonts w:hint="eastAsia" w:asciiTheme="minorEastAsia" w:hAnsiTheme="minorEastAsia" w:eastAsiaTheme="minorEastAsia" w:cstheme="minorEastAsia"/>
          <w:b/>
          <w:bCs/>
          <w:sz w:val="21"/>
          <w:szCs w:val="21"/>
          <w:highlight w:val="none"/>
        </w:rPr>
        <w:t>考核及处理</w:t>
      </w:r>
    </w:p>
    <w:p>
      <w:pPr>
        <w:pStyle w:val="2"/>
        <w:spacing w:line="360" w:lineRule="auto"/>
        <w:ind w:firstLine="420" w:firstLineChars="200"/>
        <w:outlineLvl w:val="3"/>
        <w:rPr>
          <w:rFonts w:hint="eastAsia" w:ascii="宋体" w:hAnsi="宋体" w:eastAsia="宋体" w:cs="新宋体"/>
          <w:b w:val="0"/>
          <w:sz w:val="21"/>
          <w:szCs w:val="21"/>
          <w:highlight w:val="none"/>
        </w:rPr>
      </w:pPr>
      <w:r>
        <w:rPr>
          <w:rFonts w:hint="eastAsia" w:ascii="宋体" w:hAnsi="宋体" w:eastAsia="宋体" w:cs="新宋体"/>
          <w:b w:val="0"/>
          <w:sz w:val="21"/>
          <w:szCs w:val="21"/>
          <w:highlight w:val="none"/>
          <w:lang w:eastAsia="zh-CN"/>
        </w:rPr>
        <w:t>1、</w:t>
      </w:r>
      <w:r>
        <w:rPr>
          <w:rFonts w:hint="eastAsia" w:ascii="宋体" w:hAnsi="宋体" w:eastAsia="宋体" w:cs="新宋体"/>
          <w:b w:val="0"/>
          <w:sz w:val="21"/>
          <w:szCs w:val="21"/>
          <w:highlight w:val="none"/>
        </w:rPr>
        <w:t>考核办法</w:t>
      </w:r>
    </w:p>
    <w:p>
      <w:pPr>
        <w:pStyle w:val="2"/>
        <w:spacing w:beforeLines="50" w:line="360" w:lineRule="auto"/>
        <w:ind w:left="102" w:firstLine="420" w:firstLineChars="200"/>
        <w:rPr>
          <w:rFonts w:hint="eastAsia" w:ascii="宋体" w:hAnsi="宋体" w:eastAsia="宋体" w:cs="新宋体"/>
          <w:sz w:val="21"/>
          <w:szCs w:val="21"/>
          <w:highlight w:val="none"/>
        </w:rPr>
      </w:pPr>
      <w:r>
        <w:rPr>
          <w:rFonts w:hint="eastAsia" w:ascii="宋体" w:hAnsi="宋体" w:eastAsia="宋体" w:cs="新宋体"/>
          <w:sz w:val="21"/>
          <w:szCs w:val="21"/>
          <w:highlight w:val="none"/>
          <w:lang w:eastAsia="zh-CN"/>
        </w:rPr>
        <w:t>甲方</w:t>
      </w:r>
      <w:r>
        <w:rPr>
          <w:rFonts w:hint="eastAsia" w:ascii="宋体" w:hAnsi="宋体" w:eastAsia="宋体" w:cs="新宋体"/>
          <w:sz w:val="21"/>
          <w:szCs w:val="21"/>
          <w:highlight w:val="none"/>
        </w:rPr>
        <w:t>每月对</w:t>
      </w:r>
      <w:r>
        <w:rPr>
          <w:rFonts w:hint="eastAsia" w:ascii="宋体" w:hAnsi="宋体" w:eastAsia="宋体" w:cs="新宋体"/>
          <w:sz w:val="21"/>
          <w:szCs w:val="21"/>
          <w:highlight w:val="none"/>
          <w:lang w:val="en-US" w:eastAsia="zh-CN"/>
        </w:rPr>
        <w:t>乙方的</w:t>
      </w:r>
      <w:r>
        <w:rPr>
          <w:rFonts w:hint="eastAsia" w:ascii="宋体" w:hAnsi="宋体" w:eastAsia="宋体" w:cs="新宋体"/>
          <w:sz w:val="21"/>
          <w:szCs w:val="21"/>
          <w:highlight w:val="none"/>
        </w:rPr>
        <w:t>船员服务进行考核，考核实行扣分制，即基础分100分，在此基础上出现各种违规行为（详见考核标准）扣减一定分值，每月得分将作为履约合同的重要依据。</w:t>
      </w:r>
    </w:p>
    <w:p>
      <w:pPr>
        <w:pStyle w:val="2"/>
        <w:widowControl/>
        <w:spacing w:line="360" w:lineRule="auto"/>
        <w:ind w:firstLine="420"/>
        <w:jc w:val="both"/>
        <w:rPr>
          <w:rFonts w:hint="eastAsia" w:hAnsi="宋体" w:cs="新宋体"/>
          <w:b w:val="0"/>
          <w:sz w:val="21"/>
          <w:szCs w:val="21"/>
          <w:highlight w:val="none"/>
        </w:rPr>
      </w:pPr>
      <w:r>
        <w:rPr>
          <w:rFonts w:hint="eastAsia" w:ascii="宋体" w:hAnsi="宋体" w:eastAsia="宋体" w:cs="新宋体"/>
          <w:b w:val="0"/>
          <w:sz w:val="21"/>
          <w:szCs w:val="21"/>
          <w:highlight w:val="none"/>
          <w:lang w:eastAsia="zh-CN"/>
        </w:rPr>
        <w:t>2、</w:t>
      </w:r>
      <w:r>
        <w:rPr>
          <w:rFonts w:hint="eastAsia" w:ascii="宋体" w:hAnsi="宋体" w:eastAsia="宋体" w:cs="新宋体"/>
          <w:b w:val="0"/>
          <w:sz w:val="21"/>
          <w:szCs w:val="21"/>
          <w:highlight w:val="none"/>
        </w:rPr>
        <w:t>考核标准</w:t>
      </w:r>
      <w:r>
        <w:rPr>
          <w:rFonts w:hint="eastAsia" w:hAnsi="宋体" w:cs="新宋体"/>
          <w:b w:val="0"/>
          <w:sz w:val="21"/>
          <w:szCs w:val="21"/>
          <w:highlight w:val="none"/>
        </w:rPr>
        <w:br w:type="page"/>
      </w:r>
    </w:p>
    <w:p>
      <w:pPr>
        <w:widowControl/>
        <w:rPr>
          <w:rFonts w:hAnsi="宋体"/>
          <w:b/>
          <w:highlight w:val="none"/>
        </w:rPr>
      </w:pPr>
    </w:p>
    <w:tbl>
      <w:tblPr>
        <w:tblStyle w:val="49"/>
        <w:tblW w:w="9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543"/>
        <w:gridCol w:w="752"/>
        <w:gridCol w:w="754"/>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40" w:type="dxa"/>
            <w:gridSpan w:val="5"/>
            <w:tcBorders>
              <w:top w:val="nil"/>
              <w:left w:val="nil"/>
              <w:bottom w:val="single" w:color="auto" w:sz="4" w:space="0"/>
              <w:right w:val="nil"/>
            </w:tcBorders>
            <w:vAlign w:val="center"/>
          </w:tcPr>
          <w:p>
            <w:pPr>
              <w:widowControl/>
              <w:spacing w:after="0" w:line="240" w:lineRule="auto"/>
              <w:jc w:val="center"/>
              <w:rPr>
                <w:rFonts w:ascii="仿宋" w:hAnsi="仿宋" w:eastAsia="仿宋" w:cs="仿宋"/>
                <w:sz w:val="24"/>
                <w:highlight w:val="none"/>
                <w:u w:val="single"/>
              </w:rPr>
            </w:pPr>
            <w:r>
              <w:rPr>
                <w:rFonts w:hint="eastAsia" w:hAnsi="宋体"/>
                <w:b/>
                <w:sz w:val="28"/>
                <w:highlight w:val="none"/>
              </w:rPr>
              <w:t>船员服务考核标准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总分：100分（月度评分100分为满分，月度评分低于80分为不合格, 80分以下每少1分将扣除当月管理费用的0.5％，低于60分超过3次，视为中标人</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乙方</w:t>
            </w:r>
            <w:r>
              <w:rPr>
                <w:rFonts w:hint="eastAsia" w:ascii="仿宋" w:hAnsi="仿宋" w:eastAsia="仿宋" w:cs="仿宋"/>
                <w:sz w:val="24"/>
                <w:highlight w:val="none"/>
                <w:lang w:eastAsia="zh-CN"/>
              </w:rPr>
              <w:t>）</w:t>
            </w:r>
            <w:r>
              <w:rPr>
                <w:rFonts w:hint="eastAsia" w:ascii="仿宋" w:hAnsi="仿宋" w:eastAsia="仿宋" w:cs="仿宋"/>
                <w:sz w:val="24"/>
                <w:highlight w:val="none"/>
              </w:rPr>
              <w:t>违约，采购人</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甲方</w:t>
            </w:r>
            <w:r>
              <w:rPr>
                <w:rFonts w:hint="eastAsia" w:ascii="仿宋" w:hAnsi="仿宋" w:eastAsia="仿宋" w:cs="仿宋"/>
                <w:sz w:val="24"/>
                <w:highlight w:val="none"/>
                <w:lang w:eastAsia="zh-CN"/>
              </w:rPr>
              <w:t>）</w:t>
            </w:r>
            <w:r>
              <w:rPr>
                <w:rFonts w:hint="eastAsia" w:ascii="仿宋" w:hAnsi="仿宋" w:eastAsia="仿宋" w:cs="仿宋"/>
                <w:sz w:val="24"/>
                <w:highlight w:val="none"/>
              </w:rPr>
              <w:t>有权解除合同并将相关情况上报同级政府采购监督管理部门和有关部门。）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考核内容</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扣分</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考核</w:t>
            </w:r>
          </w:p>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日期</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一</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各个岗位派遣人员落实情况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101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未按要求派遣足够人员到岗、或派遣人员缺勤、或在</w:t>
            </w:r>
            <w:r>
              <w:rPr>
                <w:rFonts w:hint="eastAsia" w:ascii="仿宋" w:hAnsi="仿宋" w:eastAsia="仿宋" w:cs="仿宋"/>
                <w:sz w:val="24"/>
                <w:highlight w:val="none"/>
                <w:lang w:val="en-US" w:eastAsia="zh-CN"/>
              </w:rPr>
              <w:t>发生</w:t>
            </w:r>
            <w:r>
              <w:rPr>
                <w:rFonts w:hint="eastAsia" w:ascii="仿宋" w:hAnsi="仿宋" w:eastAsia="仿宋" w:cs="仿宋"/>
                <w:sz w:val="24"/>
                <w:highlight w:val="none"/>
              </w:rPr>
              <w:t>被派遣人员被退回或离职的情况下未按要求及时补充适格人员，每缺1人次/天扣5分（如缺每1人达到1天扣5分）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二</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派遣工作人员工作态度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201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用人部门投诉被派遣工作人员不听劝导，工作态度差，经查核实的（每人次扣1分）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三</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乙方所派的船员工作失误的原因严重影响船舶安全或造成事故等，并经查实的（小事故每次扣30分，一般事故每次扣50分，大事故及以上等级事故的每次扣100分）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302</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乙方承诺各类响应时间未及时响应（本表序号101外的事项）（每超时1天扣5分）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303</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乙方对其所派的船员考核不到位，未按双方确认的考核标准实际准确考核，存在包庇人员、隐瞒问题的（每人次扣5分）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四</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派遣人员的工作质量和效率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401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用人部门有投诉被派遣人员工作质量有所下降，欠缺工作积极性的（每人次扣2分）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五</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501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被派遣工作人员违反用人单位的规章制度的（每人次扣5分）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六</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兼职影响工作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601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被派遣人员在外兼职，对完成船舶的工作任务造成严重影响，拒不改正的（每人次扣10分）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七</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b/>
                <w:sz w:val="24"/>
                <w:highlight w:val="none"/>
              </w:rPr>
              <w:t>管理不善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701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未按时发放船员工资（每超期一天扣1分）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702</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未按规定为船员缴纳社会保险费用、住房公积金等情况（每发生一次扣10分）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八</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b/>
                <w:sz w:val="24"/>
                <w:highlight w:val="none"/>
              </w:rPr>
              <w:t>改善落实情况及其他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801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在近三个月内投诉情况类同、相同工作中存在不良现象的，经查属实的（每发生一次扣5分）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186" w:type="dxa"/>
            <w:gridSpan w:val="2"/>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b/>
                <w:sz w:val="24"/>
                <w:highlight w:val="none"/>
              </w:rPr>
            </w:pPr>
            <w:r>
              <w:rPr>
                <w:rFonts w:hint="eastAsia" w:ascii="仿宋" w:hAnsi="仿宋" w:eastAsia="仿宋" w:cs="仿宋"/>
                <w:b/>
                <w:sz w:val="24"/>
                <w:highlight w:val="none"/>
              </w:rPr>
              <w:t>合计:</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hint="eastAsia"/>
                <w:highlight w:val="none"/>
              </w:rPr>
            </w:pPr>
            <w:r>
              <w:rPr>
                <w:rFonts w:hint="eastAsia"/>
                <w:highlight w:val="none"/>
                <w:lang w:val="en-US" w:eastAsia="zh-CN"/>
              </w:rPr>
              <w:t>甲方考核组意见</w:t>
            </w:r>
            <w:r>
              <w:rPr>
                <w:rFonts w:hint="eastAsia"/>
                <w:highlight w:val="none"/>
              </w:rPr>
              <w:t>：</w:t>
            </w:r>
          </w:p>
          <w:p>
            <w:pPr>
              <w:pStyle w:val="2"/>
              <w:rPr>
                <w:rFonts w:hint="eastAsia"/>
                <w:highlight w:val="none"/>
              </w:rPr>
            </w:pPr>
          </w:p>
          <w:p>
            <w:pPr>
              <w:pStyle w:val="3"/>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签字：</w:t>
            </w:r>
          </w:p>
          <w:p>
            <w:pPr>
              <w:pStyle w:val="3"/>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hint="eastAsia"/>
                <w:highlight w:val="none"/>
              </w:rPr>
            </w:pPr>
            <w:r>
              <w:rPr>
                <w:rFonts w:hint="eastAsia"/>
                <w:highlight w:val="none"/>
                <w:lang w:val="en-US" w:eastAsia="zh-CN"/>
              </w:rPr>
              <w:t>被</w:t>
            </w:r>
            <w:r>
              <w:rPr>
                <w:rFonts w:hint="eastAsia"/>
                <w:highlight w:val="none"/>
              </w:rPr>
              <w:t>考核单位</w:t>
            </w:r>
            <w:r>
              <w:rPr>
                <w:rFonts w:hint="eastAsia"/>
                <w:highlight w:val="none"/>
                <w:lang w:eastAsia="zh-CN"/>
              </w:rPr>
              <w:t>（</w:t>
            </w:r>
            <w:r>
              <w:rPr>
                <w:rFonts w:hint="eastAsia"/>
                <w:highlight w:val="none"/>
                <w:lang w:val="en-US" w:eastAsia="zh-CN"/>
              </w:rPr>
              <w:t>乙方</w:t>
            </w:r>
            <w:r>
              <w:rPr>
                <w:rFonts w:hint="eastAsia"/>
                <w:highlight w:val="none"/>
                <w:lang w:eastAsia="zh-CN"/>
              </w:rPr>
              <w:t>）</w:t>
            </w:r>
            <w:r>
              <w:rPr>
                <w:rFonts w:hint="eastAsia"/>
                <w:highlight w:val="none"/>
                <w:lang w:val="en-US" w:eastAsia="zh-CN"/>
              </w:rPr>
              <w:t>意见</w:t>
            </w:r>
            <w:r>
              <w:rPr>
                <w:rFonts w:hint="eastAsia"/>
                <w:highlight w:val="none"/>
              </w:rPr>
              <w:t>：</w:t>
            </w:r>
          </w:p>
          <w:p>
            <w:pPr>
              <w:pStyle w:val="3"/>
              <w:rPr>
                <w:rFonts w:hint="eastAsia" w:ascii="仿宋" w:hAnsi="仿宋" w:eastAsia="仿宋" w:cs="仿宋"/>
                <w:sz w:val="24"/>
                <w:highlight w:val="none"/>
              </w:rPr>
            </w:pPr>
          </w:p>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lang w:val="en-US" w:eastAsia="zh-CN"/>
              </w:rPr>
              <w:t>签字：</w:t>
            </w:r>
          </w:p>
        </w:tc>
      </w:tr>
    </w:tbl>
    <w:p>
      <w:pPr>
        <w:pStyle w:val="3"/>
        <w:rPr>
          <w:rFonts w:hint="eastAsia" w:hAnsi="宋体"/>
          <w:b/>
          <w:bCs/>
          <w:szCs w:val="21"/>
          <w:highlight w:val="none"/>
        </w:rPr>
      </w:pPr>
    </w:p>
    <w:p>
      <w:pPr>
        <w:spacing w:line="360" w:lineRule="auto"/>
        <w:rPr>
          <w:rFonts w:hAnsi="宋体" w:cs="Arial Unicode MS"/>
          <w:b/>
          <w:szCs w:val="21"/>
          <w:highlight w:val="none"/>
        </w:rPr>
      </w:pPr>
      <w:r>
        <w:rPr>
          <w:rFonts w:hAnsi="宋体" w:cs="Arial Unicode MS"/>
          <w:b/>
          <w:szCs w:val="21"/>
          <w:highlight w:val="none"/>
        </w:rPr>
        <w:t>第十</w:t>
      </w:r>
      <w:r>
        <w:rPr>
          <w:rFonts w:hint="eastAsia" w:hAnsi="宋体" w:cs="Arial Unicode MS"/>
          <w:b/>
          <w:szCs w:val="21"/>
          <w:highlight w:val="none"/>
          <w:lang w:val="en-US" w:eastAsia="zh-CN"/>
        </w:rPr>
        <w:t>二</w:t>
      </w:r>
      <w:r>
        <w:rPr>
          <w:rFonts w:hAnsi="宋体" w:cs="Arial Unicode MS"/>
          <w:b/>
          <w:szCs w:val="21"/>
          <w:highlight w:val="none"/>
        </w:rPr>
        <w:t>条 合同的变更、转移</w:t>
      </w:r>
    </w:p>
    <w:p>
      <w:pPr>
        <w:spacing w:line="360" w:lineRule="auto"/>
        <w:ind w:firstLine="424" w:firstLineChars="202"/>
        <w:rPr>
          <w:rFonts w:hAnsi="宋体" w:cs="新宋体"/>
          <w:szCs w:val="21"/>
          <w:highlight w:val="none"/>
        </w:rPr>
      </w:pPr>
      <w:r>
        <w:rPr>
          <w:rFonts w:hAnsi="宋体" w:cs="新宋体"/>
          <w:szCs w:val="21"/>
          <w:highlight w:val="none"/>
        </w:rPr>
        <w:t>1、合同的变更：本合同签订后，甲乙双方必须严格执行，任何一方不得擅自变更合同条款，但经双方平等友好协商，可以对本合同部分条款进行修改或补充，修改或补充</w:t>
      </w:r>
      <w:r>
        <w:rPr>
          <w:rFonts w:hint="eastAsia" w:hAnsi="宋体" w:cs="新宋体"/>
          <w:szCs w:val="21"/>
          <w:highlight w:val="none"/>
        </w:rPr>
        <w:t>的条款以书面形式</w:t>
      </w:r>
      <w:r>
        <w:rPr>
          <w:rFonts w:hAnsi="宋体" w:cs="新宋体"/>
          <w:szCs w:val="21"/>
          <w:highlight w:val="none"/>
        </w:rPr>
        <w:t>自双方签字盖章之日起生效</w:t>
      </w:r>
      <w:r>
        <w:rPr>
          <w:rFonts w:hint="eastAsia" w:hAnsi="宋体" w:cs="新宋体"/>
          <w:szCs w:val="21"/>
          <w:highlight w:val="none"/>
        </w:rPr>
        <w:t>，成为本合同的组成部分</w:t>
      </w:r>
      <w:r>
        <w:rPr>
          <w:rFonts w:hAnsi="宋体" w:cs="新宋体"/>
          <w:szCs w:val="21"/>
          <w:highlight w:val="none"/>
        </w:rPr>
        <w:t>。</w:t>
      </w:r>
    </w:p>
    <w:p>
      <w:pPr>
        <w:spacing w:line="360" w:lineRule="auto"/>
        <w:ind w:firstLine="424" w:firstLineChars="202"/>
        <w:rPr>
          <w:rFonts w:hAnsi="宋体" w:cs="新宋体"/>
          <w:szCs w:val="21"/>
          <w:highlight w:val="none"/>
        </w:rPr>
      </w:pPr>
      <w:r>
        <w:rPr>
          <w:rFonts w:hAnsi="宋体" w:cs="新宋体"/>
          <w:szCs w:val="21"/>
          <w:highlight w:val="none"/>
        </w:rPr>
        <w:t>2、合同义务的转移：</w:t>
      </w:r>
      <w:r>
        <w:rPr>
          <w:rFonts w:hint="eastAsia" w:hAnsi="宋体" w:cs="新宋体"/>
          <w:szCs w:val="21"/>
          <w:highlight w:val="none"/>
        </w:rPr>
        <w:t>乙方不得将其在本合同项下的任何义务转移给第三方。</w:t>
      </w:r>
    </w:p>
    <w:p>
      <w:pPr>
        <w:spacing w:line="360" w:lineRule="auto"/>
        <w:rPr>
          <w:rFonts w:hAnsi="宋体" w:cs="Arial Unicode MS"/>
          <w:b/>
          <w:szCs w:val="21"/>
          <w:highlight w:val="none"/>
        </w:rPr>
      </w:pPr>
      <w:r>
        <w:rPr>
          <w:rFonts w:hAnsi="宋体" w:cs="Arial Unicode MS"/>
          <w:b/>
          <w:szCs w:val="21"/>
          <w:highlight w:val="none"/>
        </w:rPr>
        <w:t>第十</w:t>
      </w:r>
      <w:r>
        <w:rPr>
          <w:rFonts w:hint="eastAsia" w:hAnsi="宋体" w:cs="Arial Unicode MS"/>
          <w:b/>
          <w:szCs w:val="21"/>
          <w:highlight w:val="none"/>
          <w:lang w:val="en-US" w:eastAsia="zh-CN"/>
        </w:rPr>
        <w:t>三</w:t>
      </w:r>
      <w:r>
        <w:rPr>
          <w:rFonts w:hAnsi="宋体" w:cs="Arial Unicode MS"/>
          <w:b/>
          <w:szCs w:val="21"/>
          <w:highlight w:val="none"/>
        </w:rPr>
        <w:t>条 合同生效与终止</w:t>
      </w:r>
      <w:r>
        <w:rPr>
          <w:rFonts w:hint="eastAsia" w:hAnsi="宋体" w:cs="Arial Unicode MS"/>
          <w:b/>
          <w:szCs w:val="21"/>
          <w:highlight w:val="none"/>
        </w:rPr>
        <w:t>（以下条款包含甲方有权单方面终止（解除）合同的情形，请乙方留意）</w:t>
      </w:r>
    </w:p>
    <w:p>
      <w:pPr>
        <w:spacing w:line="360" w:lineRule="auto"/>
        <w:ind w:firstLine="424" w:firstLineChars="202"/>
        <w:rPr>
          <w:rFonts w:hAnsi="宋体" w:cs="新宋体"/>
          <w:szCs w:val="21"/>
          <w:highlight w:val="none"/>
        </w:rPr>
      </w:pPr>
      <w:r>
        <w:rPr>
          <w:rFonts w:hint="eastAsia" w:hAnsi="宋体" w:cs="新宋体"/>
          <w:szCs w:val="21"/>
          <w:highlight w:val="none"/>
        </w:rPr>
        <w:t>1、本合同自甲乙双方签字盖章之日起生效，合同到期时自动终止。</w:t>
      </w:r>
    </w:p>
    <w:p>
      <w:pPr>
        <w:spacing w:line="360" w:lineRule="auto"/>
        <w:ind w:firstLine="424" w:firstLineChars="202"/>
        <w:rPr>
          <w:rFonts w:hAnsi="宋体" w:cs="新宋体"/>
          <w:szCs w:val="21"/>
          <w:highlight w:val="none"/>
        </w:rPr>
      </w:pPr>
      <w:r>
        <w:rPr>
          <w:rFonts w:hint="eastAsia" w:hAnsi="宋体" w:cs="新宋体"/>
          <w:szCs w:val="21"/>
          <w:highlight w:val="none"/>
        </w:rPr>
        <w:t>2、如果乙方没有依约为甲方船舶配备足量的适格船员以致影响甲方船舶的正常作业时，甲方有权提前</w:t>
      </w:r>
      <w:r>
        <w:rPr>
          <w:rFonts w:hAnsi="宋体" w:cs="新宋体"/>
          <w:szCs w:val="21"/>
          <w:highlight w:val="none"/>
        </w:rPr>
        <w:t>3</w:t>
      </w:r>
      <w:r>
        <w:rPr>
          <w:rFonts w:hint="eastAsia" w:hAnsi="宋体" w:cs="新宋体"/>
          <w:szCs w:val="21"/>
          <w:highlight w:val="none"/>
        </w:rPr>
        <w:t>个日历日，以书面形式通知乙方解除合同，乙方对此无异议，不存在甲方违约及费用赔偿等问题。</w:t>
      </w:r>
    </w:p>
    <w:p>
      <w:pPr>
        <w:spacing w:line="360" w:lineRule="auto"/>
        <w:ind w:firstLine="424" w:firstLineChars="202"/>
        <w:rPr>
          <w:rFonts w:hAnsi="宋体" w:cs="新宋体"/>
          <w:szCs w:val="21"/>
          <w:highlight w:val="none"/>
        </w:rPr>
      </w:pPr>
      <w:r>
        <w:rPr>
          <w:rFonts w:hint="eastAsia" w:hAnsi="宋体" w:cs="新宋体"/>
          <w:szCs w:val="21"/>
          <w:highlight w:val="none"/>
        </w:rPr>
        <w:t>3、如遇到甲方机构改革、管理权限变更和管理模式发生变化以及其他不可抗力因素，甲方有权提前1个月以书面形式通知乙方终止合同，乙方对此无异议，不存在甲方违约及费用赔偿等问题。</w:t>
      </w:r>
    </w:p>
    <w:p>
      <w:pPr>
        <w:spacing w:line="360" w:lineRule="auto"/>
        <w:ind w:firstLine="424" w:firstLineChars="202"/>
        <w:rPr>
          <w:rFonts w:hAnsi="宋体" w:cs="新宋体"/>
          <w:szCs w:val="21"/>
          <w:highlight w:val="none"/>
        </w:rPr>
      </w:pPr>
      <w:r>
        <w:rPr>
          <w:rFonts w:hint="eastAsia" w:hAnsi="宋体" w:cs="新宋体"/>
          <w:szCs w:val="21"/>
          <w:highlight w:val="none"/>
        </w:rPr>
        <w:t>4、如果一方由于任何其可控制的原因而不履行或不能适当履行其按照本合同规定的义务，另一方可以书面方式通知其在合理的时间内尽快做出补正措施，如果在合理的时间内未能按通知方的合理要求做出补正措施，通知方有权以书面方式通知其立即终止合同。</w:t>
      </w:r>
    </w:p>
    <w:p>
      <w:pPr>
        <w:spacing w:line="360" w:lineRule="auto"/>
        <w:ind w:firstLine="424" w:firstLineChars="202"/>
        <w:rPr>
          <w:rFonts w:hAnsi="宋体" w:cs="新宋体"/>
          <w:szCs w:val="21"/>
          <w:highlight w:val="none"/>
        </w:rPr>
      </w:pPr>
      <w:r>
        <w:rPr>
          <w:rFonts w:hint="eastAsia" w:hAnsi="宋体" w:cs="新宋体"/>
          <w:szCs w:val="21"/>
          <w:highlight w:val="none"/>
        </w:rPr>
        <w:t>5、异常情况下合同的终止：在船舶出售，船舶全损或推定、宣告全损，管理权变更或被征用或被宣告失踪等异常情况下，本合同自动终止，甲方无责任。</w:t>
      </w:r>
    </w:p>
    <w:p>
      <w:pPr>
        <w:spacing w:line="360" w:lineRule="auto"/>
        <w:ind w:firstLine="424" w:firstLineChars="202"/>
        <w:rPr>
          <w:rFonts w:hAnsi="宋体" w:cs="新宋体"/>
          <w:szCs w:val="21"/>
          <w:highlight w:val="none"/>
        </w:rPr>
      </w:pPr>
      <w:r>
        <w:rPr>
          <w:rFonts w:hint="eastAsia" w:hAnsi="宋体" w:cs="新宋体"/>
          <w:szCs w:val="21"/>
          <w:highlight w:val="none"/>
        </w:rPr>
        <w:t>6、本合同效力的终止不应损害合同双方在合同终止之前应享有和已享有的所有权利，亦不应解除合同双方在合同终止后应承担的责任和义务。</w:t>
      </w:r>
    </w:p>
    <w:p>
      <w:pPr>
        <w:spacing w:line="360" w:lineRule="auto"/>
        <w:ind w:firstLine="424" w:firstLineChars="202"/>
        <w:rPr>
          <w:rFonts w:hAnsi="宋体" w:cs="新宋体"/>
          <w:szCs w:val="21"/>
          <w:highlight w:val="none"/>
        </w:rPr>
      </w:pPr>
      <w:r>
        <w:rPr>
          <w:rFonts w:hint="eastAsia" w:hAnsi="宋体" w:cs="新宋体"/>
          <w:szCs w:val="21"/>
          <w:highlight w:val="none"/>
        </w:rPr>
        <w:t>7、若出现合同到期时甲方仍有部分船舶在海上执行任务，部分船员不能及时撤离到位的情况，在此期间产生的费用将按照合同标准按天发放，乙方应配合甲方做好相关工作。</w:t>
      </w:r>
    </w:p>
    <w:p>
      <w:pPr>
        <w:spacing w:line="360" w:lineRule="auto"/>
        <w:ind w:firstLine="446"/>
        <w:rPr>
          <w:rFonts w:hAnsi="宋体" w:cs="Arial Unicode MS"/>
          <w:b/>
          <w:szCs w:val="21"/>
          <w:highlight w:val="none"/>
        </w:rPr>
      </w:pPr>
      <w:r>
        <w:rPr>
          <w:rFonts w:hint="eastAsia" w:hAnsi="宋体" w:cs="Arial Unicode MS"/>
          <w:b/>
          <w:szCs w:val="21"/>
          <w:highlight w:val="none"/>
        </w:rPr>
        <w:t>第十</w:t>
      </w:r>
      <w:r>
        <w:rPr>
          <w:rFonts w:hint="eastAsia" w:hAnsi="宋体" w:cs="Arial Unicode MS"/>
          <w:b/>
          <w:szCs w:val="21"/>
          <w:highlight w:val="none"/>
          <w:lang w:val="en-US" w:eastAsia="zh-CN"/>
        </w:rPr>
        <w:t>四</w:t>
      </w:r>
      <w:r>
        <w:rPr>
          <w:rFonts w:hint="eastAsia" w:hAnsi="宋体" w:cs="Arial Unicode MS"/>
          <w:b/>
          <w:szCs w:val="21"/>
          <w:highlight w:val="none"/>
        </w:rPr>
        <w:t xml:space="preserve">条 </w:t>
      </w:r>
      <w:r>
        <w:rPr>
          <w:rFonts w:hint="eastAsia" w:hAnsi="宋体"/>
          <w:b/>
          <w:szCs w:val="21"/>
          <w:highlight w:val="none"/>
        </w:rPr>
        <w:t>保密义务</w:t>
      </w:r>
    </w:p>
    <w:p>
      <w:pPr>
        <w:spacing w:line="360" w:lineRule="auto"/>
        <w:ind w:firstLine="424" w:firstLineChars="202"/>
        <w:rPr>
          <w:rFonts w:hAnsi="宋体"/>
          <w:szCs w:val="21"/>
          <w:highlight w:val="none"/>
        </w:rPr>
      </w:pPr>
      <w:r>
        <w:rPr>
          <w:rFonts w:hint="eastAsia" w:hAnsi="宋体"/>
          <w:szCs w:val="21"/>
          <w:highlight w:val="none"/>
        </w:rPr>
        <w:t>1、双方对本合同的内容以及因履行本合同所知悉的对方的保密信息负有保密责任。未经对方事先书面同意，任何一方不得将相关信息披露给任何第三方，任何一方违反本条保密约定，均应承担全部法律责任并赔偿因此给守约方造成的全部损失。本条规定持续有效，不因本合同解除或终止而失效。</w:t>
      </w:r>
    </w:p>
    <w:p>
      <w:pPr>
        <w:spacing w:line="360" w:lineRule="auto"/>
        <w:ind w:firstLine="424" w:firstLineChars="202"/>
        <w:rPr>
          <w:rFonts w:hAnsi="宋体"/>
          <w:szCs w:val="21"/>
          <w:highlight w:val="none"/>
        </w:rPr>
      </w:pPr>
      <w:r>
        <w:rPr>
          <w:rFonts w:hint="eastAsia" w:hAnsi="宋体"/>
          <w:szCs w:val="21"/>
          <w:highlight w:val="none"/>
        </w:rPr>
        <w:t>2、乙方及其船员获得的相关船舶和航次信息仅限于能够完成船舶工作需要，不得涉及国家秘密，不得将此类信息复制留存，或以任何形式转让给第三方。</w:t>
      </w:r>
    </w:p>
    <w:p>
      <w:pPr>
        <w:spacing w:line="360" w:lineRule="auto"/>
        <w:ind w:firstLine="424" w:firstLineChars="202"/>
        <w:rPr>
          <w:rFonts w:hAnsi="宋体"/>
          <w:szCs w:val="21"/>
          <w:highlight w:val="none"/>
        </w:rPr>
      </w:pPr>
      <w:r>
        <w:rPr>
          <w:rFonts w:hint="eastAsia" w:hAnsi="宋体"/>
          <w:szCs w:val="21"/>
          <w:highlight w:val="none"/>
        </w:rPr>
        <w:t xml:space="preserve">3、乙方及其船员对甲方船舶调度、使用、调查作业、专业调查设备和完成国家相关科研项目的信息和资料负有保密的义务，未经甲方同意，不得将此类资料复制留存，或以任何形式转让给第三方。 </w:t>
      </w:r>
    </w:p>
    <w:p>
      <w:pPr>
        <w:spacing w:line="360" w:lineRule="auto"/>
        <w:ind w:firstLine="424" w:firstLineChars="202"/>
        <w:rPr>
          <w:rFonts w:hAnsi="宋体"/>
          <w:szCs w:val="21"/>
          <w:highlight w:val="none"/>
        </w:rPr>
      </w:pPr>
      <w:r>
        <w:rPr>
          <w:rFonts w:hint="eastAsia" w:hAnsi="宋体"/>
          <w:szCs w:val="21"/>
          <w:highlight w:val="none"/>
        </w:rPr>
        <w:t>4、 对乙方实施的管理体系文件，未经乙方书面同意，甲方不得以任何方式向第三方（甲方上级管理部门除外）透露上述文件资料。</w:t>
      </w:r>
    </w:p>
    <w:p>
      <w:pPr>
        <w:spacing w:line="360" w:lineRule="auto"/>
        <w:ind w:firstLine="424" w:firstLineChars="202"/>
        <w:rPr>
          <w:rFonts w:hAnsi="宋体"/>
          <w:szCs w:val="21"/>
          <w:highlight w:val="none"/>
        </w:rPr>
      </w:pPr>
      <w:r>
        <w:rPr>
          <w:rFonts w:hint="eastAsia" w:hAnsi="宋体"/>
          <w:szCs w:val="21"/>
          <w:highlight w:val="none"/>
        </w:rPr>
        <w:t>5、甲方向乙方提供的任何资料、文件和信息，在合同期结束后，乙方应及时归还甲方，电子文档应从乙方的电脑等储存设备中永久删除。</w:t>
      </w:r>
    </w:p>
    <w:p>
      <w:pPr>
        <w:spacing w:line="360" w:lineRule="auto"/>
        <w:ind w:firstLine="424" w:firstLineChars="202"/>
        <w:rPr>
          <w:rFonts w:hAnsi="宋体"/>
          <w:szCs w:val="21"/>
          <w:highlight w:val="none"/>
        </w:rPr>
      </w:pPr>
      <w:r>
        <w:rPr>
          <w:rFonts w:hint="eastAsia" w:hAnsi="宋体"/>
          <w:szCs w:val="21"/>
          <w:highlight w:val="none"/>
        </w:rPr>
        <w:t>6、甲乙双方应遵守国家保密法律法规和甲方的相关规定，甲方要求签订《保密协议》时，乙方及其船员应无条件与甲方签订《保密协议》</w:t>
      </w:r>
      <w:r>
        <w:rPr>
          <w:rFonts w:hint="eastAsia" w:hAnsi="宋体" w:cs="新宋体"/>
          <w:szCs w:val="21"/>
          <w:highlight w:val="none"/>
        </w:rPr>
        <w:t>。</w:t>
      </w:r>
    </w:p>
    <w:p>
      <w:pPr>
        <w:spacing w:line="360" w:lineRule="auto"/>
        <w:ind w:firstLine="446"/>
        <w:rPr>
          <w:rFonts w:hAnsi="宋体" w:cs="Arial Unicode MS"/>
          <w:b/>
          <w:szCs w:val="21"/>
          <w:highlight w:val="none"/>
        </w:rPr>
      </w:pPr>
      <w:r>
        <w:rPr>
          <w:rFonts w:hAnsi="宋体" w:cs="Arial Unicode MS"/>
          <w:b/>
          <w:szCs w:val="21"/>
          <w:highlight w:val="none"/>
        </w:rPr>
        <w:t>第十</w:t>
      </w:r>
      <w:r>
        <w:rPr>
          <w:rFonts w:hint="eastAsia" w:hAnsi="宋体" w:cs="Arial Unicode MS"/>
          <w:b/>
          <w:szCs w:val="21"/>
          <w:highlight w:val="none"/>
          <w:lang w:val="en-US" w:eastAsia="zh-CN"/>
        </w:rPr>
        <w:t>五</w:t>
      </w:r>
      <w:r>
        <w:rPr>
          <w:rFonts w:hAnsi="宋体" w:cs="Arial Unicode MS"/>
          <w:b/>
          <w:szCs w:val="21"/>
          <w:highlight w:val="none"/>
        </w:rPr>
        <w:t>条</w:t>
      </w:r>
      <w:r>
        <w:rPr>
          <w:rFonts w:hint="eastAsia" w:hAnsi="宋体" w:cs="Arial Unicode MS"/>
          <w:b/>
          <w:szCs w:val="21"/>
          <w:highlight w:val="none"/>
        </w:rPr>
        <w:t xml:space="preserve"> 违约责任</w:t>
      </w:r>
    </w:p>
    <w:p>
      <w:pPr>
        <w:spacing w:line="360" w:lineRule="auto"/>
        <w:ind w:firstLine="424" w:firstLineChars="202"/>
        <w:rPr>
          <w:rFonts w:hAnsi="宋体" w:cs="新宋体"/>
          <w:szCs w:val="21"/>
          <w:highlight w:val="none"/>
        </w:rPr>
      </w:pPr>
      <w:r>
        <w:rPr>
          <w:rFonts w:hint="eastAsia" w:hAnsi="宋体" w:cs="新宋体"/>
          <w:szCs w:val="21"/>
          <w:highlight w:val="none"/>
        </w:rPr>
        <w:t>1、乙方不得将承包项目发包或转包，否则，视为乙方违约，甲方有权解除合同并将相关情况上报同级政府采购监督管理部门和有关部门。</w:t>
      </w:r>
    </w:p>
    <w:p>
      <w:pPr>
        <w:spacing w:line="360" w:lineRule="auto"/>
        <w:ind w:firstLine="424" w:firstLineChars="202"/>
        <w:rPr>
          <w:rFonts w:hAnsi="宋体" w:cs="新宋体"/>
          <w:szCs w:val="21"/>
          <w:highlight w:val="none"/>
        </w:rPr>
      </w:pPr>
      <w:r>
        <w:rPr>
          <w:rFonts w:hint="eastAsia" w:hAnsi="宋体" w:cs="新宋体"/>
          <w:szCs w:val="21"/>
          <w:highlight w:val="none"/>
        </w:rPr>
        <w:t>2、乙方随意更换船员影响甲方工作的，视为乙方违约，甲方有权解除合同并将相关情况上报同级政府采购监督管理部门和有关部门。</w:t>
      </w:r>
    </w:p>
    <w:p>
      <w:pPr>
        <w:spacing w:line="360" w:lineRule="auto"/>
        <w:ind w:firstLine="424" w:firstLineChars="202"/>
        <w:rPr>
          <w:rFonts w:hAnsi="宋体" w:cs="新宋体"/>
          <w:szCs w:val="21"/>
          <w:highlight w:val="none"/>
        </w:rPr>
      </w:pPr>
      <w:r>
        <w:rPr>
          <w:rFonts w:hint="eastAsia" w:hAnsi="宋体" w:cs="新宋体"/>
          <w:szCs w:val="21"/>
          <w:highlight w:val="none"/>
        </w:rPr>
        <w:t>3、乙方不得拖欠其船员工资、不按规定为船员缴纳社会保险费用、住房公积金等有关薪酬，不得虚构名目或虚报不实费用从甲方处获取除报酬外的非法利益。否则，视为乙方违约，甲方有权扣除相应管理费，且有权解除合同并将相关情况上报同级政府采购监督管理部门和有关部门。</w:t>
      </w:r>
    </w:p>
    <w:p>
      <w:pPr>
        <w:spacing w:line="360" w:lineRule="auto"/>
        <w:ind w:firstLine="424" w:firstLineChars="202"/>
        <w:rPr>
          <w:rFonts w:hAnsi="宋体" w:cs="新宋体"/>
          <w:szCs w:val="21"/>
          <w:highlight w:val="none"/>
        </w:rPr>
      </w:pPr>
      <w:r>
        <w:rPr>
          <w:rFonts w:hint="eastAsia" w:hAnsi="宋体" w:cs="新宋体"/>
          <w:szCs w:val="21"/>
          <w:highlight w:val="none"/>
        </w:rPr>
        <w:t>4、乙方没有依约为甲方船舶配备足量的适格船员以致影响甲方船舶的正常作业时，视为乙方违约，甲方有权扣除相应管理费，且有权解除合同并将相关情况上报同级政府采购监督管理部门和有关部门。</w:t>
      </w:r>
    </w:p>
    <w:p>
      <w:pPr>
        <w:spacing w:line="360" w:lineRule="auto"/>
        <w:ind w:firstLine="424" w:firstLineChars="202"/>
        <w:rPr>
          <w:rFonts w:hAnsi="宋体" w:cs="新宋体"/>
          <w:szCs w:val="21"/>
          <w:highlight w:val="none"/>
        </w:rPr>
      </w:pPr>
      <w:r>
        <w:rPr>
          <w:rFonts w:hint="eastAsia" w:hAnsi="宋体" w:cs="新宋体"/>
          <w:szCs w:val="21"/>
          <w:highlight w:val="none"/>
        </w:rPr>
        <w:t>5、由于乙方或乙方船员工作失误的原因，造成甲方的经济损失，所产生的损失及后果由乙方承担。</w:t>
      </w:r>
    </w:p>
    <w:p>
      <w:pPr>
        <w:spacing w:line="360" w:lineRule="auto"/>
        <w:ind w:firstLine="424" w:firstLineChars="202"/>
        <w:rPr>
          <w:rFonts w:hAnsi="宋体" w:cs="新宋体"/>
          <w:szCs w:val="21"/>
          <w:highlight w:val="none"/>
        </w:rPr>
      </w:pPr>
      <w:r>
        <w:rPr>
          <w:rFonts w:hint="eastAsia" w:hAnsi="宋体" w:cs="新宋体"/>
          <w:szCs w:val="21"/>
          <w:highlight w:val="none"/>
        </w:rPr>
        <w:t>6、服务期内，如甲方发生机构改革或财政拨款无法到位等政策原因造成费用不能及时支付时，乙方不追究甲方责任。</w:t>
      </w:r>
    </w:p>
    <w:p>
      <w:pPr>
        <w:spacing w:line="360" w:lineRule="auto"/>
        <w:ind w:firstLine="424" w:firstLineChars="202"/>
        <w:rPr>
          <w:rFonts w:hAnsi="宋体" w:cs="新宋体"/>
          <w:szCs w:val="21"/>
          <w:highlight w:val="none"/>
        </w:rPr>
      </w:pPr>
      <w:r>
        <w:rPr>
          <w:rFonts w:hint="eastAsia" w:hAnsi="宋体" w:cs="新宋体"/>
          <w:szCs w:val="21"/>
          <w:highlight w:val="none"/>
        </w:rPr>
        <w:t>7、乙方有义务告知船员须遵守本合同、本项目招标文件及投标文件中规定的船员要求，应教育船员遵守甲方的规章制度，乙方船员违反本合同、本项目招标文件及投标文件中规定的船员要求，违反甲方的规章制度，造成甲方经济损失的，视为乙方违约。</w:t>
      </w:r>
    </w:p>
    <w:p>
      <w:pPr>
        <w:spacing w:line="360" w:lineRule="auto"/>
        <w:ind w:firstLine="424" w:firstLineChars="202"/>
        <w:rPr>
          <w:rFonts w:hAnsi="宋体" w:cs="新宋体"/>
          <w:szCs w:val="21"/>
          <w:highlight w:val="none"/>
        </w:rPr>
      </w:pPr>
      <w:r>
        <w:rPr>
          <w:rFonts w:hint="eastAsia" w:hAnsi="宋体" w:cs="新宋体"/>
          <w:szCs w:val="21"/>
          <w:highlight w:val="none"/>
        </w:rPr>
        <w:t>8、乙方或其船员违反以下任一条规定，视为违约：</w:t>
      </w:r>
    </w:p>
    <w:p>
      <w:pPr>
        <w:spacing w:line="360" w:lineRule="auto"/>
        <w:ind w:firstLine="424" w:firstLineChars="202"/>
        <w:rPr>
          <w:rFonts w:hAnsi="宋体" w:cs="新宋体"/>
          <w:szCs w:val="21"/>
          <w:highlight w:val="none"/>
        </w:rPr>
      </w:pPr>
      <w:r>
        <w:rPr>
          <w:rFonts w:hint="eastAsia" w:hAnsi="宋体" w:cs="新宋体"/>
          <w:szCs w:val="21"/>
          <w:highlight w:val="none"/>
        </w:rPr>
        <w:t>（1）不履行本合同、本项目招标文件及投标文件中所承诺的事项；</w:t>
      </w:r>
    </w:p>
    <w:p>
      <w:pPr>
        <w:spacing w:line="360" w:lineRule="auto"/>
        <w:ind w:firstLine="424" w:firstLineChars="202"/>
        <w:rPr>
          <w:rFonts w:hAnsi="宋体" w:cs="新宋体"/>
          <w:szCs w:val="21"/>
          <w:highlight w:val="none"/>
        </w:rPr>
      </w:pPr>
      <w:r>
        <w:rPr>
          <w:rFonts w:hint="eastAsia" w:hAnsi="宋体" w:cs="新宋体"/>
          <w:szCs w:val="21"/>
          <w:highlight w:val="none"/>
        </w:rPr>
        <w:t>（2）拒绝更换不适格的船员；</w:t>
      </w:r>
    </w:p>
    <w:p>
      <w:pPr>
        <w:spacing w:line="360" w:lineRule="auto"/>
        <w:ind w:firstLine="424" w:firstLineChars="202"/>
        <w:rPr>
          <w:rFonts w:hAnsi="宋体" w:cs="新宋体"/>
          <w:szCs w:val="21"/>
          <w:highlight w:val="none"/>
        </w:rPr>
      </w:pPr>
      <w:r>
        <w:rPr>
          <w:rFonts w:hint="eastAsia" w:hAnsi="宋体" w:cs="新宋体"/>
          <w:szCs w:val="21"/>
          <w:highlight w:val="none"/>
        </w:rPr>
        <w:t>（3）未经甲方许可，擅自更换船员影响甲方工作；</w:t>
      </w:r>
    </w:p>
    <w:p>
      <w:pPr>
        <w:spacing w:line="360" w:lineRule="auto"/>
        <w:ind w:firstLine="424" w:firstLineChars="202"/>
        <w:rPr>
          <w:rFonts w:hAnsi="宋体" w:cs="新宋体"/>
          <w:szCs w:val="21"/>
          <w:highlight w:val="none"/>
        </w:rPr>
      </w:pPr>
      <w:r>
        <w:rPr>
          <w:rFonts w:hint="eastAsia" w:hAnsi="宋体" w:cs="新宋体"/>
          <w:szCs w:val="21"/>
          <w:highlight w:val="none"/>
        </w:rPr>
        <w:t>（4）不遵守甲方关于健康、安全和环保的规定；</w:t>
      </w:r>
    </w:p>
    <w:p>
      <w:pPr>
        <w:spacing w:line="360" w:lineRule="auto"/>
        <w:ind w:firstLine="424" w:firstLineChars="202"/>
        <w:rPr>
          <w:rFonts w:hAnsi="宋体" w:cs="新宋体"/>
          <w:szCs w:val="21"/>
          <w:highlight w:val="none"/>
        </w:rPr>
      </w:pPr>
      <w:r>
        <w:rPr>
          <w:rFonts w:hint="eastAsia" w:hAnsi="宋体" w:cs="新宋体"/>
          <w:szCs w:val="21"/>
          <w:highlight w:val="none"/>
        </w:rPr>
        <w:t>（5）乙方或其船员对甲方实施欺诈行为；</w:t>
      </w:r>
    </w:p>
    <w:p>
      <w:pPr>
        <w:spacing w:line="360" w:lineRule="auto"/>
        <w:ind w:firstLine="424" w:firstLineChars="202"/>
        <w:rPr>
          <w:rFonts w:hAnsi="宋体" w:cs="新宋体"/>
          <w:szCs w:val="21"/>
          <w:highlight w:val="none"/>
        </w:rPr>
      </w:pPr>
      <w:r>
        <w:rPr>
          <w:rFonts w:hint="eastAsia" w:hAnsi="宋体" w:cs="新宋体"/>
          <w:szCs w:val="21"/>
          <w:highlight w:val="none"/>
        </w:rPr>
        <w:t>（6）乙方或其船员的行为致使甲方遭受损害或致他人遭受损害。</w:t>
      </w:r>
    </w:p>
    <w:p>
      <w:pPr>
        <w:spacing w:line="360" w:lineRule="auto"/>
        <w:ind w:firstLine="424" w:firstLineChars="202"/>
        <w:rPr>
          <w:rFonts w:hAnsi="宋体" w:cs="新宋体"/>
          <w:szCs w:val="21"/>
          <w:highlight w:val="none"/>
        </w:rPr>
      </w:pPr>
      <w:r>
        <w:rPr>
          <w:rFonts w:hint="eastAsia" w:hAnsi="宋体" w:cs="新宋体"/>
          <w:szCs w:val="21"/>
          <w:highlight w:val="none"/>
        </w:rPr>
        <w:t>9、如乙方出现上述违约情况，违反本合同任一条规定，违反双方依法协商签订的相关文件（包括约谈记录、会议记录等文件），均视为违约。如发生违约行为，违约金按当月</w:t>
      </w:r>
      <w:r>
        <w:rPr>
          <w:rFonts w:hint="eastAsia" w:hAnsi="宋体" w:cs="新宋体"/>
          <w:szCs w:val="21"/>
          <w:highlight w:val="none"/>
          <w:lang w:val="zh-CN"/>
        </w:rPr>
        <w:t>管理费</w:t>
      </w:r>
      <w:r>
        <w:rPr>
          <w:rFonts w:hint="eastAsia" w:hAnsi="宋体" w:cs="新宋体"/>
          <w:szCs w:val="21"/>
          <w:highlight w:val="none"/>
        </w:rPr>
        <w:t>50%计算，如有两项或两项以上违约，甲方有权扣除当月全部管理费（作为违约金）。发生上述违约情形三次以上时，甲方有权解除本合同，所产生的损失及后果由乙方承担。</w:t>
      </w:r>
    </w:p>
    <w:p>
      <w:pPr>
        <w:spacing w:line="360" w:lineRule="auto"/>
        <w:ind w:firstLine="424" w:firstLineChars="202"/>
        <w:rPr>
          <w:rFonts w:hAnsi="宋体" w:cs="新宋体"/>
          <w:szCs w:val="21"/>
          <w:highlight w:val="none"/>
        </w:rPr>
      </w:pPr>
      <w:r>
        <w:rPr>
          <w:rFonts w:hint="eastAsia" w:hAnsi="宋体" w:cs="新宋体"/>
          <w:szCs w:val="21"/>
          <w:highlight w:val="none"/>
        </w:rPr>
        <w:t>10、如乙方发生违约或因乙方违约而解除合同时，如乙方支付的违约金无法补偿甲方因此遭受的全部损失，乙方应向甲方另行支付赔偿金。本合同项下的损失包括生产延期的损失、生产暂停的损失、工作期限延误的损失、甲方预期可获得的商业利润、因为乙方违约导致甲方向第三方支付的违约金和赔偿金、甲方因第三方索赔而发生的全部费用（包括但不限于律师费用、诉讼费用、鉴定费用和赔偿金等）。</w:t>
      </w:r>
    </w:p>
    <w:p>
      <w:pPr>
        <w:spacing w:line="360" w:lineRule="auto"/>
        <w:ind w:firstLine="424" w:firstLineChars="202"/>
        <w:rPr>
          <w:rFonts w:hAnsi="宋体" w:cs="新宋体"/>
          <w:szCs w:val="21"/>
          <w:highlight w:val="none"/>
        </w:rPr>
      </w:pPr>
      <w:r>
        <w:rPr>
          <w:rFonts w:hint="eastAsia" w:hAnsi="宋体" w:cs="新宋体"/>
          <w:szCs w:val="21"/>
          <w:highlight w:val="none"/>
        </w:rPr>
        <w:t>11、乙方根据本合同的规定应承担违约金或赔偿责任的，甲方有权从合同价款余额中直接扣除或凭履约保函要求银行支付该等违约金或赔偿款项。</w:t>
      </w:r>
    </w:p>
    <w:p>
      <w:pPr>
        <w:spacing w:line="360" w:lineRule="auto"/>
        <w:rPr>
          <w:rFonts w:hAnsi="宋体" w:cs="Arial Unicode MS"/>
          <w:b/>
          <w:szCs w:val="21"/>
          <w:highlight w:val="none"/>
        </w:rPr>
      </w:pPr>
      <w:r>
        <w:rPr>
          <w:rFonts w:hAnsi="宋体" w:cs="Arial Unicode MS"/>
          <w:b/>
          <w:szCs w:val="21"/>
          <w:highlight w:val="none"/>
        </w:rPr>
        <w:t>第十</w:t>
      </w:r>
      <w:r>
        <w:rPr>
          <w:rFonts w:hint="eastAsia" w:hAnsi="宋体" w:cs="Arial Unicode MS"/>
          <w:b/>
          <w:szCs w:val="21"/>
          <w:highlight w:val="none"/>
          <w:lang w:val="en-US" w:eastAsia="zh-CN"/>
        </w:rPr>
        <w:t>六</w:t>
      </w:r>
      <w:r>
        <w:rPr>
          <w:rFonts w:hAnsi="宋体" w:cs="Arial Unicode MS"/>
          <w:b/>
          <w:szCs w:val="21"/>
          <w:highlight w:val="none"/>
        </w:rPr>
        <w:t>条 争议及解决</w:t>
      </w:r>
    </w:p>
    <w:p>
      <w:pPr>
        <w:spacing w:line="360" w:lineRule="auto"/>
        <w:ind w:firstLine="424" w:firstLineChars="202"/>
        <w:rPr>
          <w:rFonts w:hAnsi="宋体" w:cs="新宋体"/>
          <w:szCs w:val="21"/>
          <w:highlight w:val="none"/>
        </w:rPr>
      </w:pPr>
      <w:r>
        <w:rPr>
          <w:rFonts w:hint="eastAsia" w:hAnsi="宋体" w:cs="新宋体"/>
          <w:szCs w:val="21"/>
          <w:highlight w:val="none"/>
        </w:rPr>
        <w:t>1、凡因本合同引起或与本合同有关的任何争议，由甲乙双方平等友好的协商解决。</w:t>
      </w:r>
      <w:r>
        <w:rPr>
          <w:rFonts w:hAnsi="宋体" w:cs="新宋体"/>
          <w:szCs w:val="21"/>
          <w:highlight w:val="none"/>
        </w:rPr>
        <w:t>如经协商不能达成一致，</w:t>
      </w:r>
      <w:r>
        <w:rPr>
          <w:rFonts w:hint="eastAsia" w:hAnsi="宋体" w:cs="新宋体"/>
          <w:szCs w:val="21"/>
          <w:highlight w:val="none"/>
        </w:rPr>
        <w:t>任何一方有权向海珠区人民法院提起诉讼，律师费由败诉方承担</w:t>
      </w:r>
      <w:r>
        <w:rPr>
          <w:rFonts w:hAnsi="宋体" w:cs="新宋体"/>
          <w:szCs w:val="21"/>
          <w:highlight w:val="none"/>
        </w:rPr>
        <w:t>。</w:t>
      </w:r>
    </w:p>
    <w:p>
      <w:pPr>
        <w:spacing w:line="360" w:lineRule="auto"/>
        <w:ind w:firstLine="424" w:firstLineChars="202"/>
        <w:rPr>
          <w:rFonts w:hAnsi="宋体" w:cs="新宋体"/>
          <w:szCs w:val="21"/>
          <w:highlight w:val="none"/>
        </w:rPr>
      </w:pPr>
      <w:r>
        <w:rPr>
          <w:rFonts w:hint="eastAsia" w:hAnsi="宋体" w:cs="新宋体"/>
          <w:szCs w:val="21"/>
          <w:highlight w:val="none"/>
        </w:rPr>
        <w:t>2、本合同的所有相关内容，如与国家的法律、法规、规定相悖，以国家的法律、法规、规定为准。</w:t>
      </w:r>
    </w:p>
    <w:p>
      <w:pPr>
        <w:spacing w:line="360" w:lineRule="auto"/>
        <w:rPr>
          <w:rFonts w:hAnsi="宋体" w:cs="Arial Unicode MS"/>
          <w:b/>
          <w:szCs w:val="21"/>
          <w:highlight w:val="none"/>
        </w:rPr>
      </w:pPr>
      <w:r>
        <w:rPr>
          <w:rFonts w:hAnsi="宋体" w:cs="Arial Unicode MS"/>
          <w:b/>
          <w:szCs w:val="21"/>
          <w:highlight w:val="none"/>
        </w:rPr>
        <w:t>第十</w:t>
      </w:r>
      <w:r>
        <w:rPr>
          <w:rFonts w:hint="eastAsia" w:hAnsi="宋体" w:cs="Arial Unicode MS"/>
          <w:b/>
          <w:szCs w:val="21"/>
          <w:highlight w:val="none"/>
          <w:lang w:val="en-US" w:eastAsia="zh-CN"/>
        </w:rPr>
        <w:t>七</w:t>
      </w:r>
      <w:r>
        <w:rPr>
          <w:rFonts w:hAnsi="宋体" w:cs="Arial Unicode MS"/>
          <w:b/>
          <w:szCs w:val="21"/>
          <w:highlight w:val="none"/>
        </w:rPr>
        <w:t>条 其他</w:t>
      </w:r>
    </w:p>
    <w:p>
      <w:pPr>
        <w:spacing w:line="360" w:lineRule="auto"/>
        <w:ind w:firstLine="424" w:firstLineChars="202"/>
        <w:rPr>
          <w:rFonts w:hAnsi="宋体" w:cs="新宋体"/>
          <w:szCs w:val="21"/>
          <w:highlight w:val="none"/>
        </w:rPr>
      </w:pPr>
      <w:r>
        <w:rPr>
          <w:rFonts w:hint="eastAsia" w:hAnsi="宋体" w:cs="新宋体"/>
          <w:szCs w:val="21"/>
          <w:highlight w:val="none"/>
        </w:rPr>
        <w:t>1、本合同所有附件、招标文件、投标文件、中标通知书均为合同的有效组成部分，与本合同具有同等法律效力。</w:t>
      </w:r>
    </w:p>
    <w:p>
      <w:pPr>
        <w:spacing w:line="360" w:lineRule="auto"/>
        <w:ind w:firstLine="424" w:firstLineChars="202"/>
        <w:rPr>
          <w:rFonts w:hAnsi="宋体" w:cs="新宋体"/>
          <w:szCs w:val="21"/>
          <w:highlight w:val="none"/>
        </w:rPr>
      </w:pPr>
      <w:r>
        <w:rPr>
          <w:rFonts w:hint="eastAsia" w:hAnsi="宋体" w:cs="新宋体"/>
          <w:szCs w:val="21"/>
          <w:highlight w:val="none"/>
        </w:rPr>
        <w:t>2、在执行本合同的过程中，所有经双方签署确认的文件（包括会议纪要、补充协议、往来信函）即成为本合同的有效组成部分。</w:t>
      </w:r>
    </w:p>
    <w:p>
      <w:pPr>
        <w:spacing w:line="360" w:lineRule="auto"/>
        <w:ind w:firstLine="424" w:firstLineChars="202"/>
        <w:rPr>
          <w:rFonts w:hAnsi="宋体" w:cs="新宋体"/>
          <w:szCs w:val="21"/>
          <w:highlight w:val="none"/>
        </w:rPr>
      </w:pPr>
      <w:r>
        <w:rPr>
          <w:rFonts w:hint="eastAsia" w:hAnsi="宋体" w:cs="新宋体"/>
          <w:szCs w:val="21"/>
          <w:highlight w:val="none"/>
        </w:rPr>
        <w:t>3、本合同签字栏记载的合同各方通讯地址为所有通知、文件、资料等送达地址，当面交付文件的，在交付之时视为送达；通过邮寄方式的，以投邮当日视为送达。</w:t>
      </w:r>
    </w:p>
    <w:p>
      <w:pPr>
        <w:spacing w:line="360" w:lineRule="auto"/>
        <w:ind w:firstLine="424" w:firstLineChars="202"/>
        <w:rPr>
          <w:rFonts w:hAnsi="宋体" w:cs="新宋体"/>
          <w:szCs w:val="21"/>
          <w:highlight w:val="none"/>
        </w:rPr>
      </w:pPr>
      <w:r>
        <w:rPr>
          <w:rFonts w:hint="eastAsia" w:hAnsi="宋体" w:cs="新宋体"/>
          <w:szCs w:val="21"/>
          <w:highlight w:val="none"/>
        </w:rPr>
        <w:t>4、</w:t>
      </w:r>
      <w:r>
        <w:rPr>
          <w:rFonts w:hAnsi="宋体" w:cs="新宋体"/>
          <w:szCs w:val="21"/>
          <w:highlight w:val="none"/>
        </w:rPr>
        <w:t>本合同在广州</w:t>
      </w:r>
      <w:r>
        <w:rPr>
          <w:rFonts w:hint="eastAsia" w:hAnsi="宋体" w:cs="新宋体"/>
          <w:szCs w:val="21"/>
          <w:highlight w:val="none"/>
        </w:rPr>
        <w:t>市海珠区</w:t>
      </w:r>
      <w:r>
        <w:rPr>
          <w:rFonts w:hAnsi="宋体" w:cs="新宋体"/>
          <w:szCs w:val="21"/>
          <w:highlight w:val="none"/>
        </w:rPr>
        <w:t>签署，合同文本</w:t>
      </w:r>
      <w:r>
        <w:rPr>
          <w:rFonts w:hint="eastAsia" w:hAnsi="宋体" w:cs="新宋体"/>
          <w:szCs w:val="21"/>
          <w:highlight w:val="none"/>
        </w:rPr>
        <w:t>一</w:t>
      </w:r>
      <w:r>
        <w:rPr>
          <w:rFonts w:hAnsi="宋体" w:cs="新宋体"/>
          <w:szCs w:val="21"/>
          <w:highlight w:val="none"/>
        </w:rPr>
        <w:t>式</w:t>
      </w:r>
      <w:r>
        <w:rPr>
          <w:rFonts w:hint="eastAsia" w:hAnsi="宋体" w:cs="新宋体"/>
          <w:szCs w:val="21"/>
          <w:highlight w:val="none"/>
        </w:rPr>
        <w:t>肆</w:t>
      </w:r>
      <w:r>
        <w:rPr>
          <w:rFonts w:hAnsi="宋体" w:cs="新宋体"/>
          <w:szCs w:val="21"/>
          <w:highlight w:val="none"/>
        </w:rPr>
        <w:t>份，甲乙双方各执</w:t>
      </w:r>
      <w:r>
        <w:rPr>
          <w:rFonts w:hint="eastAsia" w:hAnsi="宋体" w:cs="新宋体"/>
          <w:szCs w:val="21"/>
          <w:highlight w:val="none"/>
        </w:rPr>
        <w:t>贰</w:t>
      </w:r>
      <w:r>
        <w:rPr>
          <w:rFonts w:hAnsi="宋体" w:cs="新宋体"/>
          <w:szCs w:val="21"/>
          <w:highlight w:val="none"/>
        </w:rPr>
        <w:t>份，</w:t>
      </w:r>
      <w:r>
        <w:rPr>
          <w:rFonts w:hint="eastAsia" w:hAnsi="宋体" w:cs="新宋体"/>
          <w:szCs w:val="21"/>
          <w:highlight w:val="none"/>
        </w:rPr>
        <w:t>在甲乙双方法人代表或其授权代表签字盖章后生效</w:t>
      </w:r>
      <w:r>
        <w:rPr>
          <w:rFonts w:hAnsi="宋体" w:cs="新宋体"/>
          <w:szCs w:val="21"/>
          <w:highlight w:val="none"/>
        </w:rPr>
        <w:t>。</w:t>
      </w:r>
    </w:p>
    <w:p>
      <w:pPr>
        <w:spacing w:line="360" w:lineRule="auto"/>
        <w:rPr>
          <w:rFonts w:hAnsi="宋体" w:cs="新宋体"/>
          <w:b/>
          <w:szCs w:val="21"/>
          <w:highlight w:val="none"/>
        </w:rPr>
      </w:pPr>
    </w:p>
    <w:tbl>
      <w:tblPr>
        <w:tblStyle w:val="49"/>
        <w:tblW w:w="9738" w:type="dxa"/>
        <w:tblInd w:w="0" w:type="dxa"/>
        <w:tblLayout w:type="fixed"/>
        <w:tblCellMar>
          <w:top w:w="0" w:type="dxa"/>
          <w:left w:w="108" w:type="dxa"/>
          <w:bottom w:w="0" w:type="dxa"/>
          <w:right w:w="108" w:type="dxa"/>
        </w:tblCellMar>
      </w:tblPr>
      <w:tblGrid>
        <w:gridCol w:w="4995"/>
        <w:gridCol w:w="4743"/>
      </w:tblGrid>
      <w:tr>
        <w:tblPrEx>
          <w:tblCellMar>
            <w:top w:w="0" w:type="dxa"/>
            <w:left w:w="108" w:type="dxa"/>
            <w:bottom w:w="0" w:type="dxa"/>
            <w:right w:w="108" w:type="dxa"/>
          </w:tblCellMar>
        </w:tblPrEx>
        <w:trPr>
          <w:trHeight w:val="1243" w:hRule="exact"/>
        </w:trPr>
        <w:tc>
          <w:tcPr>
            <w:tcW w:w="4995" w:type="dxa"/>
            <w:vAlign w:val="center"/>
          </w:tcPr>
          <w:p>
            <w:pPr>
              <w:snapToGrid w:val="0"/>
              <w:rPr>
                <w:rFonts w:hAnsi="宋体"/>
                <w:szCs w:val="21"/>
                <w:highlight w:val="none"/>
              </w:rPr>
            </w:pPr>
            <w:r>
              <w:rPr>
                <w:rFonts w:hint="eastAsia" w:hAnsi="宋体"/>
                <w:szCs w:val="21"/>
                <w:highlight w:val="none"/>
              </w:rPr>
              <w:t>甲方（盖章）：</w:t>
            </w:r>
          </w:p>
          <w:p>
            <w:pPr>
              <w:snapToGrid w:val="0"/>
              <w:rPr>
                <w:rFonts w:hAnsi="宋体"/>
                <w:szCs w:val="21"/>
                <w:highlight w:val="none"/>
              </w:rPr>
            </w:pPr>
          </w:p>
          <w:p>
            <w:pPr>
              <w:snapToGrid w:val="0"/>
              <w:rPr>
                <w:szCs w:val="21"/>
                <w:highlight w:val="none"/>
              </w:rPr>
            </w:pPr>
            <w:r>
              <w:rPr>
                <w:rFonts w:hint="eastAsia" w:hAnsi="宋体"/>
                <w:szCs w:val="21"/>
                <w:highlight w:val="none"/>
              </w:rPr>
              <w:t>国家海洋局南海标准计量中心</w:t>
            </w:r>
          </w:p>
        </w:tc>
        <w:tc>
          <w:tcPr>
            <w:tcW w:w="4743" w:type="dxa"/>
            <w:vAlign w:val="center"/>
          </w:tcPr>
          <w:p>
            <w:pPr>
              <w:snapToGrid w:val="0"/>
              <w:rPr>
                <w:rFonts w:hAnsi="宋体"/>
                <w:szCs w:val="21"/>
                <w:highlight w:val="none"/>
              </w:rPr>
            </w:pPr>
            <w:r>
              <w:rPr>
                <w:rFonts w:hint="eastAsia" w:hAnsi="宋体"/>
                <w:szCs w:val="21"/>
                <w:highlight w:val="none"/>
              </w:rPr>
              <w:t>乙方（盖章）：</w:t>
            </w:r>
          </w:p>
          <w:p>
            <w:pPr>
              <w:pStyle w:val="23"/>
              <w:tabs>
                <w:tab w:val="left" w:pos="0"/>
                <w:tab w:val="left" w:pos="770"/>
                <w:tab w:val="left" w:pos="1000"/>
              </w:tabs>
              <w:topLinePunct/>
              <w:jc w:val="left"/>
              <w:rPr>
                <w:szCs w:val="21"/>
                <w:highlight w:val="none"/>
              </w:rPr>
            </w:pPr>
          </w:p>
          <w:p>
            <w:pPr>
              <w:pStyle w:val="23"/>
              <w:tabs>
                <w:tab w:val="left" w:pos="0"/>
                <w:tab w:val="left" w:pos="770"/>
                <w:tab w:val="left" w:pos="1000"/>
              </w:tabs>
              <w:topLinePunct/>
              <w:jc w:val="left"/>
              <w:rPr>
                <w:szCs w:val="21"/>
                <w:highlight w:val="none"/>
              </w:rPr>
            </w:pPr>
          </w:p>
        </w:tc>
      </w:tr>
      <w:tr>
        <w:tblPrEx>
          <w:tblCellMar>
            <w:top w:w="0" w:type="dxa"/>
            <w:left w:w="108" w:type="dxa"/>
            <w:bottom w:w="0" w:type="dxa"/>
            <w:right w:w="108" w:type="dxa"/>
          </w:tblCellMar>
        </w:tblPrEx>
        <w:trPr>
          <w:trHeight w:val="1544" w:hRule="atLeast"/>
        </w:trPr>
        <w:tc>
          <w:tcPr>
            <w:tcW w:w="4995" w:type="dxa"/>
            <w:vAlign w:val="center"/>
          </w:tcPr>
          <w:p>
            <w:pPr>
              <w:snapToGrid w:val="0"/>
              <w:rPr>
                <w:highlight w:val="none"/>
              </w:rPr>
            </w:pPr>
            <w:r>
              <w:rPr>
                <w:rFonts w:hint="eastAsia"/>
                <w:highlight w:val="none"/>
              </w:rPr>
              <w:t>甲方法定代表人或授权代表（签字）：</w:t>
            </w:r>
          </w:p>
          <w:p>
            <w:pPr>
              <w:rPr>
                <w:highlight w:val="none"/>
              </w:rPr>
            </w:pPr>
          </w:p>
          <w:p>
            <w:pPr>
              <w:rPr>
                <w:highlight w:val="none"/>
              </w:rPr>
            </w:pPr>
          </w:p>
          <w:p>
            <w:pPr>
              <w:pStyle w:val="2"/>
              <w:rPr>
                <w:szCs w:val="21"/>
                <w:highlight w:val="none"/>
              </w:rPr>
            </w:pPr>
          </w:p>
        </w:tc>
        <w:tc>
          <w:tcPr>
            <w:tcW w:w="4743" w:type="dxa"/>
            <w:vAlign w:val="center"/>
          </w:tcPr>
          <w:p>
            <w:pPr>
              <w:snapToGrid w:val="0"/>
              <w:rPr>
                <w:highlight w:val="none"/>
              </w:rPr>
            </w:pPr>
            <w:r>
              <w:rPr>
                <w:rFonts w:hint="eastAsia"/>
                <w:highlight w:val="none"/>
              </w:rPr>
              <w:t>乙方法定代表人或授权代表（签字）：</w:t>
            </w:r>
          </w:p>
          <w:p>
            <w:pPr>
              <w:rPr>
                <w:highlight w:val="none"/>
              </w:rPr>
            </w:pPr>
          </w:p>
          <w:p>
            <w:pPr>
              <w:snapToGrid w:val="0"/>
              <w:rPr>
                <w:highlight w:val="none"/>
              </w:rPr>
            </w:pPr>
          </w:p>
          <w:p>
            <w:pPr>
              <w:pStyle w:val="2"/>
              <w:rPr>
                <w:highlight w:val="none"/>
              </w:rPr>
            </w:pPr>
          </w:p>
        </w:tc>
      </w:tr>
      <w:tr>
        <w:tblPrEx>
          <w:tblCellMar>
            <w:top w:w="0" w:type="dxa"/>
            <w:left w:w="108" w:type="dxa"/>
            <w:bottom w:w="0" w:type="dxa"/>
            <w:right w:w="108" w:type="dxa"/>
          </w:tblCellMar>
        </w:tblPrEx>
        <w:trPr>
          <w:trHeight w:val="1102" w:hRule="exact"/>
        </w:trPr>
        <w:tc>
          <w:tcPr>
            <w:tcW w:w="4995" w:type="dxa"/>
            <w:vAlign w:val="center"/>
          </w:tcPr>
          <w:p>
            <w:pPr>
              <w:snapToGrid w:val="0"/>
              <w:rPr>
                <w:szCs w:val="21"/>
                <w:highlight w:val="none"/>
              </w:rPr>
            </w:pPr>
            <w:r>
              <w:rPr>
                <w:rFonts w:hint="eastAsia" w:hAnsi="宋体"/>
                <w:szCs w:val="21"/>
                <w:highlight w:val="none"/>
              </w:rPr>
              <w:t>联系人：</w:t>
            </w:r>
          </w:p>
        </w:tc>
        <w:tc>
          <w:tcPr>
            <w:tcW w:w="4743" w:type="dxa"/>
            <w:vAlign w:val="center"/>
          </w:tcPr>
          <w:p>
            <w:pPr>
              <w:snapToGrid w:val="0"/>
              <w:rPr>
                <w:szCs w:val="21"/>
                <w:highlight w:val="none"/>
              </w:rPr>
            </w:pPr>
            <w:r>
              <w:rPr>
                <w:rFonts w:hint="eastAsia" w:hAnsi="宋体"/>
                <w:szCs w:val="21"/>
                <w:highlight w:val="none"/>
              </w:rPr>
              <w:t>联系人：</w:t>
            </w:r>
          </w:p>
        </w:tc>
      </w:tr>
      <w:tr>
        <w:tblPrEx>
          <w:tblCellMar>
            <w:top w:w="0" w:type="dxa"/>
            <w:left w:w="108" w:type="dxa"/>
            <w:bottom w:w="0" w:type="dxa"/>
            <w:right w:w="108" w:type="dxa"/>
          </w:tblCellMar>
        </w:tblPrEx>
        <w:trPr>
          <w:trHeight w:val="1606" w:hRule="exact"/>
        </w:trPr>
        <w:tc>
          <w:tcPr>
            <w:tcW w:w="4995" w:type="dxa"/>
          </w:tcPr>
          <w:p>
            <w:pPr>
              <w:snapToGrid w:val="0"/>
              <w:rPr>
                <w:rFonts w:hAnsi="宋体"/>
                <w:szCs w:val="21"/>
                <w:highlight w:val="none"/>
              </w:rPr>
            </w:pPr>
            <w:r>
              <w:rPr>
                <w:rFonts w:hint="eastAsia" w:hAnsi="宋体"/>
                <w:szCs w:val="21"/>
                <w:highlight w:val="none"/>
              </w:rPr>
              <w:t>联系电话：</w:t>
            </w:r>
          </w:p>
          <w:p>
            <w:pPr>
              <w:snapToGrid w:val="0"/>
              <w:rPr>
                <w:rFonts w:hAnsi="宋体"/>
                <w:szCs w:val="21"/>
                <w:highlight w:val="none"/>
              </w:rPr>
            </w:pPr>
          </w:p>
          <w:p>
            <w:pPr>
              <w:snapToGrid w:val="0"/>
              <w:rPr>
                <w:rFonts w:hAnsi="宋体"/>
                <w:szCs w:val="21"/>
                <w:highlight w:val="none"/>
              </w:rPr>
            </w:pPr>
          </w:p>
          <w:p>
            <w:pPr>
              <w:snapToGrid w:val="0"/>
              <w:rPr>
                <w:rFonts w:hAnsi="宋体"/>
                <w:szCs w:val="21"/>
                <w:highlight w:val="none"/>
              </w:rPr>
            </w:pPr>
            <w:r>
              <w:rPr>
                <w:rFonts w:hint="eastAsia" w:hAnsi="宋体"/>
                <w:szCs w:val="21"/>
                <w:highlight w:val="none"/>
              </w:rPr>
              <w:t>地址：</w:t>
            </w:r>
          </w:p>
        </w:tc>
        <w:tc>
          <w:tcPr>
            <w:tcW w:w="4743" w:type="dxa"/>
          </w:tcPr>
          <w:p>
            <w:pPr>
              <w:snapToGrid w:val="0"/>
              <w:rPr>
                <w:rFonts w:hAnsi="宋体"/>
                <w:szCs w:val="21"/>
                <w:highlight w:val="none"/>
              </w:rPr>
            </w:pPr>
            <w:r>
              <w:rPr>
                <w:rFonts w:hint="eastAsia" w:hAnsi="宋体"/>
                <w:szCs w:val="21"/>
                <w:highlight w:val="none"/>
              </w:rPr>
              <w:t>联系电话：</w:t>
            </w:r>
          </w:p>
          <w:p>
            <w:pPr>
              <w:snapToGrid w:val="0"/>
              <w:rPr>
                <w:rFonts w:hAnsi="宋体"/>
                <w:szCs w:val="21"/>
                <w:highlight w:val="none"/>
              </w:rPr>
            </w:pPr>
          </w:p>
          <w:p>
            <w:pPr>
              <w:snapToGrid w:val="0"/>
              <w:rPr>
                <w:rFonts w:hAnsi="宋体"/>
                <w:szCs w:val="21"/>
                <w:highlight w:val="none"/>
              </w:rPr>
            </w:pPr>
          </w:p>
          <w:p>
            <w:pPr>
              <w:snapToGrid w:val="0"/>
              <w:rPr>
                <w:rFonts w:hAnsi="宋体"/>
                <w:szCs w:val="21"/>
                <w:highlight w:val="none"/>
              </w:rPr>
            </w:pPr>
            <w:r>
              <w:rPr>
                <w:rFonts w:hint="eastAsia" w:hAnsi="宋体"/>
                <w:szCs w:val="21"/>
                <w:highlight w:val="none"/>
              </w:rPr>
              <w:t>地址：</w:t>
            </w:r>
          </w:p>
          <w:p>
            <w:pPr>
              <w:snapToGrid w:val="0"/>
              <w:rPr>
                <w:rFonts w:hAnsi="宋体"/>
                <w:szCs w:val="21"/>
                <w:highlight w:val="none"/>
              </w:rPr>
            </w:pPr>
          </w:p>
        </w:tc>
      </w:tr>
      <w:tr>
        <w:tblPrEx>
          <w:tblCellMar>
            <w:top w:w="0" w:type="dxa"/>
            <w:left w:w="108" w:type="dxa"/>
            <w:bottom w:w="0" w:type="dxa"/>
            <w:right w:w="108" w:type="dxa"/>
          </w:tblCellMar>
        </w:tblPrEx>
        <w:trPr>
          <w:trHeight w:val="810" w:hRule="exact"/>
        </w:trPr>
        <w:tc>
          <w:tcPr>
            <w:tcW w:w="4995" w:type="dxa"/>
            <w:vAlign w:val="center"/>
          </w:tcPr>
          <w:p>
            <w:pPr>
              <w:snapToGrid w:val="0"/>
              <w:rPr>
                <w:szCs w:val="21"/>
                <w:highlight w:val="none"/>
              </w:rPr>
            </w:pPr>
            <w:r>
              <w:rPr>
                <w:rFonts w:hint="eastAsia" w:hAnsi="宋体"/>
                <w:szCs w:val="21"/>
                <w:highlight w:val="none"/>
              </w:rPr>
              <w:t>签订日期：年月   日</w:t>
            </w:r>
          </w:p>
        </w:tc>
        <w:tc>
          <w:tcPr>
            <w:tcW w:w="4743" w:type="dxa"/>
            <w:vAlign w:val="center"/>
          </w:tcPr>
          <w:p>
            <w:pPr>
              <w:snapToGrid w:val="0"/>
              <w:rPr>
                <w:szCs w:val="21"/>
                <w:highlight w:val="none"/>
              </w:rPr>
            </w:pPr>
            <w:r>
              <w:rPr>
                <w:rFonts w:hint="eastAsia" w:hAnsi="宋体"/>
                <w:szCs w:val="21"/>
                <w:highlight w:val="none"/>
              </w:rPr>
              <w:t>签订地点：广州市</w:t>
            </w:r>
          </w:p>
        </w:tc>
      </w:tr>
    </w:tbl>
    <w:p>
      <w:pPr>
        <w:jc w:val="both"/>
        <w:rPr>
          <w:bCs/>
          <w:sz w:val="28"/>
          <w:szCs w:val="28"/>
          <w:highlight w:val="none"/>
        </w:rPr>
      </w:pPr>
    </w:p>
    <w:p>
      <w:pPr>
        <w:pStyle w:val="4"/>
        <w:keepNext/>
        <w:keepLines/>
        <w:pageBreakBefore/>
        <w:numPr>
          <w:ilvl w:val="0"/>
          <w:numId w:val="9"/>
        </w:numPr>
        <w:tabs>
          <w:tab w:val="left" w:pos="1080"/>
        </w:tabs>
        <w:spacing w:line="360" w:lineRule="auto"/>
        <w:jc w:val="center"/>
        <w:rPr>
          <w:rFonts w:hAnsi="宋体" w:cs="宋体"/>
          <w:b/>
          <w:bCs/>
          <w:kern w:val="44"/>
          <w:sz w:val="32"/>
          <w:szCs w:val="32"/>
          <w:highlight w:val="none"/>
          <w:lang w:val="zh-CN"/>
        </w:rPr>
      </w:pPr>
      <w:r>
        <w:rPr>
          <w:rFonts w:hint="eastAsia" w:hAnsi="宋体" w:cs="宋体"/>
          <w:b/>
          <w:bCs/>
          <w:kern w:val="44"/>
          <w:sz w:val="32"/>
          <w:szCs w:val="32"/>
          <w:highlight w:val="none"/>
          <w:lang w:val="zh-CN"/>
        </w:rPr>
        <w:t>用户需求书</w:t>
      </w:r>
    </w:p>
    <w:p>
      <w:pPr>
        <w:spacing w:beforeLines="100" w:afterLines="100" w:line="480" w:lineRule="exact"/>
        <w:ind w:firstLine="562" w:firstLineChars="200"/>
        <w:outlineLvl w:val="1"/>
        <w:rPr>
          <w:rFonts w:ascii="黑体" w:hAnsi="黑体" w:eastAsia="黑体" w:cs="黑体"/>
          <w:b/>
          <w:bCs/>
          <w:sz w:val="28"/>
          <w:szCs w:val="28"/>
          <w:highlight w:val="none"/>
        </w:rPr>
      </w:pPr>
      <w:bookmarkStart w:id="13" w:name="_Toc14579"/>
      <w:r>
        <w:rPr>
          <w:rFonts w:hint="eastAsia" w:ascii="黑体" w:hAnsi="黑体" w:eastAsia="黑体" w:cs="黑体"/>
          <w:b/>
          <w:bCs/>
          <w:sz w:val="28"/>
          <w:szCs w:val="28"/>
          <w:highlight w:val="none"/>
        </w:rPr>
        <w:t>（一）项目概况</w:t>
      </w:r>
      <w:bookmarkEnd w:id="13"/>
    </w:p>
    <w:p>
      <w:pPr>
        <w:spacing w:line="480" w:lineRule="exact"/>
        <w:ind w:firstLine="560" w:firstLineChars="200"/>
        <w:rPr>
          <w:rFonts w:ascii="仿宋_GB2312" w:hAnsi="黑体" w:eastAsia="仿宋_GB2312"/>
          <w:sz w:val="28"/>
          <w:szCs w:val="28"/>
          <w:highlight w:val="none"/>
          <w:u w:val="single"/>
        </w:rPr>
      </w:pPr>
      <w:r>
        <w:rPr>
          <w:rFonts w:hint="eastAsia" w:ascii="仿宋_GB2312" w:hAnsi="仿宋_GB2312" w:eastAsia="仿宋_GB2312" w:cs="仿宋_GB2312"/>
          <w:iCs/>
          <w:sz w:val="28"/>
          <w:szCs w:val="28"/>
          <w:highlight w:val="none"/>
        </w:rPr>
        <w:t>为国家海洋局南海标准计量中心船舶配备船员，安排船员对船舶进行日常管理和操作，妥善管理甲方船舶，并根据需要开展相关岸基管理工作，保障船舶处于适航状态，满足自然资源部南海局职责工作需要。</w:t>
      </w:r>
    </w:p>
    <w:p>
      <w:pPr>
        <w:spacing w:beforeLines="100" w:afterLines="100" w:line="480" w:lineRule="exact"/>
        <w:ind w:firstLine="562" w:firstLineChars="200"/>
        <w:outlineLvl w:val="1"/>
        <w:rPr>
          <w:rFonts w:ascii="楷体_GB2312" w:hAnsi="楷体_GB2312" w:eastAsia="楷体_GB2312" w:cs="楷体_GB2312"/>
          <w:sz w:val="28"/>
          <w:szCs w:val="28"/>
          <w:highlight w:val="none"/>
        </w:rPr>
      </w:pPr>
      <w:bookmarkStart w:id="14" w:name="_Toc32249"/>
      <w:r>
        <w:rPr>
          <w:rFonts w:hint="eastAsia" w:ascii="黑体" w:hAnsi="黑体" w:eastAsia="黑体" w:cs="黑体"/>
          <w:b/>
          <w:bCs/>
          <w:sz w:val="28"/>
          <w:szCs w:val="28"/>
          <w:highlight w:val="none"/>
        </w:rPr>
        <w:t>（二）采购项目预（概）算</w:t>
      </w:r>
      <w:bookmarkEnd w:id="14"/>
    </w:p>
    <w:p>
      <w:pPr>
        <w:spacing w:line="480" w:lineRule="exact"/>
        <w:ind w:firstLine="560" w:firstLineChars="200"/>
        <w:rPr>
          <w:rFonts w:hint="eastAsia" w:ascii="楷体" w:hAnsi="楷体" w:eastAsia="楷体"/>
          <w:sz w:val="28"/>
          <w:szCs w:val="28"/>
          <w:highlight w:val="none"/>
        </w:rPr>
      </w:pPr>
      <w:r>
        <w:rPr>
          <w:rFonts w:ascii="楷体" w:hAnsi="楷体" w:eastAsia="楷体"/>
          <w:sz w:val="28"/>
          <w:szCs w:val="28"/>
          <w:highlight w:val="none"/>
        </w:rPr>
        <w:t>总预算</w:t>
      </w:r>
      <w:r>
        <w:rPr>
          <w:rFonts w:hint="eastAsia" w:ascii="楷体" w:hAnsi="楷体" w:eastAsia="楷体"/>
          <w:sz w:val="28"/>
          <w:szCs w:val="28"/>
          <w:highlight w:val="none"/>
        </w:rPr>
        <w:t>：不超过</w:t>
      </w:r>
      <w:r>
        <w:rPr>
          <w:rFonts w:hint="eastAsia" w:ascii="仿宋_GB2312" w:hAnsi="仿宋_GB2312" w:eastAsia="仿宋_GB2312" w:cs="仿宋_GB2312"/>
          <w:iCs/>
          <w:sz w:val="28"/>
          <w:szCs w:val="28"/>
          <w:highlight w:val="none"/>
          <w:u w:val="single"/>
        </w:rPr>
        <w:t>￥</w:t>
      </w:r>
      <w:r>
        <w:rPr>
          <w:rFonts w:hint="eastAsia" w:ascii="楷体" w:hAnsi="楷体" w:eastAsia="楷体"/>
          <w:sz w:val="28"/>
          <w:szCs w:val="28"/>
          <w:highlight w:val="none"/>
          <w:u w:val="single"/>
        </w:rPr>
        <w:t>1623.97万元</w:t>
      </w:r>
      <w:r>
        <w:rPr>
          <w:rFonts w:hint="eastAsia" w:ascii="楷体" w:hAnsi="楷体" w:eastAsia="楷体"/>
          <w:sz w:val="28"/>
          <w:szCs w:val="28"/>
          <w:highlight w:val="none"/>
        </w:rPr>
        <w:t>。</w:t>
      </w:r>
    </w:p>
    <w:p>
      <w:pPr>
        <w:spacing w:line="480" w:lineRule="exact"/>
        <w:ind w:firstLine="560" w:firstLineChars="200"/>
        <w:rPr>
          <w:rFonts w:hint="eastAsia" w:ascii="仿宋_GB2312" w:hAnsi="仿宋_GB2312" w:eastAsia="仿宋_GB2312" w:cs="仿宋_GB2312"/>
          <w:iCs/>
          <w:sz w:val="28"/>
          <w:szCs w:val="28"/>
          <w:highlight w:val="none"/>
        </w:rPr>
      </w:pPr>
      <w:r>
        <w:rPr>
          <w:rFonts w:hint="eastAsia" w:ascii="仿宋_GB2312" w:hAnsi="仿宋_GB2312" w:eastAsia="仿宋_GB2312" w:cs="仿宋_GB2312"/>
          <w:iCs/>
          <w:sz w:val="28"/>
          <w:szCs w:val="28"/>
          <w:highlight w:val="none"/>
          <w:lang w:val="en-US" w:eastAsia="zh-CN"/>
        </w:rPr>
        <w:t>注：</w:t>
      </w:r>
      <w:r>
        <w:rPr>
          <w:rFonts w:hint="eastAsia" w:ascii="仿宋_GB2312" w:hAnsi="仿宋_GB2312" w:eastAsia="仿宋_GB2312" w:cs="仿宋_GB2312"/>
          <w:iCs/>
          <w:sz w:val="28"/>
          <w:szCs w:val="28"/>
          <w:highlight w:val="none"/>
        </w:rPr>
        <w:t>本项目执行金额达到</w:t>
      </w:r>
      <w:r>
        <w:rPr>
          <w:rFonts w:hint="eastAsia" w:ascii="仿宋_GB2312" w:hAnsi="仿宋_GB2312" w:eastAsia="仿宋_GB2312" w:cs="仿宋_GB2312"/>
          <w:iCs/>
          <w:sz w:val="28"/>
          <w:szCs w:val="28"/>
          <w:highlight w:val="none"/>
          <w:lang w:eastAsia="zh-CN"/>
        </w:rPr>
        <w:t>总</w:t>
      </w:r>
      <w:r>
        <w:rPr>
          <w:rFonts w:hint="eastAsia" w:ascii="仿宋_GB2312" w:hAnsi="仿宋_GB2312" w:eastAsia="仿宋_GB2312" w:cs="仿宋_GB2312"/>
          <w:iCs/>
          <w:sz w:val="28"/>
          <w:szCs w:val="28"/>
          <w:highlight w:val="none"/>
          <w:lang w:val="en-US" w:eastAsia="zh-CN"/>
        </w:rPr>
        <w:t>预算</w:t>
      </w:r>
      <w:r>
        <w:rPr>
          <w:rFonts w:hint="eastAsia" w:ascii="仿宋_GB2312" w:hAnsi="仿宋_GB2312" w:eastAsia="仿宋_GB2312" w:cs="仿宋_GB2312"/>
          <w:iCs/>
          <w:sz w:val="28"/>
          <w:szCs w:val="28"/>
          <w:highlight w:val="none"/>
        </w:rPr>
        <w:t>时，合同自动终止；或本项目执行时间到2023年12月31日时，无论执行金额是否达到</w:t>
      </w:r>
      <w:r>
        <w:rPr>
          <w:rFonts w:hint="eastAsia" w:ascii="仿宋_GB2312" w:hAnsi="仿宋_GB2312" w:eastAsia="仿宋_GB2312" w:cs="仿宋_GB2312"/>
          <w:iCs/>
          <w:sz w:val="28"/>
          <w:szCs w:val="28"/>
          <w:highlight w:val="none"/>
          <w:lang w:eastAsia="zh-CN"/>
        </w:rPr>
        <w:t>总预算</w:t>
      </w:r>
      <w:r>
        <w:rPr>
          <w:rFonts w:hint="eastAsia" w:ascii="仿宋_GB2312" w:hAnsi="仿宋_GB2312" w:eastAsia="仿宋_GB2312" w:cs="仿宋_GB2312"/>
          <w:iCs/>
          <w:sz w:val="28"/>
          <w:szCs w:val="28"/>
          <w:highlight w:val="none"/>
        </w:rPr>
        <w:t>，合同均自动终止。</w:t>
      </w:r>
    </w:p>
    <w:p>
      <w:pPr>
        <w:pStyle w:val="2"/>
        <w:spacing w:beforeLines="100" w:afterLines="100"/>
        <w:ind w:firstLine="562" w:firstLineChars="200"/>
        <w:outlineLvl w:val="1"/>
        <w:rPr>
          <w:rFonts w:ascii="黑体" w:hAnsi="黑体" w:eastAsia="黑体" w:cs="黑体"/>
          <w:b/>
          <w:bCs/>
          <w:sz w:val="28"/>
          <w:szCs w:val="28"/>
          <w:highlight w:val="none"/>
        </w:rPr>
      </w:pPr>
      <w:bookmarkStart w:id="15" w:name="_Toc11849"/>
      <w:r>
        <w:rPr>
          <w:rFonts w:hint="eastAsia" w:ascii="黑体" w:hAnsi="黑体" w:eastAsia="黑体" w:cs="黑体"/>
          <w:b/>
          <w:bCs/>
          <w:sz w:val="28"/>
          <w:szCs w:val="28"/>
          <w:highlight w:val="none"/>
        </w:rPr>
        <w:t>（三）服务期限</w:t>
      </w:r>
      <w:bookmarkEnd w:id="15"/>
    </w:p>
    <w:p>
      <w:pPr>
        <w:pStyle w:val="2"/>
        <w:ind w:firstLine="560" w:firstLineChars="200"/>
        <w:rPr>
          <w:rFonts w:ascii="仿宋_GB2312" w:hAnsi="仿宋_GB2312" w:eastAsia="仿宋_GB2312" w:cs="仿宋_GB2312"/>
          <w:iCs/>
          <w:sz w:val="28"/>
          <w:szCs w:val="28"/>
          <w:highlight w:val="none"/>
        </w:rPr>
      </w:pPr>
      <w:r>
        <w:rPr>
          <w:rFonts w:hint="eastAsia" w:ascii="仿宋_GB2312" w:hAnsi="仿宋_GB2312" w:eastAsia="仿宋_GB2312" w:cs="仿宋_GB2312"/>
          <w:iCs/>
          <w:sz w:val="28"/>
          <w:szCs w:val="28"/>
          <w:highlight w:val="none"/>
        </w:rPr>
        <w:t>合同服务期限</w:t>
      </w:r>
      <w:r>
        <w:rPr>
          <w:rFonts w:hint="eastAsia" w:ascii="仿宋_GB2312" w:hAnsi="仿宋_GB2312" w:eastAsia="仿宋_GB2312" w:cs="仿宋_GB2312"/>
          <w:iCs/>
          <w:sz w:val="28"/>
          <w:szCs w:val="28"/>
          <w:highlight w:val="none"/>
          <w:lang w:val="zh-CN"/>
        </w:rPr>
        <w:t>至202</w:t>
      </w:r>
      <w:r>
        <w:rPr>
          <w:rFonts w:hint="eastAsia" w:ascii="仿宋_GB2312" w:hAnsi="仿宋_GB2312" w:eastAsia="仿宋_GB2312" w:cs="仿宋_GB2312"/>
          <w:iCs/>
          <w:sz w:val="28"/>
          <w:szCs w:val="28"/>
          <w:highlight w:val="none"/>
        </w:rPr>
        <w:t>3</w:t>
      </w:r>
      <w:r>
        <w:rPr>
          <w:rFonts w:hint="eastAsia" w:ascii="仿宋_GB2312" w:hAnsi="仿宋_GB2312" w:eastAsia="仿宋_GB2312" w:cs="仿宋_GB2312"/>
          <w:iCs/>
          <w:sz w:val="28"/>
          <w:szCs w:val="28"/>
          <w:highlight w:val="none"/>
          <w:lang w:val="zh-CN"/>
        </w:rPr>
        <w:t>年</w:t>
      </w:r>
      <w:r>
        <w:rPr>
          <w:rFonts w:hint="eastAsia" w:ascii="仿宋_GB2312" w:hAnsi="仿宋_GB2312" w:eastAsia="仿宋_GB2312" w:cs="仿宋_GB2312"/>
          <w:iCs/>
          <w:sz w:val="28"/>
          <w:szCs w:val="28"/>
          <w:highlight w:val="none"/>
        </w:rPr>
        <w:t>12</w:t>
      </w:r>
      <w:r>
        <w:rPr>
          <w:rFonts w:hint="eastAsia" w:ascii="仿宋_GB2312" w:hAnsi="仿宋_GB2312" w:eastAsia="仿宋_GB2312" w:cs="仿宋_GB2312"/>
          <w:iCs/>
          <w:sz w:val="28"/>
          <w:szCs w:val="28"/>
          <w:highlight w:val="none"/>
          <w:lang w:val="zh-CN"/>
        </w:rPr>
        <w:t>月</w:t>
      </w:r>
      <w:r>
        <w:rPr>
          <w:rFonts w:hint="eastAsia" w:ascii="仿宋_GB2312" w:hAnsi="仿宋_GB2312" w:eastAsia="仿宋_GB2312" w:cs="仿宋_GB2312"/>
          <w:iCs/>
          <w:sz w:val="28"/>
          <w:szCs w:val="28"/>
          <w:highlight w:val="none"/>
        </w:rPr>
        <w:t>31</w:t>
      </w:r>
      <w:r>
        <w:rPr>
          <w:rFonts w:hint="eastAsia" w:ascii="仿宋_GB2312" w:hAnsi="仿宋_GB2312" w:eastAsia="仿宋_GB2312" w:cs="仿宋_GB2312"/>
          <w:iCs/>
          <w:sz w:val="28"/>
          <w:szCs w:val="28"/>
          <w:highlight w:val="none"/>
          <w:lang w:val="zh-CN"/>
        </w:rPr>
        <w:t>日</w:t>
      </w:r>
      <w:r>
        <w:rPr>
          <w:rFonts w:hint="eastAsia" w:ascii="仿宋_GB2312" w:hAnsi="仿宋_GB2312" w:eastAsia="仿宋_GB2312" w:cs="仿宋_GB2312"/>
          <w:iCs/>
          <w:sz w:val="28"/>
          <w:szCs w:val="28"/>
          <w:highlight w:val="none"/>
        </w:rPr>
        <w:t>,具体按正式合同签订之日起计算。</w:t>
      </w:r>
    </w:p>
    <w:p>
      <w:pPr>
        <w:spacing w:beforeLines="100" w:afterLines="100" w:line="480" w:lineRule="exact"/>
        <w:ind w:firstLine="562" w:firstLineChars="200"/>
        <w:outlineLvl w:val="1"/>
        <w:rPr>
          <w:rFonts w:ascii="黑体" w:hAnsi="黑体" w:eastAsia="黑体" w:cs="黑体"/>
          <w:b/>
          <w:bCs/>
          <w:sz w:val="28"/>
          <w:szCs w:val="28"/>
          <w:highlight w:val="none"/>
        </w:rPr>
      </w:pPr>
      <w:bookmarkStart w:id="16" w:name="_Toc31455"/>
      <w:r>
        <w:rPr>
          <w:rFonts w:hint="eastAsia" w:ascii="黑体" w:hAnsi="黑体" w:eastAsia="黑体" w:cs="黑体"/>
          <w:b/>
          <w:bCs/>
          <w:sz w:val="28"/>
          <w:szCs w:val="28"/>
          <w:highlight w:val="none"/>
        </w:rPr>
        <w:t>（四）采购内容</w:t>
      </w:r>
      <w:bookmarkEnd w:id="16"/>
    </w:p>
    <w:tbl>
      <w:tblPr>
        <w:tblStyle w:val="49"/>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2699"/>
        <w:gridCol w:w="809"/>
        <w:gridCol w:w="1498"/>
        <w:gridCol w:w="1857"/>
        <w:gridCol w:w="980"/>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913"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序号</w:t>
            </w:r>
          </w:p>
        </w:tc>
        <w:tc>
          <w:tcPr>
            <w:tcW w:w="2699"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标的名称</w:t>
            </w:r>
          </w:p>
        </w:tc>
        <w:tc>
          <w:tcPr>
            <w:tcW w:w="809"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数量</w:t>
            </w:r>
          </w:p>
        </w:tc>
        <w:tc>
          <w:tcPr>
            <w:tcW w:w="1498"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计量</w:t>
            </w:r>
          </w:p>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单位</w:t>
            </w:r>
          </w:p>
        </w:tc>
        <w:tc>
          <w:tcPr>
            <w:tcW w:w="1857"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单价（万元）</w:t>
            </w:r>
          </w:p>
        </w:tc>
        <w:tc>
          <w:tcPr>
            <w:tcW w:w="980" w:type="dxa"/>
            <w:vAlign w:val="center"/>
          </w:tcPr>
          <w:p>
            <w:pPr>
              <w:spacing w:line="460" w:lineRule="exact"/>
              <w:jc w:val="center"/>
              <w:rPr>
                <w:rFonts w:ascii="仿宋" w:hAnsi="仿宋" w:eastAsia="仿宋"/>
                <w:b/>
                <w:sz w:val="28"/>
                <w:szCs w:val="28"/>
                <w:highlight w:val="none"/>
              </w:rPr>
            </w:pPr>
            <w:r>
              <w:rPr>
                <w:rFonts w:hint="eastAsia" w:ascii="仿宋" w:hAnsi="仿宋" w:eastAsia="仿宋"/>
                <w:b/>
                <w:sz w:val="28"/>
                <w:szCs w:val="28"/>
                <w:highlight w:val="none"/>
              </w:rPr>
              <w:t>是否进口</w:t>
            </w:r>
          </w:p>
        </w:tc>
        <w:tc>
          <w:tcPr>
            <w:tcW w:w="980" w:type="dxa"/>
            <w:vAlign w:val="center"/>
          </w:tcPr>
          <w:p>
            <w:pPr>
              <w:spacing w:line="460" w:lineRule="exact"/>
              <w:jc w:val="center"/>
              <w:rPr>
                <w:rFonts w:ascii="仿宋" w:hAnsi="仿宋" w:eastAsia="仿宋"/>
                <w:b/>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913" w:type="dxa"/>
            <w:vAlign w:val="center"/>
          </w:tcPr>
          <w:p>
            <w:pPr>
              <w:snapToGrid w:val="0"/>
              <w:spacing w:line="460" w:lineRule="exact"/>
              <w:jc w:val="center"/>
              <w:rPr>
                <w:rFonts w:ascii="仿宋" w:hAnsi="仿宋" w:eastAsia="仿宋"/>
                <w:sz w:val="28"/>
                <w:szCs w:val="28"/>
                <w:highlight w:val="none"/>
              </w:rPr>
            </w:pPr>
            <w:r>
              <w:rPr>
                <w:rFonts w:hint="eastAsia" w:ascii="仿宋" w:hAnsi="仿宋" w:eastAsia="仿宋"/>
                <w:sz w:val="28"/>
                <w:szCs w:val="28"/>
                <w:highlight w:val="none"/>
              </w:rPr>
              <w:t>1</w:t>
            </w:r>
          </w:p>
        </w:tc>
        <w:tc>
          <w:tcPr>
            <w:tcW w:w="2699" w:type="dxa"/>
            <w:vAlign w:val="center"/>
          </w:tcPr>
          <w:p>
            <w:pPr>
              <w:snapToGrid w:val="0"/>
              <w:spacing w:line="460" w:lineRule="exact"/>
              <w:jc w:val="center"/>
              <w:rPr>
                <w:rFonts w:ascii="仿宋" w:hAnsi="仿宋" w:eastAsia="仿宋"/>
                <w:iCs/>
                <w:sz w:val="28"/>
                <w:szCs w:val="28"/>
                <w:highlight w:val="none"/>
              </w:rPr>
            </w:pPr>
            <w:r>
              <w:rPr>
                <w:rFonts w:hint="eastAsia" w:ascii="仿宋" w:hAnsi="仿宋" w:eastAsia="仿宋"/>
                <w:iCs/>
                <w:sz w:val="28"/>
                <w:szCs w:val="28"/>
                <w:highlight w:val="none"/>
              </w:rPr>
              <w:t>国家海洋局南海标准计量中心2023年船员服务</w:t>
            </w:r>
          </w:p>
          <w:p>
            <w:pPr>
              <w:snapToGrid w:val="0"/>
              <w:spacing w:line="460" w:lineRule="exact"/>
              <w:jc w:val="center"/>
              <w:rPr>
                <w:rFonts w:ascii="仿宋" w:hAnsi="仿宋" w:eastAsia="仿宋"/>
                <w:iCs/>
                <w:sz w:val="28"/>
                <w:szCs w:val="28"/>
                <w:highlight w:val="none"/>
              </w:rPr>
            </w:pPr>
            <w:r>
              <w:rPr>
                <w:rFonts w:hint="eastAsia" w:ascii="仿宋" w:hAnsi="仿宋" w:eastAsia="仿宋"/>
                <w:iCs/>
                <w:sz w:val="28"/>
                <w:szCs w:val="28"/>
                <w:highlight w:val="none"/>
              </w:rPr>
              <w:t>采购项目</w:t>
            </w:r>
          </w:p>
        </w:tc>
        <w:tc>
          <w:tcPr>
            <w:tcW w:w="809" w:type="dxa"/>
            <w:vAlign w:val="center"/>
          </w:tcPr>
          <w:p>
            <w:pPr>
              <w:snapToGrid w:val="0"/>
              <w:spacing w:line="460" w:lineRule="exact"/>
              <w:jc w:val="center"/>
              <w:rPr>
                <w:rFonts w:ascii="仿宋" w:hAnsi="仿宋" w:eastAsia="仿宋"/>
                <w:sz w:val="28"/>
                <w:szCs w:val="28"/>
                <w:highlight w:val="none"/>
              </w:rPr>
            </w:pPr>
            <w:r>
              <w:rPr>
                <w:rFonts w:hint="eastAsia" w:ascii="仿宋" w:hAnsi="仿宋" w:eastAsia="仿宋"/>
                <w:sz w:val="28"/>
                <w:szCs w:val="28"/>
                <w:highlight w:val="none"/>
              </w:rPr>
              <w:t>1</w:t>
            </w:r>
          </w:p>
        </w:tc>
        <w:tc>
          <w:tcPr>
            <w:tcW w:w="1498" w:type="dxa"/>
            <w:vAlign w:val="center"/>
          </w:tcPr>
          <w:p>
            <w:pPr>
              <w:snapToGrid w:val="0"/>
              <w:spacing w:line="460" w:lineRule="exact"/>
              <w:jc w:val="center"/>
              <w:rPr>
                <w:rFonts w:ascii="仿宋" w:hAnsi="仿宋" w:eastAsia="仿宋"/>
                <w:sz w:val="28"/>
                <w:szCs w:val="28"/>
                <w:highlight w:val="none"/>
              </w:rPr>
            </w:pPr>
            <w:r>
              <w:rPr>
                <w:rFonts w:hint="eastAsia" w:ascii="仿宋" w:hAnsi="仿宋" w:eastAsia="仿宋"/>
                <w:sz w:val="28"/>
                <w:szCs w:val="28"/>
                <w:highlight w:val="none"/>
              </w:rPr>
              <w:t>项</w:t>
            </w:r>
          </w:p>
        </w:tc>
        <w:tc>
          <w:tcPr>
            <w:tcW w:w="1857" w:type="dxa"/>
            <w:vAlign w:val="center"/>
          </w:tcPr>
          <w:p>
            <w:pPr>
              <w:snapToGrid w:val="0"/>
              <w:spacing w:line="460" w:lineRule="exact"/>
              <w:jc w:val="center"/>
              <w:rPr>
                <w:rFonts w:ascii="仿宋" w:hAnsi="仿宋" w:eastAsia="仿宋"/>
                <w:sz w:val="28"/>
                <w:szCs w:val="28"/>
                <w:highlight w:val="none"/>
              </w:rPr>
            </w:pPr>
            <w:r>
              <w:rPr>
                <w:rFonts w:hint="eastAsia" w:ascii="楷体" w:hAnsi="楷体" w:eastAsia="楷体"/>
                <w:sz w:val="28"/>
                <w:szCs w:val="28"/>
                <w:highlight w:val="none"/>
                <w:u w:val="single"/>
              </w:rPr>
              <w:t>1623.97</w:t>
            </w:r>
          </w:p>
        </w:tc>
        <w:tc>
          <w:tcPr>
            <w:tcW w:w="980" w:type="dxa"/>
            <w:vAlign w:val="center"/>
          </w:tcPr>
          <w:p>
            <w:pPr>
              <w:snapToGrid w:val="0"/>
              <w:spacing w:line="460" w:lineRule="exact"/>
              <w:jc w:val="center"/>
              <w:rPr>
                <w:rFonts w:ascii="仿宋" w:hAnsi="仿宋" w:eastAsia="仿宋"/>
                <w:sz w:val="28"/>
                <w:szCs w:val="28"/>
                <w:highlight w:val="none"/>
              </w:rPr>
            </w:pPr>
            <w:r>
              <w:rPr>
                <w:rFonts w:hint="eastAsia" w:ascii="仿宋" w:hAnsi="仿宋" w:eastAsia="仿宋"/>
                <w:sz w:val="28"/>
                <w:szCs w:val="28"/>
                <w:highlight w:val="none"/>
              </w:rPr>
              <w:t>否</w:t>
            </w:r>
          </w:p>
        </w:tc>
        <w:tc>
          <w:tcPr>
            <w:tcW w:w="980" w:type="dxa"/>
            <w:vAlign w:val="center"/>
          </w:tcPr>
          <w:p>
            <w:pPr>
              <w:snapToGrid w:val="0"/>
              <w:spacing w:line="460" w:lineRule="exact"/>
              <w:jc w:val="center"/>
              <w:rPr>
                <w:rFonts w:ascii="仿宋" w:hAnsi="仿宋" w:eastAsia="仿宋"/>
                <w:sz w:val="28"/>
                <w:szCs w:val="28"/>
                <w:highlight w:val="none"/>
              </w:rPr>
            </w:pPr>
          </w:p>
        </w:tc>
      </w:tr>
    </w:tbl>
    <w:p>
      <w:pPr>
        <w:spacing w:line="480" w:lineRule="exact"/>
        <w:ind w:firstLine="562" w:firstLineChars="200"/>
        <w:rPr>
          <w:rFonts w:ascii="黑体" w:hAnsi="黑体" w:eastAsia="黑体" w:cs="黑体"/>
          <w:b/>
          <w:bCs/>
          <w:sz w:val="28"/>
          <w:szCs w:val="28"/>
          <w:highlight w:val="none"/>
        </w:rPr>
      </w:pPr>
      <w:bookmarkStart w:id="17" w:name="_Toc10619"/>
      <w:r>
        <w:rPr>
          <w:rFonts w:hint="eastAsia" w:ascii="黑体" w:hAnsi="黑体" w:eastAsia="黑体" w:cs="黑体"/>
          <w:b/>
          <w:bCs/>
          <w:sz w:val="28"/>
          <w:szCs w:val="28"/>
          <w:highlight w:val="none"/>
        </w:rPr>
        <w:t>（五）投标报价要求</w:t>
      </w:r>
    </w:p>
    <w:p>
      <w:pPr>
        <w:tabs>
          <w:tab w:val="left" w:pos="709"/>
        </w:tabs>
        <w:spacing w:beforeLines="50" w:afterLines="50" w:line="360" w:lineRule="auto"/>
        <w:outlineLvl w:val="2"/>
        <w:rPr>
          <w:rFonts w:ascii="仿宋" w:hAnsi="仿宋" w:eastAsia="仿宋" w:cs="仿宋"/>
          <w:b/>
          <w:bCs/>
          <w:sz w:val="28"/>
          <w:szCs w:val="28"/>
          <w:highlight w:val="none"/>
        </w:rPr>
      </w:pPr>
      <w:r>
        <w:rPr>
          <w:rFonts w:hint="eastAsia" w:ascii="仿宋" w:hAnsi="仿宋" w:eastAsia="仿宋" w:cs="仿宋"/>
          <w:b/>
          <w:bCs/>
          <w:sz w:val="28"/>
          <w:szCs w:val="28"/>
          <w:highlight w:val="none"/>
        </w:rPr>
        <w:t>1.投标报价</w:t>
      </w:r>
    </w:p>
    <w:p>
      <w:pPr>
        <w:pStyle w:val="98"/>
        <w:spacing w:line="560" w:lineRule="exact"/>
        <w:ind w:firstLine="0" w:firstLineChars="0"/>
        <w:rPr>
          <w:rFonts w:ascii="仿宋" w:hAnsi="仿宋" w:eastAsia="仿宋" w:cs="仿宋"/>
          <w:sz w:val="24"/>
          <w:highlight w:val="none"/>
        </w:rPr>
      </w:pPr>
      <w:r>
        <w:rPr>
          <w:rFonts w:hint="eastAsia" w:ascii="仿宋" w:hAnsi="仿宋" w:eastAsia="仿宋" w:cs="仿宋"/>
          <w:sz w:val="24"/>
          <w:highlight w:val="none"/>
        </w:rPr>
        <w:t>1.1  本项目投标报价为完成本次采购服务项目而产生的所有费用（招标文件约定由采购人支付的费用除外），投标报价为含税报价，包含（但不限于）船员成本费用及管理费。</w:t>
      </w:r>
    </w:p>
    <w:p>
      <w:pPr>
        <w:pStyle w:val="98"/>
        <w:spacing w:line="560" w:lineRule="exact"/>
        <w:ind w:firstLine="480"/>
        <w:rPr>
          <w:rFonts w:ascii="仿宋" w:hAnsi="仿宋" w:eastAsia="仿宋" w:cs="仿宋"/>
          <w:sz w:val="24"/>
          <w:highlight w:val="none"/>
        </w:rPr>
      </w:pPr>
      <w:r>
        <w:rPr>
          <w:rFonts w:hint="eastAsia" w:ascii="仿宋" w:hAnsi="仿宋" w:eastAsia="仿宋" w:cs="仿宋"/>
          <w:sz w:val="24"/>
          <w:highlight w:val="none"/>
        </w:rPr>
        <w:t>船员成本费用包括船员的工资、待遇、社保、公积金等费用。</w:t>
      </w:r>
    </w:p>
    <w:p>
      <w:pPr>
        <w:pStyle w:val="98"/>
        <w:spacing w:line="560" w:lineRule="exact"/>
        <w:ind w:firstLine="480"/>
        <w:rPr>
          <w:rFonts w:ascii="仿宋" w:hAnsi="仿宋" w:eastAsia="仿宋" w:cs="仿宋"/>
          <w:sz w:val="24"/>
          <w:highlight w:val="none"/>
        </w:rPr>
      </w:pPr>
      <w:r>
        <w:rPr>
          <w:rFonts w:hint="eastAsia" w:ascii="仿宋" w:hAnsi="仿宋" w:eastAsia="仿宋" w:cs="仿宋"/>
          <w:sz w:val="24"/>
          <w:highlight w:val="none"/>
        </w:rPr>
        <w:t>管理费包含（但不限于）提供本服务的管理费用（包含：用工手续办理、人员工资发放、劳保福利和社会劳动保险的缴纳、计划生育管理费、残疾人就业保障金、上下船路费、向采购人开具的发票税金等劳动用工管理及完成本项目所产生的全部费用）、风险费用及企业利润等全部费用。管理费报价不能高于实际发生船员成本费用总额的15%。</w:t>
      </w:r>
    </w:p>
    <w:p>
      <w:pPr>
        <w:pStyle w:val="98"/>
        <w:spacing w:line="560" w:lineRule="exact"/>
        <w:ind w:firstLine="0" w:firstLineChars="0"/>
        <w:rPr>
          <w:rFonts w:ascii="仿宋" w:hAnsi="仿宋" w:eastAsia="仿宋" w:cs="仿宋"/>
          <w:sz w:val="24"/>
          <w:highlight w:val="none"/>
        </w:rPr>
      </w:pPr>
      <w:r>
        <w:rPr>
          <w:rFonts w:hint="eastAsia" w:ascii="仿宋" w:hAnsi="仿宋" w:eastAsia="仿宋" w:cs="仿宋"/>
          <w:sz w:val="24"/>
          <w:highlight w:val="none"/>
        </w:rPr>
        <w:t>1.2  本项目的投标报价不包含船员出海补助、伙食费用，船员出海补助由采购人直接支付给中标人船员，伙食费用按照采购人规定执行。</w:t>
      </w:r>
    </w:p>
    <w:p>
      <w:pPr>
        <w:pStyle w:val="98"/>
        <w:spacing w:line="560" w:lineRule="exact"/>
        <w:ind w:firstLine="480"/>
        <w:rPr>
          <w:rFonts w:ascii="仿宋" w:hAnsi="仿宋" w:eastAsia="仿宋" w:cs="仿宋"/>
          <w:sz w:val="24"/>
          <w:highlight w:val="none"/>
        </w:rPr>
      </w:pPr>
      <w:r>
        <w:rPr>
          <w:rFonts w:hint="eastAsia" w:ascii="仿宋" w:hAnsi="仿宋" w:eastAsia="仿宋" w:cs="仿宋"/>
          <w:sz w:val="24"/>
          <w:highlight w:val="none"/>
        </w:rPr>
        <w:t>（1）船员伙食：船员在采购人船舶工作期间，采购人为其提供与采购人工作人员同等的伙食待遇。</w:t>
      </w:r>
    </w:p>
    <w:p>
      <w:pPr>
        <w:pStyle w:val="98"/>
        <w:spacing w:line="560" w:lineRule="exact"/>
        <w:ind w:firstLine="480"/>
        <w:rPr>
          <w:rFonts w:ascii="仿宋" w:hAnsi="仿宋" w:eastAsia="仿宋" w:cs="仿宋"/>
          <w:sz w:val="24"/>
          <w:highlight w:val="none"/>
        </w:rPr>
      </w:pPr>
      <w:r>
        <w:rPr>
          <w:rFonts w:hint="eastAsia" w:ascii="仿宋" w:hAnsi="仿宋" w:eastAsia="仿宋" w:cs="仿宋"/>
          <w:sz w:val="24"/>
          <w:highlight w:val="none"/>
        </w:rPr>
        <w:t>（2）其他劳务补助（包括出海补助等）：采购人可根据具体情况给予中标人船员额外奖励，具体标准按采购人有关规定执行。</w:t>
      </w:r>
    </w:p>
    <w:p>
      <w:pPr>
        <w:tabs>
          <w:tab w:val="left" w:pos="709"/>
        </w:tabs>
        <w:spacing w:beforeLines="50" w:afterLines="50" w:line="360" w:lineRule="auto"/>
        <w:outlineLvl w:val="2"/>
        <w:rPr>
          <w:rFonts w:ascii="仿宋" w:hAnsi="仿宋" w:eastAsia="仿宋" w:cs="仿宋"/>
          <w:b/>
          <w:bCs/>
          <w:sz w:val="28"/>
          <w:szCs w:val="28"/>
          <w:highlight w:val="none"/>
          <w:lang w:val="zh-CN"/>
        </w:rPr>
      </w:pP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lang w:val="zh-CN"/>
        </w:rPr>
        <w:t>船员工资</w:t>
      </w:r>
    </w:p>
    <w:p>
      <w:pPr>
        <w:pStyle w:val="98"/>
        <w:spacing w:line="560" w:lineRule="exact"/>
        <w:ind w:firstLine="0" w:firstLineChars="0"/>
        <w:rPr>
          <w:rFonts w:ascii="仿宋" w:hAnsi="仿宋" w:eastAsia="仿宋" w:cs="仿宋"/>
          <w:sz w:val="24"/>
          <w:highlight w:val="none"/>
        </w:rPr>
      </w:pPr>
      <w:r>
        <w:rPr>
          <w:rFonts w:hint="eastAsia" w:ascii="仿宋" w:hAnsi="仿宋" w:eastAsia="仿宋" w:cs="仿宋"/>
          <w:sz w:val="24"/>
          <w:highlight w:val="none"/>
        </w:rPr>
        <w:t>2.1  船员工资为包干工资，工资费用已包括：基本工资、岗位绩效、社会保险费和公积金（五险一金）等。其中，岗位绩效占工资总额的40%，中标人</w:t>
      </w:r>
      <w:r>
        <w:rPr>
          <w:rFonts w:hint="eastAsia" w:ascii="仿宋" w:hAnsi="仿宋" w:eastAsia="仿宋" w:cs="仿宋"/>
          <w:sz w:val="24"/>
          <w:highlight w:val="none"/>
          <w:lang w:val="en-US" w:eastAsia="zh-CN"/>
        </w:rPr>
        <w:t>提供</w:t>
      </w:r>
      <w:r>
        <w:rPr>
          <w:rFonts w:hint="eastAsia" w:ascii="仿宋" w:hAnsi="仿宋" w:eastAsia="仿宋" w:cs="仿宋"/>
          <w:sz w:val="24"/>
          <w:highlight w:val="none"/>
          <w:lang w:val="zh-CN"/>
        </w:rPr>
        <w:t>岗位绩效考核方案（包含日常工作考核、自修考核，扩大自修奖励分配</w:t>
      </w:r>
      <w:r>
        <w:rPr>
          <w:rFonts w:hint="eastAsia" w:ascii="仿宋" w:hAnsi="仿宋" w:eastAsia="仿宋" w:cs="仿宋"/>
          <w:sz w:val="24"/>
          <w:highlight w:val="none"/>
        </w:rPr>
        <w:t>等</w:t>
      </w:r>
      <w:r>
        <w:rPr>
          <w:rFonts w:hint="eastAsia" w:ascii="仿宋" w:hAnsi="仿宋" w:eastAsia="仿宋" w:cs="仿宋"/>
          <w:sz w:val="24"/>
          <w:highlight w:val="none"/>
          <w:lang w:val="zh-CN"/>
        </w:rPr>
        <w:t>方案），</w:t>
      </w:r>
      <w:r>
        <w:rPr>
          <w:rFonts w:hint="eastAsia" w:ascii="仿宋" w:hAnsi="仿宋" w:eastAsia="仿宋" w:cs="仿宋"/>
          <w:sz w:val="24"/>
          <w:highlight w:val="none"/>
          <w:lang w:val="en-US" w:eastAsia="zh-CN"/>
        </w:rPr>
        <w:t>经采购人</w:t>
      </w:r>
      <w:r>
        <w:rPr>
          <w:rFonts w:hint="eastAsia" w:ascii="仿宋" w:hAnsi="仿宋" w:eastAsia="仿宋" w:cs="仿宋"/>
          <w:sz w:val="24"/>
          <w:highlight w:val="none"/>
          <w:lang w:val="zh-CN"/>
        </w:rPr>
        <w:t>同意</w:t>
      </w:r>
      <w:r>
        <w:rPr>
          <w:rFonts w:hint="eastAsia" w:ascii="仿宋" w:hAnsi="仿宋" w:eastAsia="仿宋" w:cs="仿宋"/>
          <w:sz w:val="24"/>
          <w:highlight w:val="none"/>
          <w:lang w:val="en-US" w:eastAsia="zh-CN"/>
        </w:rPr>
        <w:t>后实施</w:t>
      </w:r>
      <w:r>
        <w:rPr>
          <w:rFonts w:hint="eastAsia" w:ascii="仿宋" w:hAnsi="仿宋" w:eastAsia="仿宋" w:cs="仿宋"/>
          <w:sz w:val="24"/>
          <w:highlight w:val="none"/>
          <w:lang w:val="zh-CN"/>
        </w:rPr>
        <w:t>，岗位绩效须</w:t>
      </w:r>
      <w:r>
        <w:rPr>
          <w:rFonts w:hint="eastAsia" w:ascii="仿宋" w:hAnsi="仿宋" w:eastAsia="仿宋" w:cs="仿宋"/>
          <w:sz w:val="24"/>
          <w:highlight w:val="none"/>
          <w:lang w:val="en-US" w:eastAsia="zh-CN"/>
        </w:rPr>
        <w:t>双</w:t>
      </w:r>
      <w:r>
        <w:rPr>
          <w:rFonts w:hint="eastAsia" w:ascii="仿宋" w:hAnsi="仿宋" w:eastAsia="仿宋" w:cs="仿宋"/>
          <w:sz w:val="24"/>
          <w:highlight w:val="none"/>
        </w:rPr>
        <w:t>方</w:t>
      </w:r>
      <w:r>
        <w:rPr>
          <w:rFonts w:hint="eastAsia" w:ascii="仿宋" w:hAnsi="仿宋" w:eastAsia="仿宋" w:cs="仿宋"/>
          <w:sz w:val="24"/>
          <w:highlight w:val="none"/>
          <w:lang w:val="zh-CN"/>
        </w:rPr>
        <w:t>共同考核后发放。</w:t>
      </w:r>
      <w:r>
        <w:rPr>
          <w:rFonts w:hint="eastAsia" w:ascii="仿宋" w:hAnsi="仿宋" w:eastAsia="仿宋" w:cs="仿宋"/>
          <w:sz w:val="24"/>
          <w:highlight w:val="none"/>
        </w:rPr>
        <w:t>中标人按月把船员工资发放到船员指定的账户内，采购人定期与中标人结算。</w:t>
      </w:r>
    </w:p>
    <w:p>
      <w:pPr>
        <w:pStyle w:val="98"/>
        <w:spacing w:line="560" w:lineRule="exact"/>
        <w:ind w:firstLine="0" w:firstLineChars="0"/>
        <w:rPr>
          <w:rFonts w:ascii="仿宋" w:hAnsi="仿宋" w:eastAsia="仿宋" w:cs="仿宋"/>
          <w:sz w:val="24"/>
          <w:highlight w:val="none"/>
        </w:rPr>
      </w:pPr>
      <w:r>
        <w:rPr>
          <w:rFonts w:hint="eastAsia" w:ascii="仿宋" w:hAnsi="仿宋" w:eastAsia="仿宋" w:cs="仿宋"/>
          <w:sz w:val="24"/>
          <w:highlight w:val="none"/>
        </w:rPr>
        <w:t>2.2  中标人应如实发放船员工资，如中标人未如实发放，相关法律责任均由中标人承担。中标人按照法律规定为船员代扣代缴个人所得税和代扣代缴社会保险。采购人有权对中标人支付给所雇佣船员的社保缴纳及相关福利待遇进行抽查或监督，中标人应予配合，如中标人存在未按约定缴纳社保</w:t>
      </w:r>
      <w:r>
        <w:rPr>
          <w:rFonts w:hint="eastAsia" w:ascii="仿宋" w:hAnsi="仿宋" w:eastAsia="仿宋" w:cs="仿宋"/>
          <w:sz w:val="24"/>
          <w:highlight w:val="none"/>
          <w:lang w:eastAsia="zh-CN"/>
        </w:rPr>
        <w:t>、</w:t>
      </w:r>
      <w:r>
        <w:rPr>
          <w:rFonts w:hint="eastAsia" w:ascii="仿宋" w:hAnsi="仿宋" w:eastAsia="仿宋" w:cs="仿宋"/>
          <w:sz w:val="24"/>
          <w:highlight w:val="none"/>
        </w:rPr>
        <w:t>公积金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克扣船员工资</w:t>
      </w:r>
      <w:r>
        <w:rPr>
          <w:rFonts w:hint="eastAsia" w:ascii="仿宋" w:hAnsi="仿宋" w:eastAsia="仿宋" w:cs="仿宋"/>
          <w:sz w:val="24"/>
          <w:highlight w:val="none"/>
        </w:rPr>
        <w:t>等情况，采购人有权终止服务合同，由此产生的一切经济及法律责任均由中标人承担。</w:t>
      </w:r>
    </w:p>
    <w:p>
      <w:pPr>
        <w:tabs>
          <w:tab w:val="left" w:pos="709"/>
        </w:tabs>
        <w:spacing w:beforeLines="50" w:afterLines="50" w:line="360" w:lineRule="auto"/>
        <w:outlineLvl w:val="2"/>
        <w:rPr>
          <w:rFonts w:ascii="仿宋" w:hAnsi="仿宋" w:eastAsia="仿宋" w:cs="仿宋"/>
          <w:b/>
          <w:bCs/>
          <w:sz w:val="28"/>
          <w:szCs w:val="28"/>
          <w:highlight w:val="none"/>
        </w:rPr>
      </w:pPr>
      <w:r>
        <w:rPr>
          <w:rFonts w:hint="eastAsia" w:ascii="仿宋" w:hAnsi="仿宋" w:eastAsia="仿宋" w:cs="仿宋"/>
          <w:b/>
          <w:bCs/>
          <w:sz w:val="28"/>
          <w:szCs w:val="28"/>
          <w:highlight w:val="none"/>
        </w:rPr>
        <w:t>3.船员医疗</w:t>
      </w:r>
    </w:p>
    <w:p>
      <w:pPr>
        <w:pStyle w:val="98"/>
        <w:spacing w:line="560" w:lineRule="exact"/>
        <w:ind w:firstLine="0" w:firstLineChars="0"/>
        <w:rPr>
          <w:rFonts w:ascii="仿宋" w:hAnsi="仿宋" w:eastAsia="仿宋" w:cs="仿宋"/>
          <w:sz w:val="24"/>
          <w:highlight w:val="none"/>
        </w:rPr>
      </w:pPr>
      <w:r>
        <w:rPr>
          <w:rFonts w:hint="eastAsia" w:ascii="仿宋" w:hAnsi="仿宋" w:eastAsia="仿宋" w:cs="仿宋"/>
          <w:sz w:val="24"/>
          <w:highlight w:val="none"/>
        </w:rPr>
        <w:t>3.1  采购人船舶配备部分常用药品，所有在船船员可以免费使用。</w:t>
      </w:r>
    </w:p>
    <w:p>
      <w:pPr>
        <w:pStyle w:val="98"/>
        <w:spacing w:line="560" w:lineRule="exact"/>
        <w:ind w:firstLine="480"/>
        <w:rPr>
          <w:rFonts w:ascii="仿宋" w:hAnsi="仿宋" w:eastAsia="仿宋" w:cs="仿宋"/>
          <w:sz w:val="24"/>
          <w:highlight w:val="none"/>
          <w:lang w:val="zh-CN"/>
        </w:rPr>
      </w:pPr>
      <w:r>
        <w:rPr>
          <w:rFonts w:hint="eastAsia" w:ascii="仿宋" w:hAnsi="仿宋" w:eastAsia="仿宋" w:cs="仿宋"/>
          <w:sz w:val="24"/>
          <w:highlight w:val="none"/>
          <w:lang w:val="zh-CN"/>
        </w:rPr>
        <w:t>船员在上岗服务期间生病或受伤的，</w:t>
      </w:r>
      <w:r>
        <w:rPr>
          <w:rFonts w:hint="eastAsia" w:ascii="仿宋" w:hAnsi="仿宋" w:eastAsia="仿宋" w:cs="仿宋"/>
          <w:sz w:val="24"/>
          <w:highlight w:val="none"/>
        </w:rPr>
        <w:t>中标人</w:t>
      </w:r>
      <w:r>
        <w:rPr>
          <w:rFonts w:hint="eastAsia" w:ascii="仿宋" w:hAnsi="仿宋" w:eastAsia="仿宋" w:cs="仿宋"/>
          <w:sz w:val="24"/>
          <w:highlight w:val="none"/>
          <w:lang w:val="zh-CN"/>
        </w:rPr>
        <w:t>按照国内工伤保险条例的规定及船员人身意外伤害保险和附加医疗保险处理。（但因船员隐瞒既往病史而上船后发作的或因船员生活不检点感染性病的以及其它慢性疾病除外）。</w:t>
      </w:r>
    </w:p>
    <w:p>
      <w:pPr>
        <w:pStyle w:val="98"/>
        <w:spacing w:line="560" w:lineRule="exact"/>
        <w:ind w:firstLine="0" w:firstLineChars="0"/>
        <w:rPr>
          <w:rFonts w:ascii="仿宋" w:hAnsi="仿宋" w:eastAsia="仿宋" w:cs="仿宋"/>
          <w:sz w:val="24"/>
          <w:highlight w:val="none"/>
          <w:lang w:val="zh-CN"/>
        </w:rPr>
      </w:pPr>
      <w:r>
        <w:rPr>
          <w:rFonts w:hint="eastAsia" w:ascii="仿宋" w:hAnsi="仿宋" w:eastAsia="仿宋" w:cs="仿宋"/>
          <w:sz w:val="24"/>
          <w:highlight w:val="none"/>
        </w:rPr>
        <w:t>3.2  采购人</w:t>
      </w:r>
      <w:r>
        <w:rPr>
          <w:rFonts w:hint="eastAsia" w:ascii="仿宋" w:hAnsi="仿宋" w:eastAsia="仿宋" w:cs="仿宋"/>
          <w:sz w:val="24"/>
          <w:highlight w:val="none"/>
          <w:lang w:val="zh-CN"/>
        </w:rPr>
        <w:t>对由于船员本人自杀、自残或违法犯罪行为，有意隐瞒既往病史（包括但不限于心脏病、高血压、糖尿病、肝炎等慢性疾病以及性病等）造成的伤亡不负任何责任，由</w:t>
      </w:r>
      <w:r>
        <w:rPr>
          <w:rFonts w:hint="eastAsia" w:ascii="仿宋" w:hAnsi="仿宋" w:eastAsia="仿宋" w:cs="仿宋"/>
          <w:sz w:val="24"/>
          <w:highlight w:val="none"/>
        </w:rPr>
        <w:t>中标人</w:t>
      </w:r>
      <w:r>
        <w:rPr>
          <w:rFonts w:hint="eastAsia" w:ascii="仿宋" w:hAnsi="仿宋" w:eastAsia="仿宋" w:cs="仿宋"/>
          <w:sz w:val="24"/>
          <w:highlight w:val="none"/>
          <w:lang w:val="zh-CN"/>
        </w:rPr>
        <w:t>负责处理并承担因此而产生的有关费用。</w:t>
      </w:r>
    </w:p>
    <w:p>
      <w:pPr>
        <w:tabs>
          <w:tab w:val="left" w:pos="709"/>
        </w:tabs>
        <w:spacing w:beforeLines="50" w:afterLines="50" w:line="360" w:lineRule="auto"/>
        <w:outlineLvl w:val="2"/>
        <w:rPr>
          <w:rFonts w:ascii="仿宋" w:hAnsi="仿宋" w:eastAsia="仿宋" w:cs="仿宋"/>
          <w:b/>
          <w:bCs/>
          <w:sz w:val="28"/>
          <w:szCs w:val="28"/>
          <w:highlight w:val="none"/>
        </w:rPr>
      </w:pPr>
      <w:r>
        <w:rPr>
          <w:rFonts w:hint="eastAsia" w:ascii="仿宋" w:hAnsi="仿宋" w:eastAsia="仿宋" w:cs="仿宋"/>
          <w:b/>
          <w:bCs/>
          <w:sz w:val="28"/>
          <w:szCs w:val="28"/>
          <w:highlight w:val="none"/>
        </w:rPr>
        <w:t>4.船员劳保</w:t>
      </w:r>
    </w:p>
    <w:p>
      <w:pPr>
        <w:pStyle w:val="98"/>
        <w:spacing w:line="560" w:lineRule="exact"/>
        <w:ind w:firstLine="480"/>
        <w:rPr>
          <w:rFonts w:ascii="仿宋" w:hAnsi="仿宋" w:eastAsia="仿宋" w:cs="仿宋"/>
          <w:sz w:val="24"/>
          <w:highlight w:val="none"/>
        </w:rPr>
      </w:pPr>
      <w:r>
        <w:rPr>
          <w:rFonts w:hint="eastAsia" w:ascii="仿宋" w:hAnsi="仿宋" w:eastAsia="仿宋" w:cs="仿宋"/>
          <w:sz w:val="24"/>
          <w:highlight w:val="none"/>
        </w:rPr>
        <w:t>船员劳保由中标人承担，除劳保服装由采购人按实际岗位数量（如同一岗位出现换人，只按一个岗位计算）的服装需求予以保障，但因换人导致的超出部分，劳保服装费用由中标人承担。</w:t>
      </w:r>
    </w:p>
    <w:bookmarkEnd w:id="17"/>
    <w:p>
      <w:pPr>
        <w:spacing w:beforeLines="100" w:afterLines="100" w:line="480" w:lineRule="exact"/>
        <w:ind w:firstLine="562" w:firstLineChars="200"/>
        <w:outlineLvl w:val="1"/>
        <w:rPr>
          <w:rFonts w:ascii="黑体" w:hAnsi="黑体" w:eastAsia="黑体" w:cs="黑体"/>
          <w:b/>
          <w:bCs/>
          <w:sz w:val="28"/>
          <w:szCs w:val="28"/>
          <w:highlight w:val="none"/>
        </w:rPr>
      </w:pPr>
      <w:bookmarkStart w:id="18" w:name="_Toc23217"/>
      <w:r>
        <w:rPr>
          <w:rFonts w:hint="eastAsia" w:ascii="黑体" w:hAnsi="黑体" w:eastAsia="黑体" w:cs="黑体"/>
          <w:b/>
          <w:bCs/>
          <w:sz w:val="28"/>
          <w:szCs w:val="28"/>
          <w:highlight w:val="none"/>
        </w:rPr>
        <w:t>（六）</w:t>
      </w:r>
      <w:r>
        <w:rPr>
          <w:rFonts w:hint="eastAsia" w:ascii="黑体" w:hAnsi="黑体" w:eastAsia="黑体" w:cs="黑体"/>
          <w:b/>
          <w:bCs/>
          <w:sz w:val="28"/>
          <w:szCs w:val="28"/>
          <w:highlight w:val="none"/>
          <w:lang w:val="zh-CN"/>
        </w:rPr>
        <w:t>服务要求</w:t>
      </w:r>
      <w:bookmarkEnd w:id="18"/>
    </w:p>
    <w:p>
      <w:pPr>
        <w:tabs>
          <w:tab w:val="left" w:pos="709"/>
        </w:tabs>
        <w:spacing w:beforeLines="50" w:afterLines="50" w:line="360" w:lineRule="auto"/>
        <w:outlineLvl w:val="2"/>
        <w:rPr>
          <w:rFonts w:ascii="仿宋" w:hAnsi="仿宋" w:eastAsia="仿宋" w:cs="仿宋"/>
          <w:b/>
          <w:bCs/>
          <w:sz w:val="28"/>
          <w:szCs w:val="28"/>
          <w:highlight w:val="none"/>
          <w:lang w:val="zh-CN"/>
        </w:rPr>
      </w:pPr>
      <w:bookmarkStart w:id="19" w:name="_Toc18135"/>
      <w:r>
        <w:rPr>
          <w:rFonts w:hint="eastAsia" w:ascii="仿宋" w:hAnsi="仿宋" w:eastAsia="仿宋" w:cs="仿宋"/>
          <w:b/>
          <w:bCs/>
          <w:sz w:val="28"/>
          <w:szCs w:val="28"/>
          <w:highlight w:val="none"/>
        </w:rPr>
        <w:t>1.</w:t>
      </w:r>
      <w:r>
        <w:rPr>
          <w:rFonts w:hint="eastAsia" w:ascii="仿宋" w:hAnsi="仿宋" w:eastAsia="仿宋" w:cs="仿宋"/>
          <w:b/>
          <w:bCs/>
          <w:sz w:val="28"/>
          <w:szCs w:val="28"/>
          <w:highlight w:val="none"/>
          <w:lang w:val="zh-CN"/>
        </w:rPr>
        <w:t>需执行国家相关标准、行业标准、地方标准或者其他标准、规范</w:t>
      </w:r>
      <w:bookmarkEnd w:id="19"/>
    </w:p>
    <w:p>
      <w:pPr>
        <w:tabs>
          <w:tab w:val="left" w:pos="709"/>
        </w:tabs>
        <w:spacing w:beforeLines="50" w:afterLines="50" w:line="360" w:lineRule="auto"/>
        <w:outlineLvl w:val="2"/>
        <w:rPr>
          <w:rFonts w:ascii="仿宋" w:hAnsi="仿宋" w:eastAsia="仿宋" w:cs="仿宋"/>
          <w:b/>
          <w:bCs/>
          <w:sz w:val="28"/>
          <w:szCs w:val="28"/>
          <w:highlight w:val="none"/>
          <w:lang w:val="zh-CN"/>
        </w:rPr>
      </w:pPr>
      <w:bookmarkStart w:id="20" w:name="_Toc17300"/>
      <w:r>
        <w:rPr>
          <w:rFonts w:hint="eastAsia" w:ascii="仿宋" w:hAnsi="仿宋" w:eastAsia="仿宋" w:cs="仿宋"/>
          <w:b/>
          <w:bCs/>
          <w:sz w:val="28"/>
          <w:szCs w:val="28"/>
          <w:highlight w:val="none"/>
        </w:rPr>
        <w:t>2.船员</w:t>
      </w:r>
      <w:r>
        <w:rPr>
          <w:rFonts w:hint="eastAsia" w:ascii="仿宋" w:hAnsi="仿宋" w:eastAsia="仿宋" w:cs="仿宋"/>
          <w:b/>
          <w:bCs/>
          <w:sz w:val="28"/>
          <w:szCs w:val="28"/>
          <w:highlight w:val="none"/>
          <w:lang w:val="zh-CN"/>
        </w:rPr>
        <w:t>需求及数量</w:t>
      </w:r>
      <w:bookmarkEnd w:id="20"/>
      <w:bookmarkStart w:id="21" w:name="_Toc15548"/>
    </w:p>
    <w:tbl>
      <w:tblPr>
        <w:tblStyle w:val="49"/>
        <w:tblW w:w="9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611"/>
        <w:gridCol w:w="3742"/>
        <w:gridCol w:w="3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restart"/>
          </w:tcPr>
          <w:p>
            <w:pPr>
              <w:pStyle w:val="3"/>
              <w:spacing w:line="360" w:lineRule="auto"/>
              <w:jc w:val="center"/>
              <w:rPr>
                <w:rFonts w:ascii="仿宋" w:hAnsi="仿宋" w:eastAsia="仿宋" w:cs="仿宋"/>
                <w:b/>
                <w:bCs/>
                <w:highlight w:val="none"/>
              </w:rPr>
            </w:pPr>
            <w:r>
              <w:rPr>
                <w:rFonts w:hint="eastAsia" w:ascii="仿宋" w:hAnsi="仿宋" w:eastAsia="仿宋" w:cs="仿宋"/>
                <w:b/>
                <w:bCs/>
                <w:highlight w:val="none"/>
              </w:rPr>
              <w:t>序号</w:t>
            </w:r>
          </w:p>
        </w:tc>
        <w:tc>
          <w:tcPr>
            <w:tcW w:w="1611" w:type="dxa"/>
            <w:vMerge w:val="restart"/>
          </w:tcPr>
          <w:p>
            <w:pPr>
              <w:pStyle w:val="3"/>
              <w:spacing w:line="360" w:lineRule="auto"/>
              <w:jc w:val="center"/>
              <w:rPr>
                <w:rFonts w:ascii="仿宋" w:hAnsi="仿宋" w:eastAsia="仿宋" w:cs="仿宋"/>
                <w:b/>
                <w:bCs/>
                <w:highlight w:val="none"/>
              </w:rPr>
            </w:pPr>
            <w:r>
              <w:rPr>
                <w:rFonts w:hint="eastAsia" w:ascii="仿宋" w:hAnsi="仿宋" w:eastAsia="仿宋" w:cs="仿宋"/>
                <w:b/>
                <w:bCs/>
                <w:highlight w:val="none"/>
              </w:rPr>
              <w:t>职务</w:t>
            </w:r>
          </w:p>
        </w:tc>
        <w:tc>
          <w:tcPr>
            <w:tcW w:w="7490" w:type="dxa"/>
            <w:gridSpan w:val="2"/>
          </w:tcPr>
          <w:p>
            <w:pPr>
              <w:pStyle w:val="3"/>
              <w:spacing w:line="360" w:lineRule="auto"/>
              <w:jc w:val="center"/>
              <w:rPr>
                <w:rFonts w:ascii="仿宋" w:hAnsi="仿宋" w:eastAsia="仿宋" w:cs="仿宋"/>
                <w:b/>
                <w:bCs/>
                <w:highlight w:val="none"/>
              </w:rPr>
            </w:pPr>
            <w:r>
              <w:rPr>
                <w:rFonts w:hint="eastAsia" w:ascii="仿宋" w:hAnsi="仿宋" w:eastAsia="仿宋" w:cs="仿宋"/>
                <w:b/>
                <w:bCs/>
                <w:highlight w:val="none"/>
              </w:rPr>
              <w:t>船员配备标准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Merge w:val="continue"/>
          </w:tcPr>
          <w:p>
            <w:pPr>
              <w:pStyle w:val="3"/>
              <w:spacing w:line="360" w:lineRule="auto"/>
              <w:jc w:val="center"/>
              <w:rPr>
                <w:rFonts w:ascii="仿宋" w:hAnsi="仿宋" w:eastAsia="仿宋" w:cs="仿宋"/>
                <w:b/>
                <w:bCs/>
                <w:highlight w:val="none"/>
              </w:rPr>
            </w:pPr>
          </w:p>
        </w:tc>
        <w:tc>
          <w:tcPr>
            <w:tcW w:w="1611" w:type="dxa"/>
            <w:vMerge w:val="continue"/>
          </w:tcPr>
          <w:p>
            <w:pPr>
              <w:pStyle w:val="3"/>
              <w:spacing w:line="360" w:lineRule="auto"/>
              <w:jc w:val="center"/>
              <w:rPr>
                <w:rFonts w:ascii="仿宋" w:hAnsi="仿宋" w:eastAsia="仿宋" w:cs="仿宋"/>
                <w:b/>
                <w:bCs/>
                <w:highlight w:val="none"/>
              </w:rPr>
            </w:pPr>
          </w:p>
        </w:tc>
        <w:tc>
          <w:tcPr>
            <w:tcW w:w="3742" w:type="dxa"/>
          </w:tcPr>
          <w:p>
            <w:pPr>
              <w:pStyle w:val="3"/>
              <w:spacing w:line="360" w:lineRule="auto"/>
              <w:jc w:val="center"/>
              <w:rPr>
                <w:rFonts w:ascii="仿宋" w:hAnsi="仿宋" w:eastAsia="仿宋" w:cs="仿宋"/>
                <w:b/>
                <w:bCs/>
                <w:highlight w:val="none"/>
              </w:rPr>
            </w:pPr>
            <w:r>
              <w:rPr>
                <w:rFonts w:hint="eastAsia" w:ascii="仿宋" w:hAnsi="仿宋" w:eastAsia="仿宋" w:cs="仿宋"/>
                <w:b/>
                <w:bCs/>
                <w:highlight w:val="none"/>
              </w:rPr>
              <w:t>远洋调查船组</w:t>
            </w:r>
          </w:p>
        </w:tc>
        <w:tc>
          <w:tcPr>
            <w:tcW w:w="3748" w:type="dxa"/>
          </w:tcPr>
          <w:p>
            <w:pPr>
              <w:pStyle w:val="3"/>
              <w:spacing w:line="360" w:lineRule="auto"/>
              <w:jc w:val="center"/>
              <w:rPr>
                <w:rFonts w:ascii="仿宋" w:hAnsi="仿宋" w:eastAsia="仿宋" w:cs="仿宋"/>
                <w:b/>
                <w:bCs/>
                <w:highlight w:val="none"/>
              </w:rPr>
            </w:pPr>
            <w:r>
              <w:rPr>
                <w:rFonts w:hint="eastAsia" w:ascii="仿宋" w:hAnsi="仿宋" w:eastAsia="仿宋" w:cs="仿宋"/>
                <w:b/>
                <w:bCs/>
                <w:highlight w:val="none"/>
              </w:rPr>
              <w:t>500吨级以上调查船组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船长</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2</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大副</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二副</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4</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三副</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5</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轮机长</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6</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大管轮</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7</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二管轮</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8</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三管轮</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9</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电机员</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10</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水手长</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11</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水手</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12</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12</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机工长</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13</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机工</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12</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14</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船医</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15</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大厨</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16</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厨工</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6</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17</w:t>
            </w:r>
          </w:p>
        </w:tc>
        <w:tc>
          <w:tcPr>
            <w:tcW w:w="1611"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服务员</w:t>
            </w:r>
          </w:p>
        </w:tc>
        <w:tc>
          <w:tcPr>
            <w:tcW w:w="3742"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6</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gridSpan w:val="2"/>
            <w:vAlign w:val="center"/>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合计</w:t>
            </w:r>
          </w:p>
        </w:tc>
        <w:tc>
          <w:tcPr>
            <w:tcW w:w="3742" w:type="dxa"/>
          </w:tcPr>
          <w:p>
            <w:pPr>
              <w:spacing w:line="360" w:lineRule="auto"/>
              <w:jc w:val="center"/>
              <w:rPr>
                <w:rFonts w:hint="eastAsia" w:ascii="仿宋" w:hAnsi="仿宋" w:eastAsia="仿宋" w:cs="仿宋"/>
                <w:iCs/>
                <w:sz w:val="24"/>
                <w:highlight w:val="none"/>
                <w:lang w:eastAsia="zh-CN"/>
              </w:rPr>
            </w:pPr>
            <w:r>
              <w:rPr>
                <w:rFonts w:hint="eastAsia" w:ascii="仿宋" w:hAnsi="仿宋" w:eastAsia="仿宋" w:cs="仿宋"/>
                <w:iCs/>
                <w:sz w:val="24"/>
                <w:highlight w:val="none"/>
              </w:rPr>
              <w:t>7</w:t>
            </w:r>
            <w:r>
              <w:rPr>
                <w:rFonts w:hint="eastAsia" w:ascii="仿宋" w:hAnsi="仿宋" w:eastAsia="仿宋" w:cs="仿宋"/>
                <w:iCs/>
                <w:sz w:val="24"/>
                <w:highlight w:val="none"/>
                <w:lang w:val="en-US" w:eastAsia="zh-CN"/>
              </w:rPr>
              <w:t>5</w:t>
            </w:r>
          </w:p>
        </w:tc>
        <w:tc>
          <w:tcPr>
            <w:tcW w:w="3748" w:type="dxa"/>
          </w:tcPr>
          <w:p>
            <w:pPr>
              <w:spacing w:line="360" w:lineRule="auto"/>
              <w:jc w:val="center"/>
              <w:rPr>
                <w:rFonts w:ascii="仿宋" w:hAnsi="仿宋" w:eastAsia="仿宋" w:cs="仿宋"/>
                <w:iCs/>
                <w:sz w:val="24"/>
                <w:highlight w:val="none"/>
              </w:rPr>
            </w:pPr>
            <w:r>
              <w:rPr>
                <w:rFonts w:hint="eastAsia" w:ascii="仿宋" w:hAnsi="仿宋" w:eastAsia="仿宋" w:cs="仿宋"/>
                <w:iCs/>
                <w:sz w:val="24"/>
                <w:highlight w:val="none"/>
              </w:rPr>
              <w:t>51</w:t>
            </w:r>
          </w:p>
        </w:tc>
      </w:tr>
    </w:tbl>
    <w:p>
      <w:pPr>
        <w:pStyle w:val="2"/>
        <w:rPr>
          <w:highlight w:val="none"/>
        </w:rPr>
      </w:pPr>
    </w:p>
    <w:p>
      <w:pPr>
        <w:spacing w:line="360" w:lineRule="auto"/>
        <w:rPr>
          <w:rFonts w:ascii="仿宋" w:hAnsi="仿宋" w:eastAsia="仿宋" w:cs="仿宋"/>
          <w:b/>
          <w:bCs/>
          <w:sz w:val="24"/>
          <w:highlight w:val="none"/>
        </w:rPr>
      </w:pPr>
      <w:r>
        <w:rPr>
          <w:rFonts w:hint="eastAsia" w:ascii="仿宋" w:hAnsi="仿宋" w:eastAsia="仿宋" w:cs="仿宋"/>
          <w:b/>
          <w:bCs/>
          <w:sz w:val="24"/>
          <w:highlight w:val="none"/>
        </w:rPr>
        <w:t>备注：上述船员需求量仅为采购人按现有船舶</w:t>
      </w:r>
      <w:r>
        <w:rPr>
          <w:rFonts w:hint="eastAsia" w:ascii="仿宋" w:hAnsi="仿宋" w:eastAsia="仿宋" w:cs="仿宋"/>
          <w:b/>
          <w:bCs/>
          <w:sz w:val="24"/>
          <w:highlight w:val="none"/>
          <w:lang w:val="en-US" w:eastAsia="zh-CN"/>
        </w:rPr>
        <w:t>标准配员</w:t>
      </w:r>
      <w:r>
        <w:rPr>
          <w:rFonts w:hint="eastAsia" w:ascii="仿宋" w:hAnsi="仿宋" w:eastAsia="仿宋" w:cs="仿宋"/>
          <w:b/>
          <w:bCs/>
          <w:sz w:val="24"/>
          <w:highlight w:val="none"/>
        </w:rPr>
        <w:t>预估数，非实际</w:t>
      </w:r>
      <w:r>
        <w:rPr>
          <w:rFonts w:hint="eastAsia" w:ascii="仿宋" w:hAnsi="仿宋" w:eastAsia="仿宋" w:cs="仿宋"/>
          <w:b/>
          <w:bCs/>
          <w:sz w:val="24"/>
          <w:highlight w:val="none"/>
          <w:lang w:val="en-US" w:eastAsia="zh-CN"/>
        </w:rPr>
        <w:t>派员</w:t>
      </w:r>
      <w:r>
        <w:rPr>
          <w:rFonts w:hint="eastAsia" w:ascii="仿宋" w:hAnsi="仿宋" w:eastAsia="仿宋" w:cs="仿宋"/>
          <w:b/>
          <w:bCs/>
          <w:sz w:val="24"/>
          <w:highlight w:val="none"/>
        </w:rPr>
        <w:t>需求数。实际船员按采购人船舶运行管理的实际需求配备，以采购人实际派员需求为准。</w:t>
      </w:r>
    </w:p>
    <w:p>
      <w:pPr>
        <w:tabs>
          <w:tab w:val="left" w:pos="709"/>
        </w:tabs>
        <w:spacing w:beforeLines="50" w:afterLines="50" w:line="360" w:lineRule="auto"/>
        <w:outlineLvl w:val="2"/>
        <w:rPr>
          <w:rFonts w:ascii="仿宋" w:hAnsi="仿宋" w:eastAsia="仿宋" w:cs="仿宋"/>
          <w:b/>
          <w:bCs/>
          <w:sz w:val="28"/>
          <w:szCs w:val="28"/>
          <w:highlight w:val="none"/>
        </w:rPr>
      </w:pPr>
      <w:r>
        <w:rPr>
          <w:rFonts w:hint="eastAsia" w:ascii="仿宋" w:hAnsi="仿宋" w:eastAsia="仿宋" w:cs="仿宋"/>
          <w:b/>
          <w:bCs/>
          <w:sz w:val="28"/>
          <w:szCs w:val="28"/>
          <w:highlight w:val="none"/>
        </w:rPr>
        <w:t>3.服务要求</w:t>
      </w:r>
      <w:bookmarkEnd w:id="21"/>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3.1制度体系：</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供应商根据《中华人民共和国船员条例》、《2006年海事劳工公约》等制度体系要求，建立适合我国船舶船员管理的相关制度、运行机制，并保持其长期有效执行；协助采购人进行船舶安全体系运行。</w:t>
      </w: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3.1船员配备要求：</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根据船舶管理运行需要，结合《船员健康检查要求》（GB30035-2021）相关要求，供应商为采购人配备相应岗位持证、适任的健康船员，必须具有中华人民国和国国籍，拥护中国共产党的领导，热爱社会主义祖国，遵守中华人民共和国宪法和法律，具备良好的品行和职业道德。爱岗敬业，责任心强，加强政治和业务学习，提高政治觉悟和道德情操，能随时完成领导交办的任务，能辅助完成海上科学考察工作。</w:t>
      </w:r>
    </w:p>
    <w:p>
      <w:pPr>
        <w:spacing w:line="360" w:lineRule="auto"/>
        <w:rPr>
          <w:rFonts w:ascii="仿宋" w:hAnsi="仿宋" w:eastAsia="仿宋" w:cs="仿宋"/>
          <w:bCs/>
          <w:sz w:val="24"/>
          <w:highlight w:val="none"/>
        </w:rPr>
      </w:pPr>
      <w:r>
        <w:rPr>
          <w:rFonts w:hint="eastAsia" w:ascii="仿宋" w:hAnsi="仿宋" w:eastAsia="仿宋" w:cs="仿宋"/>
          <w:bCs/>
          <w:sz w:val="24"/>
          <w:highlight w:val="none"/>
        </w:rPr>
        <w:t>中标人在材料审核、面试、技能考核等环节严格把关，对新上船船员进行安全管理体系规则方面的教育和技术培训工作，并保证每名船员年度在船时间原则上不少于 8 个月。</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（2）职务船员：具有大专或以上学历，原则上年龄不超过45周岁，持有与聘用岗位相对应的《船员服务簿》和《海船船员适任证书》，具有相应的任职资历，具备岗位所需的专业或技能条件。</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普通船员：具有高中或以上学历，并考取《海船船员专业培训合格证书》，年龄不低于18周岁，初次上船时年龄原则上要求 50 岁以下。对专业要求特殊的岗位，年龄可适当放宽。</w:t>
      </w:r>
    </w:p>
    <w:p>
      <w:pPr>
        <w:spacing w:line="360" w:lineRule="auto"/>
        <w:rPr>
          <w:rFonts w:ascii="仿宋" w:hAnsi="仿宋" w:eastAsia="仿宋" w:cs="仿宋"/>
          <w:bCs/>
          <w:sz w:val="24"/>
          <w:highlight w:val="none"/>
        </w:rPr>
      </w:pPr>
      <w:r>
        <w:rPr>
          <w:rFonts w:hint="eastAsia" w:ascii="仿宋" w:hAnsi="仿宋" w:eastAsia="仿宋" w:cs="仿宋"/>
          <w:bCs/>
          <w:sz w:val="24"/>
          <w:highlight w:val="none"/>
        </w:rPr>
        <w:t xml:space="preserve">    （3）船员轮换：供应商在接到采购人船员轮换需求后，应当在</w:t>
      </w:r>
      <w:r>
        <w:rPr>
          <w:rFonts w:ascii="仿宋" w:hAnsi="仿宋" w:eastAsia="仿宋" w:cs="仿宋"/>
          <w:bCs/>
          <w:sz w:val="24"/>
          <w:highlight w:val="none"/>
        </w:rPr>
        <w:t>3</w:t>
      </w:r>
      <w:r>
        <w:rPr>
          <w:rFonts w:hint="eastAsia" w:ascii="仿宋" w:hAnsi="仿宋" w:eastAsia="仿宋" w:cs="仿宋"/>
          <w:bCs/>
          <w:sz w:val="24"/>
          <w:highlight w:val="none"/>
        </w:rPr>
        <w:t>天内将选聘船员的相关资料、证书、无犯罪记录证明等复印件提交采购人审核、评估、备案；在满足上述（2）相关要求外，原则上从事推荐职务应当满 2 年，并且有过不少于两艘船上的服务资历；派遣的船员必须通过采购人评估适任方能上船工作；采购人对不能适任的船员具有否决权，并通知船员劳务公司继续推荐选聘人员，直至适任为止。采购人有向劳务派遣公司推荐适任船员的权利，劳务派遣公司对采购人推荐的船员具有建议权和面试权，对不合格的船员，劳务派遣公司有权利拒绝；因劳务派遣公司和船员个人原因导致的人员调配，至少提前一个月通知采购人；在执行 30 天内的出海作业任务时，航前船员轮换率不能超过 5%；执行 60 天内的出海作业任务时，航前船员轮换率不能超过 10%；执行 100 天内的出海作业任务时，航前船员轮换率不能超过 20%；起航前 10 天不得进行船员轮换。</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（4）无犯罪记录：中标人应当确保所有船员都无刑事犯罪记录，并将相关证明交甲方备案。</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健康要求：中标人应当确保所有船员上船前已通过有资质的检查机构证明其适合所从事的工作的健康检查（包括但不限于：精神正常、无传染病、无残疾，双眼视力、辨色力正常。身体健康，具有正常履行船员岗位职责的身体条件，能够适应海上工作环境，在六级风力的海况下不会晕船等等），持有按照我国政府相应要求签发的有效健康证书或体检表。</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（6）一般为男性，身体健康，具有正常履行船员岗位职责的身体条件，能够适应海上工作环境，在六级风力的海况下不会晕船。</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drawing>
          <wp:anchor distT="0" distB="0" distL="114300" distR="114300" simplePos="0" relativeHeight="251667456" behindDoc="0" locked="0" layoutInCell="1" allowOverlap="1">
            <wp:simplePos x="0" y="0"/>
            <wp:positionH relativeFrom="page">
              <wp:posOffset>6997700</wp:posOffset>
            </wp:positionH>
            <wp:positionV relativeFrom="paragraph">
              <wp:posOffset>80645</wp:posOffset>
            </wp:positionV>
            <wp:extent cx="8890" cy="6985"/>
            <wp:effectExtent l="0" t="4445" r="3810" b="0"/>
            <wp:wrapNone/>
            <wp:docPr id="19" name="图片 7"/>
            <wp:cNvGraphicFramePr/>
            <a:graphic xmlns:a="http://schemas.openxmlformats.org/drawingml/2006/main">
              <a:graphicData uri="http://schemas.openxmlformats.org/drawingml/2006/picture">
                <pic:pic xmlns:pic="http://schemas.openxmlformats.org/drawingml/2006/picture">
                  <pic:nvPicPr>
                    <pic:cNvPr id="19" name="图片 7"/>
                    <pic:cNvPicPr/>
                  </pic:nvPicPr>
                  <pic:blipFill>
                    <a:blip r:embed="rId12"/>
                    <a:stretch>
                      <a:fillRect/>
                    </a:stretch>
                  </pic:blipFill>
                  <pic:spPr>
                    <a:xfrm>
                      <a:off x="0" y="0"/>
                      <a:ext cx="8890" cy="6985"/>
                    </a:xfrm>
                    <a:prstGeom prst="rect">
                      <a:avLst/>
                    </a:prstGeom>
                    <a:noFill/>
                    <a:ln>
                      <a:noFill/>
                    </a:ln>
                  </pic:spPr>
                </pic:pic>
              </a:graphicData>
            </a:graphic>
          </wp:anchor>
        </w:drawing>
      </w:r>
      <w:r>
        <w:rPr>
          <w:rFonts w:hint="eastAsia" w:ascii="仿宋" w:hAnsi="仿宋" w:eastAsia="仿宋" w:cs="仿宋"/>
          <w:bCs/>
          <w:sz w:val="24"/>
          <w:highlight w:val="none"/>
        </w:rPr>
        <w:drawing>
          <wp:anchor distT="0" distB="0" distL="114300" distR="114300" simplePos="0" relativeHeight="251660288" behindDoc="1" locked="0" layoutInCell="1" allowOverlap="1">
            <wp:simplePos x="0" y="0"/>
            <wp:positionH relativeFrom="page">
              <wp:posOffset>3753485</wp:posOffset>
            </wp:positionH>
            <wp:positionV relativeFrom="paragraph">
              <wp:posOffset>340995</wp:posOffset>
            </wp:positionV>
            <wp:extent cx="6985" cy="8890"/>
            <wp:effectExtent l="635" t="0" r="1905" b="2540"/>
            <wp:wrapNone/>
            <wp:docPr id="20" name="图片 8"/>
            <wp:cNvGraphicFramePr/>
            <a:graphic xmlns:a="http://schemas.openxmlformats.org/drawingml/2006/main">
              <a:graphicData uri="http://schemas.openxmlformats.org/drawingml/2006/picture">
                <pic:pic xmlns:pic="http://schemas.openxmlformats.org/drawingml/2006/picture">
                  <pic:nvPicPr>
                    <pic:cNvPr id="20" name="图片 8"/>
                    <pic:cNvPicPr/>
                  </pic:nvPicPr>
                  <pic:blipFill>
                    <a:blip r:embed="rId13"/>
                    <a:stretch>
                      <a:fillRect/>
                    </a:stretch>
                  </pic:blipFill>
                  <pic:spPr>
                    <a:xfrm>
                      <a:off x="0" y="0"/>
                      <a:ext cx="6985" cy="8890"/>
                    </a:xfrm>
                    <a:prstGeom prst="rect">
                      <a:avLst/>
                    </a:prstGeom>
                    <a:noFill/>
                    <a:ln>
                      <a:noFill/>
                    </a:ln>
                  </pic:spPr>
                </pic:pic>
              </a:graphicData>
            </a:graphic>
          </wp:anchor>
        </w:drawing>
      </w:r>
      <w:r>
        <w:rPr>
          <w:rFonts w:hint="eastAsia" w:ascii="仿宋" w:hAnsi="仿宋" w:eastAsia="仿宋" w:cs="仿宋"/>
          <w:bCs/>
          <w:sz w:val="24"/>
          <w:highlight w:val="none"/>
        </w:rPr>
        <w:t>（7）任职资格：中标人负责根据甲方的需求为船舶配备符合“STCW 95”要求的合格、适任的船员，保证所派船员在上船前和在船服务期间内，持有船上相应工作所需的各种有效证件（所有驾驶员应当持有有效的GMDSS操作员证书），并确保船员的配备标准、职务、资格和证书符合我国相关法律、法规规定的培训等要求。</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（8）所有船员均须具备采购人认可的海上任职资历，并能胜任采购人船舶的工作要求。</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9）在本合同履行期限内，中标人保证所有与派遣船员任职有关的证书有效、齐全、真实、合法，负责船员证书的办理，负责在船船员的国际劳工公约所要求的手册、合同和记录等，满足船舶国际航行所需的必要手续要求。中标人有专门的对服务船员证书的管理。</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10）船员考核及处置：中标人协助采购人开展船员考核工作。负责做好考核中的各项协调工作，按照考核办法监督船员安全履职情况，并依据采购人认可的考核结果给予奖惩；按照采购方要求对不符合要求、不适任或日常管理考核不达标的船员，进行及时更换和调整。</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（11）疫情防控：新冠疫情下，供应商具有完备的疫情防控体系，包括全面的疫情防控政策和相应的应急防控预案等。</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12）船员费税罚款：应与船员签订满足国家相关法律、法规要求的《劳动合同》，按国家要求代扣、代缴个人所得税及保险费用，负责船员生病、工伤和死亡等事故的善后处理，并负责收集证据和索赔事宜。船员在采购人船上服务期间，若出现责任事故，供应商要参考采购人的具体处理建议，相关责任船员的罚款由船员负责支付。</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（13）薪金保证：在合同期内，中标人确保不因船员薪金问题影响派遣工作运行。</w:t>
      </w:r>
    </w:p>
    <w:p>
      <w:pPr>
        <w:widowControl/>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（14）符合国家及采购人规定的其他资格条件。</w:t>
      </w: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3.2 船员调配管理</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中标人应将双方商定的现有在船和后备船员作为采购人接受中标人派遣船员的基础。上述船员需调整时，经双方协商，由采购人在中标人船员中挑选合适船员作替补；若中标人因特殊情况需适当调整骨干船员，应事先征得采购人书面同意。</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（2）中标人至少提前30天将预派的和预公休的船员名单报采购人，若采购人提出调整意见，中标人应根据采购人意见及时调整配员，并经采购人同意。如采购人不同意，不得进行船员调配。</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（3）船员在船服务期内，因病、伤、残、亡等原因需要更换时，须经采购人同意并改派与合同签订时双方确认的同等或更高素质的船员。</w:t>
      </w: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3.3船员管理和教育</w:t>
      </w:r>
    </w:p>
    <w:p>
      <w:pPr>
        <w:pStyle w:val="2"/>
        <w:outlineLvl w:val="4"/>
        <w:rPr>
          <w:rFonts w:ascii="仿宋" w:hAnsi="仿宋" w:eastAsia="仿宋" w:cs="仿宋"/>
          <w:bCs/>
          <w:sz w:val="24"/>
          <w:szCs w:val="24"/>
          <w:highlight w:val="none"/>
        </w:rPr>
      </w:pPr>
      <w:r>
        <w:rPr>
          <w:rFonts w:hint="eastAsia" w:ascii="仿宋" w:hAnsi="仿宋" w:eastAsia="仿宋" w:cs="仿宋"/>
          <w:b/>
          <w:sz w:val="28"/>
          <w:szCs w:val="28"/>
          <w:highlight w:val="none"/>
        </w:rPr>
        <w:t>3.3.1 采购人职责</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（1）采购人始终享有对船员的首位管理权。</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（2）采购人如有更换船员需求，一般至少提前3天书面或口头通知中标人换人计划。</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采购人负责船员考核工作。颁布相关的考核办法，严格执行对船员的日常管理、考核与奖惩措施，并检查船员安全履行职责情况；对不符合要求、不适任或日常考核不达标的船员，有权提出更换和调整要求。</w:t>
      </w:r>
    </w:p>
    <w:p>
      <w:pPr>
        <w:spacing w:line="360" w:lineRule="auto"/>
        <w:ind w:firstLine="480" w:firstLineChars="200"/>
        <w:rPr>
          <w:highlight w:val="none"/>
        </w:rPr>
      </w:pPr>
      <w:r>
        <w:rPr>
          <w:rFonts w:hint="eastAsia" w:ascii="仿宋" w:hAnsi="仿宋" w:eastAsia="仿宋" w:cs="仿宋"/>
          <w:bCs/>
          <w:sz w:val="24"/>
          <w:highlight w:val="none"/>
        </w:rPr>
        <w:t>（4）采购人依法保证派遣船员的休假权利。船员在船舶上每工作2个月可享有5日的休假，应当按休假流程办理审批手续。船舶执行任务期间，不允许休假。船员在休假期间，应遵守法律法规、疫情防控要求和船舶管理相关制度，船员工资正常发放。</w:t>
      </w:r>
    </w:p>
    <w:p>
      <w:pPr>
        <w:pStyle w:val="2"/>
        <w:spacing w:line="360" w:lineRule="auto"/>
        <w:outlineLvl w:val="4"/>
        <w:rPr>
          <w:rFonts w:ascii="仿宋" w:hAnsi="仿宋" w:eastAsia="仿宋" w:cs="仿宋"/>
          <w:bCs/>
          <w:sz w:val="24"/>
          <w:szCs w:val="24"/>
          <w:highlight w:val="none"/>
        </w:rPr>
      </w:pPr>
      <w:r>
        <w:rPr>
          <w:rFonts w:hint="eastAsia" w:ascii="仿宋" w:hAnsi="仿宋" w:eastAsia="仿宋" w:cs="仿宋"/>
          <w:b/>
          <w:sz w:val="28"/>
          <w:szCs w:val="28"/>
          <w:highlight w:val="none"/>
        </w:rPr>
        <w:t>3.3.2 中标人职责</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船员派出前的管理教育工作由中标人负责，中标人应加强对船员派出前的教育及派出后的跟踪管理。对采购人船舶，中标人应适当派员上船了解情况，及时处理船员管理中出现的问题，并做好船员的思想工作。</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（2）中标人在接到采购人更换船员通知后，在</w:t>
      </w:r>
      <w:r>
        <w:rPr>
          <w:rFonts w:ascii="仿宋" w:hAnsi="仿宋" w:eastAsia="仿宋" w:cs="仿宋"/>
          <w:bCs/>
          <w:sz w:val="24"/>
          <w:highlight w:val="none"/>
        </w:rPr>
        <w:t>3</w:t>
      </w:r>
      <w:r>
        <w:rPr>
          <w:rFonts w:hint="eastAsia" w:ascii="仿宋" w:hAnsi="仿宋" w:eastAsia="仿宋" w:cs="仿宋"/>
          <w:bCs/>
          <w:sz w:val="24"/>
          <w:highlight w:val="none"/>
        </w:rPr>
        <w:t>天内将选聘船员的全套个人资料（包括身份证复印件、海事证书扫描件和居住地公安机关出具的无犯罪记录证明等）和中标人面试船员记录表提交采购人审核、确认、备案。</w:t>
      </w:r>
    </w:p>
    <w:p>
      <w:pPr>
        <w:spacing w:line="360" w:lineRule="auto"/>
        <w:ind w:firstLine="480" w:firstLineChars="200"/>
        <w:rPr>
          <w:highlight w:val="none"/>
        </w:rPr>
      </w:pPr>
      <w:r>
        <w:rPr>
          <w:rFonts w:hint="eastAsia" w:ascii="仿宋" w:hAnsi="仿宋" w:eastAsia="仿宋" w:cs="仿宋"/>
          <w:bCs/>
          <w:sz w:val="24"/>
          <w:highlight w:val="none"/>
        </w:rPr>
        <w:t>（3）中标人所派船员在船服务期内应服从采购人管理，严格执行采购人建立的安全与保密协议等管理体系的相关要求，不得以任何借口消极怠工或拒绝工作、影响正常工作。采购人有权派员上船检查船员在安全生产、保密保卫、维修保养及遵纪守法等各方面的工作；有权按其体系文件规定对船员的职责履行情况、业务技术能力等进行检查、考核和跟踪指导。</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中标人协助采购人开展船员考核工作。负责做好考核中的各项协调工作，按照考核办法监督船员安全履职情况，并依据采购人认可的考核结果给予奖惩；按照采购人要求对不符合要求、不适任或日常管理考核不达标的船员，进行及时更换和调整。</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（5）中标人船员必须严格遵守采购人的所有相关规章制度。</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（6）中标人船员须严格遵守法律法规，严禁走私倒卖、吸毒、贩毒、赌博等一切非法犯罪行为；如发生违法犯罪行为，一切责任由中标人和船员本人负责，采购人对此不承担任何责任。</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（7）新冠疫情下，中标人具有完备的疫情防控体系，包括全面的疫情 防控政策和相应的应急防控预案等。同时应具备其他应急管理保障措施， 应急程序健全，应急相应及时。</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（8）中标人作为用人单位，负责办理船员的社会保险、意外伤害险等 必要保障，负责全面处理船员所可能产生的一切工伤/工亡事件，承担船员 所可能产生的一切工伤/工亡赔偿责任。因中标人未及时承担责任给甲方造成损失的，中标人应承担赔偿责任，采购人有权解除本合同。</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（9）中标人根据《中华人民共和国船员条例》、《2006 年海事劳工公约》等制度体系要求，建立适合我国船舶船员管理的相关制度、运行机制， 并保持其长期有效执行；中标人须协助甲方进行船舶安全体系运行，做好安全体系的督促、检查、指导等工作。</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（10）中标人未经甲方允许，不得在任何公共服务平台、各种网络应用软件中发布甲方所管船舶和船员的宣传信息。</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3.3.3 出现下列情况的，采购人有权提出更换：</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（1）如引遇到采购人机构改革、管理权限变更和管理模式发生变化以及其他不可抗力因素，采购人一般至少提前3天以书面形式通知中标人更换船员计划；</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（2）中标人船员拒绝接受指令；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（3）中标人船员擅自离船，且因船员离船影响船舶安全、任务执行及造成船舶安全事故，中标人应承担相应责任；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（4）中标人船员在申请岗位时提供虚假或隐瞒真实情况或伪造证书和文件；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（5）中标人船员个人能力或健康条件不能胜任本职岗位要求；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（6）中标人船员进行任何违法、违规行为，或者受到司法条例的制裁或行政监视；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（7）中标人船员严重扰乱社会治安和工作秩序；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（8）中标人船员拒绝接受正常的岗位变更； </w:t>
      </w:r>
    </w:p>
    <w:p>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（9）中标人船员因违反水上交通安全和防治船舶污染水域法律、行政法规行为， 被海事管理机构扣留证书的。</w:t>
      </w:r>
    </w:p>
    <w:p>
      <w:pPr>
        <w:tabs>
          <w:tab w:val="left" w:pos="525"/>
          <w:tab w:val="left" w:pos="846"/>
          <w:tab w:val="left" w:pos="3398"/>
        </w:tabs>
        <w:outlineLvl w:val="3"/>
        <w:rPr>
          <w:rFonts w:ascii="仿宋" w:hAnsi="仿宋" w:eastAsia="仿宋" w:cs="仿宋"/>
          <w:b/>
          <w:sz w:val="28"/>
          <w:szCs w:val="28"/>
          <w:highlight w:val="none"/>
        </w:rPr>
      </w:pPr>
      <w:r>
        <w:rPr>
          <w:rFonts w:hint="eastAsia" w:ascii="仿宋" w:hAnsi="仿宋" w:eastAsia="仿宋" w:cs="仿宋"/>
          <w:b/>
          <w:sz w:val="28"/>
          <w:szCs w:val="28"/>
          <w:highlight w:val="none"/>
        </w:rPr>
        <w:t>3.4其他要求：</w:t>
      </w:r>
    </w:p>
    <w:p>
      <w:pPr>
        <w:pStyle w:val="2"/>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drawing>
          <wp:anchor distT="0" distB="0" distL="114300" distR="114300" simplePos="0" relativeHeight="251661312" behindDoc="1" locked="0" layoutInCell="1" allowOverlap="1">
            <wp:simplePos x="0" y="0"/>
            <wp:positionH relativeFrom="page">
              <wp:posOffset>3740150</wp:posOffset>
            </wp:positionH>
            <wp:positionV relativeFrom="paragraph">
              <wp:posOffset>5715</wp:posOffset>
            </wp:positionV>
            <wp:extent cx="8890" cy="8890"/>
            <wp:effectExtent l="0" t="0" r="3810" b="2540"/>
            <wp:wrapNone/>
            <wp:docPr id="21" name="图片 9"/>
            <wp:cNvGraphicFramePr/>
            <a:graphic xmlns:a="http://schemas.openxmlformats.org/drawingml/2006/main">
              <a:graphicData uri="http://schemas.openxmlformats.org/drawingml/2006/picture">
                <pic:pic xmlns:pic="http://schemas.openxmlformats.org/drawingml/2006/picture">
                  <pic:nvPicPr>
                    <pic:cNvPr id="21" name="图片 9"/>
                    <pic:cNvPicPr/>
                  </pic:nvPicPr>
                  <pic:blipFill>
                    <a:blip r:embed="rId14"/>
                    <a:stretch>
                      <a:fillRect/>
                    </a:stretch>
                  </pic:blipFill>
                  <pic:spPr>
                    <a:xfrm>
                      <a:off x="0" y="0"/>
                      <a:ext cx="8890" cy="8890"/>
                    </a:xfrm>
                    <a:prstGeom prst="rect">
                      <a:avLst/>
                    </a:prstGeom>
                    <a:noFill/>
                    <a:ln>
                      <a:noFill/>
                    </a:ln>
                  </pic:spPr>
                </pic:pic>
              </a:graphicData>
            </a:graphic>
          </wp:anchor>
        </w:drawing>
      </w:r>
      <w:r>
        <w:rPr>
          <w:rFonts w:hint="eastAsia" w:ascii="仿宋" w:hAnsi="仿宋" w:eastAsia="仿宋" w:cs="仿宋"/>
          <w:sz w:val="24"/>
          <w:szCs w:val="24"/>
          <w:highlight w:val="none"/>
        </w:rPr>
        <w:t>（1）中标人保证合法用工：中标人必须与其雇佣船员签订相关劳动合同，依法为其雇佣船员缴纳五险一金。</w:t>
      </w:r>
    </w:p>
    <w:p>
      <w:pPr>
        <w:tabs>
          <w:tab w:val="left" w:pos="709"/>
        </w:tabs>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（2）相关协议：乙方须保证其工作人员及其雇佣船员保守甲方秘密。</w:t>
      </w:r>
    </w:p>
    <w:p>
      <w:pPr>
        <w:tabs>
          <w:tab w:val="left" w:pos="709"/>
        </w:tabs>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（3）采购人可根据实际情况或需求，对船员资格条件要求进行调整，中标人必须服从，且提供服务的船员必须符合采购人的要求。</w:t>
      </w:r>
    </w:p>
    <w:p>
      <w:pPr>
        <w:pStyle w:val="2"/>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（4）船员培训：管理级船员应接受岗前培训。中标人应按采购人要求安排船员进行上船前培训。中标人须针对采购人的规章制度，对船员进行培训。</w:t>
      </w:r>
    </w:p>
    <w:p>
      <w:pPr>
        <w:pStyle w:val="3"/>
        <w:spacing w:line="360" w:lineRule="auto"/>
        <w:rPr>
          <w:rFonts w:ascii="仿宋" w:hAnsi="仿宋" w:eastAsia="仿宋" w:cs="仿宋"/>
          <w:color w:val="auto"/>
          <w:kern w:val="2"/>
          <w:highlight w:val="none"/>
        </w:rPr>
      </w:pPr>
      <w:r>
        <w:rPr>
          <w:rFonts w:hint="eastAsia" w:ascii="仿宋" w:hAnsi="仿宋" w:eastAsia="仿宋" w:cs="仿宋"/>
          <w:color w:val="auto"/>
          <w:kern w:val="2"/>
          <w:highlight w:val="none"/>
        </w:rPr>
        <w:t xml:space="preserve">    （5）船员考核：实施分级考核。考核内容包括但不限于每月（周）维修保养工作计划及计划完成情况、月度安全训练、船容船貌及卫生、考勤休假、备品备件、油料管理、安全管理、防疫工作等，采用现场检查、检阅资料、询问提问、设备操作、应急演习、听取汇报等方式进行，以确保考核结果的真实、公正、准确。</w:t>
      </w:r>
    </w:p>
    <w:p>
      <w:pPr>
        <w:pStyle w:val="2"/>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（6）采购人船舶主要从事科考工作，船员除履行船员岗位职责外，还须协助船舶实验室、船载调查支撑设备的维护管理和操控工作等。</w:t>
      </w:r>
    </w:p>
    <w:p>
      <w:pPr>
        <w:tabs>
          <w:tab w:val="left" w:pos="709"/>
        </w:tabs>
        <w:spacing w:beforeLines="50" w:afterLines="50" w:line="360" w:lineRule="auto"/>
        <w:outlineLvl w:val="2"/>
        <w:rPr>
          <w:rFonts w:ascii="仿宋" w:hAnsi="仿宋" w:eastAsia="仿宋" w:cs="仿宋"/>
          <w:b/>
          <w:bCs/>
          <w:sz w:val="28"/>
          <w:szCs w:val="28"/>
          <w:highlight w:val="none"/>
        </w:rPr>
      </w:pPr>
      <w:bookmarkStart w:id="22" w:name="_Toc10837"/>
      <w:r>
        <w:rPr>
          <w:rFonts w:hint="eastAsia" w:ascii="仿宋" w:hAnsi="仿宋" w:eastAsia="仿宋" w:cs="仿宋"/>
          <w:b/>
          <w:bCs/>
          <w:sz w:val="28"/>
          <w:szCs w:val="28"/>
          <w:highlight w:val="none"/>
        </w:rPr>
        <w:t>4.船员主要职责及执证要求</w:t>
      </w:r>
      <w:bookmarkEnd w:id="22"/>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4.1  主要职责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 船长</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 船长是船舶安全与防污染管理工作的第一责任人，在单位的领导下执行上传下达的各项指示、决定和命令，贯彻采购人的安全和环境保护方针，并激励船员遵守；以简明方式发布相应的命令和指示；组织协调各部门的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 坚持安全活动日制度、航前会议制度及船务会议制度、航次汇报制度，并查签各项活动的记录。</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 审批各部门年、月度预防检查和维修养护计划，检查执行情况。审查航海日志、轮机日志、电台日志记载的正确性和完整性，审签各部门的报表，拟（或签）发电报。</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 负责船员的业务技术能力的评估和鉴定，对船员的调动、升降、培训、奖罚等向采购人提出建议。组织开展船舶的在岗培训工作。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 督促、落实各部门做好开航前的准备工作，保证船舶和船员在开航时处于适航、适任状态，按照规定保障船舶的最低安全配员，保证船舶的正常值班。</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 督促检查各部门、岗位严格执行航行值班制度，在港内航行、靠离泊位、抛锚、起锚时应亲自指挥，遇恶劣天气、能见度不良以及通过冰区、礁区、浅、狭、险要航段和主要转向点应上驾驶台指导或指挥。</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 当被值班驾驶员唤请时，应尽快到达驾驶台；每晚就寝前，应将航行指示、注意事项和其它有关布置明确写入夜航命令簿。</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 严格执行和检查、督促各部门人员执行船舶停泊值班制度，以及船舶装卸等有关规定。</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 在船舶出现紧急情况，履行总指挥职责，按采购人有关程序和规定指挥全体船员进行反应和处理，并及时向主管部门和采购人报告。</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 审核并签署应变部署表，严格按采购人规定定期组织实施各类演习。</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（11） 船舶进厂修理，负责审核各部门修理计划，核定厂修工程和自修项目，检查、督促各部门做好监修和自修准备工作，落实安全措施。</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（12） 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4.1.2大副</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大副是船长的助手，甲板部的负责人，主持甲板部的日常工作，担任航行、停泊值班及垃圾处理等管理工作。</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负责编制甲板部年度、月度预防检查和维修养护计划，并组织实施。</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负责船舶各类水舱压载/排放的管理。</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按时主持甲板部的安全日活动。</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负责甲板部的备件、物料、工具、用品的申领、验收和盘点工作。</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审核三副编制的应变部署表和船员应变卡，督促三副和水手做好各种应变器材的养护工作。船舶进行应变演习时负责现场指挥。</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负责本部门船员的职责熟悉培训工作，测评本部门船员技术业务和工作表现，提出奖惩、升降建议报船长，督促指导本部门实习人员按计划完成实习任务。</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督促本部门做好开航前准备工作，将本航次淡水、燃料、吃水等记入航海日志。</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严格执行航行、停泊值班制度，航行中遇有疑难时及时报告船长。</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管理船上人员的生活服务，负责船上配佣金管理工作。</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进出港、靠离泊位、抛起锚和掉头时，应在船首了望，将现场情况和周围环境及时报告船长，按船长指示指挥现场作业。</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负责甲板部的修船工作，编制厂修、自修计划，制定安全措施，修理中，密切厂船配合，掌握修理进度，监督和验收工程质量，领导本部门的自修工作。</w:t>
      </w:r>
    </w:p>
    <w:p>
      <w:pPr>
        <w:pStyle w:val="2"/>
        <w:numPr>
          <w:ilvl w:val="0"/>
          <w:numId w:val="10"/>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4.1.3二副</w:t>
      </w:r>
    </w:p>
    <w:p>
      <w:pPr>
        <w:pStyle w:val="2"/>
        <w:numPr>
          <w:ilvl w:val="0"/>
          <w:numId w:val="11"/>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在大副领导下，负责管理和维护驾驶设备、航海仪器、航海图书资料及航线设计等工作，执行航行、停泊值班制度。</w:t>
      </w:r>
    </w:p>
    <w:p>
      <w:pPr>
        <w:pStyle w:val="2"/>
        <w:numPr>
          <w:ilvl w:val="0"/>
          <w:numId w:val="11"/>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负责管理、申领航海日志、海图、航海书表、资料、航行通告及各种记录簿等，及时登记，改正海图和其他航用资料并作好记录。</w:t>
      </w:r>
    </w:p>
    <w:p>
      <w:pPr>
        <w:pStyle w:val="2"/>
        <w:numPr>
          <w:ilvl w:val="0"/>
          <w:numId w:val="11"/>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负责船舶电台对外无线电联系，包括收发电传、电报、电子邮件等，以及收听有关航海警告、航海气象的通报等。</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（4）管理并负责各种航海仪器、气象仪表的正确使用和养护，排除一般故障，做好检修和误差记录，请领和保管备件。</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 负责管理、养护船上甚高频无线电话、声光信号设备及国旗、信号旗、号灯、号型，确保其处于良好可用状态。</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 经常检查、校对驾驶台与机舱相关联的各种仪器设备，发现异常或故障及时通知轮机部检修。</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 管理天文钟和船钟，按时校正、上弦或调换电池。当船舶跨时区航行时，应根据船长指示，及时拨快或拨慢船钟，并通知有关船员。</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 负责管理驾驶台、海图室、备品库，经常保持整洁。</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 开航前，按照船长指示备妥所需海图及有关资料，设计航线并报船长审批；及时启动电罗经，试验各种电航仪器，确认良好。</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 进出港、靠离泊位、掉头时，应在船尾在船长指挥下工作，并将现场情况和周围环境及时报告船长。</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（11） 航行中应严格遵守航行值班制度和有关规章，遇有任何疑难应及时报告船长。</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（12） 航行中负责每天与机舱的正午对时，航次结束时负责填报航次报表。</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（13） 修船前，按时向大副提出所管仪器设备的修理项目；进坞时检查装于船底的助航仪器附件，防止因敲锈、油漆造成损坏失灵；修船期间，做好所管项目的监修和验收工作，并参加自修。</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（14） 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4.1.4三副</w:t>
      </w:r>
    </w:p>
    <w:p>
      <w:pPr>
        <w:pStyle w:val="2"/>
        <w:numPr>
          <w:ilvl w:val="0"/>
          <w:numId w:val="12"/>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在船长、大副的领导下，三副主管船舶救生、消防设备，应熟悉并遵守值班、联系制度，以及航行安全、技术操作方面的规章，履行规定的船舶航行和停泊值班职责。</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 管理全船消防设备、器材和火警报警设备，定期养护、检查和换剂，使其处于良好的技术状态；灭火机应注明检验和换剂日期；禁止将消防器材移作他用。管理并熟练地操作固定式灭火系统(主副机扫气箱所属系统除外)，保持管系和分路阀的铭牌、标志鲜明。</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 负责管理救生艇(筏)、救生浮具及其属具、备品，保持清洁完整，定期更换淡水和食品等；保持各种救生信号的有效期(驾驶台由二副管理的求救、救生信号和器材除外)。负责配置救生衣，经常检查是否放在指定位置，按期试验，如有损坏应即修复或更换。</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 对船舶各种消防、救生器材、设备物品要认真登记入册，并做好维修、保养、更换和记录。</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 按规定向船员讲解救生、消防知识和各种设备、器材的操作使用方法。</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 开航前应编妥船舶应变部署表及船员应变卡，经大副审核、船长批准后公布执行；及时向新接任船员介绍应变岗位和具体职责。</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 进出港口、靠离移泊和抛起锚时，在驾驶台执行瞭望和传达船长的指令，准确记录车钟和时间、重要船位及有关情况，或按船长指定的位置和任务进行工作。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 按时向大副提出所管设备的保养计划和修理项目，修船期间，做好自修和验收工作以及大副指派的工作。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 弃船时携带双向无线电话、海上搜救雷达应答器。</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4.1.5轮机长</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轮机长是全船机械、动力、电气（无线电通信导航和由甲板部使用的电子仪器除外）设备的技术总负责人。在船长领导下全面主持轮机部的工作，贯彻执行各项制度和操作规程，使各种设备保持良好技术状态。</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贯彻执行采购人指示和本船船务会议的决定；制定并组织实施轮机部工作计划。</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审核轮机部年、月度自修维护计划，交船长签署后上报单位批准，并负责予以实施。指导大管轮在安排具体工作时注意提高科学性和计划性。</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航行时每日审阅并签署轮机日志，检查轮机部其它各种日志记载的准确性和完善性，经常审阅各类安全管理记录。</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负责控制燃润油和锅炉用淡水的储量，及时向船长提出添装量；负责、监督燃润油的添加、移驳工作；审核燃、润油消耗报告并上报采购人机务处。</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监督燃润料、物料、备件的合理使用；定期提取主、副机润滑油样交有关单位化验分析，发现问题及时处理；督促本部门船员做好物料、工具、备件等的请领、验收、保管、统计、领取、使用工作。</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负责保管轮机部档案及技术资料，每年至少一次清点所有文件。</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船舶发生紧急情况时，按驾驶台发出的信号指挥机舱人员按应变部署表的分工，坚守岗位，积极抢救。</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按时主持轮机部安全活动日的活动；定期组织进行安全自查；及时组织有关人员分析事故原因及其经验教训，制定改进措施并予以实施。</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负责本部门船员的职责熟悉培训工作，测评本部门船员技术业务和工作表现，提出奖惩、升降建议并报船长，督促指导本部门实习人员按计划完成实习任务。</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负责轮机部的修船工作，汇编厂修、自修计划，制定并落实各项安全防护措施，密切厂船配合，掌握修理进度，监督和验收工程质量，领导本部门船员做好自修工作。</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负责审核本部门制定的操作规程，报船长批准后予以张贴。</w:t>
      </w:r>
    </w:p>
    <w:p>
      <w:pPr>
        <w:pStyle w:val="2"/>
        <w:numPr>
          <w:ilvl w:val="0"/>
          <w:numId w:val="13"/>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4.1.6大管轮</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大管轮是轮机长的助手。在轮机长领导下，认真履行值班职责；根据机电合一原则，主管船舶推进装置及其附属设备（包括系统所属电机〈气〉设备）和养护分工明细表规定的各种设备，协助轮机长搞好技术管理和轮机部的日常工作。</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保持主管各种安全设备、装置和防护设施等经常处于良好可用状态，定期进行必要的检查或试验，开航前会同驾驶员、电机员校试舵机；负责指导有关人员熟悉和掌握正确的管理和使用方法；做好机舱的防火、防爆、防冻和防污染工作。</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按“船舶预防检查和维修养护周期”规定，拟定所管设备及其系统的年、月度自修维护计划，报轮机长审核并予以实施，确保其处于良好技术状态。</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根据轮机部月度自修维护计划，分配轮机部日常工作，布置各项安全措施并检查执行情况；督促本部门人员保持机舱环境清洁；凡抢修主机或主机吊缸检修，及主机经过较大的检修须要试验时，均应在场。</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负责安排轮机部航行和停泊值班，并按值班制度执行；停泊期间每日审阅和记载轮机日志。</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汇总编制轮机部备件、物料、工具等请领计划，送轮机长审核上报；指导有关人员做好验收、保管、清点和合理使用；负责润滑油的申领、验收和报销。</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保管所管设备的备件、专用工具和本人使用的技术资料等。</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协助轮机长做好轮机部人员的管理和在岗培训工作，组织和指导本部门船员技术业务学习。</w:t>
      </w:r>
    </w:p>
    <w:p>
      <w:pPr>
        <w:pStyle w:val="2"/>
        <w:numPr>
          <w:ilvl w:val="0"/>
          <w:numId w:val="14"/>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船舶发生紧急情况时，除按照应变部署表规定的职责做好工作外，还应按轮机长的指示指挥轮机部人员做好应变抢救工作。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（10）修船工作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①进厂前，提出所管设备厂修工程项目及自修工程项目，汇总二、三管轮的修理项目，送轮机长审阅。</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②厂修时，协助轮机长组织好本部门的监修、自修、测量记录和验收工作，亲自主持主管设备的监修、测量、验收；并做好安全防护和机舱的保卫工作。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（11） 负责拟制主管设备的操作规程并报轮机长审核。</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（12） 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4.1.7二管轮</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二管轮受轮机长领导并在大管轮安排下进行工作；执行值班制度；根据机电合一原则，主管发电原动机及其附属设备（包括系统所属电机〈气〉设备）和分工明细表规定的各种设备，同时负责其它轮机员系统设备所属的电机〈气〉设备以外的独立电机（气）设备。确保处于良好技术状态。</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 按“船舶预防检查和维修养护周期”规定，拟定所管设备的年、月度自修维护计划，交轮机长审阅予以实施，立并做好检查测量及维修记录。</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 停泊时除执行值班制度外，领导大管轮分派给其的人员进行检修工作。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 接受和完成轮机长分配的其它工作，在大管轮指派下，协助其它轮机员进行各种机械设备的维护工作。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 负责燃油测量、记录和统计，按时报告轮机长；负责加装或移驳燃油，安排好添装次序、速度，正确留取油样。航次结束后，负责填写燃润油消耗报告送轮机长审核上报。</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 开航前会同值班驾驶员、电机员校试舵机，在海上航行时每天填写并与二副交换正午报告（无人机舱由值班轮机员负责）。</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 提出所管设备的备件、专用物料、工具的请领计划送大管轮汇总，并负责验收、盘点。保管所管设备的备件、专用工具和有关技术资料等。不设电机员的船舶还应负责轮机部电机（气）设备备件、工具、物料的保管和养护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 修船工作</w:t>
      </w:r>
    </w:p>
    <w:p>
      <w:pPr>
        <w:pStyle w:val="2"/>
        <w:spacing w:line="360" w:lineRule="auto"/>
        <w:ind w:firstLine="960" w:firstLineChars="400"/>
        <w:rPr>
          <w:rFonts w:ascii="仿宋" w:hAnsi="仿宋" w:eastAsia="仿宋" w:cs="仿宋"/>
          <w:bCs/>
          <w:sz w:val="24"/>
          <w:szCs w:val="24"/>
          <w:highlight w:val="none"/>
        </w:rPr>
      </w:pPr>
      <w:r>
        <w:rPr>
          <w:rFonts w:hint="eastAsia" w:ascii="仿宋" w:hAnsi="仿宋" w:eastAsia="仿宋" w:cs="仿宋"/>
          <w:bCs/>
          <w:sz w:val="24"/>
          <w:szCs w:val="24"/>
          <w:highlight w:val="none"/>
        </w:rPr>
        <w:t>① 进厂前，拟定所管设备的厂修工程项目和自修工程项目，送大管轮汇总。</w:t>
      </w:r>
    </w:p>
    <w:p>
      <w:pPr>
        <w:pStyle w:val="2"/>
        <w:spacing w:line="360" w:lineRule="auto"/>
        <w:ind w:firstLine="960" w:firstLineChars="400"/>
        <w:rPr>
          <w:rFonts w:ascii="仿宋" w:hAnsi="仿宋" w:eastAsia="仿宋" w:cs="仿宋"/>
          <w:bCs/>
          <w:sz w:val="24"/>
          <w:szCs w:val="24"/>
          <w:highlight w:val="none"/>
        </w:rPr>
      </w:pPr>
      <w:r>
        <w:rPr>
          <w:rFonts w:hint="eastAsia" w:ascii="仿宋" w:hAnsi="仿宋" w:eastAsia="仿宋" w:cs="仿宋"/>
          <w:bCs/>
          <w:sz w:val="24"/>
          <w:szCs w:val="24"/>
          <w:highlight w:val="none"/>
        </w:rPr>
        <w:t>② 厂修期间，除完成自修工程项目外，按大管轮的安排，认真对厂修工程项目进行监修、验收；完成轮机长和大管轮指派的其它工作。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（9）负责拟制主管设备的操作规程并报轮机长审核。</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4.1.8三管轮</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（1）三管轮在轮机长和大管轮的领导下，执行值班制度；根据机电合一原则，主管甲板机械及其附属设备（包括系统所属电机〈气〉设备）和养护分工明细表规定的各种设备，确保处于良好技术状态。</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 按“船舶预防检查和维修养护周期”规定，拟定所管设备的年、月度自修维护计划，交大管轮汇总并实施，做好检查测量及维修记录，定期送轮机长审阅。</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 开航前会同值班驾驶员、电机员校试舵机，停泊时除执行值班制度外，领导大管轮分派给他的人员进行检修工作。</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 负责机舱污油及污水的处理。在排污过程中，严格遵守国际防污公约的有关规定，采取有效的防污措施。</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 负责救生艇发动机、应急消防泵和其它本职所管各种应急、安全设备的管理，定期进行效用试验，使其经常处于良好技术状态。</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 提出所管设备的备件、专用物料、工具等请领计划送大管轮汇总，并负责验收、盘点。保管所管设备的备件、专用工具和有关技术资料等。</w:t>
      </w:r>
    </w:p>
    <w:p>
      <w:pPr>
        <w:pStyle w:val="2"/>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（7）修船工作</w:t>
      </w:r>
    </w:p>
    <w:p>
      <w:pPr>
        <w:pStyle w:val="2"/>
        <w:adjustRightInd w:val="0"/>
        <w:snapToGrid w:val="0"/>
        <w:spacing w:line="360" w:lineRule="auto"/>
        <w:ind w:firstLine="960" w:firstLineChars="400"/>
        <w:rPr>
          <w:rFonts w:ascii="仿宋" w:hAnsi="仿宋" w:eastAsia="仿宋" w:cs="仿宋"/>
          <w:bCs/>
          <w:sz w:val="24"/>
          <w:szCs w:val="24"/>
          <w:highlight w:val="none"/>
        </w:rPr>
      </w:pPr>
      <w:r>
        <w:rPr>
          <w:rFonts w:hint="eastAsia" w:ascii="仿宋" w:hAnsi="仿宋" w:eastAsia="仿宋" w:cs="仿宋"/>
          <w:bCs/>
          <w:sz w:val="24"/>
          <w:szCs w:val="24"/>
          <w:highlight w:val="none"/>
        </w:rPr>
        <w:t>①进厂前，拟定所管设备的厂修工程项目和自修工程项目，送大管轮汇总。</w:t>
      </w:r>
    </w:p>
    <w:p>
      <w:pPr>
        <w:pStyle w:val="2"/>
        <w:adjustRightInd w:val="0"/>
        <w:snapToGrid w:val="0"/>
        <w:spacing w:line="360" w:lineRule="auto"/>
        <w:ind w:firstLine="960" w:firstLineChars="400"/>
        <w:rPr>
          <w:rFonts w:ascii="仿宋" w:hAnsi="仿宋" w:eastAsia="仿宋" w:cs="仿宋"/>
          <w:bCs/>
          <w:sz w:val="24"/>
          <w:szCs w:val="24"/>
          <w:highlight w:val="none"/>
        </w:rPr>
      </w:pPr>
      <w:r>
        <w:rPr>
          <w:rFonts w:hint="eastAsia" w:ascii="仿宋" w:hAnsi="仿宋" w:eastAsia="仿宋" w:cs="仿宋"/>
          <w:bCs/>
          <w:sz w:val="24"/>
          <w:szCs w:val="24"/>
          <w:highlight w:val="none"/>
        </w:rPr>
        <w:t>②厂修期间，除完成自修工程项目外，按大管轮的安排，认真对厂修工程项目进行监修、验收；完成轮机长和大管轮指派的其它工作。</w:t>
      </w:r>
    </w:p>
    <w:p>
      <w:pPr>
        <w:pStyle w:val="2"/>
        <w:adjustRightInd w:val="0"/>
        <w:snapToGrid w:val="0"/>
        <w:spacing w:line="360" w:lineRule="auto"/>
        <w:ind w:left="420" w:leftChars="200"/>
        <w:rPr>
          <w:rFonts w:ascii="仿宋" w:hAnsi="仿宋" w:eastAsia="仿宋" w:cs="仿宋"/>
          <w:bCs/>
          <w:sz w:val="24"/>
          <w:szCs w:val="24"/>
          <w:highlight w:val="none"/>
        </w:rPr>
      </w:pPr>
      <w:r>
        <w:rPr>
          <w:rFonts w:hint="eastAsia" w:ascii="仿宋" w:hAnsi="仿宋" w:eastAsia="仿宋" w:cs="仿宋"/>
          <w:bCs/>
          <w:sz w:val="24"/>
          <w:szCs w:val="24"/>
          <w:highlight w:val="none"/>
        </w:rPr>
        <w:t>（8）负责拟制主管设备的操作规程并报轮机长审核。</w:t>
      </w:r>
    </w:p>
    <w:p>
      <w:pPr>
        <w:pStyle w:val="2"/>
        <w:spacing w:line="360" w:lineRule="auto"/>
        <w:ind w:left="420" w:leftChars="200"/>
        <w:rPr>
          <w:rFonts w:ascii="仿宋" w:hAnsi="仿宋" w:eastAsia="仿宋" w:cs="仿宋"/>
          <w:bCs/>
          <w:sz w:val="24"/>
          <w:szCs w:val="24"/>
          <w:highlight w:val="none"/>
        </w:rPr>
      </w:pPr>
      <w:r>
        <w:rPr>
          <w:rFonts w:hint="eastAsia" w:ascii="仿宋" w:hAnsi="仿宋" w:eastAsia="仿宋" w:cs="仿宋"/>
          <w:bCs/>
          <w:sz w:val="24"/>
          <w:szCs w:val="24"/>
          <w:highlight w:val="none"/>
        </w:rPr>
        <w:t>（9）海上行动必须服从上级指挥，严格履行国家赋予采购人的相关职责。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4.1.9电机员</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在轮机长和大管轮领导下，协助轮机员做好全船电气设备的管理、检查、维护工作，确保处于良好技术状态。</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按轮机部制定的轮值表值班。停泊值班时，每天不少于三次巡视检查全船所有运转中的电机、电气设备，发现不正常的情况应及时纠正或修理，并报告轮机长或大管轮，装卸货时，如发现起货机、照明灯具使用不当，有责任立即提出纠正。</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船舶进出港口、靠离移泊和其它必要的情况下，应在机舱值守。</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开航前会同值班驾驶员、值班轮机员校试舵机，检查锚机、绞缆机、航行灯、无人机舱的摇控装置、各种报警装置等电气设备的可靠性；开航后，做好甲板、室外电气设备和装置的水密与防潮工作。</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到港前检查锚机、绞缆机、装卸设备的电气部份，甲板和室外照明装置及装卸灯，发现问题及时修复，确保系泊和装卸作业的顺利进行。</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负责电机（气）设备的备件、工具、物料的保管和养护工作，并向二管轮提出添置建议。</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及时向主管轮机员提出所管设备需厂修的项目，在厂修期间协助轮机员进行监修，并参加自修。</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严格遵守操作规程和安全规则，经常注意危险警告牌的正确悬挂，禁止非电气工作人员接触重要的带电设备。</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具体负责航行灯、信号灯、照明设备、日用电器设备及集装箱冷藏箱电源的正常使用和维护保养。</w:t>
      </w:r>
    </w:p>
    <w:p>
      <w:pPr>
        <w:pStyle w:val="2"/>
        <w:numPr>
          <w:ilvl w:val="0"/>
          <w:numId w:val="15"/>
        </w:numPr>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4.1.10大厨/厨工</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（1）负责管理厨房、伙食等工作。</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（2）负责采购、储备足够数量的主副食品和佐料，制定菜谱、菜单，负责切菜、配料、烹调。</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（3）做好主副食品、佐料的验收、保管工作，保证饮食卫生。</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（4）做好船员餐厅、厨房、炊具，冷藏间、粮库等的清洁卫生和除害防火工作，注意节约燃料，保持个人卫生。</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（5）有关人员暂时不能离开工作岗位用膳时，做好热茶热饭供应。</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（6）做好月终库存盘点、结算，及时申领、保管厨房设备用品。</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（7）做好炉灶、炊具的管理、保养工作，负责联系搬运主副食品。</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（8）参加停泊护船班并供应夜餐。</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4.1.11船医</w:t>
      </w:r>
    </w:p>
    <w:p>
      <w:pPr>
        <w:pStyle w:val="2"/>
        <w:widowControl/>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（1）主管船上医药工作。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4.1.12水手</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（1）在值班驾驶员领导下，担任操舵、值班、保养维修工作等工作。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负责驾驶台内外和船内分工范围内的清洁；航行中，按船长、值班驾驶员口令正确及时执行舵令，并朗声复诵，当口令不一致时，执行船长的口令；发现空舵，舵效不灵或异常情况立即报告；使用自动舵时，不排除操舵责任；值班时坚守岗位，执行值班制度的各项规定。</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（3）按规定升降国旗、号旗，悬点号灯、号型和启闭甲板照明；开航前，校舵及检查航行灯。</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（4）进出港、靠离泊前，按驾驶员布置升降号旗、号型、关点号灯；空舵应协助驾驶员了望，进出港时负责监舵，夜航时注意检查航行灯、号灯是否明亮。</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（5）靠离泊前后，装卸舷梯、跳板、安全网，查看并记录前后吃水。</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（6）值舷梯班时，佩带袖章，做好会客登记，巡视船舶四周，给有关船、驳系解缆，负责舷梯、锚、靠把、出水孔、安全网、驳船等的安全正常。</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（7）锚泊时，检查锚链情况，悬点锚泊信号，遇雾敲钟，注意四周船舶动态及船岸信号，并守听甚高频无线电话，发现走锚或可疑情况立即报告值班驾驶员。</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8）正确操纵起锚机、起货机、绞缆机；拆装检查装卸属具，负责手锤测深，修补号旗和帆布盖罩，收放救生艇（筏），参加消防、救生、堵漏以及上高和舷外作业等工作；参加开航或靠泊前（系离泊）的准备工作和系解缆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（9）努力学习业务和操舵技术，熟悉舵性，懂得海图、潮流、避碰规则等一般航海知识。</w:t>
      </w:r>
    </w:p>
    <w:p>
      <w:pPr>
        <w:pStyle w:val="2"/>
        <w:tabs>
          <w:tab w:val="left" w:pos="284"/>
        </w:tabs>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（10）海上行动必须服从上级指挥，严格履行国家赋予采购人的相关职责。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4.1.13机工</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（1）参加轮值时，在值班轮机员领导下，遵守值班制度和操作规程，做好开航前各项准备工作，管理主、副机及附属设备的正常运转，并保持机舱清洁；执行值班轮机员指派的其它工作。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（2）按驾驶员书面通知，正确注、排转换压载水，记录起止时间，凭牌开关甲板水、气、电。</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（3）不参加轮值时，在大管轮安排下，参加日常维修保养工作，并做好工属具的清洁工作。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（4）执行大管轮指派的其它工作。</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（5）熟悉机、炉舱应变设备、消防设备的使用及操作方法。</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（6）海上行动必须服从上级指挥，严格履行国家赋予采购人的相关职责。</w:t>
      </w:r>
    </w:p>
    <w:p>
      <w:pPr>
        <w:pStyle w:val="2"/>
        <w:spacing w:line="360" w:lineRule="auto"/>
        <w:outlineLvl w:val="4"/>
        <w:rPr>
          <w:rFonts w:ascii="仿宋" w:hAnsi="仿宋" w:eastAsia="仿宋" w:cs="仿宋"/>
          <w:b/>
          <w:sz w:val="28"/>
          <w:szCs w:val="28"/>
          <w:highlight w:val="none"/>
        </w:rPr>
      </w:pPr>
      <w:r>
        <w:rPr>
          <w:rFonts w:hint="eastAsia" w:ascii="仿宋" w:hAnsi="仿宋" w:eastAsia="仿宋" w:cs="仿宋"/>
          <w:b/>
          <w:sz w:val="28"/>
          <w:szCs w:val="28"/>
          <w:highlight w:val="none"/>
        </w:rPr>
        <w:t>4.1.14服务员</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（1）服务员服从船上大副的领导，负责日常船上生活场所卫生整洁、生活用品保养。</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（2）执行船领导指派的其它工作。</w:t>
      </w:r>
    </w:p>
    <w:p>
      <w:pPr>
        <w:pStyle w:val="2"/>
        <w:spacing w:line="360" w:lineRule="auto"/>
        <w:ind w:firstLine="480" w:firstLineChars="200"/>
        <w:rPr>
          <w:rFonts w:ascii="仿宋" w:hAnsi="仿宋" w:eastAsia="仿宋" w:cs="仿宋"/>
          <w:b/>
          <w:sz w:val="24"/>
          <w:szCs w:val="24"/>
          <w:highlight w:val="none"/>
        </w:rPr>
      </w:pPr>
      <w:r>
        <w:rPr>
          <w:rFonts w:hint="eastAsia" w:ascii="仿宋" w:hAnsi="仿宋" w:eastAsia="仿宋" w:cs="仿宋"/>
          <w:bCs/>
          <w:sz w:val="24"/>
          <w:szCs w:val="24"/>
          <w:highlight w:val="none"/>
        </w:rPr>
        <w:t>（3）海上行动必须服从上级指挥，严格履行国家赋予采购人的相关职责。</w:t>
      </w: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4.2. 执证要求</w:t>
      </w:r>
    </w:p>
    <w:p>
      <w:pPr>
        <w:pStyle w:val="2"/>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（1）远洋调查船组所需船员执证要求如下表。</w:t>
      </w:r>
    </w:p>
    <w:tbl>
      <w:tblPr>
        <w:tblStyle w:val="49"/>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034"/>
        <w:gridCol w:w="77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jc w:val="center"/>
        </w:trPr>
        <w:tc>
          <w:tcPr>
            <w:tcW w:w="828"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序号</w:t>
            </w:r>
          </w:p>
        </w:tc>
        <w:tc>
          <w:tcPr>
            <w:tcW w:w="1034"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职务</w:t>
            </w:r>
          </w:p>
        </w:tc>
        <w:tc>
          <w:tcPr>
            <w:tcW w:w="7757"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持证要求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snapToGrid w:val="0"/>
              <w:spacing w:line="400" w:lineRule="exact"/>
              <w:jc w:val="center"/>
              <w:rPr>
                <w:rFonts w:hAnsi="宋体" w:cs="宋体"/>
                <w:szCs w:val="21"/>
                <w:highlight w:val="none"/>
              </w:rPr>
            </w:pPr>
            <w:r>
              <w:rPr>
                <w:rFonts w:hint="eastAsia" w:hAnsi="宋体" w:cs="宋体"/>
                <w:szCs w:val="21"/>
                <w:highlight w:val="none"/>
              </w:rPr>
              <w:t>船长</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w:t>
            </w:r>
            <w:r>
              <w:rPr>
                <w:rFonts w:hint="eastAsia" w:hAnsi="宋体"/>
                <w:szCs w:val="21"/>
                <w:highlight w:val="none"/>
              </w:rPr>
              <w:t>以上</w:t>
            </w:r>
            <w:r>
              <w:rPr>
                <w:rFonts w:hint="eastAsia" w:hAnsi="宋体"/>
                <w:bCs/>
                <w:szCs w:val="21"/>
                <w:highlight w:val="none"/>
              </w:rPr>
              <w:t>船长适任证书、GMDSS通用操作员适任证书、《熟悉和基本安全培训合格证》、《精通救生艇筏和救助艇培训合格证》、《高级消防培训合格证》、《精通急救培训合格证》、《雷达观测与标绘和雷达模拟器培训合格证》、《自动雷达标绘仪培训合格证》、《船上医护培训合格证》、《船舶保安员专业证书》、《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以上大副适任证书、GMDSS通用操作员适任证书、《熟悉和基本安全培训合格证》、《精通救生艇筏和救助艇培训合格证》、《高级消防培训合格证》、《精通急救培训合格证》、《雷达观测与标绘和雷达模拟器培训合格证》、《自动雷达标绘仪培训合格证》、《船上医护培训合格证》、《船舶保安员专业证书》、《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二副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以上二副适任证书、GMDSS通用操作员适任证书、《熟悉和基本安全培训合格证》、《精通救生艇筏和救助艇培训合格证》、《高级消防培训合格证》、《精通急救培训合格证》、《雷达观测与标绘和雷达模拟器培训合格证》、《自动雷达标绘仪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三副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以上三副适任证书、GMDSS通用操作员适任证书、《熟悉和基本安全培训合格证》、《精通救生艇筏和救助艇培训合格证》、《高级消防培训合格证》、《精通急救培训合格证》、《雷达观测与标绘和雷达模拟器培训合格证》、《自动雷达标绘仪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cs="宋体"/>
                <w:szCs w:val="21"/>
                <w:highlight w:val="none"/>
              </w:rPr>
              <w:t>轮机长</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w:t>
            </w:r>
            <w:r>
              <w:rPr>
                <w:rFonts w:hint="eastAsia" w:hAnsi="宋体"/>
                <w:szCs w:val="21"/>
                <w:highlight w:val="none"/>
              </w:rPr>
              <w:t>或以上</w:t>
            </w:r>
            <w:r>
              <w:rPr>
                <w:rFonts w:hint="eastAsia" w:hAnsi="宋体"/>
                <w:bCs/>
                <w:szCs w:val="21"/>
                <w:highlight w:val="none"/>
              </w:rPr>
              <w:t>轮机长适任证书、《熟悉和基本安全培训合格证》、《精通救生艇筏和救助艇培训合格证》、《高级消防培训合格证》、《精通急救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甲类或</w:t>
            </w:r>
            <w:r>
              <w:rPr>
                <w:rFonts w:hint="eastAsia" w:hAnsi="宋体"/>
                <w:bCs/>
                <w:szCs w:val="21"/>
                <w:highlight w:val="none"/>
              </w:rPr>
              <w:t>丙类一等以上大管轮适任证书、《熟悉和基本安全培训合格证》、《精通救生艇筏和救助艇培训合格证》、《高级消防培训合格证》、《精通急救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二管轮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或以上二管轮适任证书、《熟悉和基本安全培训合格证》、《精通救生艇筏和救助艇培训合格证》、《高级消防培训合格证》、《精通急救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三管轮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w:t>
            </w:r>
            <w:r>
              <w:rPr>
                <w:rFonts w:hint="eastAsia" w:hAnsi="宋体"/>
                <w:szCs w:val="21"/>
                <w:highlight w:val="none"/>
              </w:rPr>
              <w:t>甲类</w:t>
            </w:r>
            <w:r>
              <w:rPr>
                <w:rFonts w:hint="eastAsia" w:hAnsi="宋体"/>
                <w:bCs/>
                <w:szCs w:val="21"/>
                <w:highlight w:val="none"/>
              </w:rPr>
              <w:t>一等或以上三管轮适任证书、《熟悉和基本安全培训合格证》、《精通救生艇筏和救助艇培训合格证》、《高级消防培训合格证》、《精通急救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电机员</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具有三年以上的船上电机员资历及相应的专业证书，有效的《熟悉和基本安全培训合格证》、《精通救生艇筏和救助艇培训合格证》、《海员证》、《护照》、《健康证》、《黄热病证》和《船员服务簿》等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大厨/厨工</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具有三年以上的船上厨工资历、有效的《熟悉和基本安全培训合格证》、《海员证》、《护照》、《健康证》、《黄热病证》和《船员服务簿》等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船医</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有效的医师执业证书、《熟悉和基本安全培训合格证》、《海员证》、《护照》、《健康证》、《黄热病证》和《船员服务簿》等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水手</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有效的甲类水手适任证书、《熟悉和基本安全培训合格证》、《精通救生艇筏和救助艇培训合格证》、《海员证》、《护照》、《健康证》、《黄热病证》和《船员服务簿》等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机工</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有效的甲类机工适任证书、《熟悉和基本安全培训合格证》、《精通救生艇筏和救助艇培训合格证》、《海员证》、《护照》、《健康证》、《黄热病证》和《船员服务簿》等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numPr>
                <w:ilvl w:val="0"/>
                <w:numId w:val="16"/>
              </w:numPr>
              <w:snapToGrid w:val="0"/>
              <w:spacing w:line="400" w:lineRule="exact"/>
              <w:jc w:val="center"/>
              <w:rPr>
                <w:rFonts w:hAnsi="宋体"/>
                <w:bCs/>
                <w:szCs w:val="21"/>
                <w:highlight w:val="none"/>
              </w:rPr>
            </w:pPr>
          </w:p>
        </w:tc>
        <w:tc>
          <w:tcPr>
            <w:tcW w:w="1034" w:type="dxa"/>
            <w:vAlign w:val="center"/>
          </w:tcPr>
          <w:p>
            <w:pPr>
              <w:pStyle w:val="2"/>
              <w:tabs>
                <w:tab w:val="left" w:pos="304"/>
              </w:tabs>
              <w:snapToGrid w:val="0"/>
              <w:spacing w:line="400" w:lineRule="exact"/>
              <w:jc w:val="center"/>
              <w:rPr>
                <w:rFonts w:hAnsi="宋体"/>
                <w:bCs/>
                <w:szCs w:val="21"/>
                <w:highlight w:val="none"/>
              </w:rPr>
            </w:pPr>
            <w:r>
              <w:rPr>
                <w:rFonts w:hint="eastAsia" w:hAnsi="宋体"/>
                <w:bCs/>
                <w:szCs w:val="21"/>
                <w:highlight w:val="none"/>
              </w:rPr>
              <w:t>服务员</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相关岗位适任证书、《熟悉和基本安全培训合格证》、《精通救生艇筏和救助艇培训合格证》、《海员证》、《护照》、《健康证》、《黄热病证》和《船员服务簿》等</w:t>
            </w:r>
          </w:p>
        </w:tc>
      </w:tr>
    </w:tbl>
    <w:p>
      <w:pPr>
        <w:pStyle w:val="3"/>
        <w:rPr>
          <w:rFonts w:ascii="仿宋" w:hAnsi="仿宋" w:eastAsia="仿宋" w:cs="仿宋"/>
          <w:bCs/>
          <w:color w:val="auto"/>
          <w:highlight w:val="none"/>
        </w:rPr>
      </w:pP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Cs/>
          <w:sz w:val="24"/>
          <w:highlight w:val="none"/>
        </w:rPr>
        <w:t>（2）500吨级以上调查船所需船员执证要求如下表。</w:t>
      </w:r>
    </w:p>
    <w:tbl>
      <w:tblPr>
        <w:tblStyle w:val="49"/>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034"/>
        <w:gridCol w:w="77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jc w:val="center"/>
        </w:trPr>
        <w:tc>
          <w:tcPr>
            <w:tcW w:w="828"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序号</w:t>
            </w:r>
          </w:p>
        </w:tc>
        <w:tc>
          <w:tcPr>
            <w:tcW w:w="1034"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职务</w:t>
            </w:r>
          </w:p>
        </w:tc>
        <w:tc>
          <w:tcPr>
            <w:tcW w:w="7757" w:type="dxa"/>
            <w:vAlign w:val="center"/>
          </w:tcPr>
          <w:p>
            <w:pPr>
              <w:pStyle w:val="2"/>
              <w:snapToGrid w:val="0"/>
              <w:spacing w:line="400" w:lineRule="exact"/>
              <w:jc w:val="center"/>
              <w:rPr>
                <w:rFonts w:hAnsi="宋体"/>
                <w:b/>
                <w:bCs/>
                <w:szCs w:val="21"/>
                <w:highlight w:val="none"/>
              </w:rPr>
            </w:pPr>
            <w:r>
              <w:rPr>
                <w:rFonts w:hint="eastAsia" w:hAnsi="宋体"/>
                <w:b/>
                <w:bCs/>
                <w:szCs w:val="21"/>
                <w:highlight w:val="none"/>
              </w:rPr>
              <w:t>持证要求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1</w:t>
            </w:r>
          </w:p>
        </w:tc>
        <w:tc>
          <w:tcPr>
            <w:tcW w:w="1034" w:type="dxa"/>
            <w:vAlign w:val="center"/>
          </w:tcPr>
          <w:p>
            <w:pPr>
              <w:snapToGrid w:val="0"/>
              <w:spacing w:line="400" w:lineRule="exact"/>
              <w:jc w:val="center"/>
              <w:rPr>
                <w:rFonts w:hAnsi="宋体" w:cs="宋体"/>
                <w:szCs w:val="21"/>
                <w:highlight w:val="none"/>
              </w:rPr>
            </w:pPr>
            <w:r>
              <w:rPr>
                <w:rFonts w:hint="eastAsia" w:hAnsi="宋体" w:cs="宋体"/>
                <w:szCs w:val="21"/>
                <w:highlight w:val="none"/>
              </w:rPr>
              <w:t>船长</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w:t>
            </w:r>
            <w:r>
              <w:rPr>
                <w:rFonts w:hint="eastAsia" w:hAnsi="宋体"/>
                <w:szCs w:val="21"/>
                <w:highlight w:val="none"/>
              </w:rPr>
              <w:t>以上</w:t>
            </w:r>
            <w:r>
              <w:rPr>
                <w:rFonts w:hint="eastAsia" w:hAnsi="宋体"/>
                <w:bCs/>
                <w:szCs w:val="21"/>
                <w:highlight w:val="none"/>
              </w:rPr>
              <w:t>船长适任证书、GMDSS通用操作员适任证书、《熟悉和基本安全培训合格证》、《精通救生艇筏和救助艇培训合格证》、《高级消防培训合格证》、《精通急救培训合格证》、《雷达观测与标绘和雷达模拟器培训合格证》、《自动雷达标绘仪培训合格证》、《船上医护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2</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以上大副适任证书、GMDSS通用操作员适任证书、《熟悉和基本安全培训合格证》、《精通救生艇筏和救助艇培训合格证》、《高级消防培训合格证》、《精通急救培训合格证》、《雷达观测与标绘和雷达模拟器培训合格证》、《自动雷达标绘仪培训合格证》、《船上医护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3</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二副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以上二副适任证书、GMDSS通用操作员适任证书、《熟悉和基本安全培训合格证》、《精通救生艇筏和救助艇培训合格证》、《高级消防培训合格证》、《精通急救培训合格证》、《雷达观测与标绘和雷达模拟器培训合格证》、《自动雷达标绘仪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4</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三副</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以上三副适任证书、GMDSS通用操作员适任证书、《熟悉和基本安全培训合格证》、《精通救生艇筏和救助艇培训合格证》、《高级消防培训合格证》、《精通急救培训合格证》、《雷达观测与标绘和雷达模拟器培训合格证》、《自动雷达标绘仪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5</w:t>
            </w:r>
          </w:p>
        </w:tc>
        <w:tc>
          <w:tcPr>
            <w:tcW w:w="1034" w:type="dxa"/>
            <w:vAlign w:val="center"/>
          </w:tcPr>
          <w:p>
            <w:pPr>
              <w:pStyle w:val="2"/>
              <w:snapToGrid w:val="0"/>
              <w:spacing w:line="400" w:lineRule="exact"/>
              <w:jc w:val="center"/>
              <w:rPr>
                <w:rFonts w:hAnsi="宋体"/>
                <w:bCs/>
                <w:szCs w:val="21"/>
                <w:highlight w:val="none"/>
              </w:rPr>
            </w:pPr>
            <w:r>
              <w:rPr>
                <w:rFonts w:hint="eastAsia" w:hAnsi="宋体" w:cs="宋体"/>
                <w:szCs w:val="21"/>
                <w:highlight w:val="none"/>
              </w:rPr>
              <w:t>轮机长</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w:t>
            </w:r>
            <w:r>
              <w:rPr>
                <w:rFonts w:hint="eastAsia" w:hAnsi="宋体"/>
                <w:szCs w:val="21"/>
                <w:highlight w:val="none"/>
              </w:rPr>
              <w:t>或以上</w:t>
            </w:r>
            <w:r>
              <w:rPr>
                <w:rFonts w:hint="eastAsia" w:hAnsi="宋体"/>
                <w:bCs/>
                <w:szCs w:val="21"/>
                <w:highlight w:val="none"/>
              </w:rPr>
              <w:t>轮机长适任证书、《熟悉和基本安全培训合格证》、《精通救生艇筏和救助艇培训合格证》、《高级消防培训合格证》、《精通急救培训合格证》、《健康证》、《黄热病证》和《船员服务簿》等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6</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以上大管轮适任证书、《熟悉和基本安全培训合格证》、《精通救生艇筏和救助艇培训合格证》、《高级消防培训合格证》、《精通急救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7</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二管轮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或以上二管轮适任证书、《熟悉和基本安全培训合格证》、《精通救生艇筏和救助艇培训合格证》、《高级消防培训合格证》、《精通急救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8</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三管轮</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一等或以上三管轮适任证书、《熟悉和基本安全培训合格证》、《精通救生艇筏和救助艇培训合格证》、《高级消防培训合格证》、《精通急救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9</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大厨/厨工</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具有三年以上的船上厨工资历、有效的《熟悉和基本安全培训合格证》、《海员证》、《黄热病证》和《船员服务簿》等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10</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水手</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有效的丙类水手适任证书、《熟悉和基本安全培训合格证》、《精通救生艇筏和救助艇培训合格证》、《健康证》、《黄热病证》和《船员服务簿》等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11</w:t>
            </w:r>
          </w:p>
        </w:tc>
        <w:tc>
          <w:tcPr>
            <w:tcW w:w="1034"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机工</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有效的丙类机工适任证书、《熟悉和基本安全培训合格证》、《精通救生艇筏和救助艇培训合格证》、《健康证》、《黄热病证》和《船员服务簿》等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8" w:type="dxa"/>
            <w:vAlign w:val="center"/>
          </w:tcPr>
          <w:p>
            <w:pPr>
              <w:pStyle w:val="2"/>
              <w:snapToGrid w:val="0"/>
              <w:spacing w:line="400" w:lineRule="exact"/>
              <w:jc w:val="center"/>
              <w:rPr>
                <w:rFonts w:hAnsi="宋体"/>
                <w:bCs/>
                <w:szCs w:val="21"/>
                <w:highlight w:val="none"/>
              </w:rPr>
            </w:pPr>
            <w:r>
              <w:rPr>
                <w:rFonts w:hint="eastAsia" w:hAnsi="宋体"/>
                <w:bCs/>
                <w:szCs w:val="21"/>
                <w:highlight w:val="none"/>
              </w:rPr>
              <w:t>12</w:t>
            </w:r>
          </w:p>
        </w:tc>
        <w:tc>
          <w:tcPr>
            <w:tcW w:w="1034" w:type="dxa"/>
            <w:vAlign w:val="center"/>
          </w:tcPr>
          <w:p>
            <w:pPr>
              <w:pStyle w:val="2"/>
              <w:tabs>
                <w:tab w:val="left" w:pos="304"/>
              </w:tabs>
              <w:snapToGrid w:val="0"/>
              <w:spacing w:line="400" w:lineRule="exact"/>
              <w:jc w:val="center"/>
              <w:rPr>
                <w:rFonts w:hAnsi="宋体"/>
                <w:bCs/>
                <w:szCs w:val="21"/>
                <w:highlight w:val="none"/>
              </w:rPr>
            </w:pPr>
            <w:r>
              <w:rPr>
                <w:rFonts w:hint="eastAsia" w:hAnsi="宋体"/>
                <w:bCs/>
                <w:szCs w:val="21"/>
                <w:highlight w:val="none"/>
              </w:rPr>
              <w:t>服务员</w:t>
            </w:r>
          </w:p>
        </w:tc>
        <w:tc>
          <w:tcPr>
            <w:tcW w:w="7757" w:type="dxa"/>
            <w:vAlign w:val="center"/>
          </w:tcPr>
          <w:p>
            <w:pPr>
              <w:pStyle w:val="2"/>
              <w:snapToGrid w:val="0"/>
              <w:spacing w:line="400" w:lineRule="exact"/>
              <w:rPr>
                <w:rFonts w:hAnsi="宋体"/>
                <w:bCs/>
                <w:szCs w:val="21"/>
                <w:highlight w:val="none"/>
              </w:rPr>
            </w:pPr>
            <w:r>
              <w:rPr>
                <w:rFonts w:hint="eastAsia" w:hAnsi="宋体"/>
                <w:bCs/>
                <w:szCs w:val="21"/>
                <w:highlight w:val="none"/>
              </w:rPr>
              <w:t>相关岗位适任证书、《熟悉和基本安全培训合格证》、《精通救生艇筏和救助艇培训合格证》、《健康证》、《黄热病证》和《船员服务簿》等</w:t>
            </w:r>
          </w:p>
        </w:tc>
      </w:tr>
    </w:tbl>
    <w:p>
      <w:pPr>
        <w:pStyle w:val="2"/>
        <w:rPr>
          <w:highlight w:val="none"/>
        </w:rPr>
      </w:pPr>
    </w:p>
    <w:p>
      <w:pPr>
        <w:tabs>
          <w:tab w:val="left" w:pos="709"/>
        </w:tabs>
        <w:spacing w:beforeLines="50" w:afterLines="50" w:line="360" w:lineRule="auto"/>
        <w:outlineLvl w:val="2"/>
        <w:rPr>
          <w:rFonts w:ascii="仿宋" w:hAnsi="仿宋" w:eastAsia="仿宋" w:cs="仿宋"/>
          <w:b/>
          <w:bCs/>
          <w:sz w:val="28"/>
          <w:szCs w:val="28"/>
          <w:highlight w:val="none"/>
        </w:rPr>
      </w:pPr>
      <w:bookmarkStart w:id="23" w:name="_Toc8397"/>
      <w:r>
        <w:rPr>
          <w:rFonts w:hint="eastAsia" w:ascii="仿宋" w:hAnsi="仿宋" w:eastAsia="仿宋" w:cs="仿宋"/>
          <w:b/>
          <w:bCs/>
          <w:sz w:val="28"/>
          <w:szCs w:val="28"/>
          <w:highlight w:val="none"/>
        </w:rPr>
        <w:t>5.考核及处理（根据采购实际考核方法进行调整）</w:t>
      </w:r>
      <w:bookmarkEnd w:id="23"/>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5.1  考核办法</w:t>
      </w:r>
    </w:p>
    <w:p>
      <w:pPr>
        <w:tabs>
          <w:tab w:val="left" w:pos="525"/>
          <w:tab w:val="left" w:pos="851"/>
          <w:tab w:val="left" w:pos="3398"/>
        </w:tabs>
        <w:spacing w:beforeLines="50" w:line="360" w:lineRule="auto"/>
        <w:ind w:left="102" w:firstLine="480" w:firstLineChars="200"/>
        <w:rPr>
          <w:rFonts w:ascii="仿宋" w:hAnsi="仿宋" w:eastAsia="仿宋" w:cs="仿宋"/>
          <w:sz w:val="24"/>
          <w:highlight w:val="none"/>
        </w:rPr>
      </w:pPr>
      <w:r>
        <w:rPr>
          <w:rFonts w:hint="eastAsia" w:ascii="仿宋" w:hAnsi="仿宋" w:eastAsia="仿宋" w:cs="仿宋"/>
          <w:sz w:val="24"/>
          <w:highlight w:val="none"/>
        </w:rPr>
        <w:t>采购人每月对船员服务进行考核，考核实行扣分制，即基础分100分，在此基础上出现各种违规行为（详见考核标准）扣减一定分值，每月得分将作为履约合同的重要依据。</w:t>
      </w:r>
    </w:p>
    <w:p>
      <w:pPr>
        <w:tabs>
          <w:tab w:val="left" w:pos="525"/>
          <w:tab w:val="left" w:pos="846"/>
          <w:tab w:val="left" w:pos="3398"/>
        </w:tabs>
        <w:spacing w:line="360" w:lineRule="auto"/>
        <w:outlineLvl w:val="3"/>
        <w:rPr>
          <w:rFonts w:ascii="仿宋" w:hAnsi="仿宋" w:eastAsia="仿宋" w:cs="仿宋"/>
          <w:b/>
          <w:sz w:val="28"/>
          <w:szCs w:val="28"/>
          <w:highlight w:val="none"/>
        </w:rPr>
      </w:pPr>
      <w:r>
        <w:rPr>
          <w:rFonts w:hint="eastAsia" w:ascii="仿宋" w:hAnsi="仿宋" w:eastAsia="仿宋" w:cs="仿宋"/>
          <w:b/>
          <w:sz w:val="28"/>
          <w:szCs w:val="28"/>
          <w:highlight w:val="none"/>
        </w:rPr>
        <w:t>5.2  考核标准</w:t>
      </w:r>
    </w:p>
    <w:tbl>
      <w:tblPr>
        <w:tblStyle w:val="49"/>
        <w:tblW w:w="9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543"/>
        <w:gridCol w:w="752"/>
        <w:gridCol w:w="754"/>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40" w:type="dxa"/>
            <w:gridSpan w:val="5"/>
            <w:tcBorders>
              <w:top w:val="nil"/>
              <w:left w:val="nil"/>
              <w:bottom w:val="single" w:color="auto" w:sz="4" w:space="0"/>
              <w:right w:val="nil"/>
            </w:tcBorders>
            <w:vAlign w:val="center"/>
          </w:tcPr>
          <w:p>
            <w:pPr>
              <w:widowControl/>
              <w:spacing w:after="0" w:line="240" w:lineRule="auto"/>
              <w:jc w:val="center"/>
              <w:rPr>
                <w:rFonts w:ascii="仿宋" w:hAnsi="仿宋" w:eastAsia="仿宋" w:cs="仿宋"/>
                <w:sz w:val="24"/>
                <w:highlight w:val="none"/>
                <w:u w:val="single"/>
              </w:rPr>
            </w:pPr>
            <w:r>
              <w:rPr>
                <w:rFonts w:hint="eastAsia" w:hAnsi="宋体"/>
                <w:b/>
                <w:sz w:val="28"/>
                <w:highlight w:val="none"/>
              </w:rPr>
              <w:t>船员服务考核标准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总分：100分（月度评分100分为满分，月度评分低于80分为不合格, 80分以下每少1分将扣除当月管理费用的0.5％，低于60分超过3次，视为中标人违约，采购人有权解除合同并将相关情况上报同级政府采购监督管理部门和有关部门。）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序号</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考核内容</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扣分</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考核</w:t>
            </w:r>
          </w:p>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日期</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一</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各个岗位派遣人员落实情况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101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未按要求派遣足够人员到岗、或派遣人员缺勤、或在</w:t>
            </w:r>
            <w:r>
              <w:rPr>
                <w:rFonts w:hint="eastAsia" w:ascii="仿宋" w:hAnsi="仿宋" w:eastAsia="仿宋" w:cs="仿宋"/>
                <w:sz w:val="24"/>
                <w:highlight w:val="none"/>
                <w:lang w:val="en-US" w:eastAsia="zh-CN"/>
              </w:rPr>
              <w:t>发生</w:t>
            </w:r>
            <w:r>
              <w:rPr>
                <w:rFonts w:hint="eastAsia" w:ascii="仿宋" w:hAnsi="仿宋" w:eastAsia="仿宋" w:cs="仿宋"/>
                <w:sz w:val="24"/>
                <w:highlight w:val="none"/>
              </w:rPr>
              <w:t>被派遣人员被退回或离职的情况下未按要求及时补充适格人员，每缺1人次/天扣5分（如缺每1人达到1天扣5分）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二</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派遣工作人员工作态度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201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用人部门投诉被派遣工作人员不听劝导，工作态度差，经查核实的（每人次扣1分）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三</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乙方所派的船员工作失误的原因严重影响船舶安全或造成事故等，并经查实的（小事故每次扣30分，一般事故每次扣50分，大事故及以上等级事故的每次扣100分）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302</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乙方承诺各类响应时间未及时响应（本表序号101外的事项）（每超时1天扣5分）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303</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乙方对其所派的船员考核不到位，未按双方确认的考核标准实际准确考核，存在包庇人员、隐瞒问题的（每人次扣5分）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四</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派遣人员的工作质量和效率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401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用人部门有投诉被派遣人员工作质量有所下降，欠缺工作积极性的（每人次扣2分）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五</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501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被派遣工作人员违反用人单位的规章制度的（每人次扣5分）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六</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b/>
                <w:sz w:val="24"/>
                <w:highlight w:val="none"/>
              </w:rPr>
            </w:pPr>
            <w:r>
              <w:rPr>
                <w:rFonts w:hint="eastAsia" w:ascii="仿宋" w:hAnsi="仿宋" w:eastAsia="仿宋" w:cs="仿宋"/>
                <w:b/>
                <w:sz w:val="24"/>
                <w:highlight w:val="none"/>
              </w:rPr>
              <w:t>兼职影响工作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601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被派遣人员在外兼职，对完成船舶的工作任务造成严重影响，拒不改正的（每人次扣10分）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七</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b/>
                <w:sz w:val="24"/>
                <w:highlight w:val="none"/>
              </w:rPr>
              <w:t>管理不善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701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未按时发放船员工资（每超期一天扣1分）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702</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未按规定为船员缴纳社会保险费用、住房公积金等情况（每发生一次扣10分）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八</w:t>
            </w:r>
          </w:p>
        </w:tc>
        <w:tc>
          <w:tcPr>
            <w:tcW w:w="9097" w:type="dxa"/>
            <w:gridSpan w:val="4"/>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b/>
                <w:sz w:val="24"/>
                <w:highlight w:val="none"/>
              </w:rPr>
              <w:t>改善落实情况及其他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sz w:val="24"/>
                <w:highlight w:val="none"/>
              </w:rPr>
            </w:pPr>
            <w:r>
              <w:rPr>
                <w:rFonts w:hint="eastAsia" w:ascii="仿宋" w:hAnsi="仿宋" w:eastAsia="仿宋" w:cs="仿宋"/>
                <w:sz w:val="24"/>
                <w:highlight w:val="none"/>
              </w:rPr>
              <w:t>801</w:t>
            </w:r>
          </w:p>
        </w:tc>
        <w:tc>
          <w:tcPr>
            <w:tcW w:w="6543"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left"/>
              <w:rPr>
                <w:rFonts w:ascii="仿宋" w:hAnsi="仿宋" w:eastAsia="仿宋" w:cs="仿宋"/>
                <w:sz w:val="24"/>
                <w:highlight w:val="none"/>
              </w:rPr>
            </w:pPr>
            <w:r>
              <w:rPr>
                <w:rFonts w:hint="eastAsia" w:ascii="仿宋" w:hAnsi="仿宋" w:eastAsia="仿宋" w:cs="仿宋"/>
                <w:sz w:val="24"/>
                <w:highlight w:val="none"/>
              </w:rPr>
              <w:t>在近三个月内投诉情况类同、相同工作中存在不良现象的，经查属实的（每发生一次扣5分）</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186" w:type="dxa"/>
            <w:gridSpan w:val="2"/>
            <w:tcBorders>
              <w:top w:val="single" w:color="auto" w:sz="4" w:space="0"/>
              <w:left w:val="single" w:color="auto" w:sz="4" w:space="0"/>
              <w:bottom w:val="single" w:color="auto" w:sz="4" w:space="0"/>
              <w:right w:val="single" w:color="auto" w:sz="4" w:space="0"/>
            </w:tcBorders>
            <w:vAlign w:val="center"/>
          </w:tcPr>
          <w:p>
            <w:pPr>
              <w:widowControl/>
              <w:spacing w:after="200" w:line="360" w:lineRule="auto"/>
              <w:jc w:val="center"/>
              <w:rPr>
                <w:rFonts w:ascii="仿宋" w:hAnsi="仿宋" w:eastAsia="仿宋" w:cs="仿宋"/>
                <w:b/>
                <w:sz w:val="24"/>
                <w:highlight w:val="none"/>
              </w:rPr>
            </w:pPr>
            <w:r>
              <w:rPr>
                <w:rFonts w:hint="eastAsia" w:ascii="仿宋" w:hAnsi="仿宋" w:eastAsia="仿宋" w:cs="仿宋"/>
                <w:b/>
                <w:sz w:val="24"/>
                <w:highlight w:val="none"/>
              </w:rPr>
              <w:t>合计:</w:t>
            </w:r>
          </w:p>
        </w:tc>
        <w:tc>
          <w:tcPr>
            <w:tcW w:w="752"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hint="eastAsia"/>
                <w:highlight w:val="none"/>
              </w:rPr>
            </w:pPr>
            <w:r>
              <w:rPr>
                <w:rFonts w:hint="eastAsia"/>
                <w:highlight w:val="none"/>
                <w:lang w:val="en-US" w:eastAsia="zh-CN"/>
              </w:rPr>
              <w:t>甲方考核组意见</w:t>
            </w:r>
            <w:r>
              <w:rPr>
                <w:rFonts w:hint="eastAsia"/>
                <w:highlight w:val="none"/>
              </w:rPr>
              <w:t>：</w:t>
            </w:r>
          </w:p>
          <w:p>
            <w:pPr>
              <w:pStyle w:val="2"/>
              <w:rPr>
                <w:rFonts w:hint="eastAsia"/>
                <w:highlight w:val="none"/>
              </w:rPr>
            </w:pPr>
          </w:p>
          <w:p>
            <w:pPr>
              <w:pStyle w:val="3"/>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签字：</w:t>
            </w:r>
          </w:p>
          <w:p>
            <w:pPr>
              <w:pStyle w:val="3"/>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740" w:type="dxa"/>
            <w:gridSpan w:val="5"/>
            <w:tcBorders>
              <w:top w:val="single" w:color="auto" w:sz="4" w:space="0"/>
              <w:left w:val="single" w:color="auto" w:sz="4" w:space="0"/>
              <w:bottom w:val="single" w:color="auto" w:sz="4" w:space="0"/>
              <w:right w:val="single" w:color="auto" w:sz="4" w:space="0"/>
            </w:tcBorders>
            <w:vAlign w:val="center"/>
          </w:tcPr>
          <w:p>
            <w:pPr>
              <w:widowControl/>
              <w:spacing w:after="200" w:line="360" w:lineRule="auto"/>
              <w:rPr>
                <w:rFonts w:hint="eastAsia"/>
                <w:highlight w:val="none"/>
              </w:rPr>
            </w:pPr>
            <w:r>
              <w:rPr>
                <w:rFonts w:hint="eastAsia"/>
                <w:highlight w:val="none"/>
                <w:lang w:val="en-US" w:eastAsia="zh-CN"/>
              </w:rPr>
              <w:t>被</w:t>
            </w:r>
            <w:r>
              <w:rPr>
                <w:rFonts w:hint="eastAsia"/>
                <w:highlight w:val="none"/>
              </w:rPr>
              <w:t>考核单位</w:t>
            </w:r>
            <w:r>
              <w:rPr>
                <w:rFonts w:hint="eastAsia"/>
                <w:highlight w:val="none"/>
                <w:lang w:eastAsia="zh-CN"/>
              </w:rPr>
              <w:t>（</w:t>
            </w:r>
            <w:r>
              <w:rPr>
                <w:rFonts w:hint="eastAsia"/>
                <w:highlight w:val="none"/>
                <w:lang w:val="en-US" w:eastAsia="zh-CN"/>
              </w:rPr>
              <w:t>乙方</w:t>
            </w:r>
            <w:r>
              <w:rPr>
                <w:rFonts w:hint="eastAsia"/>
                <w:highlight w:val="none"/>
                <w:lang w:eastAsia="zh-CN"/>
              </w:rPr>
              <w:t>）</w:t>
            </w:r>
            <w:r>
              <w:rPr>
                <w:rFonts w:hint="eastAsia"/>
                <w:highlight w:val="none"/>
                <w:lang w:val="en-US" w:eastAsia="zh-CN"/>
              </w:rPr>
              <w:t>意见</w:t>
            </w:r>
            <w:r>
              <w:rPr>
                <w:rFonts w:hint="eastAsia"/>
                <w:highlight w:val="none"/>
              </w:rPr>
              <w:t>：</w:t>
            </w:r>
          </w:p>
          <w:p>
            <w:pPr>
              <w:pStyle w:val="3"/>
              <w:rPr>
                <w:rFonts w:hint="eastAsia" w:ascii="仿宋" w:hAnsi="仿宋" w:eastAsia="仿宋" w:cs="仿宋"/>
                <w:sz w:val="24"/>
                <w:highlight w:val="none"/>
              </w:rPr>
            </w:pPr>
          </w:p>
          <w:p>
            <w:pPr>
              <w:widowControl/>
              <w:spacing w:after="200" w:line="360" w:lineRule="auto"/>
              <w:rPr>
                <w:rFonts w:ascii="仿宋" w:hAnsi="仿宋" w:eastAsia="仿宋" w:cs="仿宋"/>
                <w:sz w:val="24"/>
                <w:highlight w:val="none"/>
              </w:rPr>
            </w:pPr>
            <w:r>
              <w:rPr>
                <w:rFonts w:hint="eastAsia" w:ascii="仿宋" w:hAnsi="仿宋" w:eastAsia="仿宋" w:cs="仿宋"/>
                <w:sz w:val="24"/>
                <w:highlight w:val="none"/>
                <w:lang w:val="en-US" w:eastAsia="zh-CN"/>
              </w:rPr>
              <w:t>签字：</w:t>
            </w:r>
          </w:p>
        </w:tc>
      </w:tr>
    </w:tbl>
    <w:p>
      <w:pPr>
        <w:widowControl/>
        <w:rPr>
          <w:rFonts w:hAnsi="宋体"/>
          <w:b/>
          <w:highlight w:val="none"/>
        </w:rPr>
      </w:pPr>
    </w:p>
    <w:p>
      <w:pPr>
        <w:pStyle w:val="2"/>
        <w:rPr>
          <w:highlight w:val="none"/>
        </w:rPr>
      </w:pPr>
    </w:p>
    <w:p>
      <w:pPr>
        <w:spacing w:beforeLines="100" w:afterLines="100" w:line="480" w:lineRule="exact"/>
        <w:ind w:firstLine="562" w:firstLineChars="200"/>
        <w:outlineLvl w:val="1"/>
        <w:rPr>
          <w:rFonts w:ascii="仿宋" w:hAnsi="仿宋" w:eastAsia="仿宋" w:cs="仿宋"/>
          <w:strike/>
          <w:sz w:val="24"/>
          <w:highlight w:val="none"/>
        </w:rPr>
      </w:pPr>
      <w:bookmarkStart w:id="24" w:name="_Toc24659"/>
      <w:r>
        <w:rPr>
          <w:rFonts w:hint="eastAsia" w:ascii="黑体" w:hAnsi="黑体" w:eastAsia="黑体" w:cs="黑体"/>
          <w:b/>
          <w:bCs/>
          <w:sz w:val="28"/>
          <w:szCs w:val="28"/>
          <w:highlight w:val="none"/>
          <w:lang w:val="zh-CN"/>
        </w:rPr>
        <w:t>（七）报价要求</w:t>
      </w:r>
    </w:p>
    <w:p>
      <w:pPr>
        <w:pStyle w:val="160"/>
        <w:tabs>
          <w:tab w:val="left" w:pos="714"/>
          <w:tab w:val="left" w:pos="2340"/>
        </w:tabs>
        <w:spacing w:line="360" w:lineRule="auto"/>
        <w:ind w:left="105" w:firstLine="480"/>
        <w:rPr>
          <w:rFonts w:ascii="仿宋" w:hAnsi="仿宋" w:eastAsia="仿宋" w:cs="仿宋"/>
          <w:kern w:val="2"/>
          <w:sz w:val="24"/>
          <w:szCs w:val="24"/>
          <w:highlight w:val="none"/>
        </w:rPr>
      </w:pPr>
      <w:r>
        <w:rPr>
          <w:rFonts w:hint="eastAsia" w:ascii="仿宋" w:hAnsi="仿宋" w:eastAsia="仿宋" w:cs="仿宋"/>
          <w:kern w:val="2"/>
          <w:sz w:val="24"/>
          <w:szCs w:val="24"/>
          <w:highlight w:val="none"/>
        </w:rPr>
        <w:t>供应商根据远洋调查船组和500吨以上近海调查船组的各职务要求，每个职务按每人每月标准进行报价，并结合实际管理成本报管理费系数</w:t>
      </w:r>
    </w:p>
    <w:tbl>
      <w:tblPr>
        <w:tblStyle w:val="50"/>
        <w:tblW w:w="9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300"/>
        <w:gridCol w:w="840"/>
        <w:gridCol w:w="1091"/>
        <w:gridCol w:w="1960"/>
        <w:gridCol w:w="598"/>
        <w:gridCol w:w="1138"/>
        <w:gridCol w:w="1278"/>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40" w:type="dxa"/>
            <w:gridSpan w:val="9"/>
            <w:vAlign w:val="center"/>
          </w:tcPr>
          <w:p>
            <w:pPr>
              <w:pStyle w:val="3"/>
              <w:jc w:val="center"/>
              <w:rPr>
                <w:b/>
                <w:bCs/>
                <w:highlight w:val="none"/>
              </w:rPr>
            </w:pPr>
            <w:r>
              <w:rPr>
                <w:rFonts w:hint="eastAsia"/>
                <w:b/>
                <w:bCs/>
                <w:highlight w:val="none"/>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40" w:type="dxa"/>
            <w:gridSpan w:val="9"/>
            <w:vAlign w:val="center"/>
          </w:tcPr>
          <w:p>
            <w:pPr>
              <w:pStyle w:val="3"/>
              <w:rPr>
                <w:b/>
                <w:bCs/>
                <w:highlight w:val="none"/>
              </w:rPr>
            </w:pPr>
            <w:r>
              <w:rPr>
                <w:rFonts w:hint="eastAsia"/>
                <w:b/>
                <w:bCs/>
                <w:highlight w:val="none"/>
              </w:rPr>
              <w:t>一、船员成本费用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788" w:type="dxa"/>
            <w:gridSpan w:val="5"/>
            <w:vAlign w:val="center"/>
          </w:tcPr>
          <w:p>
            <w:pPr>
              <w:pStyle w:val="3"/>
              <w:jc w:val="center"/>
              <w:rPr>
                <w:b/>
                <w:bCs/>
                <w:highlight w:val="none"/>
              </w:rPr>
            </w:pPr>
            <w:r>
              <w:rPr>
                <w:rFonts w:hint="eastAsia"/>
                <w:b/>
                <w:bCs/>
                <w:highlight w:val="none"/>
              </w:rPr>
              <w:t>远洋调查船组</w:t>
            </w:r>
          </w:p>
        </w:tc>
        <w:tc>
          <w:tcPr>
            <w:tcW w:w="4952" w:type="dxa"/>
            <w:gridSpan w:val="4"/>
            <w:vAlign w:val="center"/>
          </w:tcPr>
          <w:p>
            <w:pPr>
              <w:pStyle w:val="3"/>
              <w:jc w:val="center"/>
              <w:rPr>
                <w:b/>
                <w:bCs/>
                <w:highlight w:val="none"/>
              </w:rPr>
            </w:pPr>
            <w:r>
              <w:rPr>
                <w:rFonts w:hint="eastAsia"/>
                <w:b/>
                <w:bCs/>
                <w:highlight w:val="none"/>
              </w:rPr>
              <w:t>500吨级以上调查船组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97" w:type="dxa"/>
            <w:vAlign w:val="center"/>
          </w:tcPr>
          <w:p>
            <w:pPr>
              <w:pStyle w:val="3"/>
              <w:jc w:val="center"/>
              <w:rPr>
                <w:b/>
                <w:bCs/>
                <w:highlight w:val="none"/>
              </w:rPr>
            </w:pPr>
            <w:r>
              <w:rPr>
                <w:rFonts w:hint="eastAsia"/>
                <w:b/>
                <w:bCs/>
                <w:highlight w:val="none"/>
              </w:rPr>
              <w:t>序号</w:t>
            </w:r>
          </w:p>
        </w:tc>
        <w:tc>
          <w:tcPr>
            <w:tcW w:w="1140" w:type="dxa"/>
            <w:gridSpan w:val="2"/>
            <w:vAlign w:val="center"/>
          </w:tcPr>
          <w:p>
            <w:pPr>
              <w:pStyle w:val="3"/>
              <w:jc w:val="center"/>
              <w:rPr>
                <w:b/>
                <w:bCs/>
                <w:highlight w:val="none"/>
              </w:rPr>
            </w:pPr>
            <w:r>
              <w:rPr>
                <w:rFonts w:hint="eastAsia"/>
                <w:b/>
                <w:bCs/>
                <w:highlight w:val="none"/>
              </w:rPr>
              <w:t>职务</w:t>
            </w:r>
          </w:p>
        </w:tc>
        <w:tc>
          <w:tcPr>
            <w:tcW w:w="1091" w:type="dxa"/>
            <w:vAlign w:val="center"/>
          </w:tcPr>
          <w:p>
            <w:pPr>
              <w:pStyle w:val="3"/>
              <w:jc w:val="center"/>
              <w:rPr>
                <w:b/>
                <w:bCs/>
                <w:highlight w:val="none"/>
              </w:rPr>
            </w:pPr>
            <w:r>
              <w:rPr>
                <w:rFonts w:hint="eastAsia"/>
                <w:b/>
                <w:bCs/>
                <w:highlight w:val="none"/>
              </w:rPr>
              <w:t>每船配员标准</w:t>
            </w:r>
          </w:p>
          <w:p>
            <w:pPr>
              <w:pStyle w:val="3"/>
              <w:jc w:val="center"/>
              <w:rPr>
                <w:b/>
                <w:bCs/>
                <w:highlight w:val="none"/>
              </w:rPr>
            </w:pPr>
            <w:r>
              <w:rPr>
                <w:rFonts w:hint="eastAsia"/>
                <w:b/>
                <w:bCs/>
                <w:highlight w:val="none"/>
              </w:rPr>
              <w:t>（人）</w:t>
            </w:r>
          </w:p>
        </w:tc>
        <w:tc>
          <w:tcPr>
            <w:tcW w:w="1960"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c>
          <w:tcPr>
            <w:tcW w:w="598" w:type="dxa"/>
            <w:vAlign w:val="center"/>
          </w:tcPr>
          <w:p>
            <w:pPr>
              <w:pStyle w:val="3"/>
              <w:jc w:val="center"/>
              <w:rPr>
                <w:b/>
                <w:bCs/>
                <w:highlight w:val="none"/>
              </w:rPr>
            </w:pPr>
            <w:r>
              <w:rPr>
                <w:rFonts w:hint="eastAsia"/>
                <w:b/>
                <w:bCs/>
                <w:highlight w:val="none"/>
              </w:rPr>
              <w:t>序号</w:t>
            </w:r>
          </w:p>
        </w:tc>
        <w:tc>
          <w:tcPr>
            <w:tcW w:w="1138" w:type="dxa"/>
            <w:vAlign w:val="center"/>
          </w:tcPr>
          <w:p>
            <w:pPr>
              <w:pStyle w:val="3"/>
              <w:jc w:val="center"/>
              <w:rPr>
                <w:b/>
                <w:bCs/>
                <w:highlight w:val="none"/>
              </w:rPr>
            </w:pPr>
            <w:r>
              <w:rPr>
                <w:rFonts w:hint="eastAsia"/>
                <w:b/>
                <w:bCs/>
                <w:highlight w:val="none"/>
              </w:rPr>
              <w:t>职务</w:t>
            </w:r>
          </w:p>
        </w:tc>
        <w:tc>
          <w:tcPr>
            <w:tcW w:w="1278" w:type="dxa"/>
            <w:vAlign w:val="center"/>
          </w:tcPr>
          <w:p>
            <w:pPr>
              <w:pStyle w:val="3"/>
              <w:jc w:val="center"/>
              <w:rPr>
                <w:b/>
                <w:bCs/>
                <w:highlight w:val="none"/>
              </w:rPr>
            </w:pPr>
            <w:r>
              <w:rPr>
                <w:rFonts w:hint="eastAsia"/>
                <w:b/>
                <w:bCs/>
                <w:highlight w:val="none"/>
              </w:rPr>
              <w:t>每船配员标准（人）</w:t>
            </w:r>
          </w:p>
        </w:tc>
        <w:tc>
          <w:tcPr>
            <w:tcW w:w="1938"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电机员</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水手</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10</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水手长</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10</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机工</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11</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11</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大厨</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12</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机工长</w:t>
            </w:r>
          </w:p>
        </w:tc>
        <w:tc>
          <w:tcPr>
            <w:tcW w:w="1091" w:type="dxa"/>
            <w:vAlign w:val="center"/>
          </w:tcPr>
          <w:p>
            <w:pPr>
              <w:jc w:val="center"/>
              <w:rPr>
                <w:rFonts w:ascii="仿宋_GB2312" w:hAnsi="仿宋_GB2312" w:eastAsia="仿宋_GB2312" w:cs="仿宋_GB2312"/>
                <w:iCs/>
                <w:sz w:val="24"/>
                <w:highlight w:val="none"/>
              </w:rPr>
            </w:pPr>
            <w:r>
              <w:rPr>
                <w:rFonts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12</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厨工</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3</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960" w:type="dxa"/>
            <w:vAlign w:val="center"/>
          </w:tcPr>
          <w:p>
            <w:pPr>
              <w:jc w:val="center"/>
              <w:rPr>
                <w:rFonts w:ascii="仿宋_GB2312" w:hAnsi="仿宋_GB2312" w:eastAsia="仿宋_GB2312" w:cs="仿宋_GB2312"/>
                <w:iCs/>
                <w:sz w:val="24"/>
                <w:highlight w:val="none"/>
              </w:rPr>
            </w:pPr>
          </w:p>
        </w:tc>
        <w:tc>
          <w:tcPr>
            <w:tcW w:w="59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13</w:t>
            </w:r>
          </w:p>
        </w:tc>
        <w:tc>
          <w:tcPr>
            <w:tcW w:w="113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服务员</w:t>
            </w:r>
          </w:p>
        </w:tc>
        <w:tc>
          <w:tcPr>
            <w:tcW w:w="127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4</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船医</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4952" w:type="dxa"/>
            <w:gridSpan w:val="4"/>
            <w:vMerge w:val="restart"/>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5</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大厨</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0" w:type="dxa"/>
            <w:vAlign w:val="center"/>
          </w:tcPr>
          <w:p>
            <w:pPr>
              <w:jc w:val="center"/>
              <w:rPr>
                <w:rFonts w:ascii="仿宋_GB2312" w:hAnsi="仿宋_GB2312" w:eastAsia="仿宋_GB2312" w:cs="仿宋_GB2312"/>
                <w:iCs/>
                <w:sz w:val="24"/>
                <w:highlight w:val="none"/>
              </w:rPr>
            </w:pPr>
          </w:p>
        </w:tc>
        <w:tc>
          <w:tcPr>
            <w:tcW w:w="4952" w:type="dxa"/>
            <w:gridSpan w:val="4"/>
            <w:vMerge w:val="continue"/>
            <w:tcBorders>
              <w:tl2br w:val="single" w:color="auto" w:sz="4" w:space="0"/>
            </w:tcBorders>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6</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厨工</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960" w:type="dxa"/>
            <w:vAlign w:val="center"/>
          </w:tcPr>
          <w:p>
            <w:pPr>
              <w:jc w:val="center"/>
              <w:rPr>
                <w:rFonts w:ascii="仿宋_GB2312" w:hAnsi="仿宋_GB2312" w:eastAsia="仿宋_GB2312" w:cs="仿宋_GB2312"/>
                <w:iCs/>
                <w:sz w:val="24"/>
                <w:highlight w:val="none"/>
              </w:rPr>
            </w:pPr>
          </w:p>
        </w:tc>
        <w:tc>
          <w:tcPr>
            <w:tcW w:w="4952"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7"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7</w:t>
            </w:r>
          </w:p>
        </w:tc>
        <w:tc>
          <w:tcPr>
            <w:tcW w:w="1140"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服务员</w:t>
            </w:r>
          </w:p>
        </w:tc>
        <w:tc>
          <w:tcPr>
            <w:tcW w:w="109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960" w:type="dxa"/>
            <w:vAlign w:val="center"/>
          </w:tcPr>
          <w:p>
            <w:pPr>
              <w:jc w:val="center"/>
              <w:rPr>
                <w:rFonts w:ascii="仿宋_GB2312" w:hAnsi="仿宋_GB2312" w:eastAsia="仿宋_GB2312" w:cs="仿宋_GB2312"/>
                <w:iCs/>
                <w:sz w:val="24"/>
                <w:highlight w:val="none"/>
              </w:rPr>
            </w:pPr>
          </w:p>
        </w:tc>
        <w:tc>
          <w:tcPr>
            <w:tcW w:w="4952"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7" w:type="dxa"/>
            <w:gridSpan w:val="3"/>
            <w:vAlign w:val="center"/>
          </w:tcPr>
          <w:p>
            <w:pPr>
              <w:jc w:val="center"/>
              <w:rPr>
                <w:rFonts w:ascii="仿宋_GB2312" w:hAnsi="仿宋_GB2312" w:eastAsia="仿宋_GB2312" w:cs="仿宋_GB2312"/>
                <w:iCs/>
                <w:szCs w:val="21"/>
                <w:highlight w:val="none"/>
              </w:rPr>
            </w:pPr>
            <w:r>
              <w:rPr>
                <w:rFonts w:hint="eastAsia" w:ascii="仿宋_GB2312" w:hAnsi="仿宋_GB2312" w:eastAsia="仿宋_GB2312" w:cs="仿宋_GB2312"/>
                <w:iCs/>
                <w:szCs w:val="21"/>
                <w:highlight w:val="none"/>
              </w:rPr>
              <w:t>小计</w:t>
            </w:r>
          </w:p>
        </w:tc>
        <w:tc>
          <w:tcPr>
            <w:tcW w:w="1091" w:type="dxa"/>
            <w:vAlign w:val="center"/>
          </w:tcPr>
          <w:p>
            <w:pPr>
              <w:jc w:val="center"/>
              <w:rPr>
                <w:rFonts w:ascii="仿宋_GB2312" w:hAnsi="仿宋_GB2312" w:eastAsia="仿宋_GB2312" w:cs="仿宋_GB2312"/>
                <w:iCs/>
                <w:sz w:val="24"/>
                <w:highlight w:val="none"/>
              </w:rPr>
            </w:pPr>
          </w:p>
        </w:tc>
        <w:tc>
          <w:tcPr>
            <w:tcW w:w="1960" w:type="dxa"/>
            <w:vAlign w:val="center"/>
          </w:tcPr>
          <w:p>
            <w:pPr>
              <w:jc w:val="center"/>
              <w:rPr>
                <w:rFonts w:ascii="仿宋_GB2312" w:hAnsi="仿宋_GB2312" w:eastAsia="仿宋_GB2312" w:cs="仿宋_GB2312"/>
                <w:iCs/>
                <w:sz w:val="24"/>
                <w:highlight w:val="none"/>
              </w:rPr>
            </w:pPr>
          </w:p>
        </w:tc>
        <w:tc>
          <w:tcPr>
            <w:tcW w:w="173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小计</w:t>
            </w:r>
          </w:p>
        </w:tc>
        <w:tc>
          <w:tcPr>
            <w:tcW w:w="1278" w:type="dxa"/>
            <w:vAlign w:val="center"/>
          </w:tcPr>
          <w:p>
            <w:pPr>
              <w:jc w:val="center"/>
              <w:rPr>
                <w:rFonts w:ascii="仿宋_GB2312" w:hAnsi="仿宋_GB2312" w:eastAsia="仿宋_GB2312" w:cs="仿宋_GB2312"/>
                <w:iCs/>
                <w:sz w:val="24"/>
                <w:highlight w:val="none"/>
              </w:rPr>
            </w:pPr>
          </w:p>
        </w:tc>
        <w:tc>
          <w:tcPr>
            <w:tcW w:w="1938"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28" w:type="dxa"/>
            <w:gridSpan w:val="4"/>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合计</w:t>
            </w:r>
          </w:p>
        </w:tc>
        <w:tc>
          <w:tcPr>
            <w:tcW w:w="6912" w:type="dxa"/>
            <w:gridSpan w:val="5"/>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40" w:type="dxa"/>
            <w:gridSpan w:val="9"/>
            <w:vAlign w:val="center"/>
          </w:tcPr>
          <w:p>
            <w:pPr>
              <w:rPr>
                <w:rFonts w:ascii="仿宋_GB2312" w:hAnsi="仿宋_GB2312" w:eastAsia="仿宋_GB2312" w:cs="仿宋_GB2312"/>
                <w:iCs/>
                <w:sz w:val="24"/>
                <w:highlight w:val="none"/>
              </w:rPr>
            </w:pPr>
            <w:r>
              <w:rPr>
                <w:rFonts w:hint="eastAsia" w:ascii="仿宋" w:hAnsi="仿宋" w:eastAsia="仿宋" w:cs="仿宋"/>
                <w:b/>
                <w:sz w:val="24"/>
                <w:highlight w:val="none"/>
              </w:rPr>
              <w:t>二、管理费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788" w:type="dxa"/>
            <w:gridSpan w:val="5"/>
            <w:vAlign w:val="center"/>
          </w:tcPr>
          <w:p>
            <w:pPr>
              <w:jc w:val="center"/>
              <w:rPr>
                <w:rFonts w:ascii="仿宋_GB2312" w:hAnsi="仿宋_GB2312" w:eastAsia="仿宋_GB2312" w:cs="仿宋_GB2312"/>
                <w:iCs/>
                <w:sz w:val="24"/>
                <w:highlight w:val="none"/>
              </w:rPr>
            </w:pPr>
            <w:r>
              <w:rPr>
                <w:rFonts w:hint="eastAsia" w:ascii="仿宋" w:hAnsi="仿宋" w:eastAsia="仿宋" w:cs="仿宋"/>
                <w:b/>
                <w:sz w:val="24"/>
                <w:highlight w:val="none"/>
              </w:rPr>
              <w:t>管理费系数（%）</w:t>
            </w:r>
          </w:p>
        </w:tc>
        <w:tc>
          <w:tcPr>
            <w:tcW w:w="4952" w:type="dxa"/>
            <w:gridSpan w:val="4"/>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gridSpan w:val="2"/>
            <w:vAlign w:val="center"/>
          </w:tcPr>
          <w:p>
            <w:pPr>
              <w:spacing w:line="240" w:lineRule="atLeast"/>
              <w:jc w:val="center"/>
              <w:rPr>
                <w:rFonts w:ascii="仿宋_GB2312" w:hAnsi="仿宋_GB2312" w:eastAsia="仿宋_GB2312" w:cs="仿宋_GB2312"/>
                <w:iCs/>
                <w:sz w:val="24"/>
                <w:highlight w:val="none"/>
              </w:rPr>
            </w:pPr>
            <w:r>
              <w:rPr>
                <w:rFonts w:hint="eastAsia" w:ascii="仿宋" w:hAnsi="仿宋" w:eastAsia="仿宋" w:cs="仿宋"/>
                <w:b/>
                <w:sz w:val="24"/>
                <w:highlight w:val="none"/>
              </w:rPr>
              <w:t>说明</w:t>
            </w:r>
          </w:p>
        </w:tc>
        <w:tc>
          <w:tcPr>
            <w:tcW w:w="8843" w:type="dxa"/>
            <w:gridSpan w:val="7"/>
            <w:vAlign w:val="center"/>
          </w:tcPr>
          <w:p>
            <w:pPr>
              <w:numPr>
                <w:ilvl w:val="0"/>
                <w:numId w:val="17"/>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rPr>
              <w:t>本项目管理费报价不能高于实际发生船员成本费用总额的15%。</w:t>
            </w:r>
          </w:p>
          <w:p>
            <w:pPr>
              <w:numPr>
                <w:ilvl w:val="0"/>
                <w:numId w:val="17"/>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rPr>
              <w:t>管理费=实际发生的船员成本费用×管理费</w:t>
            </w:r>
            <w:r>
              <w:rPr>
                <w:rFonts w:hint="eastAsia" w:ascii="仿宋" w:hAnsi="仿宋" w:eastAsia="仿宋" w:cs="仿宋"/>
                <w:b/>
                <w:sz w:val="24"/>
                <w:highlight w:val="none"/>
              </w:rPr>
              <w:t>系数</w:t>
            </w:r>
            <w:r>
              <w:rPr>
                <w:rFonts w:hint="eastAsia" w:ascii="仿宋" w:hAnsi="仿宋" w:eastAsia="仿宋" w:cs="仿宋"/>
                <w:b/>
                <w:bCs/>
                <w:sz w:val="24"/>
                <w:highlight w:val="none"/>
              </w:rPr>
              <w:t>。</w:t>
            </w:r>
          </w:p>
          <w:p>
            <w:pPr>
              <w:numPr>
                <w:ilvl w:val="0"/>
                <w:numId w:val="17"/>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rPr>
              <w:t>本项目报价以船员成本费用单项报价及管理费</w:t>
            </w:r>
            <w:r>
              <w:rPr>
                <w:rFonts w:hint="eastAsia" w:ascii="仿宋" w:hAnsi="仿宋" w:eastAsia="仿宋" w:cs="仿宋"/>
                <w:b/>
                <w:sz w:val="24"/>
                <w:highlight w:val="none"/>
              </w:rPr>
              <w:t>系数</w:t>
            </w:r>
            <w:r>
              <w:rPr>
                <w:rFonts w:hint="eastAsia" w:ascii="仿宋" w:hAnsi="仿宋" w:eastAsia="仿宋" w:cs="仿宋"/>
                <w:b/>
                <w:bCs/>
                <w:sz w:val="24"/>
                <w:highlight w:val="none"/>
              </w:rPr>
              <w:t>计算为准，即本项目为单价包干项目。</w:t>
            </w:r>
          </w:p>
          <w:p>
            <w:pPr>
              <w:numPr>
                <w:ilvl w:val="0"/>
                <w:numId w:val="17"/>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rPr>
              <w:t>本项目执行总金额最高不超过最高限价，即人民币1623.97万元。</w:t>
            </w:r>
          </w:p>
          <w:p>
            <w:pPr>
              <w:numPr>
                <w:ilvl w:val="0"/>
                <w:numId w:val="17"/>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rPr>
              <w:t>本项目执行金额达到最高限价时，合同自动终止；或本项目执行时间到2023年12月31日时，无论执行金额是否达到最高限价，合同均自动终止。</w:t>
            </w:r>
          </w:p>
        </w:tc>
      </w:tr>
    </w:tbl>
    <w:p>
      <w:pPr>
        <w:pStyle w:val="160"/>
        <w:tabs>
          <w:tab w:val="left" w:pos="714"/>
          <w:tab w:val="left" w:pos="2340"/>
        </w:tabs>
        <w:spacing w:line="360" w:lineRule="auto"/>
        <w:rPr>
          <w:rFonts w:ascii="仿宋" w:hAnsi="仿宋" w:eastAsia="仿宋" w:cs="仿宋"/>
          <w:kern w:val="2"/>
          <w:sz w:val="24"/>
          <w:szCs w:val="24"/>
          <w:highlight w:val="none"/>
        </w:rPr>
      </w:pPr>
    </w:p>
    <w:p>
      <w:pPr>
        <w:pStyle w:val="2"/>
        <w:rPr>
          <w:highlight w:val="none"/>
        </w:rPr>
      </w:pPr>
    </w:p>
    <w:p>
      <w:pPr>
        <w:spacing w:beforeLines="100" w:afterLines="100" w:line="480" w:lineRule="exact"/>
        <w:ind w:firstLine="562" w:firstLineChars="200"/>
        <w:outlineLvl w:val="1"/>
        <w:rPr>
          <w:rFonts w:ascii="黑体" w:hAnsi="黑体" w:eastAsia="黑体" w:cs="黑体"/>
          <w:b/>
          <w:bCs/>
          <w:sz w:val="28"/>
          <w:szCs w:val="28"/>
          <w:highlight w:val="none"/>
          <w:lang w:val="zh-CN"/>
        </w:rPr>
      </w:pPr>
      <w:r>
        <w:rPr>
          <w:rFonts w:hint="eastAsia" w:ascii="黑体" w:hAnsi="黑体" w:eastAsia="黑体" w:cs="黑体"/>
          <w:b/>
          <w:bCs/>
          <w:sz w:val="28"/>
          <w:szCs w:val="28"/>
          <w:highlight w:val="none"/>
          <w:lang w:val="zh-CN"/>
        </w:rPr>
        <w:t>（</w:t>
      </w:r>
      <w:r>
        <w:rPr>
          <w:rFonts w:hint="eastAsia" w:ascii="黑体" w:hAnsi="黑体" w:eastAsia="黑体" w:cs="黑体"/>
          <w:b/>
          <w:bCs/>
          <w:sz w:val="28"/>
          <w:szCs w:val="28"/>
          <w:highlight w:val="none"/>
        </w:rPr>
        <w:t>八）</w:t>
      </w:r>
      <w:r>
        <w:rPr>
          <w:rFonts w:hint="eastAsia" w:ascii="黑体" w:hAnsi="黑体" w:eastAsia="黑体" w:cs="黑体"/>
          <w:b/>
          <w:bCs/>
          <w:sz w:val="28"/>
          <w:szCs w:val="28"/>
          <w:highlight w:val="none"/>
          <w:lang w:val="zh-CN"/>
        </w:rPr>
        <w:t>商务</w:t>
      </w:r>
      <w:r>
        <w:rPr>
          <w:rFonts w:hint="eastAsia" w:ascii="黑体" w:hAnsi="黑体" w:eastAsia="黑体" w:cs="黑体"/>
          <w:b/>
          <w:bCs/>
          <w:sz w:val="28"/>
          <w:szCs w:val="28"/>
          <w:highlight w:val="none"/>
        </w:rPr>
        <w:t>要求</w:t>
      </w:r>
    </w:p>
    <w:p>
      <w:pPr>
        <w:tabs>
          <w:tab w:val="left" w:pos="709"/>
        </w:tabs>
        <w:spacing w:beforeLines="50" w:afterLines="50" w:line="360" w:lineRule="auto"/>
        <w:outlineLvl w:val="2"/>
        <w:rPr>
          <w:rFonts w:ascii="仿宋" w:hAnsi="仿宋" w:eastAsia="仿宋" w:cs="仿宋"/>
          <w:b/>
          <w:bCs/>
          <w:sz w:val="28"/>
          <w:szCs w:val="28"/>
          <w:highlight w:val="none"/>
          <w:lang w:val="zh-CN"/>
        </w:rPr>
      </w:pPr>
      <w:r>
        <w:rPr>
          <w:rFonts w:hint="eastAsia" w:ascii="仿宋" w:hAnsi="仿宋" w:eastAsia="仿宋" w:cs="仿宋"/>
          <w:b/>
          <w:bCs/>
          <w:sz w:val="28"/>
          <w:szCs w:val="28"/>
          <w:highlight w:val="none"/>
        </w:rPr>
        <w:t>1.</w:t>
      </w:r>
      <w:r>
        <w:rPr>
          <w:rFonts w:hint="eastAsia" w:ascii="仿宋" w:hAnsi="仿宋" w:eastAsia="仿宋" w:cs="仿宋"/>
          <w:b/>
          <w:bCs/>
          <w:sz w:val="28"/>
          <w:szCs w:val="28"/>
          <w:highlight w:val="none"/>
          <w:lang w:val="zh-CN"/>
        </w:rPr>
        <w:t>其他要求</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1.1 中标人应提供所有员工的个人档案资料，经采购人确认后上岗。</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1.2 服务期内发生各种事故：包括安全、交通、防火和劳资纠纷等事件均由中标人承担相应责任。</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1.3 如因中标人引起的劳资纠纷问题，影响正常工作的，采购人有权另行聘请人员确保正常工作，所产生的费用由中标人承担。</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1.4 如采购人对中标人提供的人员不满意要求更换时，中标人必须及时且无条件的为采购人更换合格的人员。</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1.5 服务期内，采购人对中标人的工作质量、履约情况、社保购买情况、工作配合度等进行综合考核，并作为中标人履约合同的重要依据，该依据和合同具有同等法律效力。</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1.6 船员的工作由中标人按照采购人的要求进行分配、管理，对船员的奖惩、撤换或辞退等须经采购人同意认可。</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1.7 采购人有根据自身需要变更服务需求及数量的权利，如因国务院、部委或地方政府的政策调整、机构改革、采购人上级管理单位的规定或要求发生变化、管理权限变更和管理模式发生变化以及其他不可抗力因素导致采购人无法继续与中标人进行合作或合作范围及内容有所变化，或是其它任何原因导致采购人的船员服务需求（总人数或任何岗位人数）发生变化，经采购人书面通知中标人，则双方的合作按照采购人的书面通知做相应调整或提前终止（解除）合同，中标人对此无异议，不存在采购人违约及费用赔偿等问题。</w:t>
      </w:r>
    </w:p>
    <w:p>
      <w:pPr>
        <w:tabs>
          <w:tab w:val="left" w:pos="709"/>
        </w:tabs>
        <w:spacing w:beforeLines="50" w:afterLines="50" w:line="360" w:lineRule="auto"/>
        <w:outlineLvl w:val="2"/>
        <w:rPr>
          <w:rFonts w:ascii="仿宋" w:hAnsi="仿宋" w:eastAsia="仿宋" w:cs="仿宋"/>
          <w:b/>
          <w:bCs/>
          <w:sz w:val="28"/>
          <w:szCs w:val="28"/>
          <w:highlight w:val="none"/>
          <w:lang w:val="zh-CN"/>
        </w:rPr>
      </w:pP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lang w:val="zh-CN"/>
        </w:rPr>
        <w:t>违约责任</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2.1  中标人不得将承包项目发包或转包，否则，视为中标人违约，采购人有权解除合同并将相关情况上报同级政府采购监督管理部门和有关部门。</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2.2  中标人随意更换船员影响采购人工作的，视为中标人违约，采购人有权解除合同并将相关情况上报同级政府采购监督管理部门和有关部门。</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2.3 中标人不得拖欠其船员工资、不按规定为船员缴纳社会保险费用、住房公积金等有关薪酬，否则，视为中标人违约，采购人有权扣除相应管理费，且有权解除合同并将相关情况上报同级政府采购监督管理部门和有关部门。</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2.4  中标人没有依约为采购人船舶配备足量的适格船员以致影响采购人船舶的正常作业时，视为中标人违约，采购人有权扣除相应管理费，且有权解除合同并将相关情况上报同级政府采购监督管理部门和有关部门。</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2.5  由于中标人或中标人船员工作失误的原因，造成采购人的经济损失，所产生的损失及后果由中标人承担。</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2.6  服务期内，如采购人发生机构改革或财政拨款无法到位等政策原因造成费用不能及时支付时，中标人不追究采购人责任。</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2.7  中标人有义务告知船员须遵守本合同、本项目招标文件及投标文件中规定的船员要求，应教育船员遵守采购人的规章制度，中标人船员违反本合同、本项目招标文件及投标文件中规定的船员要求，违反采购人的规章制度，造成采购人经济损失的，视为中标人违约。</w:t>
      </w:r>
    </w:p>
    <w:p>
      <w:pPr>
        <w:tabs>
          <w:tab w:val="left" w:pos="709"/>
        </w:tabs>
        <w:spacing w:beforeLines="50" w:afterLines="50"/>
        <w:outlineLvl w:val="2"/>
        <w:rPr>
          <w:rFonts w:ascii="仿宋" w:hAnsi="仿宋" w:eastAsia="仿宋" w:cs="仿宋"/>
          <w:sz w:val="24"/>
          <w:highlight w:val="none"/>
        </w:rPr>
      </w:pPr>
      <w:r>
        <w:rPr>
          <w:rFonts w:hint="eastAsia" w:ascii="仿宋" w:hAnsi="仿宋" w:eastAsia="仿宋" w:cs="仿宋"/>
          <w:b/>
          <w:bCs/>
          <w:sz w:val="28"/>
          <w:szCs w:val="28"/>
          <w:highlight w:val="none"/>
        </w:rPr>
        <w:t>3.</w:t>
      </w:r>
      <w:r>
        <w:rPr>
          <w:rFonts w:hint="eastAsia" w:ascii="仿宋" w:hAnsi="仿宋" w:eastAsia="仿宋" w:cs="仿宋"/>
          <w:b/>
          <w:bCs/>
          <w:sz w:val="28"/>
          <w:szCs w:val="28"/>
          <w:highlight w:val="none"/>
          <w:lang w:val="zh-CN"/>
        </w:rPr>
        <w:t>付款方式</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3.1 结算票据：</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（1）中标人收取采购人的服务费用（含税费）应向采购人提供等额正式发票；</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（2）中标人发放的船员工资，应向采购人提供工资发放凭据；</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（3）中标人代扣的船员社保费、公积金以及其他费用，应向采购人提供代扣代缴存的凭据。</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3.2支付方式</w:t>
      </w:r>
    </w:p>
    <w:p>
      <w:pPr>
        <w:pStyle w:val="160"/>
        <w:tabs>
          <w:tab w:val="left" w:pos="714"/>
          <w:tab w:val="left" w:pos="2340"/>
        </w:tabs>
        <w:spacing w:line="360" w:lineRule="auto"/>
        <w:ind w:left="105"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中标人根据采购人确认的考核方案每月5日前完成上月船员考核（包括</w:t>
      </w:r>
      <w:r>
        <w:rPr>
          <w:rFonts w:hint="eastAsia" w:ascii="仿宋" w:hAnsi="仿宋" w:eastAsia="仿宋" w:cs="仿宋"/>
          <w:sz w:val="24"/>
          <w:szCs w:val="24"/>
          <w:highlight w:val="none"/>
        </w:rPr>
        <w:t>船舶实际配员</w:t>
      </w:r>
      <w:r>
        <w:rPr>
          <w:rFonts w:hint="eastAsia" w:ascii="仿宋" w:hAnsi="仿宋" w:eastAsia="仿宋" w:cs="仿宋"/>
          <w:sz w:val="24"/>
          <w:szCs w:val="24"/>
          <w:highlight w:val="none"/>
          <w:lang w:val="en-US" w:eastAsia="zh-CN"/>
        </w:rPr>
        <w:t>和</w:t>
      </w:r>
      <w:r>
        <w:rPr>
          <w:rFonts w:hint="eastAsia" w:ascii="仿宋" w:hAnsi="仿宋" w:eastAsia="仿宋" w:cs="仿宋"/>
          <w:sz w:val="24"/>
          <w:szCs w:val="24"/>
          <w:highlight w:val="none"/>
        </w:rPr>
        <w:t>船员</w:t>
      </w:r>
      <w:r>
        <w:rPr>
          <w:rFonts w:hint="eastAsia" w:ascii="仿宋" w:hAnsi="仿宋" w:eastAsia="仿宋" w:cs="仿宋"/>
          <w:sz w:val="24"/>
          <w:szCs w:val="24"/>
          <w:highlight w:val="none"/>
          <w:lang w:val="en-US" w:eastAsia="zh-CN"/>
        </w:rPr>
        <w:t>考勤），</w:t>
      </w:r>
      <w:r>
        <w:rPr>
          <w:rFonts w:hint="eastAsia" w:ascii="仿宋" w:hAnsi="仿宋" w:eastAsia="仿宋" w:cs="仿宋"/>
          <w:sz w:val="24"/>
          <w:szCs w:val="24"/>
          <w:highlight w:val="none"/>
        </w:rPr>
        <w:t>每月1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日前</w:t>
      </w:r>
      <w:r>
        <w:rPr>
          <w:rFonts w:hint="eastAsia" w:ascii="仿宋" w:hAnsi="仿宋" w:eastAsia="仿宋" w:cs="仿宋"/>
          <w:sz w:val="24"/>
          <w:szCs w:val="24"/>
          <w:highlight w:val="none"/>
          <w:lang w:val="en-US" w:eastAsia="zh-CN"/>
        </w:rPr>
        <w:t>根据考核结果和合同要求编制</w:t>
      </w:r>
      <w:r>
        <w:rPr>
          <w:rFonts w:hint="eastAsia" w:ascii="仿宋" w:hAnsi="仿宋" w:eastAsia="仿宋" w:cs="仿宋"/>
          <w:sz w:val="24"/>
          <w:szCs w:val="24"/>
          <w:highlight w:val="none"/>
        </w:rPr>
        <w:t>上月《船员工资费用明细表》，</w:t>
      </w:r>
      <w:r>
        <w:rPr>
          <w:rFonts w:hint="eastAsia" w:ascii="仿宋" w:hAnsi="仿宋" w:eastAsia="仿宋" w:cs="仿宋"/>
          <w:sz w:val="24"/>
          <w:szCs w:val="24"/>
          <w:highlight w:val="none"/>
          <w:lang w:val="en-US" w:eastAsia="zh-CN"/>
        </w:rPr>
        <w:t>并</w:t>
      </w:r>
      <w:r>
        <w:rPr>
          <w:rFonts w:hint="eastAsia" w:ascii="仿宋" w:hAnsi="仿宋" w:eastAsia="仿宋" w:cs="仿宋"/>
          <w:sz w:val="24"/>
          <w:szCs w:val="24"/>
          <w:highlight w:val="none"/>
        </w:rPr>
        <w:t>提交</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审核</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审核</w:t>
      </w:r>
      <w:r>
        <w:rPr>
          <w:rFonts w:hint="eastAsia" w:ascii="仿宋" w:hAnsi="仿宋" w:eastAsia="仿宋" w:cs="仿宋"/>
          <w:sz w:val="24"/>
          <w:szCs w:val="24"/>
          <w:highlight w:val="none"/>
        </w:rPr>
        <w:t>无异议后，</w:t>
      </w:r>
      <w:r>
        <w:rPr>
          <w:rFonts w:hint="eastAsia" w:ascii="仿宋" w:hAnsi="仿宋" w:eastAsia="仿宋" w:cs="仿宋"/>
          <w:sz w:val="24"/>
          <w:szCs w:val="24"/>
          <w:highlight w:val="none"/>
          <w:lang w:val="en-US" w:eastAsia="zh-CN"/>
        </w:rPr>
        <w:t>中标人</w:t>
      </w:r>
      <w:r>
        <w:rPr>
          <w:rFonts w:hint="eastAsia" w:ascii="仿宋" w:hAnsi="仿宋" w:eastAsia="仿宋" w:cs="仿宋"/>
          <w:sz w:val="24"/>
          <w:szCs w:val="24"/>
          <w:highlight w:val="none"/>
        </w:rPr>
        <w:t>按明细表在3个</w:t>
      </w:r>
      <w:r>
        <w:rPr>
          <w:rFonts w:hint="eastAsia" w:ascii="仿宋" w:hAnsi="仿宋" w:eastAsia="仿宋" w:cs="仿宋"/>
          <w:sz w:val="24"/>
          <w:szCs w:val="24"/>
          <w:highlight w:val="none"/>
          <w:lang w:val="en-US" w:eastAsia="zh-CN"/>
        </w:rPr>
        <w:t>工作</w:t>
      </w:r>
      <w:r>
        <w:rPr>
          <w:rFonts w:hint="eastAsia" w:ascii="仿宋" w:hAnsi="仿宋" w:eastAsia="仿宋" w:cs="仿宋"/>
          <w:sz w:val="24"/>
          <w:szCs w:val="24"/>
          <w:highlight w:val="none"/>
        </w:rPr>
        <w:t>日内发放</w:t>
      </w:r>
      <w:r>
        <w:rPr>
          <w:rFonts w:hint="eastAsia" w:ascii="仿宋" w:hAnsi="仿宋" w:eastAsia="仿宋" w:cs="仿宋"/>
          <w:sz w:val="24"/>
          <w:szCs w:val="24"/>
          <w:highlight w:val="none"/>
          <w:lang w:val="en-US" w:eastAsia="zh-CN"/>
        </w:rPr>
        <w:t>上月</w:t>
      </w:r>
      <w:r>
        <w:rPr>
          <w:rFonts w:hint="eastAsia" w:ascii="仿宋" w:hAnsi="仿宋" w:eastAsia="仿宋" w:cs="仿宋"/>
          <w:sz w:val="24"/>
          <w:szCs w:val="24"/>
          <w:highlight w:val="none"/>
        </w:rPr>
        <w:t>船员工资。工资发放后</w:t>
      </w:r>
      <w:r>
        <w:rPr>
          <w:rFonts w:hint="eastAsia" w:ascii="仿宋" w:hAnsi="仿宋" w:eastAsia="仿宋" w:cs="仿宋"/>
          <w:sz w:val="24"/>
          <w:szCs w:val="24"/>
          <w:highlight w:val="none"/>
          <w:lang w:val="en-US" w:eastAsia="zh-CN"/>
        </w:rPr>
        <w:t>中标人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上述</w:t>
      </w:r>
      <w:r>
        <w:rPr>
          <w:rFonts w:hint="eastAsia" w:ascii="仿宋" w:hAnsi="仿宋" w:eastAsia="仿宋" w:cs="仿宋"/>
          <w:sz w:val="24"/>
          <w:szCs w:val="24"/>
          <w:highlight w:val="none"/>
        </w:rPr>
        <w:t xml:space="preserve"> </w:t>
      </w:r>
      <w:r>
        <w:rPr>
          <w:rFonts w:hint="eastAsia" w:ascii="仿宋" w:hAnsi="仿宋" w:eastAsia="仿宋" w:cs="仿宋"/>
          <w:b/>
          <w:bCs/>
          <w:sz w:val="24"/>
          <w:szCs w:val="24"/>
          <w:highlight w:val="none"/>
          <w:lang w:val="en-US" w:eastAsia="zh-CN"/>
        </w:rPr>
        <w:t>3.1</w:t>
      </w:r>
      <w:r>
        <w:rPr>
          <w:rFonts w:hint="eastAsia" w:ascii="仿宋" w:hAnsi="仿宋" w:eastAsia="仿宋" w:cs="仿宋"/>
          <w:b/>
          <w:bCs/>
          <w:sz w:val="24"/>
          <w:szCs w:val="24"/>
          <w:highlight w:val="none"/>
        </w:rPr>
        <w:t>、结算票据</w:t>
      </w:r>
      <w:r>
        <w:rPr>
          <w:rFonts w:hint="eastAsia" w:ascii="仿宋" w:hAnsi="仿宋" w:eastAsia="仿宋" w:cs="仿宋"/>
          <w:sz w:val="24"/>
          <w:szCs w:val="24"/>
          <w:highlight w:val="none"/>
        </w:rPr>
        <w:t xml:space="preserve"> 将工资发放凭据、发票等结算票据提供</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于收到结算票据后5个工作日内将费用汇入</w:t>
      </w:r>
      <w:r>
        <w:rPr>
          <w:rFonts w:hint="eastAsia" w:ascii="仿宋" w:hAnsi="仿宋" w:eastAsia="仿宋" w:cs="仿宋"/>
          <w:sz w:val="24"/>
          <w:szCs w:val="24"/>
          <w:highlight w:val="none"/>
          <w:lang w:val="en-US" w:eastAsia="zh-CN"/>
        </w:rPr>
        <w:t>中标人</w:t>
      </w:r>
      <w:r>
        <w:rPr>
          <w:rFonts w:hint="eastAsia" w:ascii="仿宋" w:hAnsi="仿宋" w:eastAsia="仿宋" w:cs="仿宋"/>
          <w:sz w:val="24"/>
          <w:szCs w:val="24"/>
          <w:highlight w:val="none"/>
        </w:rPr>
        <w:t>指定账号。（上述时间节点如遇节假日则相应顺延）</w:t>
      </w:r>
    </w:p>
    <w:p>
      <w:pPr>
        <w:pStyle w:val="160"/>
        <w:tabs>
          <w:tab w:val="left" w:pos="714"/>
          <w:tab w:val="left" w:pos="2340"/>
        </w:tabs>
        <w:spacing w:line="360" w:lineRule="auto"/>
        <w:ind w:left="105"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船员工资费用明细表应包括以下项目： </w:t>
      </w:r>
    </w:p>
    <w:p>
      <w:pPr>
        <w:pStyle w:val="160"/>
        <w:tabs>
          <w:tab w:val="left" w:pos="714"/>
          <w:tab w:val="left" w:pos="2340"/>
        </w:tabs>
        <w:spacing w:line="360" w:lineRule="auto"/>
        <w:ind w:left="420" w:leftChars="200"/>
        <w:rPr>
          <w:rFonts w:ascii="仿宋" w:hAnsi="仿宋" w:eastAsia="仿宋" w:cs="仿宋"/>
          <w:sz w:val="24"/>
          <w:szCs w:val="24"/>
          <w:highlight w:val="none"/>
        </w:rPr>
      </w:pPr>
      <w:r>
        <w:rPr>
          <w:rFonts w:hint="eastAsia" w:ascii="仿宋" w:hAnsi="仿宋" w:eastAsia="仿宋" w:cs="仿宋"/>
          <w:sz w:val="24"/>
          <w:szCs w:val="24"/>
          <w:highlight w:val="none"/>
        </w:rPr>
        <w:t xml:space="preserve">（1）船员基本工资； </w:t>
      </w:r>
    </w:p>
    <w:p>
      <w:pPr>
        <w:pStyle w:val="160"/>
        <w:tabs>
          <w:tab w:val="left" w:pos="714"/>
          <w:tab w:val="left" w:pos="2340"/>
        </w:tabs>
        <w:spacing w:line="360" w:lineRule="auto"/>
        <w:ind w:left="420" w:leftChars="200"/>
        <w:rPr>
          <w:rFonts w:ascii="仿宋" w:hAnsi="仿宋" w:eastAsia="仿宋" w:cs="仿宋"/>
          <w:sz w:val="24"/>
          <w:szCs w:val="24"/>
          <w:highlight w:val="none"/>
        </w:rPr>
      </w:pPr>
      <w:r>
        <w:rPr>
          <w:rFonts w:hint="eastAsia" w:ascii="仿宋" w:hAnsi="仿宋" w:eastAsia="仿宋" w:cs="仿宋"/>
          <w:sz w:val="24"/>
          <w:szCs w:val="24"/>
          <w:highlight w:val="none"/>
        </w:rPr>
        <w:t xml:space="preserve">（2）船员岗位绩效工资；  </w:t>
      </w:r>
    </w:p>
    <w:p>
      <w:pPr>
        <w:pStyle w:val="160"/>
        <w:tabs>
          <w:tab w:val="left" w:pos="714"/>
          <w:tab w:val="left" w:pos="2340"/>
        </w:tabs>
        <w:spacing w:line="360" w:lineRule="auto"/>
        <w:ind w:left="420" w:leftChars="200"/>
        <w:rPr>
          <w:rFonts w:ascii="仿宋" w:hAnsi="仿宋" w:eastAsia="仿宋" w:cs="仿宋"/>
          <w:sz w:val="24"/>
          <w:szCs w:val="24"/>
          <w:highlight w:val="none"/>
        </w:rPr>
      </w:pPr>
      <w:r>
        <w:rPr>
          <w:rFonts w:hint="eastAsia" w:ascii="仿宋" w:hAnsi="仿宋" w:eastAsia="仿宋" w:cs="仿宋"/>
          <w:sz w:val="24"/>
          <w:szCs w:val="24"/>
          <w:highlight w:val="none"/>
        </w:rPr>
        <w:t xml:space="preserve">（3）社会保险费； </w:t>
      </w:r>
    </w:p>
    <w:p>
      <w:pPr>
        <w:pStyle w:val="160"/>
        <w:tabs>
          <w:tab w:val="left" w:pos="714"/>
          <w:tab w:val="left" w:pos="2340"/>
        </w:tabs>
        <w:spacing w:line="360" w:lineRule="auto"/>
        <w:ind w:left="420" w:leftChars="200"/>
        <w:rPr>
          <w:rFonts w:ascii="仿宋" w:hAnsi="仿宋" w:eastAsia="仿宋" w:cs="仿宋"/>
          <w:sz w:val="24"/>
          <w:szCs w:val="24"/>
          <w:highlight w:val="none"/>
        </w:rPr>
      </w:pPr>
      <w:r>
        <w:rPr>
          <w:rFonts w:hint="eastAsia" w:ascii="仿宋" w:hAnsi="仿宋" w:eastAsia="仿宋" w:cs="仿宋"/>
          <w:sz w:val="24"/>
          <w:szCs w:val="24"/>
          <w:highlight w:val="none"/>
        </w:rPr>
        <w:t xml:space="preserve">（4）商业保险费； </w:t>
      </w:r>
    </w:p>
    <w:p>
      <w:pPr>
        <w:pStyle w:val="160"/>
        <w:tabs>
          <w:tab w:val="left" w:pos="714"/>
          <w:tab w:val="left" w:pos="2340"/>
        </w:tabs>
        <w:spacing w:line="360" w:lineRule="auto"/>
        <w:ind w:left="420" w:leftChars="200"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（5）船员管理费。</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3.3 因采购人使用的是财政资金，前款规定的采购人付款时间为采购人向政府财政支付部门提出办理财政支付申请手续的时间（不含政府财政支付部门审核拨付的时间）。</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 xml:space="preserve">3.4 </w:t>
      </w:r>
      <w:r>
        <w:rPr>
          <w:rFonts w:hint="eastAsia" w:ascii="仿宋" w:hAnsi="仿宋" w:eastAsia="仿宋" w:cs="仿宋"/>
          <w:kern w:val="2"/>
          <w:sz w:val="24"/>
          <w:szCs w:val="24"/>
          <w:highlight w:val="none"/>
          <w:lang w:val="en-US" w:eastAsia="zh-CN"/>
        </w:rPr>
        <w:t>中标人应当按合同约定及时发放</w:t>
      </w:r>
      <w:r>
        <w:rPr>
          <w:rFonts w:hint="eastAsia" w:ascii="仿宋" w:hAnsi="仿宋" w:eastAsia="仿宋" w:cs="仿宋"/>
          <w:kern w:val="2"/>
          <w:sz w:val="24"/>
          <w:szCs w:val="24"/>
          <w:highlight w:val="none"/>
        </w:rPr>
        <w:t>船员工资。如因财政拨款等客观因素造成采购人延期结算费用的，中标人承诺保证船员工资正常发放，以保障采购人船舶正常运转和采购人工作的正常开展（提供承诺函）。</w:t>
      </w:r>
    </w:p>
    <w:p>
      <w:pPr>
        <w:pStyle w:val="160"/>
        <w:tabs>
          <w:tab w:val="left" w:pos="714"/>
          <w:tab w:val="left" w:pos="2340"/>
        </w:tabs>
        <w:spacing w:line="360" w:lineRule="auto"/>
        <w:ind w:left="105"/>
        <w:rPr>
          <w:rFonts w:ascii="仿宋" w:hAnsi="仿宋" w:eastAsia="仿宋" w:cs="仿宋"/>
          <w:kern w:val="2"/>
          <w:sz w:val="24"/>
          <w:szCs w:val="24"/>
          <w:highlight w:val="none"/>
        </w:rPr>
      </w:pPr>
      <w:r>
        <w:rPr>
          <w:rFonts w:hint="eastAsia" w:ascii="仿宋" w:hAnsi="仿宋" w:eastAsia="仿宋" w:cs="仿宋"/>
          <w:kern w:val="2"/>
          <w:sz w:val="24"/>
          <w:szCs w:val="24"/>
          <w:highlight w:val="none"/>
        </w:rPr>
        <w:t>注：如在项目服务实施过程中采购人实际需求量未达到招标需求量的，按照采购人实际需求量执行。</w:t>
      </w:r>
    </w:p>
    <w:bookmarkEnd w:id="24"/>
    <w:p>
      <w:pPr>
        <w:rPr>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p>
    <w:p>
      <w:pPr>
        <w:spacing w:line="360" w:lineRule="auto"/>
        <w:jc w:val="center"/>
        <w:outlineLvl w:val="1"/>
        <w:rPr>
          <w:rFonts w:hAnsi="宋体" w:cs="宋体"/>
          <w:b/>
          <w:kern w:val="44"/>
          <w:sz w:val="32"/>
          <w:highlight w:val="none"/>
          <w:lang w:val="zh-CN"/>
        </w:rPr>
      </w:pPr>
      <w:r>
        <w:rPr>
          <w:rFonts w:hint="eastAsia" w:hAnsi="宋体" w:cs="宋体"/>
          <w:b/>
          <w:kern w:val="44"/>
          <w:sz w:val="32"/>
          <w:highlight w:val="none"/>
          <w:lang w:val="zh-CN"/>
        </w:rPr>
        <w:t>第五篇  投标文件格式</w:t>
      </w:r>
    </w:p>
    <w:p>
      <w:pPr>
        <w:pStyle w:val="5"/>
        <w:jc w:val="center"/>
        <w:rPr>
          <w:rFonts w:hAnsi="宋体" w:cs="宋体"/>
          <w:b/>
          <w:bCs/>
          <w:sz w:val="28"/>
          <w:szCs w:val="28"/>
          <w:highlight w:val="none"/>
          <w:lang w:val="zh-CN"/>
        </w:rPr>
      </w:pPr>
      <w:r>
        <w:rPr>
          <w:rFonts w:hint="eastAsia" w:hAnsi="宋体" w:cs="宋体"/>
          <w:b/>
          <w:sz w:val="28"/>
          <w:szCs w:val="28"/>
          <w:highlight w:val="none"/>
        </w:rPr>
        <w:t>目  录</w:t>
      </w:r>
    </w:p>
    <w:p>
      <w:pPr>
        <w:spacing w:line="312" w:lineRule="auto"/>
        <w:ind w:firstLine="527" w:firstLineChars="250"/>
        <w:rPr>
          <w:rFonts w:hAnsi="宋体" w:cs="宋体"/>
          <w:b/>
          <w:bCs/>
          <w:szCs w:val="21"/>
          <w:highlight w:val="none"/>
          <w:lang w:val="zh-CN"/>
        </w:rPr>
      </w:pPr>
      <w:r>
        <w:rPr>
          <w:rFonts w:hint="eastAsia" w:hAnsi="宋体" w:cs="宋体"/>
          <w:b/>
          <w:bCs/>
          <w:szCs w:val="21"/>
          <w:highlight w:val="none"/>
          <w:lang w:val="zh-CN"/>
        </w:rPr>
        <w:t>一、自查表</w:t>
      </w:r>
    </w:p>
    <w:p>
      <w:pPr>
        <w:spacing w:line="312" w:lineRule="auto"/>
        <w:ind w:firstLine="527" w:firstLineChars="250"/>
        <w:rPr>
          <w:rFonts w:hAnsi="宋体" w:cs="宋体"/>
          <w:kern w:val="2"/>
          <w:szCs w:val="21"/>
          <w:highlight w:val="none"/>
        </w:rPr>
      </w:pPr>
      <w:r>
        <w:rPr>
          <w:rFonts w:hint="eastAsia" w:hAnsi="宋体" w:cs="宋体"/>
          <w:b/>
          <w:bCs/>
          <w:szCs w:val="21"/>
          <w:highlight w:val="none"/>
          <w:lang w:val="zh-CN"/>
        </w:rPr>
        <w:t>二、</w:t>
      </w:r>
      <w:r>
        <w:rPr>
          <w:rFonts w:hint="eastAsia" w:hAnsi="宋体" w:cs="宋体"/>
          <w:b/>
          <w:bCs/>
          <w:kern w:val="2"/>
          <w:szCs w:val="21"/>
          <w:highlight w:val="none"/>
          <w:lang w:val="zh-CN"/>
        </w:rPr>
        <w:t>商务部分文件</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1.投标函(格式见附表2.1)</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2.资格声明书(格式见附表2.2)</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3.法定代表人证明书(格式见附表2.3)</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4.法定代表人授权书（若投标人代表非法定代表人时适用）(格式见附表2.4)</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5.投标人的相关资格证明资料复印件（加盖投标人法人公章），其中包括：</w:t>
      </w:r>
    </w:p>
    <w:p>
      <w:pPr>
        <w:snapToGrid w:val="0"/>
        <w:spacing w:line="360" w:lineRule="auto"/>
        <w:ind w:left="1575" w:leftChars="600" w:hanging="315" w:hangingChars="150"/>
        <w:rPr>
          <w:rFonts w:hAnsi="宋体" w:cs="宋体"/>
          <w:szCs w:val="21"/>
          <w:highlight w:val="none"/>
        </w:rPr>
      </w:pPr>
      <w:r>
        <w:rPr>
          <w:rFonts w:hint="eastAsia" w:hAnsi="宋体" w:cs="宋体"/>
          <w:szCs w:val="21"/>
          <w:highlight w:val="none"/>
        </w:rPr>
        <w:t>A.证明投标人的资格性的证明文件，详见《投标须知前附表》8条款内容及招标公告中供应商资格条件要求；(格式见附表2.5)</w:t>
      </w:r>
    </w:p>
    <w:p>
      <w:pPr>
        <w:snapToGrid w:val="0"/>
        <w:spacing w:line="360" w:lineRule="auto"/>
        <w:ind w:left="1575" w:leftChars="600" w:hanging="315" w:hangingChars="150"/>
        <w:rPr>
          <w:rFonts w:hAnsi="宋体" w:cs="宋体"/>
          <w:szCs w:val="21"/>
          <w:highlight w:val="none"/>
        </w:rPr>
      </w:pPr>
      <w:r>
        <w:rPr>
          <w:rFonts w:hint="eastAsia" w:hAnsi="宋体" w:cs="宋体"/>
          <w:szCs w:val="21"/>
          <w:highlight w:val="none"/>
        </w:rPr>
        <w:t>B.其他资格证明资料，（《第四篇 用户需求书》的有关要求，或《评分标准和细则》“评分因素”中商务评分内容的证明文件）；</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6.投标人的所投产品资格证明资料复印件（加盖投标人法人公章）</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7.投标人基本情况表(见附表2.6)</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8.2020年投标人财务状况表（见附表2.7）</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9.中标服务费承诺书(见附表2.8)</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10.项目管理架构 (见附表2.9)</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11.供货渠道与合作机构情况表 (见附表2.10)</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12.商务条款响应表格式(见附表2.11) </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12.1 实质性商务条款（“★”项）响应表</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12.2 一般商务条款响应表</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13.各项声明函（落实政府采购政策时所需） (见附表2.12) （如有）</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13.1 中小企业声明函格式</w:t>
      </w:r>
      <w:bookmarkStart w:id="25" w:name="_Hlk495872756"/>
      <w:r>
        <w:rPr>
          <w:rFonts w:hint="eastAsia" w:hAnsi="宋体" w:cs="宋体"/>
          <w:szCs w:val="21"/>
          <w:highlight w:val="none"/>
        </w:rPr>
        <w:t>(见附表2.12-1)</w:t>
      </w:r>
      <w:bookmarkEnd w:id="25"/>
      <w:r>
        <w:rPr>
          <w:rFonts w:hint="eastAsia" w:hAnsi="宋体" w:cs="宋体"/>
          <w:szCs w:val="21"/>
          <w:highlight w:val="none"/>
        </w:rPr>
        <w:t>（如有）</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13.2 监狱企业的证明文件格(见附表2.12-2)（如有）</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13.3 残疾人福利性单位的声明函及证明文件</w:t>
      </w:r>
      <w:bookmarkStart w:id="26" w:name="_Hlk495872848"/>
      <w:r>
        <w:rPr>
          <w:rFonts w:hint="eastAsia" w:hAnsi="宋体" w:cs="宋体"/>
          <w:szCs w:val="21"/>
          <w:highlight w:val="none"/>
        </w:rPr>
        <w:t>(见附表2.12-3)</w:t>
      </w:r>
      <w:bookmarkEnd w:id="26"/>
      <w:r>
        <w:rPr>
          <w:rFonts w:hint="eastAsia" w:hAnsi="宋体" w:cs="宋体"/>
          <w:szCs w:val="21"/>
          <w:highlight w:val="none"/>
        </w:rPr>
        <w:t>（如有）</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 xml:space="preserve"> 13.4 节能产品或环境保护标志产品</w:t>
      </w:r>
      <w:bookmarkStart w:id="27" w:name="_Hlk495872906"/>
      <w:r>
        <w:rPr>
          <w:rFonts w:hint="eastAsia" w:hAnsi="宋体" w:cs="宋体"/>
          <w:szCs w:val="21"/>
          <w:highlight w:val="none"/>
        </w:rPr>
        <w:t>(见附表2.12-4)</w:t>
      </w:r>
      <w:bookmarkEnd w:id="27"/>
      <w:r>
        <w:rPr>
          <w:rFonts w:hint="eastAsia" w:hAnsi="宋体" w:cs="宋体"/>
          <w:szCs w:val="21"/>
          <w:highlight w:val="none"/>
        </w:rPr>
        <w:t>（如有）</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14. 投标人认为完成本项目所需的其他证明文件(见附表2.13)</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15.公平竞争承诺书</w:t>
      </w:r>
      <w:bookmarkStart w:id="28" w:name="_Hlk495872921"/>
      <w:r>
        <w:rPr>
          <w:rFonts w:hint="eastAsia" w:hAnsi="宋体" w:cs="宋体"/>
          <w:szCs w:val="21"/>
          <w:highlight w:val="none"/>
        </w:rPr>
        <w:t>(见附表2.14)</w:t>
      </w:r>
      <w:bookmarkEnd w:id="28"/>
    </w:p>
    <w:p>
      <w:pPr>
        <w:spacing w:line="360" w:lineRule="auto"/>
        <w:ind w:firstLine="527" w:firstLineChars="250"/>
        <w:rPr>
          <w:rFonts w:hAnsi="宋体" w:cs="宋体"/>
          <w:kern w:val="2"/>
          <w:szCs w:val="21"/>
          <w:highlight w:val="none"/>
        </w:rPr>
      </w:pPr>
      <w:r>
        <w:rPr>
          <w:rFonts w:hint="eastAsia" w:hAnsi="宋体" w:cs="宋体"/>
          <w:b/>
          <w:bCs/>
          <w:szCs w:val="21"/>
          <w:highlight w:val="none"/>
          <w:lang w:val="zh-CN"/>
        </w:rPr>
        <w:t>三、</w:t>
      </w:r>
      <w:r>
        <w:rPr>
          <w:rFonts w:hint="eastAsia" w:hAnsi="宋体" w:cs="宋体"/>
          <w:b/>
          <w:bCs/>
          <w:kern w:val="2"/>
          <w:szCs w:val="21"/>
          <w:highlight w:val="none"/>
          <w:lang w:val="zh-CN"/>
        </w:rPr>
        <w:t>技术部分文件</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1.服务总体方案 (见附表3.1)</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2. 临时突击性工作及突发事件应急保障措施 (见附表3.</w:t>
      </w:r>
      <w:r>
        <w:rPr>
          <w:rFonts w:hAnsi="宋体" w:cs="宋体"/>
          <w:szCs w:val="21"/>
          <w:highlight w:val="none"/>
        </w:rPr>
        <w:t>2</w:t>
      </w:r>
      <w:r>
        <w:rPr>
          <w:rFonts w:hint="eastAsia" w:hAnsi="宋体" w:cs="宋体"/>
          <w:szCs w:val="21"/>
          <w:highlight w:val="none"/>
        </w:rPr>
        <w:t>)</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3. 整体船舶管理服务方案 (见附表3.</w:t>
      </w:r>
      <w:r>
        <w:rPr>
          <w:rFonts w:hAnsi="宋体" w:cs="宋体"/>
          <w:szCs w:val="21"/>
          <w:highlight w:val="none"/>
        </w:rPr>
        <w:t>3</w:t>
      </w:r>
      <w:r>
        <w:rPr>
          <w:rFonts w:hint="eastAsia" w:hAnsi="宋体" w:cs="宋体"/>
          <w:szCs w:val="21"/>
          <w:highlight w:val="none"/>
        </w:rPr>
        <w:t>)</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4. 人文关怀和激励保障措施 (见附表3.</w:t>
      </w:r>
      <w:r>
        <w:rPr>
          <w:rFonts w:hAnsi="宋体" w:cs="宋体"/>
          <w:szCs w:val="21"/>
          <w:highlight w:val="none"/>
        </w:rPr>
        <w:t>4</w:t>
      </w:r>
      <w:r>
        <w:rPr>
          <w:rFonts w:hint="eastAsia" w:hAnsi="宋体" w:cs="宋体"/>
          <w:szCs w:val="21"/>
          <w:highlight w:val="none"/>
        </w:rPr>
        <w:t>)</w:t>
      </w:r>
    </w:p>
    <w:p>
      <w:pPr>
        <w:snapToGrid w:val="0"/>
        <w:spacing w:line="360" w:lineRule="auto"/>
        <w:ind w:left="953" w:leftChars="454" w:firstLine="105" w:firstLineChars="50"/>
        <w:rPr>
          <w:rFonts w:hAnsi="宋体" w:cs="宋体"/>
          <w:szCs w:val="21"/>
          <w:highlight w:val="none"/>
        </w:rPr>
      </w:pPr>
      <w:r>
        <w:rPr>
          <w:rFonts w:hAnsi="宋体" w:cs="宋体"/>
          <w:szCs w:val="21"/>
          <w:highlight w:val="none"/>
        </w:rPr>
        <w:t xml:space="preserve">5. </w:t>
      </w:r>
      <w:r>
        <w:rPr>
          <w:rFonts w:hint="eastAsia" w:hAnsi="宋体" w:cs="宋体"/>
          <w:szCs w:val="21"/>
          <w:highlight w:val="none"/>
        </w:rPr>
        <w:t>船员待遇保障水平(见附表3.5)</w:t>
      </w:r>
    </w:p>
    <w:p>
      <w:pPr>
        <w:snapToGrid w:val="0"/>
        <w:spacing w:line="360" w:lineRule="auto"/>
        <w:ind w:left="953" w:leftChars="454" w:firstLine="105" w:firstLineChars="50"/>
        <w:rPr>
          <w:rFonts w:hAnsi="宋体" w:cs="宋体"/>
          <w:szCs w:val="21"/>
          <w:highlight w:val="none"/>
        </w:rPr>
      </w:pPr>
      <w:r>
        <w:rPr>
          <w:rFonts w:hAnsi="宋体" w:cs="宋体"/>
          <w:szCs w:val="21"/>
          <w:highlight w:val="none"/>
        </w:rPr>
        <w:t>6</w:t>
      </w:r>
      <w:r>
        <w:rPr>
          <w:rFonts w:hint="eastAsia" w:hAnsi="宋体" w:cs="宋体"/>
          <w:szCs w:val="21"/>
          <w:highlight w:val="none"/>
        </w:rPr>
        <w:t>.技术规格偏离表 (见附表3.5)</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5.1 （1）实质性响应技术条款（“★”项）响应表格式</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5.2 （2）一般技术条款（包含“▲”项）响应表格式</w:t>
      </w:r>
    </w:p>
    <w:p>
      <w:pPr>
        <w:spacing w:line="360" w:lineRule="auto"/>
        <w:ind w:firstLine="527" w:firstLineChars="250"/>
        <w:rPr>
          <w:rFonts w:hAnsi="宋体" w:cs="宋体"/>
          <w:kern w:val="2"/>
          <w:szCs w:val="21"/>
          <w:highlight w:val="none"/>
        </w:rPr>
      </w:pPr>
      <w:r>
        <w:rPr>
          <w:rFonts w:hint="eastAsia" w:hAnsi="宋体" w:cs="宋体"/>
          <w:b/>
          <w:bCs/>
          <w:szCs w:val="21"/>
          <w:highlight w:val="none"/>
          <w:lang w:val="zh-CN"/>
        </w:rPr>
        <w:t>四、价格</w:t>
      </w:r>
      <w:r>
        <w:rPr>
          <w:rFonts w:hint="eastAsia" w:hAnsi="宋体" w:cs="宋体"/>
          <w:b/>
          <w:bCs/>
          <w:kern w:val="2"/>
          <w:szCs w:val="21"/>
          <w:highlight w:val="none"/>
          <w:lang w:val="zh-CN"/>
        </w:rPr>
        <w:t>部分文件</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1.投标报价总表(见附表4.1)</w:t>
      </w:r>
    </w:p>
    <w:p>
      <w:pPr>
        <w:snapToGrid w:val="0"/>
        <w:spacing w:line="360" w:lineRule="auto"/>
        <w:ind w:left="953" w:leftChars="454" w:firstLine="105" w:firstLineChars="50"/>
        <w:rPr>
          <w:rFonts w:hAnsi="宋体" w:cs="宋体"/>
          <w:szCs w:val="21"/>
          <w:highlight w:val="none"/>
        </w:rPr>
      </w:pPr>
      <w:r>
        <w:rPr>
          <w:rFonts w:hint="eastAsia" w:hAnsi="宋体" w:cs="宋体"/>
          <w:szCs w:val="21"/>
          <w:highlight w:val="none"/>
        </w:rPr>
        <w:t>2.分项报价明细表(见附表4.2)</w:t>
      </w:r>
    </w:p>
    <w:p>
      <w:pPr>
        <w:spacing w:line="360" w:lineRule="auto"/>
        <w:ind w:firstLine="211" w:firstLineChars="100"/>
        <w:jc w:val="both"/>
        <w:rPr>
          <w:rFonts w:hAnsi="宋体" w:cs="宋体"/>
          <w:b/>
          <w:bCs/>
          <w:kern w:val="2"/>
          <w:szCs w:val="21"/>
          <w:highlight w:val="none"/>
          <w:lang w:val="zh-CN"/>
        </w:rPr>
      </w:pPr>
      <w:r>
        <w:rPr>
          <w:rFonts w:hint="eastAsia" w:hAnsi="宋体" w:cs="宋体"/>
          <w:b/>
          <w:bCs/>
          <w:kern w:val="2"/>
          <w:szCs w:val="21"/>
          <w:highlight w:val="none"/>
          <w:lang w:val="zh-CN"/>
        </w:rPr>
        <w:t>唱标信封另单独封装，按以下顺序装订：</w:t>
      </w:r>
    </w:p>
    <w:p>
      <w:pPr>
        <w:spacing w:line="360" w:lineRule="auto"/>
        <w:ind w:left="1026" w:leftChars="355" w:hanging="281" w:hangingChars="134"/>
        <w:rPr>
          <w:rFonts w:hAnsi="宋体" w:cs="宋体"/>
          <w:szCs w:val="21"/>
          <w:highlight w:val="none"/>
          <w:lang w:val="zh-CN"/>
        </w:rPr>
      </w:pPr>
      <w:r>
        <w:rPr>
          <w:rFonts w:hint="eastAsia" w:hAnsi="宋体" w:cs="宋体"/>
          <w:szCs w:val="21"/>
          <w:highlight w:val="none"/>
          <w:lang w:val="zh-CN"/>
        </w:rPr>
        <w:t>1) 投标函（从投标文件正本中复印，加盖投标人法人公章）；</w:t>
      </w:r>
    </w:p>
    <w:p>
      <w:pPr>
        <w:spacing w:line="360" w:lineRule="auto"/>
        <w:ind w:left="1026" w:leftChars="355" w:hanging="281" w:hangingChars="134"/>
        <w:rPr>
          <w:rFonts w:hAnsi="宋体" w:cs="宋体"/>
          <w:szCs w:val="21"/>
          <w:highlight w:val="none"/>
          <w:lang w:val="zh-CN"/>
        </w:rPr>
      </w:pPr>
      <w:r>
        <w:rPr>
          <w:rFonts w:hint="eastAsia" w:hAnsi="宋体" w:cs="宋体"/>
          <w:szCs w:val="21"/>
          <w:highlight w:val="none"/>
          <w:lang w:val="zh-CN"/>
        </w:rPr>
        <w:t>2）投标报价总表（从投标文件正本中复印，加盖投标人法人公章）；</w:t>
      </w:r>
    </w:p>
    <w:p>
      <w:pPr>
        <w:spacing w:line="360" w:lineRule="auto"/>
        <w:ind w:left="1026" w:leftChars="355" w:hanging="281" w:hangingChars="134"/>
        <w:rPr>
          <w:rFonts w:hAnsi="宋体" w:cs="宋体"/>
          <w:szCs w:val="21"/>
          <w:highlight w:val="none"/>
          <w:lang w:val="zh-CN"/>
        </w:rPr>
      </w:pPr>
      <w:r>
        <w:rPr>
          <w:rFonts w:hint="eastAsia" w:hAnsi="宋体" w:cs="宋体"/>
          <w:szCs w:val="21"/>
          <w:highlight w:val="none"/>
          <w:lang w:val="zh-CN"/>
        </w:rPr>
        <w:t>3）法定代表人证明书及法定代表人授权书（复印件）（原件单独递交无须密封，在递交投标文件时单独递交）；</w:t>
      </w:r>
    </w:p>
    <w:p>
      <w:pPr>
        <w:spacing w:line="360" w:lineRule="auto"/>
        <w:ind w:left="1026" w:leftChars="355" w:hanging="281" w:hangingChars="134"/>
        <w:rPr>
          <w:rFonts w:hAnsi="宋体" w:cs="宋体"/>
          <w:szCs w:val="21"/>
          <w:highlight w:val="none"/>
          <w:lang w:val="zh-CN"/>
        </w:rPr>
      </w:pPr>
      <w:r>
        <w:rPr>
          <w:rFonts w:hint="eastAsia" w:hAnsi="宋体" w:cs="宋体"/>
          <w:szCs w:val="21"/>
          <w:highlight w:val="none"/>
          <w:lang w:val="zh-CN"/>
        </w:rPr>
        <w:t>4）电子文件（含投标文件经济文件、商务技术文件, 电子投标文件采用CD－R光盘或U盘装载，其中经济部分需用MS office的excel格式提供。）</w:t>
      </w: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rPr>
          <w:highlight w:val="none"/>
        </w:rPr>
      </w:pPr>
    </w:p>
    <w:p>
      <w:pPr>
        <w:spacing w:line="360" w:lineRule="auto"/>
        <w:ind w:left="1026" w:leftChars="355" w:hanging="281" w:hangingChars="134"/>
        <w:rPr>
          <w:rFonts w:hAnsi="宋体" w:cs="宋体"/>
          <w:szCs w:val="21"/>
          <w:highlight w:val="none"/>
          <w:lang w:val="zh-CN"/>
        </w:rPr>
      </w:pPr>
    </w:p>
    <w:p>
      <w:pPr>
        <w:spacing w:line="360" w:lineRule="auto"/>
        <w:ind w:left="1026" w:leftChars="355" w:hanging="281" w:hangingChars="134"/>
        <w:rPr>
          <w:rFonts w:hAnsi="宋体" w:cs="宋体"/>
          <w:szCs w:val="21"/>
          <w:highlight w:val="none"/>
          <w:lang w:val="zh-CN"/>
        </w:rPr>
      </w:pPr>
    </w:p>
    <w:p>
      <w:pPr>
        <w:spacing w:line="360" w:lineRule="auto"/>
        <w:rPr>
          <w:rFonts w:hAnsi="宋体" w:cs="宋体"/>
          <w:szCs w:val="21"/>
          <w:highlight w:val="none"/>
          <w:lang w:val="zh-CN"/>
        </w:rPr>
      </w:pPr>
    </w:p>
    <w:p>
      <w:pPr>
        <w:spacing w:line="360" w:lineRule="auto"/>
        <w:rPr>
          <w:rFonts w:hAnsi="宋体"/>
          <w:highlight w:val="none"/>
          <w:lang w:val="zh-CN"/>
        </w:rPr>
      </w:pPr>
      <w:r>
        <w:rPr>
          <w:rFonts w:hint="eastAsia" w:hAnsi="宋体"/>
          <w:highlight w:val="none"/>
          <w:lang w:val="zh-CN"/>
        </w:rPr>
        <w:t>附件：投标文件封面格式：                                         （正/副本）</w:t>
      </w:r>
    </w:p>
    <w:p>
      <w:pPr>
        <w:ind w:right="-26"/>
        <w:jc w:val="center"/>
        <w:rPr>
          <w:b/>
          <w:sz w:val="56"/>
          <w:szCs w:val="52"/>
          <w:highlight w:val="none"/>
        </w:rPr>
      </w:pPr>
    </w:p>
    <w:p>
      <w:pPr>
        <w:tabs>
          <w:tab w:val="left" w:pos="420"/>
          <w:tab w:val="left" w:pos="6660"/>
        </w:tabs>
        <w:spacing w:line="1600" w:lineRule="atLeast"/>
        <w:jc w:val="center"/>
        <w:rPr>
          <w:b/>
          <w:sz w:val="56"/>
          <w:szCs w:val="52"/>
          <w:highlight w:val="none"/>
        </w:rPr>
      </w:pPr>
      <w:r>
        <w:rPr>
          <w:rFonts w:hint="eastAsia"/>
          <w:b/>
          <w:sz w:val="56"/>
          <w:szCs w:val="52"/>
          <w:highlight w:val="none"/>
        </w:rPr>
        <w:t>国家海洋局南海标准计量中心船员</w:t>
      </w:r>
    </w:p>
    <w:p>
      <w:pPr>
        <w:tabs>
          <w:tab w:val="left" w:pos="420"/>
          <w:tab w:val="left" w:pos="6660"/>
        </w:tabs>
        <w:spacing w:line="1600" w:lineRule="atLeast"/>
        <w:jc w:val="center"/>
        <w:rPr>
          <w:b/>
          <w:sz w:val="56"/>
          <w:szCs w:val="52"/>
          <w:highlight w:val="none"/>
        </w:rPr>
      </w:pPr>
      <w:r>
        <w:rPr>
          <w:rFonts w:hint="eastAsia"/>
          <w:b/>
          <w:sz w:val="56"/>
          <w:szCs w:val="52"/>
          <w:highlight w:val="none"/>
        </w:rPr>
        <w:t>服务采购项目</w:t>
      </w:r>
    </w:p>
    <w:p>
      <w:pPr>
        <w:tabs>
          <w:tab w:val="left" w:pos="420"/>
          <w:tab w:val="left" w:pos="6660"/>
        </w:tabs>
        <w:spacing w:line="1600" w:lineRule="atLeast"/>
        <w:jc w:val="center"/>
        <w:rPr>
          <w:rFonts w:hAnsi="宋体"/>
          <w:b/>
          <w:sz w:val="72"/>
          <w:szCs w:val="72"/>
          <w:highlight w:val="none"/>
        </w:rPr>
      </w:pPr>
      <w:r>
        <w:rPr>
          <w:rFonts w:hint="eastAsia" w:hAnsi="宋体"/>
          <w:b/>
          <w:sz w:val="72"/>
          <w:szCs w:val="72"/>
          <w:highlight w:val="none"/>
        </w:rPr>
        <w:t>投标文件</w:t>
      </w:r>
    </w:p>
    <w:p>
      <w:pPr>
        <w:ind w:right="-26"/>
        <w:rPr>
          <w:rFonts w:hAnsi="宋体"/>
          <w:b/>
          <w:bCs/>
          <w:kern w:val="2"/>
          <w:sz w:val="44"/>
          <w:szCs w:val="44"/>
          <w:highlight w:val="none"/>
          <w:lang w:val="zh-CN"/>
        </w:rPr>
      </w:pPr>
    </w:p>
    <w:p>
      <w:pPr>
        <w:spacing w:line="500" w:lineRule="exact"/>
        <w:jc w:val="center"/>
        <w:rPr>
          <w:rFonts w:hAnsi="宋体"/>
          <w:b/>
          <w:bCs/>
          <w:sz w:val="28"/>
          <w:szCs w:val="28"/>
          <w:highlight w:val="none"/>
        </w:rPr>
      </w:pPr>
      <w:r>
        <w:rPr>
          <w:rFonts w:hint="eastAsia" w:hAnsi="宋体"/>
          <w:b/>
          <w:bCs/>
          <w:sz w:val="28"/>
          <w:szCs w:val="28"/>
          <w:highlight w:val="none"/>
        </w:rPr>
        <w:t>采购编号：GDYD221545</w:t>
      </w:r>
      <w:r>
        <w:rPr>
          <w:highlight w:val="none"/>
        </w:rPr>
        <w:fldChar w:fldCharType="begin"/>
      </w:r>
      <w:r>
        <w:rPr>
          <w:highlight w:val="none"/>
        </w:rPr>
        <w:instrText xml:space="preserve"> DOCVARIABLE  采购编号  \* MERGEFORMAT </w:instrText>
      </w:r>
      <w:r>
        <w:rPr>
          <w:highlight w:val="none"/>
        </w:rPr>
        <w:fldChar w:fldCharType="end"/>
      </w:r>
    </w:p>
    <w:p>
      <w:pPr>
        <w:spacing w:line="360" w:lineRule="auto"/>
        <w:rPr>
          <w:rFonts w:hAnsi="宋体"/>
          <w:b/>
          <w:sz w:val="28"/>
          <w:szCs w:val="28"/>
          <w:highlight w:val="none"/>
        </w:rPr>
      </w:pPr>
    </w:p>
    <w:p>
      <w:pPr>
        <w:spacing w:line="360" w:lineRule="auto"/>
        <w:jc w:val="center"/>
        <w:rPr>
          <w:rFonts w:hAnsi="宋体"/>
          <w:b/>
          <w:sz w:val="28"/>
          <w:szCs w:val="28"/>
          <w:highlight w:val="none"/>
        </w:rPr>
      </w:pPr>
    </w:p>
    <w:p>
      <w:pPr>
        <w:spacing w:line="360" w:lineRule="auto"/>
        <w:rPr>
          <w:rFonts w:hAnsi="宋体"/>
          <w:b/>
          <w:sz w:val="28"/>
          <w:szCs w:val="28"/>
          <w:highlight w:val="none"/>
        </w:rPr>
      </w:pPr>
    </w:p>
    <w:p>
      <w:pPr>
        <w:spacing w:line="360" w:lineRule="auto"/>
        <w:rPr>
          <w:rFonts w:hAnsi="宋体"/>
          <w:b/>
          <w:sz w:val="28"/>
          <w:szCs w:val="28"/>
          <w:highlight w:val="none"/>
        </w:rPr>
      </w:pPr>
    </w:p>
    <w:p>
      <w:pPr>
        <w:spacing w:line="360" w:lineRule="auto"/>
        <w:jc w:val="center"/>
        <w:rPr>
          <w:rFonts w:hAnsi="宋体"/>
          <w:b/>
          <w:bCs/>
          <w:sz w:val="28"/>
          <w:szCs w:val="28"/>
          <w:highlight w:val="none"/>
        </w:rPr>
      </w:pPr>
    </w:p>
    <w:p>
      <w:pPr>
        <w:spacing w:line="360" w:lineRule="auto"/>
        <w:ind w:firstLine="703" w:firstLineChars="250"/>
        <w:rPr>
          <w:rFonts w:hAnsi="宋体"/>
          <w:b/>
          <w:bCs/>
          <w:sz w:val="28"/>
          <w:szCs w:val="28"/>
          <w:highlight w:val="none"/>
        </w:rPr>
      </w:pPr>
      <w:r>
        <w:rPr>
          <w:rFonts w:hint="eastAsia" w:hAnsi="宋体"/>
          <w:b/>
          <w:bCs/>
          <w:sz w:val="28"/>
          <w:szCs w:val="28"/>
          <w:highlight w:val="none"/>
        </w:rPr>
        <w:t>投标人：</w:t>
      </w:r>
    </w:p>
    <w:p>
      <w:pPr>
        <w:spacing w:line="360" w:lineRule="auto"/>
        <w:ind w:firstLine="703" w:firstLineChars="250"/>
        <w:rPr>
          <w:rFonts w:hAnsi="宋体"/>
          <w:b/>
          <w:bCs/>
          <w:sz w:val="28"/>
          <w:szCs w:val="28"/>
          <w:highlight w:val="none"/>
        </w:rPr>
      </w:pPr>
      <w:r>
        <w:rPr>
          <w:rFonts w:hint="eastAsia" w:hAnsi="宋体"/>
          <w:b/>
          <w:bCs/>
          <w:sz w:val="28"/>
          <w:szCs w:val="28"/>
          <w:highlight w:val="none"/>
        </w:rPr>
        <w:t>投标人地址：</w:t>
      </w:r>
    </w:p>
    <w:p>
      <w:pPr>
        <w:spacing w:line="360" w:lineRule="auto"/>
        <w:ind w:firstLine="703" w:firstLineChars="250"/>
        <w:rPr>
          <w:rFonts w:hAnsi="宋体"/>
          <w:b/>
          <w:bCs/>
          <w:sz w:val="28"/>
          <w:szCs w:val="28"/>
          <w:highlight w:val="none"/>
        </w:rPr>
      </w:pPr>
      <w:r>
        <w:rPr>
          <w:rFonts w:hint="eastAsia" w:hAnsi="宋体"/>
          <w:b/>
          <w:bCs/>
          <w:sz w:val="28"/>
          <w:szCs w:val="28"/>
          <w:highlight w:val="none"/>
        </w:rPr>
        <w:t>联系人：</w:t>
      </w:r>
    </w:p>
    <w:p>
      <w:pPr>
        <w:spacing w:line="360" w:lineRule="auto"/>
        <w:ind w:firstLine="703" w:firstLineChars="250"/>
        <w:rPr>
          <w:rFonts w:hAnsi="宋体"/>
          <w:b/>
          <w:bCs/>
          <w:sz w:val="28"/>
          <w:szCs w:val="28"/>
          <w:highlight w:val="none"/>
        </w:rPr>
      </w:pPr>
      <w:r>
        <w:rPr>
          <w:rFonts w:hint="eastAsia" w:hAnsi="宋体"/>
          <w:b/>
          <w:bCs/>
          <w:sz w:val="28"/>
          <w:szCs w:val="28"/>
          <w:highlight w:val="none"/>
        </w:rPr>
        <w:t>联系电话：</w:t>
      </w:r>
    </w:p>
    <w:p>
      <w:pPr>
        <w:spacing w:line="360" w:lineRule="auto"/>
        <w:ind w:firstLine="703" w:firstLineChars="250"/>
        <w:rPr>
          <w:rFonts w:hAnsi="宋体"/>
          <w:b/>
          <w:bCs/>
          <w:sz w:val="28"/>
          <w:szCs w:val="28"/>
          <w:highlight w:val="none"/>
        </w:rPr>
      </w:pPr>
      <w:r>
        <w:rPr>
          <w:rFonts w:hint="eastAsia" w:hAnsi="宋体"/>
          <w:b/>
          <w:bCs/>
          <w:sz w:val="28"/>
          <w:szCs w:val="28"/>
          <w:highlight w:val="none"/>
        </w:rPr>
        <w:t>电子邮箱：</w:t>
      </w:r>
    </w:p>
    <w:p>
      <w:pPr>
        <w:spacing w:line="360" w:lineRule="auto"/>
        <w:ind w:firstLine="703" w:firstLineChars="250"/>
        <w:rPr>
          <w:rFonts w:hAnsi="宋体"/>
          <w:b/>
          <w:bCs/>
          <w:sz w:val="28"/>
          <w:szCs w:val="28"/>
          <w:highlight w:val="none"/>
        </w:rPr>
      </w:pPr>
      <w:r>
        <w:rPr>
          <w:rFonts w:hint="eastAsia" w:hAnsi="宋体"/>
          <w:b/>
          <w:bCs/>
          <w:sz w:val="28"/>
          <w:szCs w:val="28"/>
          <w:highlight w:val="none"/>
        </w:rPr>
        <w:t>投标日期：20</w:t>
      </w:r>
      <w:r>
        <w:rPr>
          <w:rFonts w:hAnsi="宋体"/>
          <w:b/>
          <w:bCs/>
          <w:sz w:val="28"/>
          <w:szCs w:val="28"/>
          <w:highlight w:val="none"/>
        </w:rPr>
        <w:t>2</w:t>
      </w:r>
      <w:r>
        <w:rPr>
          <w:rFonts w:hint="eastAsia" w:hAnsi="宋体"/>
          <w:b/>
          <w:bCs/>
          <w:sz w:val="28"/>
          <w:szCs w:val="28"/>
          <w:highlight w:val="none"/>
        </w:rPr>
        <w:t>1年 月</w:t>
      </w:r>
    </w:p>
    <w:p>
      <w:pPr>
        <w:spacing w:line="360" w:lineRule="auto"/>
        <w:ind w:left="1026" w:leftChars="355" w:hanging="281" w:hangingChars="134"/>
        <w:rPr>
          <w:rFonts w:hAnsi="宋体" w:cs="宋体"/>
          <w:szCs w:val="21"/>
          <w:highlight w:val="none"/>
          <w:lang w:val="zh-CN"/>
        </w:rPr>
      </w:pPr>
    </w:p>
    <w:p>
      <w:pPr>
        <w:pStyle w:val="4"/>
        <w:spacing w:before="120" w:line="480" w:lineRule="exact"/>
        <w:jc w:val="center"/>
        <w:rPr>
          <w:rFonts w:hAnsi="宋体" w:cs="宋体"/>
          <w:b/>
          <w:sz w:val="32"/>
          <w:szCs w:val="32"/>
          <w:highlight w:val="none"/>
        </w:rPr>
      </w:pPr>
      <w:r>
        <w:rPr>
          <w:rFonts w:hint="eastAsia" w:hAnsi="宋体" w:cs="宋体"/>
          <w:szCs w:val="21"/>
          <w:highlight w:val="none"/>
          <w:lang w:val="zh-CN"/>
        </w:rPr>
        <w:br w:type="page"/>
      </w:r>
      <w:r>
        <w:rPr>
          <w:rFonts w:hint="eastAsia" w:hAnsi="宋体" w:cs="宋体"/>
          <w:b/>
          <w:sz w:val="32"/>
          <w:szCs w:val="32"/>
          <w:highlight w:val="none"/>
        </w:rPr>
        <w:t>一、自查表</w:t>
      </w:r>
    </w:p>
    <w:p>
      <w:pPr>
        <w:pStyle w:val="4"/>
        <w:spacing w:before="120" w:line="480" w:lineRule="exact"/>
        <w:jc w:val="center"/>
        <w:rPr>
          <w:rFonts w:hAnsi="宋体" w:cs="宋体"/>
          <w:b/>
          <w:sz w:val="32"/>
          <w:szCs w:val="32"/>
          <w:highlight w:val="none"/>
        </w:rPr>
      </w:pPr>
      <w:r>
        <w:rPr>
          <w:rFonts w:hint="eastAsia" w:hAnsi="宋体" w:cs="宋体"/>
          <w:b/>
          <w:sz w:val="32"/>
          <w:szCs w:val="32"/>
          <w:highlight w:val="none"/>
        </w:rPr>
        <w:t>1.资格性/符合性自查表</w:t>
      </w:r>
    </w:p>
    <w:tbl>
      <w:tblPr>
        <w:tblStyle w:val="49"/>
        <w:tblW w:w="9781" w:type="dxa"/>
        <w:tblInd w:w="5" w:type="dxa"/>
        <w:tblLayout w:type="fixed"/>
        <w:tblCellMar>
          <w:top w:w="0" w:type="dxa"/>
          <w:left w:w="0" w:type="dxa"/>
          <w:bottom w:w="0" w:type="dxa"/>
          <w:right w:w="0" w:type="dxa"/>
        </w:tblCellMar>
      </w:tblPr>
      <w:tblGrid>
        <w:gridCol w:w="709"/>
        <w:gridCol w:w="1559"/>
        <w:gridCol w:w="5245"/>
        <w:gridCol w:w="1134"/>
        <w:gridCol w:w="1134"/>
      </w:tblGrid>
      <w:tr>
        <w:tblPrEx>
          <w:tblCellMar>
            <w:top w:w="0" w:type="dxa"/>
            <w:left w:w="0" w:type="dxa"/>
            <w:bottom w:w="0" w:type="dxa"/>
            <w:right w:w="0" w:type="dxa"/>
          </w:tblCellMar>
        </w:tblPrEx>
        <w:trPr>
          <w:trHeight w:val="522" w:hRule="atLeast"/>
        </w:trPr>
        <w:tc>
          <w:tcPr>
            <w:tcW w:w="2268" w:type="dxa"/>
            <w:gridSpan w:val="2"/>
            <w:tcBorders>
              <w:top w:val="single" w:color="auto" w:sz="4" w:space="0"/>
              <w:left w:val="single" w:color="auto" w:sz="4" w:space="0"/>
              <w:bottom w:val="single" w:color="auto" w:sz="4" w:space="0"/>
              <w:right w:val="single" w:color="auto" w:sz="4" w:space="0"/>
            </w:tcBorders>
            <w:vAlign w:val="center"/>
          </w:tcPr>
          <w:p>
            <w:pPr>
              <w:ind w:left="-171"/>
              <w:jc w:val="center"/>
              <w:rPr>
                <w:rFonts w:hAnsi="宋体" w:cs="宋体"/>
                <w:b/>
                <w:bCs/>
                <w:szCs w:val="21"/>
                <w:highlight w:val="none"/>
              </w:rPr>
            </w:pPr>
            <w:r>
              <w:rPr>
                <w:rFonts w:hint="eastAsia" w:hAnsi="宋体" w:cs="宋体"/>
                <w:b/>
                <w:bCs/>
                <w:szCs w:val="21"/>
                <w:highlight w:val="none"/>
              </w:rPr>
              <w:t>评审内容</w:t>
            </w:r>
          </w:p>
        </w:tc>
        <w:tc>
          <w:tcPr>
            <w:tcW w:w="5245" w:type="dxa"/>
            <w:tcBorders>
              <w:top w:val="single" w:color="auto" w:sz="4" w:space="0"/>
              <w:left w:val="single" w:color="auto" w:sz="4" w:space="0"/>
              <w:bottom w:val="single" w:color="auto" w:sz="4" w:space="0"/>
              <w:right w:val="single" w:color="auto" w:sz="4" w:space="0"/>
            </w:tcBorders>
            <w:vAlign w:val="center"/>
          </w:tcPr>
          <w:p>
            <w:pPr>
              <w:ind w:left="-171"/>
              <w:jc w:val="center"/>
              <w:rPr>
                <w:rFonts w:hAnsi="宋体" w:cs="宋体"/>
                <w:b/>
                <w:bCs/>
                <w:szCs w:val="21"/>
                <w:highlight w:val="none"/>
              </w:rPr>
            </w:pPr>
            <w:r>
              <w:rPr>
                <w:rFonts w:hint="eastAsia" w:hAnsi="宋体" w:cs="宋体"/>
                <w:b/>
                <w:bCs/>
                <w:szCs w:val="21"/>
                <w:highlight w:val="none"/>
              </w:rPr>
              <w:t>采购文件要求</w:t>
            </w:r>
          </w:p>
        </w:tc>
        <w:tc>
          <w:tcPr>
            <w:tcW w:w="1134" w:type="dxa"/>
            <w:tcBorders>
              <w:top w:val="single" w:color="auto" w:sz="4" w:space="0"/>
              <w:left w:val="nil"/>
              <w:bottom w:val="single" w:color="auto" w:sz="4" w:space="0"/>
              <w:right w:val="single" w:color="auto" w:sz="4" w:space="0"/>
            </w:tcBorders>
            <w:vAlign w:val="center"/>
          </w:tcPr>
          <w:p>
            <w:pPr>
              <w:ind w:left="-171"/>
              <w:jc w:val="center"/>
              <w:rPr>
                <w:rFonts w:hAnsi="宋体" w:cs="宋体"/>
                <w:b/>
                <w:bCs/>
                <w:szCs w:val="21"/>
                <w:highlight w:val="none"/>
              </w:rPr>
            </w:pPr>
            <w:r>
              <w:rPr>
                <w:rFonts w:hint="eastAsia" w:hAnsi="宋体" w:cs="宋体"/>
                <w:b/>
                <w:bCs/>
                <w:szCs w:val="21"/>
                <w:highlight w:val="none"/>
              </w:rPr>
              <w:t>自查结论</w:t>
            </w:r>
          </w:p>
        </w:tc>
        <w:tc>
          <w:tcPr>
            <w:tcW w:w="1134" w:type="dxa"/>
            <w:tcBorders>
              <w:top w:val="single" w:color="auto" w:sz="4" w:space="0"/>
              <w:left w:val="single" w:color="auto" w:sz="4" w:space="0"/>
              <w:bottom w:val="single" w:color="000000" w:sz="4" w:space="0"/>
              <w:right w:val="single" w:color="auto" w:sz="4" w:space="0"/>
            </w:tcBorders>
            <w:vAlign w:val="center"/>
          </w:tcPr>
          <w:p>
            <w:pPr>
              <w:ind w:left="-171"/>
              <w:jc w:val="center"/>
              <w:rPr>
                <w:rFonts w:hAnsi="宋体" w:cs="宋体"/>
                <w:b/>
                <w:bCs/>
                <w:szCs w:val="21"/>
                <w:highlight w:val="none"/>
              </w:rPr>
            </w:pPr>
            <w:r>
              <w:rPr>
                <w:rFonts w:hint="eastAsia" w:hAnsi="宋体" w:cs="宋体"/>
                <w:b/>
                <w:bCs/>
                <w:szCs w:val="21"/>
                <w:highlight w:val="none"/>
              </w:rPr>
              <w:t>证明资料</w:t>
            </w:r>
          </w:p>
        </w:tc>
      </w:tr>
      <w:tr>
        <w:tblPrEx>
          <w:tblCellMar>
            <w:top w:w="0" w:type="dxa"/>
            <w:left w:w="0" w:type="dxa"/>
            <w:bottom w:w="0" w:type="dxa"/>
            <w:right w:w="0" w:type="dxa"/>
          </w:tblCellMar>
        </w:tblPrEx>
        <w:trPr>
          <w:trHeight w:val="510" w:hRule="atLeast"/>
        </w:trPr>
        <w:tc>
          <w:tcPr>
            <w:tcW w:w="709" w:type="dxa"/>
            <w:vMerge w:val="restart"/>
            <w:tcBorders>
              <w:top w:val="nil"/>
              <w:left w:val="single" w:color="auto" w:sz="4" w:space="0"/>
              <w:right w:val="single" w:color="auto" w:sz="4" w:space="0"/>
            </w:tcBorders>
            <w:vAlign w:val="center"/>
          </w:tcPr>
          <w:p>
            <w:pPr>
              <w:jc w:val="center"/>
              <w:rPr>
                <w:rFonts w:hAnsi="宋体" w:cs="宋体"/>
                <w:szCs w:val="21"/>
                <w:highlight w:val="none"/>
              </w:rPr>
            </w:pPr>
            <w:r>
              <w:rPr>
                <w:rFonts w:hint="eastAsia" w:hAnsi="宋体" w:cs="宋体"/>
                <w:szCs w:val="21"/>
                <w:highlight w:val="none"/>
              </w:rPr>
              <w:t>资格性检查</w:t>
            </w:r>
          </w:p>
        </w:tc>
        <w:tc>
          <w:tcPr>
            <w:tcW w:w="1559" w:type="dxa"/>
            <w:tcBorders>
              <w:top w:val="nil"/>
              <w:left w:val="nil"/>
              <w:bottom w:val="single" w:color="auto" w:sz="4" w:space="0"/>
              <w:right w:val="single" w:color="auto" w:sz="4" w:space="0"/>
            </w:tcBorders>
            <w:vAlign w:val="center"/>
          </w:tcPr>
          <w:p>
            <w:pPr>
              <w:ind w:left="40" w:leftChars="19"/>
              <w:jc w:val="center"/>
              <w:rPr>
                <w:rFonts w:hAnsi="宋体" w:cs="宋体"/>
                <w:szCs w:val="21"/>
                <w:highlight w:val="none"/>
              </w:rPr>
            </w:pPr>
            <w:r>
              <w:rPr>
                <w:rFonts w:hint="eastAsia" w:hAnsi="宋体" w:cs="宋体"/>
                <w:szCs w:val="21"/>
                <w:highlight w:val="none"/>
              </w:rPr>
              <w:t>投标函</w:t>
            </w:r>
          </w:p>
        </w:tc>
        <w:tc>
          <w:tcPr>
            <w:tcW w:w="5245" w:type="dxa"/>
            <w:tcBorders>
              <w:top w:val="nil"/>
              <w:left w:val="nil"/>
              <w:bottom w:val="single" w:color="auto" w:sz="4" w:space="0"/>
              <w:right w:val="single" w:color="auto" w:sz="4" w:space="0"/>
            </w:tcBorders>
            <w:vAlign w:val="center"/>
          </w:tcPr>
          <w:p>
            <w:pPr>
              <w:ind w:left="40" w:leftChars="19"/>
              <w:jc w:val="both"/>
              <w:rPr>
                <w:rFonts w:hAnsi="宋体" w:cs="宋体"/>
                <w:szCs w:val="21"/>
                <w:highlight w:val="none"/>
              </w:rPr>
            </w:pPr>
            <w:r>
              <w:rPr>
                <w:rFonts w:hint="eastAsia" w:hAnsi="宋体" w:cs="宋体"/>
                <w:szCs w:val="21"/>
                <w:highlight w:val="none"/>
              </w:rPr>
              <w:t>按对应格式文件填写、签署、盖章(原件)</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510" w:hRule="atLeast"/>
        </w:trPr>
        <w:tc>
          <w:tcPr>
            <w:tcW w:w="709" w:type="dxa"/>
            <w:vMerge w:val="continue"/>
            <w:tcBorders>
              <w:left w:val="single" w:color="auto" w:sz="4" w:space="0"/>
              <w:right w:val="single" w:color="auto" w:sz="4" w:space="0"/>
            </w:tcBorders>
            <w:vAlign w:val="center"/>
          </w:tcPr>
          <w:p>
            <w:pPr>
              <w:jc w:val="center"/>
              <w:rPr>
                <w:rFonts w:hAnsi="宋体" w:cs="宋体"/>
                <w:szCs w:val="21"/>
                <w:highlight w:val="none"/>
              </w:rPr>
            </w:pPr>
          </w:p>
        </w:tc>
        <w:tc>
          <w:tcPr>
            <w:tcW w:w="1559" w:type="dxa"/>
            <w:tcBorders>
              <w:top w:val="nil"/>
              <w:left w:val="nil"/>
              <w:bottom w:val="single" w:color="auto" w:sz="4" w:space="0"/>
              <w:right w:val="single" w:color="auto" w:sz="4" w:space="0"/>
            </w:tcBorders>
            <w:vAlign w:val="center"/>
          </w:tcPr>
          <w:p>
            <w:pPr>
              <w:ind w:left="40" w:leftChars="19"/>
              <w:jc w:val="center"/>
              <w:rPr>
                <w:rFonts w:hAnsi="宋体" w:cs="宋体"/>
                <w:szCs w:val="21"/>
                <w:highlight w:val="none"/>
              </w:rPr>
            </w:pPr>
            <w:r>
              <w:rPr>
                <w:rFonts w:hint="eastAsia" w:hAnsi="宋体" w:cs="宋体"/>
                <w:szCs w:val="21"/>
                <w:highlight w:val="none"/>
              </w:rPr>
              <w:t>法定代表人/负责人资格证明书及授权委托书</w:t>
            </w:r>
          </w:p>
        </w:tc>
        <w:tc>
          <w:tcPr>
            <w:tcW w:w="5245" w:type="dxa"/>
            <w:tcBorders>
              <w:top w:val="nil"/>
              <w:left w:val="nil"/>
              <w:bottom w:val="single" w:color="auto" w:sz="4" w:space="0"/>
              <w:right w:val="single" w:color="auto" w:sz="4" w:space="0"/>
            </w:tcBorders>
            <w:vAlign w:val="center"/>
          </w:tcPr>
          <w:p>
            <w:pPr>
              <w:ind w:left="40" w:leftChars="19"/>
              <w:jc w:val="both"/>
              <w:rPr>
                <w:rFonts w:hAnsi="宋体" w:cs="宋体"/>
                <w:szCs w:val="21"/>
                <w:highlight w:val="none"/>
              </w:rPr>
            </w:pPr>
            <w:r>
              <w:rPr>
                <w:rFonts w:hint="eastAsia" w:hAnsi="宋体" w:cs="宋体"/>
                <w:szCs w:val="21"/>
                <w:highlight w:val="none"/>
              </w:rPr>
              <w:t>按对应格式文件签署、盖章(原件)</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916" w:hRule="atLeast"/>
        </w:trPr>
        <w:tc>
          <w:tcPr>
            <w:tcW w:w="709" w:type="dxa"/>
            <w:vMerge w:val="continue"/>
            <w:tcBorders>
              <w:left w:val="single" w:color="auto" w:sz="4" w:space="0"/>
              <w:right w:val="single" w:color="auto" w:sz="4" w:space="0"/>
            </w:tcBorders>
            <w:vAlign w:val="center"/>
          </w:tcPr>
          <w:p>
            <w:pPr>
              <w:ind w:left="-171"/>
              <w:jc w:val="center"/>
              <w:rPr>
                <w:rFonts w:hAnsi="宋体" w:cs="宋体"/>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40" w:leftChars="19"/>
              <w:jc w:val="both"/>
              <w:rPr>
                <w:rFonts w:hAnsi="宋体" w:cs="宋体"/>
                <w:szCs w:val="21"/>
                <w:highlight w:val="none"/>
              </w:rPr>
            </w:pPr>
            <w:r>
              <w:rPr>
                <w:rFonts w:hint="eastAsia" w:hAnsi="宋体" w:cs="宋体"/>
                <w:szCs w:val="21"/>
                <w:highlight w:val="none"/>
              </w:rPr>
              <w:t>准入条件(关于资格的声明)</w:t>
            </w:r>
          </w:p>
        </w:tc>
        <w:tc>
          <w:tcPr>
            <w:tcW w:w="5245" w:type="dxa"/>
            <w:tcBorders>
              <w:top w:val="nil"/>
              <w:left w:val="nil"/>
              <w:bottom w:val="single" w:color="auto" w:sz="4" w:space="0"/>
              <w:right w:val="single" w:color="auto" w:sz="4" w:space="0"/>
            </w:tcBorders>
            <w:vAlign w:val="center"/>
          </w:tcPr>
          <w:p>
            <w:pPr>
              <w:ind w:left="40" w:leftChars="19"/>
              <w:jc w:val="both"/>
              <w:rPr>
                <w:rFonts w:hAnsi="宋体" w:cs="宋体"/>
                <w:szCs w:val="21"/>
                <w:highlight w:val="none"/>
              </w:rPr>
            </w:pPr>
            <w:r>
              <w:rPr>
                <w:rFonts w:hint="eastAsia" w:hAnsi="宋体" w:cs="宋体"/>
                <w:szCs w:val="21"/>
                <w:highlight w:val="none"/>
              </w:rPr>
              <w:t>能独立承担民事责任，具有从事本项目的经营范围和能力。提供《营业执照》</w:t>
            </w:r>
            <w:r>
              <w:rPr>
                <w:rFonts w:hint="eastAsia" w:hAnsi="宋体" w:cs="宋体"/>
                <w:bCs/>
                <w:szCs w:val="21"/>
                <w:highlight w:val="none"/>
              </w:rPr>
              <w:t>副本复印件</w:t>
            </w:r>
            <w:r>
              <w:rPr>
                <w:rFonts w:hint="eastAsia" w:hAnsi="宋体" w:cs="宋体"/>
                <w:szCs w:val="21"/>
                <w:highlight w:val="none"/>
              </w:rPr>
              <w:t>、</w:t>
            </w:r>
            <w:r>
              <w:rPr>
                <w:rFonts w:hint="eastAsia" w:hAnsi="宋体" w:cs="宋体"/>
                <w:bCs/>
                <w:szCs w:val="21"/>
                <w:highlight w:val="none"/>
              </w:rPr>
              <w:t>招标公告要求的资质资格证明复印件</w:t>
            </w:r>
            <w:r>
              <w:rPr>
                <w:rFonts w:hint="eastAsia" w:hAnsi="宋体" w:cs="宋体"/>
                <w:szCs w:val="21"/>
                <w:highlight w:val="none"/>
              </w:rPr>
              <w:t>加盖公章（见《投标须知前附表》）。</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731" w:hRule="atLeast"/>
        </w:trPr>
        <w:tc>
          <w:tcPr>
            <w:tcW w:w="709" w:type="dxa"/>
            <w:vMerge w:val="continue"/>
            <w:tcBorders>
              <w:left w:val="single" w:color="auto" w:sz="4" w:space="0"/>
              <w:right w:val="single" w:color="auto" w:sz="4" w:space="0"/>
            </w:tcBorders>
            <w:vAlign w:val="center"/>
          </w:tcPr>
          <w:p>
            <w:pPr>
              <w:ind w:left="-171"/>
              <w:jc w:val="center"/>
              <w:rPr>
                <w:rFonts w:hAnsi="宋体" w:cs="宋体"/>
                <w:szCs w:val="21"/>
                <w:highlight w:val="none"/>
              </w:rPr>
            </w:pPr>
          </w:p>
        </w:tc>
        <w:tc>
          <w:tcPr>
            <w:tcW w:w="1559" w:type="dxa"/>
            <w:vMerge w:val="restart"/>
            <w:tcBorders>
              <w:top w:val="single" w:color="auto" w:sz="4" w:space="0"/>
              <w:left w:val="nil"/>
              <w:right w:val="single" w:color="auto" w:sz="4" w:space="0"/>
            </w:tcBorders>
            <w:vAlign w:val="center"/>
          </w:tcPr>
          <w:p>
            <w:pPr>
              <w:ind w:left="40" w:leftChars="19"/>
              <w:jc w:val="center"/>
              <w:rPr>
                <w:rFonts w:hAnsi="宋体" w:cs="宋体"/>
                <w:szCs w:val="21"/>
                <w:highlight w:val="none"/>
              </w:rPr>
            </w:pPr>
            <w:r>
              <w:rPr>
                <w:rFonts w:hint="eastAsia" w:hAnsi="宋体" w:cs="宋体"/>
                <w:szCs w:val="21"/>
                <w:highlight w:val="none"/>
              </w:rPr>
              <w:t>其他要求</w:t>
            </w:r>
          </w:p>
        </w:tc>
        <w:tc>
          <w:tcPr>
            <w:tcW w:w="5245" w:type="dxa"/>
            <w:tcBorders>
              <w:top w:val="nil"/>
              <w:left w:val="nil"/>
              <w:bottom w:val="single" w:color="auto" w:sz="4" w:space="0"/>
              <w:right w:val="single" w:color="auto" w:sz="4" w:space="0"/>
            </w:tcBorders>
            <w:vAlign w:val="center"/>
          </w:tcPr>
          <w:p>
            <w:pPr>
              <w:spacing w:line="300" w:lineRule="auto"/>
              <w:jc w:val="both"/>
              <w:rPr>
                <w:rFonts w:hAnsi="宋体" w:cs="宋体"/>
                <w:kern w:val="2"/>
                <w:szCs w:val="21"/>
                <w:highlight w:val="none"/>
                <w:lang w:val="zh-CN"/>
              </w:rPr>
            </w:pPr>
            <w:r>
              <w:rPr>
                <w:rFonts w:hint="eastAsia" w:hAnsi="宋体" w:cs="宋体"/>
                <w:szCs w:val="21"/>
                <w:highlight w:val="none"/>
              </w:rPr>
              <w:t>按投标资料清单中规定提供“必须提交”的文件资料</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731" w:hRule="atLeast"/>
        </w:trPr>
        <w:tc>
          <w:tcPr>
            <w:tcW w:w="709" w:type="dxa"/>
            <w:vMerge w:val="continue"/>
            <w:tcBorders>
              <w:left w:val="single" w:color="auto" w:sz="4" w:space="0"/>
              <w:bottom w:val="single" w:color="auto" w:sz="4" w:space="0"/>
              <w:right w:val="single" w:color="auto" w:sz="4" w:space="0"/>
            </w:tcBorders>
            <w:vAlign w:val="center"/>
          </w:tcPr>
          <w:p>
            <w:pPr>
              <w:ind w:left="-171"/>
              <w:jc w:val="center"/>
              <w:rPr>
                <w:rFonts w:hAnsi="宋体" w:cs="宋体"/>
                <w:szCs w:val="21"/>
                <w:highlight w:val="none"/>
              </w:rPr>
            </w:pPr>
          </w:p>
        </w:tc>
        <w:tc>
          <w:tcPr>
            <w:tcW w:w="1559" w:type="dxa"/>
            <w:vMerge w:val="continue"/>
            <w:tcBorders>
              <w:left w:val="nil"/>
              <w:bottom w:val="single" w:color="auto" w:sz="4" w:space="0"/>
              <w:right w:val="single" w:color="auto" w:sz="4" w:space="0"/>
            </w:tcBorders>
            <w:vAlign w:val="center"/>
          </w:tcPr>
          <w:p>
            <w:pPr>
              <w:ind w:left="40" w:leftChars="19"/>
              <w:jc w:val="both"/>
              <w:rPr>
                <w:rFonts w:hAnsi="宋体" w:cs="宋体"/>
                <w:szCs w:val="21"/>
                <w:highlight w:val="none"/>
              </w:rPr>
            </w:pP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hAnsi="宋体" w:cs="宋体"/>
                <w:szCs w:val="21"/>
                <w:highlight w:val="none"/>
              </w:rPr>
            </w:pPr>
            <w:r>
              <w:rPr>
                <w:rFonts w:hint="eastAsia" w:hAnsi="宋体" w:cs="宋体"/>
                <w:szCs w:val="21"/>
                <w:highlight w:val="none"/>
              </w:rPr>
              <w:t>在参与政府采购活动中未有违法违纪行为并受过处罚</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1033" w:hRule="atLeast"/>
        </w:trPr>
        <w:tc>
          <w:tcPr>
            <w:tcW w:w="709" w:type="dxa"/>
            <w:vMerge w:val="restart"/>
            <w:tcBorders>
              <w:top w:val="nil"/>
              <w:left w:val="single" w:color="auto" w:sz="4" w:space="0"/>
              <w:bottom w:val="single" w:color="000000" w:sz="4" w:space="0"/>
              <w:right w:val="single" w:color="auto" w:sz="4" w:space="0"/>
            </w:tcBorders>
            <w:vAlign w:val="center"/>
          </w:tcPr>
          <w:p>
            <w:pPr>
              <w:jc w:val="center"/>
              <w:rPr>
                <w:rFonts w:hAnsi="宋体" w:cs="宋体"/>
                <w:szCs w:val="21"/>
                <w:highlight w:val="none"/>
              </w:rPr>
            </w:pPr>
            <w:r>
              <w:rPr>
                <w:rFonts w:hint="eastAsia" w:hAnsi="宋体" w:cs="宋体"/>
                <w:szCs w:val="21"/>
                <w:highlight w:val="none"/>
              </w:rPr>
              <w:t>符合性审查</w:t>
            </w:r>
          </w:p>
        </w:tc>
        <w:tc>
          <w:tcPr>
            <w:tcW w:w="1559" w:type="dxa"/>
            <w:tcBorders>
              <w:top w:val="nil"/>
              <w:left w:val="single" w:color="auto" w:sz="4" w:space="0"/>
              <w:bottom w:val="single" w:color="auto" w:sz="4" w:space="0"/>
              <w:right w:val="single" w:color="auto" w:sz="4" w:space="0"/>
            </w:tcBorders>
            <w:vAlign w:val="center"/>
          </w:tcPr>
          <w:p>
            <w:pPr>
              <w:ind w:left="-171"/>
              <w:jc w:val="center"/>
              <w:rPr>
                <w:rFonts w:hAnsi="宋体" w:cs="宋体"/>
                <w:szCs w:val="21"/>
                <w:highlight w:val="none"/>
              </w:rPr>
            </w:pPr>
            <w:r>
              <w:rPr>
                <w:rFonts w:hint="eastAsia" w:hAnsi="宋体" w:cs="宋体"/>
                <w:szCs w:val="21"/>
                <w:highlight w:val="none"/>
              </w:rPr>
              <w:t>报价人的</w:t>
            </w:r>
          </w:p>
          <w:p>
            <w:pPr>
              <w:ind w:left="-171"/>
              <w:jc w:val="center"/>
              <w:rPr>
                <w:rFonts w:hAnsi="宋体" w:cs="宋体"/>
                <w:szCs w:val="21"/>
                <w:highlight w:val="none"/>
              </w:rPr>
            </w:pPr>
            <w:r>
              <w:rPr>
                <w:rFonts w:hint="eastAsia" w:hAnsi="宋体" w:cs="宋体"/>
                <w:szCs w:val="21"/>
                <w:highlight w:val="none"/>
              </w:rPr>
              <w:t>合格性</w:t>
            </w:r>
          </w:p>
        </w:tc>
        <w:tc>
          <w:tcPr>
            <w:tcW w:w="5245" w:type="dxa"/>
            <w:tcBorders>
              <w:top w:val="single" w:color="auto" w:sz="4" w:space="0"/>
              <w:left w:val="nil"/>
              <w:bottom w:val="single" w:color="auto" w:sz="4" w:space="0"/>
              <w:right w:val="single" w:color="auto" w:sz="4" w:space="0"/>
            </w:tcBorders>
            <w:vAlign w:val="center"/>
          </w:tcPr>
          <w:p>
            <w:pPr>
              <w:jc w:val="both"/>
              <w:rPr>
                <w:rFonts w:hAnsi="宋体" w:cs="宋体"/>
                <w:szCs w:val="21"/>
                <w:highlight w:val="none"/>
              </w:rPr>
            </w:pPr>
            <w:r>
              <w:rPr>
                <w:rFonts w:hint="eastAsia" w:hAnsi="宋体" w:cs="宋体"/>
                <w:szCs w:val="21"/>
                <w:highlight w:val="none"/>
              </w:rPr>
              <w:t>在经营范围内报价</w:t>
            </w:r>
          </w:p>
        </w:tc>
        <w:tc>
          <w:tcPr>
            <w:tcW w:w="1134" w:type="dxa"/>
            <w:tcBorders>
              <w:top w:val="single" w:color="auto" w:sz="4" w:space="0"/>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single" w:color="auto" w:sz="4" w:space="0"/>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319"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hAnsi="宋体" w:cs="宋体"/>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171"/>
              <w:jc w:val="center"/>
              <w:rPr>
                <w:rFonts w:hAnsi="宋体" w:cs="宋体"/>
                <w:szCs w:val="21"/>
                <w:highlight w:val="none"/>
              </w:rPr>
            </w:pPr>
            <w:r>
              <w:rPr>
                <w:rFonts w:hint="eastAsia" w:hAnsi="宋体" w:cs="宋体"/>
                <w:szCs w:val="21"/>
                <w:highlight w:val="none"/>
              </w:rPr>
              <w:t>商务要求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hAnsi="宋体" w:cs="宋体"/>
                <w:szCs w:val="21"/>
                <w:highlight w:val="none"/>
              </w:rPr>
            </w:pPr>
            <w:r>
              <w:rPr>
                <w:rFonts w:hint="eastAsia" w:hAnsi="宋体" w:cs="宋体"/>
                <w:szCs w:val="21"/>
                <w:highlight w:val="none"/>
              </w:rPr>
              <w:t>实质性响应招标文件中“★”号参数的商务要求</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hAnsi="宋体" w:cs="宋体"/>
                <w:szCs w:val="21"/>
                <w:highlight w:val="none"/>
              </w:rPr>
            </w:pPr>
          </w:p>
        </w:tc>
        <w:tc>
          <w:tcPr>
            <w:tcW w:w="1559" w:type="dxa"/>
            <w:tcBorders>
              <w:top w:val="single" w:color="auto" w:sz="4" w:space="0"/>
              <w:left w:val="nil"/>
              <w:bottom w:val="single" w:color="auto" w:sz="4" w:space="0"/>
              <w:right w:val="single" w:color="auto" w:sz="4" w:space="0"/>
            </w:tcBorders>
            <w:vAlign w:val="center"/>
          </w:tcPr>
          <w:p>
            <w:pPr>
              <w:ind w:left="-171"/>
              <w:jc w:val="center"/>
              <w:rPr>
                <w:rFonts w:hAnsi="宋体" w:cs="宋体"/>
                <w:szCs w:val="21"/>
                <w:highlight w:val="none"/>
              </w:rPr>
            </w:pPr>
            <w:r>
              <w:rPr>
                <w:rFonts w:hint="eastAsia" w:hAnsi="宋体" w:cs="宋体"/>
                <w:szCs w:val="21"/>
                <w:highlight w:val="none"/>
              </w:rPr>
              <w:t>技术要求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hAnsi="宋体" w:cs="宋体"/>
                <w:szCs w:val="21"/>
                <w:highlight w:val="none"/>
              </w:rPr>
            </w:pPr>
            <w:r>
              <w:rPr>
                <w:rFonts w:hint="eastAsia" w:hAnsi="宋体" w:cs="宋体"/>
                <w:szCs w:val="21"/>
                <w:highlight w:val="none"/>
              </w:rPr>
              <w:t>实质性响应招标文件中“★”号参数的技术要求</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hAnsi="宋体" w:cs="宋体"/>
                <w:szCs w:val="21"/>
                <w:highlight w:val="none"/>
              </w:rPr>
            </w:pPr>
          </w:p>
        </w:tc>
        <w:tc>
          <w:tcPr>
            <w:tcW w:w="1559" w:type="dxa"/>
            <w:tcBorders>
              <w:top w:val="nil"/>
              <w:left w:val="nil"/>
              <w:bottom w:val="single" w:color="auto" w:sz="4" w:space="0"/>
              <w:right w:val="single" w:color="auto" w:sz="4" w:space="0"/>
            </w:tcBorders>
            <w:vAlign w:val="center"/>
          </w:tcPr>
          <w:p>
            <w:pPr>
              <w:ind w:left="-171"/>
              <w:jc w:val="center"/>
              <w:rPr>
                <w:rFonts w:hAnsi="宋体" w:cs="宋体"/>
                <w:szCs w:val="21"/>
                <w:highlight w:val="none"/>
              </w:rPr>
            </w:pPr>
            <w:r>
              <w:rPr>
                <w:rFonts w:hint="eastAsia" w:hAnsi="宋体" w:cs="宋体"/>
                <w:szCs w:val="21"/>
                <w:highlight w:val="none"/>
              </w:rPr>
              <w:t>报价要求</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hAnsi="宋体" w:cs="宋体"/>
                <w:szCs w:val="21"/>
                <w:highlight w:val="none"/>
              </w:rPr>
            </w:pPr>
            <w:r>
              <w:rPr>
                <w:rFonts w:hint="eastAsia" w:hAnsi="宋体" w:cs="宋体"/>
                <w:szCs w:val="21"/>
                <w:highlight w:val="none"/>
              </w:rPr>
              <w:t>报价方案是唯一确定</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r>
        <w:tblPrEx>
          <w:tblCellMar>
            <w:top w:w="0" w:type="dxa"/>
            <w:left w:w="0" w:type="dxa"/>
            <w:bottom w:w="0" w:type="dxa"/>
            <w:right w:w="0" w:type="dxa"/>
          </w:tblCellMar>
        </w:tblPrEx>
        <w:trPr>
          <w:trHeight w:val="450" w:hRule="atLeast"/>
        </w:trPr>
        <w:tc>
          <w:tcPr>
            <w:tcW w:w="709" w:type="dxa"/>
            <w:vMerge w:val="continue"/>
            <w:tcBorders>
              <w:top w:val="nil"/>
              <w:left w:val="single" w:color="auto" w:sz="4" w:space="0"/>
              <w:bottom w:val="single" w:color="000000" w:sz="4" w:space="0"/>
              <w:right w:val="single" w:color="auto" w:sz="4" w:space="0"/>
            </w:tcBorders>
            <w:vAlign w:val="center"/>
          </w:tcPr>
          <w:p>
            <w:pPr>
              <w:ind w:left="-171"/>
              <w:jc w:val="center"/>
              <w:rPr>
                <w:rFonts w:hAnsi="宋体" w:cs="宋体"/>
                <w:szCs w:val="21"/>
                <w:highlight w:val="none"/>
              </w:rPr>
            </w:pPr>
          </w:p>
        </w:tc>
        <w:tc>
          <w:tcPr>
            <w:tcW w:w="1559" w:type="dxa"/>
            <w:tcBorders>
              <w:top w:val="nil"/>
              <w:left w:val="nil"/>
              <w:bottom w:val="single" w:color="auto" w:sz="4" w:space="0"/>
              <w:right w:val="single" w:color="auto" w:sz="4" w:space="0"/>
            </w:tcBorders>
            <w:vAlign w:val="center"/>
          </w:tcPr>
          <w:p>
            <w:pPr>
              <w:ind w:left="-171"/>
              <w:jc w:val="center"/>
              <w:rPr>
                <w:rFonts w:hAnsi="宋体" w:cs="宋体"/>
                <w:szCs w:val="21"/>
                <w:highlight w:val="none"/>
              </w:rPr>
            </w:pPr>
            <w:r>
              <w:rPr>
                <w:rFonts w:hint="eastAsia" w:hAnsi="宋体" w:cs="宋体"/>
                <w:szCs w:val="21"/>
                <w:highlight w:val="none"/>
              </w:rPr>
              <w:t>其它</w:t>
            </w:r>
          </w:p>
        </w:tc>
        <w:tc>
          <w:tcPr>
            <w:tcW w:w="5245" w:type="dxa"/>
            <w:tcBorders>
              <w:top w:val="nil"/>
              <w:left w:val="nil"/>
              <w:bottom w:val="single" w:color="auto" w:sz="4" w:space="0"/>
              <w:right w:val="single" w:color="auto" w:sz="4" w:space="0"/>
            </w:tcBorders>
            <w:vAlign w:val="center"/>
          </w:tcPr>
          <w:p>
            <w:pPr>
              <w:tabs>
                <w:tab w:val="left" w:pos="2880"/>
              </w:tabs>
              <w:ind w:left="40" w:leftChars="19"/>
              <w:jc w:val="both"/>
              <w:rPr>
                <w:rFonts w:hAnsi="宋体" w:cs="宋体"/>
                <w:szCs w:val="21"/>
                <w:highlight w:val="none"/>
              </w:rPr>
            </w:pPr>
            <w:r>
              <w:rPr>
                <w:rFonts w:hint="eastAsia" w:hAnsi="宋体" w:cs="宋体"/>
                <w:szCs w:val="21"/>
                <w:highlight w:val="none"/>
              </w:rPr>
              <w:t>实质性响应招标文件中规定的其它情况</w:t>
            </w:r>
          </w:p>
        </w:tc>
        <w:tc>
          <w:tcPr>
            <w:tcW w:w="1134" w:type="dxa"/>
            <w:tcBorders>
              <w:top w:val="nil"/>
              <w:left w:val="nil"/>
              <w:bottom w:val="single" w:color="auto" w:sz="4" w:space="0"/>
              <w:right w:val="single" w:color="auto" w:sz="4" w:space="0"/>
            </w:tcBorders>
            <w:vAlign w:val="center"/>
          </w:tcPr>
          <w:p>
            <w:pPr>
              <w:ind w:left="264" w:leftChars="59" w:hanging="140" w:hangingChars="67"/>
              <w:jc w:val="both"/>
              <w:rPr>
                <w:rFonts w:hAnsi="宋体" w:cs="宋体"/>
                <w:szCs w:val="21"/>
                <w:highlight w:val="none"/>
              </w:rPr>
            </w:pPr>
            <w:r>
              <w:rPr>
                <w:rFonts w:hint="eastAsia" w:hAnsi="宋体" w:cs="宋体"/>
                <w:szCs w:val="21"/>
                <w:highlight w:val="none"/>
              </w:rPr>
              <w:t>□通过</w:t>
            </w:r>
          </w:p>
          <w:p>
            <w:pPr>
              <w:ind w:left="264" w:leftChars="59" w:hanging="140" w:hangingChars="67"/>
              <w:jc w:val="both"/>
              <w:rPr>
                <w:rFonts w:hAnsi="宋体" w:cs="宋体"/>
                <w:szCs w:val="21"/>
                <w:highlight w:val="none"/>
              </w:rPr>
            </w:pPr>
            <w:r>
              <w:rPr>
                <w:rFonts w:hint="eastAsia" w:hAnsi="宋体" w:cs="宋体"/>
                <w:szCs w:val="21"/>
                <w:highlight w:val="none"/>
              </w:rPr>
              <w:t>□不通过</w:t>
            </w:r>
          </w:p>
        </w:tc>
        <w:tc>
          <w:tcPr>
            <w:tcW w:w="1134" w:type="dxa"/>
            <w:tcBorders>
              <w:top w:val="nil"/>
              <w:left w:val="nil"/>
              <w:bottom w:val="single" w:color="auto" w:sz="4" w:space="0"/>
              <w:right w:val="single" w:color="auto" w:sz="4" w:space="0"/>
            </w:tcBorders>
            <w:vAlign w:val="center"/>
          </w:tcPr>
          <w:p>
            <w:pPr>
              <w:ind w:left="124" w:leftChars="59"/>
              <w:rPr>
                <w:rFonts w:hAnsi="宋体" w:cs="宋体"/>
                <w:szCs w:val="21"/>
                <w:highlight w:val="none"/>
              </w:rPr>
            </w:pPr>
            <w:r>
              <w:rPr>
                <w:rFonts w:hint="eastAsia" w:hAnsi="宋体" w:cs="宋体"/>
                <w:szCs w:val="21"/>
                <w:highlight w:val="none"/>
              </w:rPr>
              <w:t>见投标文件第（）页</w:t>
            </w:r>
          </w:p>
        </w:tc>
      </w:tr>
    </w:tbl>
    <w:p>
      <w:pPr>
        <w:rPr>
          <w:rFonts w:hAnsi="宋体" w:cs="宋体"/>
          <w:highlight w:val="none"/>
        </w:rPr>
      </w:pPr>
    </w:p>
    <w:p>
      <w:pPr>
        <w:pStyle w:val="21"/>
        <w:spacing w:line="360" w:lineRule="exact"/>
        <w:ind w:left="422" w:hanging="422" w:hangingChars="200"/>
        <w:jc w:val="both"/>
        <w:rPr>
          <w:rFonts w:hAnsi="宋体" w:cs="宋体"/>
          <w:color w:val="auto"/>
          <w:sz w:val="21"/>
          <w:szCs w:val="21"/>
          <w:highlight w:val="none"/>
        </w:rPr>
      </w:pPr>
      <w:r>
        <w:rPr>
          <w:rFonts w:hint="eastAsia" w:hAnsi="宋体" w:cs="宋体"/>
          <w:color w:val="auto"/>
          <w:sz w:val="21"/>
          <w:szCs w:val="21"/>
          <w:highlight w:val="none"/>
        </w:rPr>
        <w:t>注：以上材料将作为投标人合格性和有效性审核的重要内容之一，投标人必须严格按照其内容及序列要求在投标文件中对应如实提供，对缺漏和不符合项将会直接导致无效投标！在对应的□打“√”。</w:t>
      </w:r>
    </w:p>
    <w:p>
      <w:pPr>
        <w:snapToGrid w:val="0"/>
        <w:spacing w:line="300" w:lineRule="auto"/>
        <w:rPr>
          <w:rFonts w:hAnsi="宋体" w:cs="宋体"/>
          <w:szCs w:val="21"/>
          <w:highlight w:val="none"/>
        </w:rPr>
      </w:pPr>
    </w:p>
    <w:p>
      <w:pPr>
        <w:snapToGrid w:val="0"/>
        <w:spacing w:line="300" w:lineRule="auto"/>
        <w:rPr>
          <w:rFonts w:hAnsi="宋体" w:cs="宋体"/>
          <w:szCs w:val="21"/>
          <w:highlight w:val="none"/>
          <w:u w:val="single"/>
        </w:rPr>
      </w:pPr>
      <w:r>
        <w:rPr>
          <w:rFonts w:hint="eastAsia" w:hAnsi="宋体" w:cs="宋体"/>
          <w:szCs w:val="21"/>
          <w:highlight w:val="none"/>
        </w:rPr>
        <w:t>投标人法定代表人（或法定代表人授权代表）亲笔签字：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   年   月   日</w:t>
      </w:r>
    </w:p>
    <w:p>
      <w:pPr>
        <w:pStyle w:val="21"/>
        <w:spacing w:line="360" w:lineRule="exac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21"/>
        <w:spacing w:line="360" w:lineRule="exact"/>
        <w:jc w:val="left"/>
        <w:rPr>
          <w:rFonts w:hAnsi="宋体" w:cs="宋体"/>
          <w:color w:val="auto"/>
          <w:sz w:val="21"/>
          <w:highlight w:val="none"/>
        </w:rPr>
      </w:pPr>
    </w:p>
    <w:p>
      <w:pPr>
        <w:pStyle w:val="4"/>
        <w:spacing w:before="120" w:line="480" w:lineRule="exact"/>
        <w:jc w:val="center"/>
        <w:rPr>
          <w:rFonts w:hAnsi="宋体" w:cs="宋体"/>
          <w:b/>
          <w:sz w:val="32"/>
          <w:szCs w:val="32"/>
          <w:highlight w:val="none"/>
        </w:rPr>
      </w:pPr>
      <w:r>
        <w:rPr>
          <w:rFonts w:hint="eastAsia" w:hAnsi="宋体" w:cs="宋体"/>
          <w:b/>
          <w:sz w:val="32"/>
          <w:szCs w:val="32"/>
          <w:highlight w:val="none"/>
        </w:rPr>
        <w:t>2.商务响应评分标准自查表</w:t>
      </w:r>
    </w:p>
    <w:p>
      <w:pPr>
        <w:pStyle w:val="4"/>
        <w:spacing w:before="120" w:line="480" w:lineRule="exact"/>
        <w:jc w:val="center"/>
        <w:rPr>
          <w:rFonts w:hAnsi="宋体"/>
          <w:b/>
          <w:sz w:val="21"/>
          <w:szCs w:val="21"/>
          <w:highlight w:val="none"/>
        </w:rPr>
      </w:pPr>
      <w:r>
        <w:rPr>
          <w:rFonts w:hint="eastAsia" w:hAnsi="宋体"/>
          <w:b/>
          <w:sz w:val="21"/>
          <w:szCs w:val="21"/>
          <w:highlight w:val="none"/>
        </w:rPr>
        <w:t>商务响应评分标准自查表</w:t>
      </w:r>
    </w:p>
    <w:p>
      <w:pPr>
        <w:rPr>
          <w:highlight w:val="none"/>
        </w:rPr>
      </w:pPr>
    </w:p>
    <w:tbl>
      <w:tblPr>
        <w:tblStyle w:val="49"/>
        <w:tblW w:w="9210"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0"/>
        <w:gridCol w:w="4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200" w:type="dxa"/>
            <w:vAlign w:val="center"/>
          </w:tcPr>
          <w:p>
            <w:pPr>
              <w:pStyle w:val="149"/>
              <w:keepNext w:val="0"/>
              <w:adjustRightInd/>
              <w:spacing w:before="0" w:after="0" w:line="240" w:lineRule="auto"/>
              <w:textAlignment w:val="auto"/>
              <w:rPr>
                <w:rFonts w:ascii="宋体" w:hAnsi="宋体" w:cs="宋体"/>
                <w:b/>
                <w:bCs/>
                <w:snapToGrid/>
                <w:spacing w:val="0"/>
                <w:kern w:val="2"/>
                <w:szCs w:val="21"/>
                <w:highlight w:val="none"/>
              </w:rPr>
            </w:pPr>
            <w:r>
              <w:rPr>
                <w:rFonts w:hint="eastAsia" w:ascii="宋体" w:hAnsi="宋体" w:cs="宋体"/>
                <w:b/>
                <w:bCs/>
                <w:snapToGrid/>
                <w:spacing w:val="0"/>
                <w:kern w:val="2"/>
                <w:szCs w:val="21"/>
                <w:highlight w:val="none"/>
              </w:rPr>
              <w:t>评审细则</w:t>
            </w:r>
          </w:p>
        </w:tc>
        <w:tc>
          <w:tcPr>
            <w:tcW w:w="4010" w:type="dxa"/>
            <w:vAlign w:val="center"/>
          </w:tcPr>
          <w:p>
            <w:pPr>
              <w:pStyle w:val="149"/>
              <w:keepNext w:val="0"/>
              <w:adjustRightInd/>
              <w:spacing w:before="0" w:after="0" w:line="240" w:lineRule="auto"/>
              <w:textAlignment w:val="auto"/>
              <w:rPr>
                <w:rFonts w:ascii="宋体" w:hAnsi="宋体" w:cs="宋体"/>
                <w:b/>
                <w:bCs/>
                <w:snapToGrid/>
                <w:spacing w:val="0"/>
                <w:kern w:val="2"/>
                <w:szCs w:val="21"/>
                <w:highlight w:val="none"/>
              </w:rPr>
            </w:pPr>
            <w:r>
              <w:rPr>
                <w:rFonts w:hint="eastAsia" w:ascii="宋体" w:hAnsi="宋体" w:cs="宋体"/>
                <w:b/>
                <w:bCs/>
                <w:snapToGrid/>
                <w:spacing w:val="0"/>
                <w:kern w:val="2"/>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pStyle w:val="37"/>
              <w:rPr>
                <w:rFonts w:ascii="宋体" w:hAnsi="宋体" w:cs="宋体"/>
                <w:b/>
                <w:bCs/>
                <w:iCs/>
                <w:szCs w:val="21"/>
                <w:highlight w:val="none"/>
              </w:rPr>
            </w:pPr>
            <w:r>
              <w:rPr>
                <w:rFonts w:hint="eastAsia" w:ascii="宋体" w:hAnsi="宋体" w:cs="宋体"/>
                <w:b/>
                <w:bCs/>
                <w:iCs/>
                <w:szCs w:val="21"/>
                <w:highlight w:val="none"/>
              </w:rPr>
              <w:t>............</w:t>
            </w:r>
          </w:p>
        </w:tc>
        <w:tc>
          <w:tcPr>
            <w:tcW w:w="4010" w:type="dxa"/>
            <w:vAlign w:val="center"/>
          </w:tcPr>
          <w:p>
            <w:pPr>
              <w:pStyle w:val="37"/>
              <w:jc w:val="center"/>
              <w:rPr>
                <w:rFonts w:ascii="宋体" w:hAnsi="宋体" w:cs="宋体"/>
                <w:b/>
                <w:bCs/>
                <w:szCs w:val="21"/>
                <w:highlight w:val="none"/>
              </w:rPr>
            </w:pPr>
            <w:r>
              <w:rPr>
                <w:rFonts w:hint="eastAsia" w:ascii="宋体" w:hAnsi="宋体" w:cs="宋体"/>
                <w:b/>
                <w:bCs/>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pStyle w:val="37"/>
              <w:rPr>
                <w:rFonts w:ascii="宋体" w:hAnsi="宋体" w:cs="宋体"/>
                <w:b/>
                <w:bCs/>
                <w:iCs/>
                <w:szCs w:val="21"/>
                <w:highlight w:val="none"/>
              </w:rPr>
            </w:pPr>
            <w:r>
              <w:rPr>
                <w:rFonts w:hint="eastAsia" w:ascii="宋体" w:hAnsi="宋体" w:cs="宋体"/>
                <w:b/>
                <w:bCs/>
                <w:iCs/>
                <w:szCs w:val="21"/>
                <w:highlight w:val="none"/>
              </w:rPr>
              <w:t>............</w:t>
            </w:r>
          </w:p>
        </w:tc>
        <w:tc>
          <w:tcPr>
            <w:tcW w:w="4010" w:type="dxa"/>
            <w:vAlign w:val="center"/>
          </w:tcPr>
          <w:p>
            <w:pPr>
              <w:pStyle w:val="37"/>
              <w:jc w:val="center"/>
              <w:rPr>
                <w:rFonts w:ascii="宋体" w:hAnsi="宋体" w:cs="宋体"/>
                <w:b/>
                <w:bCs/>
                <w:szCs w:val="21"/>
                <w:highlight w:val="none"/>
              </w:rPr>
            </w:pPr>
            <w:r>
              <w:rPr>
                <w:rFonts w:hint="eastAsia" w:ascii="宋体" w:hAnsi="宋体" w:cs="宋体"/>
                <w:b/>
                <w:bCs/>
                <w:szCs w:val="21"/>
                <w:highlight w:val="none"/>
              </w:rPr>
              <w:t>第（）页</w:t>
            </w:r>
          </w:p>
        </w:tc>
      </w:tr>
    </w:tbl>
    <w:p>
      <w:pPr>
        <w:snapToGrid w:val="0"/>
        <w:spacing w:line="360" w:lineRule="auto"/>
        <w:rPr>
          <w:rFonts w:hAnsi="宋体" w:cs="宋体"/>
          <w:szCs w:val="21"/>
          <w:highlight w:val="none"/>
        </w:rPr>
      </w:pPr>
      <w:r>
        <w:rPr>
          <w:rFonts w:hint="eastAsia" w:hAnsi="宋体" w:cs="宋体"/>
          <w:szCs w:val="21"/>
          <w:highlight w:val="none"/>
        </w:rPr>
        <w:t>【备注】如因投标人在投标文件中的页码标注错误而导致评审专家漏看，所产生的一切后果由投标人自行负责。</w:t>
      </w:r>
    </w:p>
    <w:p>
      <w:pPr>
        <w:snapToGrid w:val="0"/>
        <w:spacing w:line="360" w:lineRule="auto"/>
        <w:rPr>
          <w:rFonts w:hAnsi="宋体" w:cs="宋体"/>
          <w:szCs w:val="21"/>
          <w:highlight w:val="none"/>
          <w:u w:val="singl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投标人名称（签章）：</w:t>
      </w:r>
    </w:p>
    <w:p>
      <w:pPr>
        <w:snapToGrid w:val="0"/>
        <w:spacing w:line="360" w:lineRule="auto"/>
        <w:rPr>
          <w:rFonts w:hAnsi="宋体" w:cs="宋体"/>
          <w:szCs w:val="21"/>
          <w:highlight w:val="none"/>
        </w:rPr>
      </w:pPr>
      <w:r>
        <w:rPr>
          <w:rFonts w:hint="eastAsia" w:hAnsi="宋体" w:cs="宋体"/>
          <w:szCs w:val="21"/>
          <w:highlight w:val="none"/>
        </w:rPr>
        <w:t>日期：   年   月   日</w:t>
      </w:r>
    </w:p>
    <w:p>
      <w:pPr>
        <w:snapToGrid w:val="0"/>
        <w:spacing w:line="300" w:lineRule="auto"/>
        <w:rPr>
          <w:rFonts w:hAnsi="宋体" w:cs="宋体"/>
          <w:szCs w:val="21"/>
          <w:highlight w:val="none"/>
        </w:rPr>
      </w:pPr>
    </w:p>
    <w:p>
      <w:pPr>
        <w:snapToGrid w:val="0"/>
        <w:spacing w:line="360" w:lineRule="auto"/>
        <w:jc w:val="center"/>
        <w:rPr>
          <w:rFonts w:hAnsi="宋体" w:cs="宋体"/>
          <w:b/>
          <w:sz w:val="30"/>
          <w:szCs w:val="30"/>
          <w:highlight w:val="none"/>
        </w:rPr>
      </w:pPr>
    </w:p>
    <w:p>
      <w:pPr>
        <w:pStyle w:val="4"/>
        <w:spacing w:before="120" w:line="480" w:lineRule="exact"/>
        <w:jc w:val="center"/>
        <w:rPr>
          <w:rFonts w:hAnsi="宋体" w:cs="宋体"/>
          <w:b/>
          <w:sz w:val="32"/>
          <w:szCs w:val="32"/>
          <w:highlight w:val="none"/>
        </w:rPr>
      </w:pPr>
      <w:r>
        <w:rPr>
          <w:rFonts w:hint="eastAsia" w:hAnsi="宋体" w:cs="宋体"/>
          <w:b/>
          <w:sz w:val="32"/>
          <w:szCs w:val="32"/>
          <w:highlight w:val="none"/>
        </w:rPr>
        <w:t>3.技术响应评分标准自查表</w:t>
      </w:r>
    </w:p>
    <w:p>
      <w:pPr>
        <w:pStyle w:val="4"/>
        <w:spacing w:before="120" w:line="480" w:lineRule="exact"/>
        <w:jc w:val="center"/>
        <w:rPr>
          <w:rFonts w:hAnsi="宋体"/>
          <w:b/>
          <w:sz w:val="21"/>
          <w:szCs w:val="21"/>
          <w:highlight w:val="none"/>
        </w:rPr>
      </w:pPr>
      <w:r>
        <w:rPr>
          <w:rFonts w:hint="eastAsia" w:hAnsi="宋体"/>
          <w:b/>
          <w:sz w:val="21"/>
          <w:szCs w:val="21"/>
          <w:highlight w:val="none"/>
        </w:rPr>
        <w:t>技术响应评分标准自查表</w:t>
      </w:r>
    </w:p>
    <w:tbl>
      <w:tblPr>
        <w:tblStyle w:val="49"/>
        <w:tblW w:w="9210"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0"/>
        <w:gridCol w:w="4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200" w:type="dxa"/>
            <w:vAlign w:val="center"/>
          </w:tcPr>
          <w:p>
            <w:pPr>
              <w:pStyle w:val="149"/>
              <w:keepNext w:val="0"/>
              <w:adjustRightInd/>
              <w:spacing w:before="0" w:after="0" w:line="240" w:lineRule="auto"/>
              <w:textAlignment w:val="auto"/>
              <w:rPr>
                <w:rFonts w:ascii="宋体" w:hAnsi="宋体" w:cs="宋体"/>
                <w:bCs/>
                <w:snapToGrid/>
                <w:spacing w:val="0"/>
                <w:kern w:val="2"/>
                <w:szCs w:val="21"/>
                <w:highlight w:val="none"/>
              </w:rPr>
            </w:pPr>
            <w:r>
              <w:rPr>
                <w:rFonts w:hint="eastAsia" w:ascii="宋体" w:hAnsi="宋体" w:cs="宋体"/>
                <w:bCs/>
                <w:snapToGrid/>
                <w:spacing w:val="0"/>
                <w:kern w:val="2"/>
                <w:szCs w:val="21"/>
                <w:highlight w:val="none"/>
              </w:rPr>
              <w:t>评审细则</w:t>
            </w:r>
          </w:p>
        </w:tc>
        <w:tc>
          <w:tcPr>
            <w:tcW w:w="4010" w:type="dxa"/>
            <w:vAlign w:val="center"/>
          </w:tcPr>
          <w:p>
            <w:pPr>
              <w:pStyle w:val="149"/>
              <w:keepNext w:val="0"/>
              <w:adjustRightInd/>
              <w:spacing w:before="0" w:after="0" w:line="240" w:lineRule="auto"/>
              <w:textAlignment w:val="auto"/>
              <w:rPr>
                <w:rFonts w:ascii="宋体" w:hAnsi="宋体" w:cs="宋体"/>
                <w:bCs/>
                <w:snapToGrid/>
                <w:spacing w:val="0"/>
                <w:kern w:val="2"/>
                <w:szCs w:val="21"/>
                <w:highlight w:val="none"/>
              </w:rPr>
            </w:pPr>
            <w:r>
              <w:rPr>
                <w:rFonts w:hint="eastAsia" w:ascii="宋体" w:hAnsi="宋体" w:cs="宋体"/>
                <w:bCs/>
                <w:snapToGrid/>
                <w:spacing w:val="0"/>
                <w:kern w:val="2"/>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iCs/>
                <w:szCs w:val="21"/>
                <w:highlight w:val="none"/>
              </w:rPr>
            </w:pPr>
            <w:r>
              <w:rPr>
                <w:rFonts w:hint="eastAsia" w:hAnsi="宋体" w:cs="宋体"/>
                <w:b/>
                <w:bCs/>
                <w:iCs/>
                <w:szCs w:val="21"/>
                <w:highlight w:val="none"/>
              </w:rPr>
              <w:t>............</w:t>
            </w:r>
          </w:p>
        </w:tc>
        <w:tc>
          <w:tcPr>
            <w:tcW w:w="4010" w:type="dxa"/>
            <w:vAlign w:val="center"/>
          </w:tcPr>
          <w:p>
            <w:pPr>
              <w:pStyle w:val="37"/>
              <w:jc w:val="center"/>
              <w:rPr>
                <w:rFonts w:ascii="宋体" w:hAnsi="宋体" w:cs="宋体"/>
                <w:bCs/>
                <w:szCs w:val="21"/>
                <w:highlight w:val="none"/>
              </w:rPr>
            </w:pPr>
            <w:r>
              <w:rPr>
                <w:rFonts w:hint="eastAsia" w:ascii="宋体" w:hAnsi="宋体" w:cs="宋体"/>
                <w:bCs/>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szCs w:val="21"/>
                <w:highlight w:val="none"/>
              </w:rPr>
            </w:pPr>
            <w:r>
              <w:rPr>
                <w:rFonts w:hint="eastAsia" w:hAnsi="宋体" w:cs="宋体"/>
                <w:b/>
                <w:bCs/>
                <w:iCs/>
                <w:szCs w:val="21"/>
                <w:highlight w:val="none"/>
              </w:rPr>
              <w:t>............</w:t>
            </w:r>
          </w:p>
        </w:tc>
        <w:tc>
          <w:tcPr>
            <w:tcW w:w="4010" w:type="dxa"/>
            <w:vAlign w:val="center"/>
          </w:tcPr>
          <w:p>
            <w:pPr>
              <w:pStyle w:val="37"/>
              <w:jc w:val="center"/>
              <w:rPr>
                <w:rFonts w:ascii="宋体" w:hAnsi="宋体" w:cs="宋体"/>
                <w:bCs/>
                <w:szCs w:val="21"/>
                <w:highlight w:val="none"/>
              </w:rPr>
            </w:pPr>
            <w:r>
              <w:rPr>
                <w:rFonts w:hint="eastAsia" w:ascii="宋体" w:hAnsi="宋体" w:cs="宋体"/>
                <w:bCs/>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00" w:type="dxa"/>
            <w:vAlign w:val="center"/>
          </w:tcPr>
          <w:p>
            <w:pPr>
              <w:rPr>
                <w:rFonts w:hAnsi="宋体" w:cs="宋体"/>
                <w:bCs/>
                <w:szCs w:val="21"/>
                <w:highlight w:val="none"/>
              </w:rPr>
            </w:pPr>
            <w:r>
              <w:rPr>
                <w:rFonts w:hint="eastAsia" w:hAnsi="宋体" w:cs="宋体"/>
                <w:b/>
                <w:bCs/>
                <w:iCs/>
                <w:szCs w:val="21"/>
                <w:highlight w:val="none"/>
              </w:rPr>
              <w:t>............</w:t>
            </w:r>
          </w:p>
        </w:tc>
        <w:tc>
          <w:tcPr>
            <w:tcW w:w="4010" w:type="dxa"/>
            <w:vAlign w:val="center"/>
          </w:tcPr>
          <w:p>
            <w:pPr>
              <w:pStyle w:val="37"/>
              <w:jc w:val="center"/>
              <w:rPr>
                <w:rFonts w:ascii="宋体" w:hAnsi="宋体" w:cs="宋体"/>
                <w:bCs/>
                <w:szCs w:val="21"/>
                <w:highlight w:val="none"/>
              </w:rPr>
            </w:pPr>
            <w:r>
              <w:rPr>
                <w:rFonts w:hint="eastAsia" w:ascii="宋体" w:hAnsi="宋体" w:cs="宋体"/>
                <w:bCs/>
                <w:szCs w:val="21"/>
                <w:highlight w:val="none"/>
              </w:rPr>
              <w:t>第（）页</w:t>
            </w:r>
          </w:p>
        </w:tc>
      </w:tr>
    </w:tbl>
    <w:p>
      <w:pPr>
        <w:snapToGrid w:val="0"/>
        <w:spacing w:line="360" w:lineRule="auto"/>
        <w:rPr>
          <w:rFonts w:hAnsi="宋体"/>
          <w:szCs w:val="21"/>
          <w:highlight w:val="none"/>
        </w:rPr>
      </w:pPr>
      <w:r>
        <w:rPr>
          <w:rFonts w:hint="eastAsia" w:hAnsi="宋体"/>
          <w:szCs w:val="21"/>
          <w:highlight w:val="none"/>
        </w:rPr>
        <w:t>【备注】如因投标人在投标文件中的页码标注错误而导致评审专家漏看，所产生的一切后果由投标人自行负责。</w:t>
      </w:r>
    </w:p>
    <w:p>
      <w:pPr>
        <w:snapToGrid w:val="0"/>
        <w:spacing w:line="360" w:lineRule="auto"/>
        <w:rPr>
          <w:rFonts w:hAnsi="宋体"/>
          <w:szCs w:val="21"/>
          <w:highlight w:val="none"/>
          <w:u w:val="single"/>
        </w:rPr>
      </w:pPr>
      <w:r>
        <w:rPr>
          <w:rFonts w:hint="eastAsia" w:hAnsi="宋体"/>
          <w:szCs w:val="21"/>
          <w:highlight w:val="none"/>
        </w:rPr>
        <w:t>投标人法定代表人（或法定代表人授权代表）签字：</w:t>
      </w:r>
    </w:p>
    <w:p>
      <w:pPr>
        <w:snapToGrid w:val="0"/>
        <w:spacing w:line="360" w:lineRule="auto"/>
        <w:rPr>
          <w:rFonts w:hAnsi="宋体"/>
          <w:szCs w:val="21"/>
          <w:highlight w:val="none"/>
          <w:u w:val="single"/>
        </w:rPr>
      </w:pPr>
      <w:r>
        <w:rPr>
          <w:rFonts w:hint="eastAsia" w:hAnsi="宋体"/>
          <w:szCs w:val="21"/>
          <w:highlight w:val="none"/>
        </w:rPr>
        <w:t>投标人名称（签章）：</w:t>
      </w:r>
    </w:p>
    <w:p>
      <w:pPr>
        <w:snapToGrid w:val="0"/>
        <w:spacing w:line="360" w:lineRule="auto"/>
        <w:rPr>
          <w:rFonts w:hAnsi="宋体"/>
          <w:szCs w:val="21"/>
          <w:highlight w:val="none"/>
        </w:rPr>
      </w:pPr>
      <w:r>
        <w:rPr>
          <w:rFonts w:hint="eastAsia" w:hAnsi="宋体"/>
          <w:szCs w:val="21"/>
          <w:highlight w:val="none"/>
        </w:rPr>
        <w:t>日期：年月日</w:t>
      </w:r>
    </w:p>
    <w:p>
      <w:pPr>
        <w:pStyle w:val="21"/>
        <w:spacing w:line="360" w:lineRule="exact"/>
        <w:rPr>
          <w:rFonts w:hAnsi="宋体"/>
          <w:color w:val="auto"/>
          <w:sz w:val="21"/>
          <w:szCs w:val="21"/>
          <w:highlight w:val="none"/>
          <w:lang w:val="en-US"/>
        </w:rPr>
      </w:pPr>
    </w:p>
    <w:p>
      <w:pPr>
        <w:pStyle w:val="21"/>
        <w:spacing w:line="360" w:lineRule="exact"/>
        <w:jc w:val="left"/>
        <w:rPr>
          <w:rFonts w:hAnsi="宋体"/>
          <w:color w:val="auto"/>
          <w:sz w:val="21"/>
          <w:szCs w:val="21"/>
          <w:highlight w:val="none"/>
          <w:lang w:val="en-US"/>
        </w:rPr>
      </w:pPr>
    </w:p>
    <w:p>
      <w:pPr>
        <w:pStyle w:val="21"/>
        <w:spacing w:line="360" w:lineRule="exact"/>
        <w:jc w:val="left"/>
        <w:rPr>
          <w:rFonts w:hAnsi="宋体"/>
          <w:color w:val="auto"/>
          <w:sz w:val="21"/>
          <w:szCs w:val="21"/>
          <w:highlight w:val="none"/>
        </w:rPr>
      </w:pPr>
    </w:p>
    <w:p>
      <w:pPr>
        <w:snapToGrid w:val="0"/>
        <w:spacing w:line="360" w:lineRule="auto"/>
        <w:rPr>
          <w:rFonts w:hAnsi="宋体"/>
          <w:szCs w:val="21"/>
          <w:highlight w:val="none"/>
        </w:rPr>
      </w:pPr>
    </w:p>
    <w:p>
      <w:pPr>
        <w:pStyle w:val="21"/>
        <w:spacing w:line="360" w:lineRule="exact"/>
        <w:jc w:val="left"/>
        <w:rPr>
          <w:rFonts w:hAnsi="宋体" w:cs="宋体"/>
          <w:color w:val="auto"/>
          <w:sz w:val="21"/>
          <w:highlight w:val="none"/>
          <w:lang w:val="en-US"/>
        </w:rPr>
      </w:pPr>
    </w:p>
    <w:p>
      <w:pPr>
        <w:pStyle w:val="21"/>
        <w:spacing w:line="360" w:lineRule="exact"/>
        <w:jc w:val="left"/>
        <w:rPr>
          <w:rFonts w:hAnsi="宋体" w:cs="宋体"/>
          <w:color w:val="auto"/>
          <w:sz w:val="21"/>
          <w:highlight w:val="none"/>
          <w:lang w:val="en-US"/>
        </w:rPr>
      </w:pPr>
    </w:p>
    <w:p>
      <w:pPr>
        <w:pStyle w:val="21"/>
        <w:spacing w:line="360" w:lineRule="exact"/>
        <w:jc w:val="left"/>
        <w:rPr>
          <w:rFonts w:hAnsi="宋体" w:cs="宋体"/>
          <w:color w:val="auto"/>
          <w:sz w:val="21"/>
          <w:highlight w:val="none"/>
          <w:lang w:val="en-US"/>
        </w:rPr>
      </w:pPr>
    </w:p>
    <w:p>
      <w:pPr>
        <w:pStyle w:val="21"/>
        <w:spacing w:line="360" w:lineRule="exact"/>
        <w:jc w:val="left"/>
        <w:rPr>
          <w:rFonts w:hAnsi="宋体" w:cs="宋体"/>
          <w:color w:val="auto"/>
          <w:sz w:val="21"/>
          <w:highlight w:val="none"/>
          <w:lang w:val="en-US"/>
        </w:rPr>
      </w:pPr>
    </w:p>
    <w:p>
      <w:pPr>
        <w:snapToGrid w:val="0"/>
        <w:rPr>
          <w:rFonts w:hAnsi="宋体"/>
          <w:szCs w:val="21"/>
          <w:highlight w:val="none"/>
        </w:rPr>
        <w:sectPr>
          <w:headerReference r:id="rId3" w:type="default"/>
          <w:footerReference r:id="rId4" w:type="default"/>
          <w:footerReference r:id="rId5" w:type="even"/>
          <w:type w:val="nextColumn"/>
          <w:pgSz w:w="11906" w:h="16838"/>
          <w:pgMar w:top="1089" w:right="1191" w:bottom="1089" w:left="1191" w:header="567" w:footer="550" w:gutter="0"/>
          <w:pgBorders>
            <w:top w:val="none" w:sz="0" w:space="0"/>
            <w:left w:val="none" w:sz="0" w:space="0"/>
            <w:bottom w:val="none" w:sz="0" w:space="0"/>
            <w:right w:val="none" w:sz="0" w:space="0"/>
          </w:pgBorders>
          <w:pgNumType w:start="0"/>
          <w:cols w:space="720" w:num="1"/>
          <w:titlePg/>
          <w:docGrid w:type="lines" w:linePitch="312" w:charSpace="0"/>
        </w:sectPr>
      </w:pPr>
    </w:p>
    <w:p>
      <w:pPr>
        <w:pStyle w:val="4"/>
        <w:spacing w:before="120" w:line="480" w:lineRule="exact"/>
        <w:jc w:val="center"/>
        <w:rPr>
          <w:rFonts w:hAnsi="宋体" w:cs="宋体"/>
          <w:b/>
          <w:sz w:val="32"/>
          <w:szCs w:val="32"/>
          <w:highlight w:val="none"/>
        </w:rPr>
      </w:pPr>
      <w:r>
        <w:rPr>
          <w:rFonts w:hint="eastAsia" w:hAnsi="宋体" w:cs="宋体"/>
          <w:b/>
          <w:sz w:val="32"/>
          <w:szCs w:val="32"/>
          <w:highlight w:val="none"/>
        </w:rPr>
        <w:t>二、商务部分文件</w:t>
      </w:r>
    </w:p>
    <w:p>
      <w:pPr>
        <w:pStyle w:val="4"/>
        <w:rPr>
          <w:rFonts w:hAnsi="宋体" w:cs="宋体"/>
          <w:b/>
          <w:szCs w:val="20"/>
          <w:highlight w:val="none"/>
        </w:rPr>
      </w:pPr>
      <w:bookmarkStart w:id="29" w:name="_Hlt10519541"/>
      <w:bookmarkEnd w:id="29"/>
      <w:bookmarkStart w:id="30" w:name="_Hlt10456257"/>
      <w:r>
        <w:rPr>
          <w:rFonts w:hint="eastAsia" w:hAnsi="宋体" w:cs="宋体"/>
          <w:b/>
          <w:szCs w:val="20"/>
          <w:highlight w:val="none"/>
        </w:rPr>
        <w:t>附表2.1 投标函格式</w:t>
      </w:r>
    </w:p>
    <w:bookmarkEnd w:id="30"/>
    <w:p>
      <w:pPr>
        <w:spacing w:line="480" w:lineRule="exact"/>
        <w:jc w:val="center"/>
        <w:rPr>
          <w:rFonts w:hAnsi="宋体" w:cs="宋体"/>
          <w:b/>
          <w:sz w:val="32"/>
          <w:szCs w:val="32"/>
          <w:highlight w:val="none"/>
        </w:rPr>
      </w:pPr>
      <w:r>
        <w:rPr>
          <w:rFonts w:hint="eastAsia" w:hAnsi="宋体" w:cs="宋体"/>
          <w:b/>
          <w:sz w:val="32"/>
          <w:szCs w:val="32"/>
          <w:highlight w:val="none"/>
        </w:rPr>
        <w:t>投标函</w:t>
      </w:r>
    </w:p>
    <w:p>
      <w:pPr>
        <w:spacing w:line="480" w:lineRule="exact"/>
        <w:rPr>
          <w:rFonts w:hAnsi="宋体" w:cs="宋体"/>
          <w:b/>
          <w:szCs w:val="21"/>
          <w:highlight w:val="none"/>
        </w:rPr>
      </w:pPr>
      <w:r>
        <w:rPr>
          <w:rFonts w:hint="eastAsia" w:hAnsi="宋体" w:cs="宋体"/>
          <w:b/>
          <w:szCs w:val="21"/>
          <w:highlight w:val="none"/>
        </w:rPr>
        <w:t>致：</w:t>
      </w:r>
      <w:r>
        <w:rPr>
          <w:rFonts w:hint="eastAsia" w:hAnsi="宋体" w:cs="宋体"/>
          <w:b/>
          <w:szCs w:val="21"/>
          <w:highlight w:val="none"/>
          <w:u w:val="single"/>
        </w:rPr>
        <w:t>国家海洋局南海标准计量中心/（广东远东招标代理有限公司）</w:t>
      </w:r>
    </w:p>
    <w:p>
      <w:pPr>
        <w:spacing w:line="400" w:lineRule="exact"/>
        <w:ind w:firstLine="420"/>
        <w:jc w:val="both"/>
        <w:rPr>
          <w:rFonts w:hAnsi="宋体" w:cs="宋体"/>
          <w:kern w:val="2"/>
          <w:szCs w:val="21"/>
          <w:highlight w:val="none"/>
          <w:lang w:val="zh-CN"/>
        </w:rPr>
      </w:pPr>
      <w:r>
        <w:rPr>
          <w:rFonts w:hint="eastAsia" w:hAnsi="宋体" w:cs="宋体"/>
          <w:kern w:val="2"/>
          <w:szCs w:val="21"/>
          <w:highlight w:val="none"/>
          <w:lang w:val="zh-CN"/>
        </w:rPr>
        <w:t>根据贵方“</w:t>
      </w:r>
      <w:r>
        <w:rPr>
          <w:rFonts w:hint="eastAsia" w:hAnsi="宋体" w:cs="宋体"/>
          <w:szCs w:val="21"/>
          <w:highlight w:val="none"/>
        </w:rPr>
        <w:t>国家海洋局南海标准计量中心2023年船员服务采购项目</w:t>
      </w:r>
      <w:r>
        <w:rPr>
          <w:rFonts w:hint="eastAsia" w:hAnsi="宋体" w:cs="宋体"/>
          <w:kern w:val="2"/>
          <w:szCs w:val="21"/>
          <w:highlight w:val="none"/>
          <w:lang w:val="zh-CN"/>
        </w:rPr>
        <w:t>”</w:t>
      </w:r>
      <w:r>
        <w:rPr>
          <w:rFonts w:hint="eastAsia" w:hAnsi="宋体" w:cs="宋体"/>
          <w:szCs w:val="32"/>
          <w:highlight w:val="none"/>
        </w:rPr>
        <w:t>(</w:t>
      </w:r>
      <w:r>
        <w:rPr>
          <w:rFonts w:hint="eastAsia" w:hAnsi="宋体" w:cs="宋体"/>
          <w:kern w:val="2"/>
          <w:szCs w:val="21"/>
          <w:highlight w:val="none"/>
          <w:lang w:val="zh-CN"/>
        </w:rPr>
        <w:t>采购编号：GDYD221545)的投标邀请，我方（投标人名称）作为投标人正式授权</w:t>
      </w:r>
      <w:r>
        <w:rPr>
          <w:rFonts w:hint="eastAsia" w:hAnsi="宋体" w:cs="宋体"/>
          <w:kern w:val="2"/>
          <w:szCs w:val="21"/>
          <w:highlight w:val="none"/>
          <w:u w:val="single"/>
          <w:lang w:val="zh-CN"/>
        </w:rPr>
        <w:t>　（</w:t>
      </w:r>
      <w:r>
        <w:rPr>
          <w:rFonts w:hint="eastAsia" w:hAnsi="宋体" w:cs="宋体"/>
          <w:kern w:val="2"/>
          <w:szCs w:val="21"/>
          <w:highlight w:val="none"/>
          <w:lang w:val="zh-CN"/>
        </w:rPr>
        <w:t>授权代表全名，职务）代表我方进行有关本次投标的一切事宜。</w:t>
      </w:r>
    </w:p>
    <w:p>
      <w:pPr>
        <w:spacing w:line="400" w:lineRule="exact"/>
        <w:ind w:firstLine="420"/>
        <w:jc w:val="both"/>
        <w:rPr>
          <w:rFonts w:hAnsi="宋体" w:cs="宋体"/>
          <w:kern w:val="2"/>
          <w:szCs w:val="21"/>
          <w:highlight w:val="none"/>
          <w:lang w:val="zh-CN"/>
        </w:rPr>
      </w:pPr>
      <w:r>
        <w:rPr>
          <w:rFonts w:hint="eastAsia" w:hAnsi="宋体" w:cs="宋体"/>
          <w:kern w:val="2"/>
          <w:szCs w:val="21"/>
          <w:highlight w:val="none"/>
          <w:lang w:val="zh-CN"/>
        </w:rPr>
        <w:t>在此提交的投标文件，已按招标文件的要求密封封装。包括但不限于如下内容：</w:t>
      </w:r>
    </w:p>
    <w:p>
      <w:pPr>
        <w:spacing w:line="400" w:lineRule="exact"/>
        <w:ind w:left="718"/>
        <w:jc w:val="both"/>
        <w:rPr>
          <w:rFonts w:hAnsi="宋体" w:cs="宋体"/>
          <w:kern w:val="2"/>
          <w:szCs w:val="21"/>
          <w:highlight w:val="none"/>
          <w:lang w:val="zh-CN"/>
        </w:rPr>
      </w:pPr>
      <w:r>
        <w:rPr>
          <w:rFonts w:hint="eastAsia" w:hAnsi="宋体" w:cs="宋体"/>
          <w:kern w:val="2"/>
          <w:szCs w:val="21"/>
          <w:highlight w:val="none"/>
          <w:lang w:val="zh-CN"/>
        </w:rPr>
        <w:t>（1）唱标信封【1份】（按招标文件要求的内容编制，含电子文件【</w:t>
      </w:r>
      <w:r>
        <w:rPr>
          <w:rFonts w:hint="eastAsia" w:hAnsi="宋体" w:cs="宋体"/>
          <w:kern w:val="2"/>
          <w:szCs w:val="21"/>
          <w:highlight w:val="none"/>
          <w:u w:val="single"/>
          <w:lang w:val="zh-CN"/>
        </w:rPr>
        <w:t xml:space="preserve"> 1</w:t>
      </w:r>
      <w:r>
        <w:rPr>
          <w:rFonts w:hint="eastAsia" w:hAnsi="宋体" w:cs="宋体"/>
          <w:kern w:val="2"/>
          <w:szCs w:val="21"/>
          <w:highlight w:val="none"/>
          <w:lang w:val="zh-CN"/>
        </w:rPr>
        <w:t>份】）；</w:t>
      </w:r>
    </w:p>
    <w:p>
      <w:pPr>
        <w:spacing w:line="400" w:lineRule="exact"/>
        <w:ind w:left="718"/>
        <w:jc w:val="both"/>
        <w:rPr>
          <w:rFonts w:hAnsi="宋体" w:cs="宋体"/>
          <w:kern w:val="2"/>
          <w:szCs w:val="21"/>
          <w:highlight w:val="none"/>
          <w:lang w:val="zh-CN"/>
        </w:rPr>
      </w:pPr>
      <w:r>
        <w:rPr>
          <w:rFonts w:hint="eastAsia" w:hAnsi="宋体" w:cs="宋体"/>
          <w:kern w:val="2"/>
          <w:szCs w:val="21"/>
          <w:highlight w:val="none"/>
          <w:lang w:val="zh-CN"/>
        </w:rPr>
        <w:t>（2）投标文件【含自检表、经济文件和商务技术文件，正本</w:t>
      </w:r>
      <w:r>
        <w:rPr>
          <w:rFonts w:hint="eastAsia" w:hAnsi="宋体" w:cs="宋体"/>
          <w:kern w:val="2"/>
          <w:szCs w:val="21"/>
          <w:highlight w:val="none"/>
          <w:u w:val="single"/>
          <w:lang w:val="zh-CN"/>
        </w:rPr>
        <w:t>1</w:t>
      </w:r>
      <w:r>
        <w:rPr>
          <w:rFonts w:hint="eastAsia" w:hAnsi="宋体" w:cs="宋体"/>
          <w:kern w:val="2"/>
          <w:szCs w:val="21"/>
          <w:highlight w:val="none"/>
          <w:lang w:val="zh-CN"/>
        </w:rPr>
        <w:t>份，副本</w:t>
      </w:r>
      <w:r>
        <w:rPr>
          <w:rFonts w:hint="eastAsia" w:hAnsi="宋体" w:cs="宋体"/>
          <w:kern w:val="2"/>
          <w:szCs w:val="21"/>
          <w:highlight w:val="none"/>
          <w:u w:val="single"/>
        </w:rPr>
        <w:t>6</w:t>
      </w:r>
      <w:r>
        <w:rPr>
          <w:rFonts w:hint="eastAsia" w:hAnsi="宋体" w:cs="宋体"/>
          <w:kern w:val="2"/>
          <w:szCs w:val="21"/>
          <w:highlight w:val="none"/>
          <w:lang w:val="zh-CN"/>
        </w:rPr>
        <w:t>份】。</w:t>
      </w:r>
    </w:p>
    <w:p>
      <w:pPr>
        <w:spacing w:line="400" w:lineRule="exact"/>
        <w:ind w:firstLine="420"/>
        <w:jc w:val="both"/>
        <w:rPr>
          <w:rFonts w:hAnsi="宋体" w:cs="宋体"/>
          <w:kern w:val="2"/>
          <w:szCs w:val="21"/>
          <w:highlight w:val="none"/>
          <w:lang w:val="zh-CN"/>
        </w:rPr>
      </w:pPr>
      <w:r>
        <w:rPr>
          <w:rFonts w:hint="eastAsia" w:hAnsi="宋体" w:cs="宋体"/>
          <w:kern w:val="2"/>
          <w:szCs w:val="21"/>
          <w:highlight w:val="none"/>
          <w:lang w:val="zh-CN"/>
        </w:rPr>
        <w:t>我方己完全明白招标文件的所有条款要求，并重申以下几点：</w:t>
      </w:r>
    </w:p>
    <w:p>
      <w:pPr>
        <w:spacing w:line="400" w:lineRule="exact"/>
        <w:ind w:left="359"/>
        <w:jc w:val="both"/>
        <w:rPr>
          <w:rFonts w:hAnsi="宋体" w:cs="宋体"/>
          <w:kern w:val="2"/>
          <w:szCs w:val="21"/>
          <w:highlight w:val="none"/>
          <w:lang w:val="zh-CN"/>
        </w:rPr>
      </w:pPr>
      <w:r>
        <w:rPr>
          <w:rFonts w:hint="eastAsia" w:hAnsi="宋体" w:cs="宋体"/>
          <w:kern w:val="2"/>
          <w:szCs w:val="21"/>
          <w:highlight w:val="none"/>
          <w:lang w:val="zh-CN"/>
        </w:rPr>
        <w:t>（—）我方决定参加采购编号为GDYD221545项目的投标；</w:t>
      </w:r>
    </w:p>
    <w:p>
      <w:pPr>
        <w:spacing w:line="400" w:lineRule="exact"/>
        <w:ind w:left="359"/>
        <w:jc w:val="both"/>
        <w:rPr>
          <w:rFonts w:hAnsi="宋体" w:cs="宋体"/>
          <w:kern w:val="2"/>
          <w:szCs w:val="21"/>
          <w:highlight w:val="none"/>
          <w:lang w:val="zh-CN"/>
        </w:rPr>
      </w:pPr>
      <w:r>
        <w:rPr>
          <w:rFonts w:hint="eastAsia" w:hAnsi="宋体" w:cs="宋体"/>
          <w:kern w:val="2"/>
          <w:szCs w:val="21"/>
          <w:highlight w:val="none"/>
          <w:lang w:val="zh-CN"/>
        </w:rPr>
        <w:t>（二）本项目的投标报价（详见投标报价表）；</w:t>
      </w:r>
    </w:p>
    <w:p>
      <w:pPr>
        <w:spacing w:line="400" w:lineRule="exact"/>
        <w:ind w:left="945" w:leftChars="150" w:hanging="630" w:hangingChars="300"/>
        <w:jc w:val="both"/>
        <w:rPr>
          <w:rFonts w:hAnsi="宋体" w:cs="宋体"/>
          <w:kern w:val="2"/>
          <w:szCs w:val="21"/>
          <w:highlight w:val="none"/>
          <w:lang w:val="zh-CN"/>
        </w:rPr>
      </w:pPr>
      <w:r>
        <w:rPr>
          <w:rFonts w:hint="eastAsia" w:hAnsi="宋体" w:cs="宋体"/>
          <w:kern w:val="2"/>
          <w:szCs w:val="21"/>
          <w:highlight w:val="none"/>
          <w:lang w:val="zh-CN"/>
        </w:rPr>
        <w:t>（三）本投标文件的有效期自递交投标文件截止日后</w:t>
      </w:r>
      <w:r>
        <w:rPr>
          <w:rFonts w:hint="eastAsia" w:hAnsi="宋体" w:cs="宋体"/>
          <w:kern w:val="2"/>
          <w:szCs w:val="21"/>
          <w:highlight w:val="none"/>
          <w:u w:val="single"/>
          <w:lang w:val="zh-CN"/>
        </w:rPr>
        <w:t>90</w:t>
      </w:r>
      <w:r>
        <w:rPr>
          <w:rFonts w:hint="eastAsia" w:hAnsi="宋体" w:cs="宋体"/>
          <w:kern w:val="2"/>
          <w:szCs w:val="21"/>
          <w:highlight w:val="none"/>
          <w:lang w:val="zh-CN"/>
        </w:rPr>
        <w:t>天有效，如中标，有效期延至合同终止日为止；</w:t>
      </w:r>
    </w:p>
    <w:p>
      <w:pPr>
        <w:spacing w:line="400" w:lineRule="exact"/>
        <w:ind w:left="945" w:leftChars="150" w:hanging="630" w:hangingChars="300"/>
        <w:jc w:val="both"/>
        <w:rPr>
          <w:rFonts w:hAnsi="宋体" w:cs="宋体"/>
          <w:kern w:val="2"/>
          <w:szCs w:val="21"/>
          <w:highlight w:val="none"/>
          <w:lang w:val="zh-CN"/>
        </w:rPr>
      </w:pPr>
      <w:r>
        <w:rPr>
          <w:rFonts w:hint="eastAsia" w:hAnsi="宋体" w:cs="宋体"/>
          <w:kern w:val="2"/>
          <w:szCs w:val="21"/>
          <w:highlight w:val="none"/>
          <w:lang w:val="zh-CN"/>
        </w:rPr>
        <w:t>（四）我方已详细</w:t>
      </w:r>
      <w:r>
        <w:rPr>
          <w:rFonts w:hint="eastAsia" w:hAnsi="宋体" w:cs="宋体"/>
          <w:szCs w:val="21"/>
          <w:highlight w:val="none"/>
        </w:rPr>
        <w:t>阅读并</w:t>
      </w:r>
      <w:r>
        <w:rPr>
          <w:rFonts w:hint="eastAsia" w:hAnsi="宋体" w:cs="宋体"/>
          <w:kern w:val="2"/>
          <w:szCs w:val="21"/>
          <w:highlight w:val="none"/>
          <w:lang w:val="zh-CN"/>
        </w:rPr>
        <w:t>研究了招标文件的所有内容包括修正文、</w:t>
      </w:r>
      <w:r>
        <w:rPr>
          <w:rFonts w:hint="eastAsia" w:hAnsi="宋体" w:cs="宋体"/>
          <w:szCs w:val="21"/>
          <w:highlight w:val="none"/>
        </w:rPr>
        <w:t>答疑纪要、澄清补充通知</w:t>
      </w:r>
      <w:r>
        <w:rPr>
          <w:rFonts w:hint="eastAsia" w:hAnsi="宋体" w:cs="宋体"/>
          <w:kern w:val="2"/>
          <w:szCs w:val="21"/>
          <w:highlight w:val="none"/>
          <w:lang w:val="zh-CN"/>
        </w:rPr>
        <w:t>（如有）和所有已提供的参考资料以及有关附件，</w:t>
      </w:r>
      <w:r>
        <w:rPr>
          <w:rFonts w:hint="eastAsia" w:hAnsi="宋体" w:cs="宋体"/>
          <w:szCs w:val="21"/>
          <w:highlight w:val="none"/>
        </w:rPr>
        <w:t>我们完全清晰理解招标文件的要求，不存在任何含糊不清和误解之处，</w:t>
      </w:r>
      <w:r>
        <w:rPr>
          <w:rFonts w:hint="eastAsia" w:hAnsi="宋体" w:cs="宋体"/>
          <w:kern w:val="2"/>
          <w:szCs w:val="21"/>
          <w:highlight w:val="none"/>
          <w:lang w:val="zh-CN"/>
        </w:rPr>
        <w:t>我方</w:t>
      </w:r>
      <w:r>
        <w:rPr>
          <w:rFonts w:hint="eastAsia" w:hAnsi="宋体" w:cs="宋体"/>
          <w:szCs w:val="21"/>
          <w:highlight w:val="none"/>
        </w:rPr>
        <w:t>同意</w:t>
      </w:r>
      <w:r>
        <w:rPr>
          <w:rFonts w:hint="eastAsia" w:hAnsi="宋体" w:cs="宋体"/>
          <w:kern w:val="2"/>
          <w:szCs w:val="21"/>
          <w:highlight w:val="none"/>
          <w:lang w:val="zh-CN"/>
        </w:rPr>
        <w:t>放弃在此方面提出含糊意见或误解的一切权力；</w:t>
      </w:r>
    </w:p>
    <w:p>
      <w:pPr>
        <w:spacing w:line="400" w:lineRule="exact"/>
        <w:ind w:left="945" w:leftChars="150" w:hanging="630" w:hangingChars="300"/>
        <w:jc w:val="both"/>
        <w:rPr>
          <w:rFonts w:hAnsi="宋体" w:cs="宋体"/>
          <w:kern w:val="2"/>
          <w:szCs w:val="21"/>
          <w:highlight w:val="none"/>
          <w:lang w:val="zh-CN"/>
        </w:rPr>
      </w:pPr>
      <w:r>
        <w:rPr>
          <w:rFonts w:hint="eastAsia" w:hAnsi="宋体" w:cs="宋体"/>
          <w:kern w:val="2"/>
          <w:szCs w:val="21"/>
          <w:highlight w:val="none"/>
          <w:lang w:val="zh-CN"/>
        </w:rPr>
        <w:t>（五）我方明白并愿意在规定的递交投标文件截止时间和日期之后，投标有效期之内不得撤回投标；</w:t>
      </w:r>
    </w:p>
    <w:p>
      <w:pPr>
        <w:spacing w:line="400" w:lineRule="exact"/>
        <w:ind w:left="359"/>
        <w:jc w:val="both"/>
        <w:rPr>
          <w:rFonts w:hAnsi="宋体" w:cs="宋体"/>
          <w:kern w:val="2"/>
          <w:szCs w:val="21"/>
          <w:highlight w:val="none"/>
          <w:lang w:val="zh-CN"/>
        </w:rPr>
      </w:pPr>
      <w:r>
        <w:rPr>
          <w:rFonts w:hint="eastAsia" w:hAnsi="宋体" w:cs="宋体"/>
          <w:kern w:val="2"/>
          <w:szCs w:val="21"/>
          <w:highlight w:val="none"/>
          <w:lang w:val="zh-CN"/>
        </w:rPr>
        <w:t>（六）我方同意按照贵方可能提出的要求而提供与投标有关的任何其它数据或信息；</w:t>
      </w:r>
    </w:p>
    <w:p>
      <w:pPr>
        <w:spacing w:line="400" w:lineRule="exact"/>
        <w:ind w:left="945" w:leftChars="150" w:hanging="630" w:hangingChars="300"/>
        <w:jc w:val="both"/>
        <w:rPr>
          <w:rFonts w:hAnsi="宋体" w:cs="宋体"/>
          <w:kern w:val="2"/>
          <w:szCs w:val="21"/>
          <w:highlight w:val="none"/>
          <w:lang w:val="zh-CN"/>
        </w:rPr>
      </w:pPr>
      <w:r>
        <w:rPr>
          <w:rFonts w:hint="eastAsia" w:hAnsi="宋体" w:cs="宋体"/>
          <w:kern w:val="2"/>
          <w:szCs w:val="21"/>
          <w:highlight w:val="none"/>
          <w:lang w:val="zh-CN"/>
        </w:rPr>
        <w:t>（七）我方完全服从和尊重评标委员会所作的评定结果，我方理解贵方不一定接受最低报价或任何贵方可能收到的报价；</w:t>
      </w:r>
    </w:p>
    <w:p>
      <w:pPr>
        <w:spacing w:line="400" w:lineRule="exact"/>
        <w:ind w:left="945" w:leftChars="150" w:hanging="630" w:hangingChars="300"/>
        <w:jc w:val="both"/>
        <w:rPr>
          <w:rFonts w:hAnsi="宋体" w:cs="宋体"/>
          <w:kern w:val="2"/>
          <w:szCs w:val="21"/>
          <w:highlight w:val="none"/>
          <w:u w:val="single"/>
          <w:lang w:val="zh-CN"/>
        </w:rPr>
      </w:pPr>
      <w:r>
        <w:rPr>
          <w:rFonts w:hint="eastAsia" w:hAnsi="宋体" w:cs="宋体"/>
          <w:kern w:val="2"/>
          <w:szCs w:val="21"/>
          <w:highlight w:val="none"/>
          <w:lang w:val="zh-CN"/>
        </w:rPr>
        <w:t>（八）我方如果中标，将保证履行招标文件以及</w:t>
      </w:r>
      <w:r>
        <w:rPr>
          <w:rFonts w:hint="eastAsia" w:hAnsi="宋体" w:cs="宋体"/>
          <w:szCs w:val="21"/>
          <w:highlight w:val="none"/>
        </w:rPr>
        <w:t>答疑纪要、澄清补充通知等</w:t>
      </w:r>
      <w:r>
        <w:rPr>
          <w:rFonts w:hint="eastAsia" w:hAnsi="宋体" w:cs="宋体"/>
          <w:kern w:val="2"/>
          <w:szCs w:val="21"/>
          <w:highlight w:val="none"/>
          <w:lang w:val="zh-CN"/>
        </w:rPr>
        <w:t>招标文件修改书（如有）中的全部责任和义务，按质、按量、按期完成《合同书》中的全部任务；</w:t>
      </w:r>
      <w:r>
        <w:rPr>
          <w:rFonts w:hint="eastAsia" w:hAnsi="宋体" w:cs="宋体"/>
          <w:szCs w:val="21"/>
          <w:highlight w:val="none"/>
        </w:rPr>
        <w:t>其中投标服务期为： 。</w:t>
      </w:r>
    </w:p>
    <w:p>
      <w:pPr>
        <w:spacing w:line="400" w:lineRule="exact"/>
        <w:ind w:left="359"/>
        <w:jc w:val="both"/>
        <w:rPr>
          <w:rFonts w:hAnsi="宋体" w:cs="宋体"/>
          <w:kern w:val="2"/>
          <w:szCs w:val="21"/>
          <w:highlight w:val="none"/>
          <w:u w:val="single"/>
          <w:lang w:val="zh-CN"/>
        </w:rPr>
      </w:pPr>
      <w:r>
        <w:rPr>
          <w:rFonts w:hint="eastAsia" w:hAnsi="宋体" w:cs="宋体"/>
          <w:kern w:val="2"/>
          <w:szCs w:val="21"/>
          <w:highlight w:val="none"/>
          <w:lang w:val="zh-CN"/>
        </w:rPr>
        <w:t>（九）所有与本投标有关的函件请发往下列地址：</w:t>
      </w:r>
    </w:p>
    <w:p>
      <w:pPr>
        <w:spacing w:line="400" w:lineRule="exact"/>
        <w:jc w:val="both"/>
        <w:rPr>
          <w:rFonts w:hAnsi="宋体" w:cs="宋体"/>
          <w:kern w:val="2"/>
          <w:szCs w:val="21"/>
          <w:highlight w:val="none"/>
          <w:u w:val="single"/>
          <w:lang w:val="zh-CN"/>
        </w:rPr>
      </w:pPr>
      <w:r>
        <w:rPr>
          <w:rFonts w:hint="eastAsia" w:hAnsi="宋体" w:cs="宋体"/>
          <w:kern w:val="2"/>
          <w:szCs w:val="21"/>
          <w:highlight w:val="none"/>
          <w:lang w:val="zh-CN"/>
        </w:rPr>
        <w:t>地  　址：</w:t>
      </w:r>
      <w:r>
        <w:rPr>
          <w:rFonts w:hint="eastAsia" w:hAnsi="宋体" w:cs="宋体"/>
          <w:kern w:val="2"/>
          <w:szCs w:val="21"/>
          <w:highlight w:val="none"/>
          <w:u w:val="single"/>
          <w:lang w:val="zh-CN"/>
        </w:rPr>
        <w:t>　　　　　　　　　　　</w:t>
      </w:r>
      <w:r>
        <w:rPr>
          <w:rFonts w:hint="eastAsia" w:hAnsi="宋体" w:cs="宋体"/>
          <w:kern w:val="2"/>
          <w:szCs w:val="21"/>
          <w:highlight w:val="none"/>
          <w:lang w:val="zh-CN"/>
        </w:rPr>
        <w:tab/>
      </w:r>
      <w:r>
        <w:rPr>
          <w:rFonts w:hint="eastAsia" w:hAnsi="宋体" w:cs="宋体"/>
          <w:kern w:val="2"/>
          <w:szCs w:val="21"/>
          <w:highlight w:val="none"/>
          <w:lang w:val="zh-CN"/>
        </w:rPr>
        <w:tab/>
      </w:r>
      <w:r>
        <w:rPr>
          <w:rFonts w:hint="eastAsia" w:hAnsi="宋体" w:cs="宋体"/>
          <w:kern w:val="2"/>
          <w:szCs w:val="21"/>
          <w:highlight w:val="none"/>
          <w:lang w:val="zh-CN"/>
        </w:rPr>
        <w:t>邮政编码：</w:t>
      </w:r>
      <w:r>
        <w:rPr>
          <w:rFonts w:hint="eastAsia" w:hAnsi="宋体" w:cs="宋体"/>
          <w:kern w:val="2"/>
          <w:szCs w:val="21"/>
          <w:highlight w:val="none"/>
          <w:u w:val="single"/>
          <w:lang w:val="zh-CN"/>
        </w:rPr>
        <w:t xml:space="preserve">　　　　　　　　　　 </w:t>
      </w:r>
    </w:p>
    <w:p>
      <w:pPr>
        <w:spacing w:line="400" w:lineRule="exact"/>
        <w:jc w:val="both"/>
        <w:rPr>
          <w:rFonts w:hAnsi="宋体" w:cs="宋体"/>
          <w:kern w:val="2"/>
          <w:szCs w:val="21"/>
          <w:highlight w:val="none"/>
          <w:lang w:val="zh-CN"/>
        </w:rPr>
      </w:pPr>
      <w:r>
        <w:rPr>
          <w:rFonts w:hint="eastAsia" w:hAnsi="宋体" w:cs="宋体"/>
          <w:kern w:val="2"/>
          <w:szCs w:val="21"/>
          <w:highlight w:val="none"/>
          <w:lang w:val="zh-CN"/>
        </w:rPr>
        <w:t>电　　话：</w:t>
      </w:r>
      <w:r>
        <w:rPr>
          <w:rFonts w:hint="eastAsia" w:hAnsi="宋体" w:cs="宋体"/>
          <w:kern w:val="2"/>
          <w:szCs w:val="21"/>
          <w:highlight w:val="none"/>
          <w:u w:val="single"/>
          <w:lang w:val="zh-CN"/>
        </w:rPr>
        <w:t>　　　　　　　　　　　</w:t>
      </w:r>
      <w:r>
        <w:rPr>
          <w:rFonts w:hint="eastAsia" w:hAnsi="宋体" w:cs="宋体"/>
          <w:kern w:val="2"/>
          <w:szCs w:val="21"/>
          <w:highlight w:val="none"/>
          <w:lang w:val="zh-CN"/>
        </w:rPr>
        <w:tab/>
      </w:r>
      <w:r>
        <w:rPr>
          <w:rFonts w:hint="eastAsia" w:hAnsi="宋体" w:cs="宋体"/>
          <w:kern w:val="2"/>
          <w:szCs w:val="21"/>
          <w:highlight w:val="none"/>
          <w:lang w:val="zh-CN"/>
        </w:rPr>
        <w:tab/>
      </w:r>
      <w:r>
        <w:rPr>
          <w:rFonts w:hint="eastAsia" w:hAnsi="宋体" w:cs="宋体"/>
          <w:kern w:val="2"/>
          <w:szCs w:val="21"/>
          <w:highlight w:val="none"/>
          <w:lang w:val="zh-CN"/>
        </w:rPr>
        <w:t>代表姓名：</w:t>
      </w:r>
      <w:r>
        <w:rPr>
          <w:rFonts w:hint="eastAsia" w:hAnsi="宋体" w:cs="宋体"/>
          <w:kern w:val="2"/>
          <w:szCs w:val="21"/>
          <w:highlight w:val="none"/>
          <w:u w:val="single"/>
          <w:lang w:val="zh-CN"/>
        </w:rPr>
        <w:t>　　　　　　　　　　</w:t>
      </w:r>
    </w:p>
    <w:p>
      <w:pPr>
        <w:spacing w:line="400" w:lineRule="exact"/>
        <w:jc w:val="both"/>
        <w:rPr>
          <w:rFonts w:hAnsi="宋体" w:cs="宋体"/>
          <w:kern w:val="2"/>
          <w:szCs w:val="21"/>
          <w:highlight w:val="none"/>
          <w:lang w:val="zh-CN"/>
        </w:rPr>
      </w:pPr>
      <w:r>
        <w:rPr>
          <w:rFonts w:hint="eastAsia" w:hAnsi="宋体" w:cs="宋体"/>
          <w:kern w:val="2"/>
          <w:szCs w:val="21"/>
          <w:highlight w:val="none"/>
          <w:lang w:val="zh-CN"/>
        </w:rPr>
        <w:t>传　　真：</w:t>
      </w:r>
      <w:r>
        <w:rPr>
          <w:rFonts w:hint="eastAsia" w:hAnsi="宋体" w:cs="宋体"/>
          <w:kern w:val="2"/>
          <w:szCs w:val="21"/>
          <w:highlight w:val="none"/>
          <w:u w:val="single"/>
          <w:lang w:val="zh-CN"/>
        </w:rPr>
        <w:t>　　　　　　　　　　　</w:t>
      </w:r>
      <w:r>
        <w:rPr>
          <w:rFonts w:hint="eastAsia" w:hAnsi="宋体" w:cs="宋体"/>
          <w:kern w:val="2"/>
          <w:szCs w:val="21"/>
          <w:highlight w:val="none"/>
          <w:lang w:val="zh-CN"/>
        </w:rPr>
        <w:t xml:space="preserve">         职　　务：</w:t>
      </w:r>
      <w:r>
        <w:rPr>
          <w:rFonts w:hint="eastAsia" w:hAnsi="宋体" w:cs="宋体"/>
          <w:kern w:val="2"/>
          <w:szCs w:val="21"/>
          <w:highlight w:val="none"/>
          <w:u w:val="single"/>
          <w:lang w:val="zh-CN"/>
        </w:rPr>
        <w:t xml:space="preserve">　　　　　　　　　　 </w:t>
      </w:r>
    </w:p>
    <w:p>
      <w:pPr>
        <w:snapToGrid w:val="0"/>
        <w:spacing w:line="400" w:lineRule="exact"/>
        <w:rPr>
          <w:rFonts w:hAnsi="宋体" w:cs="宋体"/>
          <w:szCs w:val="21"/>
          <w:highlight w:val="none"/>
          <w:u w:val="single"/>
        </w:rPr>
      </w:pPr>
      <w:r>
        <w:rPr>
          <w:rFonts w:hint="eastAsia" w:hAnsi="宋体" w:cs="宋体"/>
          <w:szCs w:val="21"/>
          <w:highlight w:val="none"/>
        </w:rPr>
        <w:t>开户银行：         帐    号：</w:t>
      </w:r>
    </w:p>
    <w:p>
      <w:pPr>
        <w:spacing w:line="400" w:lineRule="exact"/>
        <w:jc w:val="both"/>
        <w:rPr>
          <w:rFonts w:hAnsi="宋体" w:cs="宋体"/>
          <w:kern w:val="2"/>
          <w:szCs w:val="21"/>
          <w:highlight w:val="none"/>
        </w:rPr>
      </w:pPr>
    </w:p>
    <w:p>
      <w:pPr>
        <w:snapToGrid w:val="0"/>
        <w:spacing w:line="300" w:lineRule="auto"/>
        <w:rPr>
          <w:rFonts w:hAnsi="宋体" w:cs="宋体"/>
          <w:szCs w:val="21"/>
          <w:highlight w:val="none"/>
          <w:u w:val="single"/>
        </w:rPr>
      </w:pPr>
      <w:r>
        <w:rPr>
          <w:rFonts w:hint="eastAsia" w:hAnsi="宋体" w:cs="宋体"/>
          <w:szCs w:val="21"/>
          <w:highlight w:val="none"/>
        </w:rPr>
        <w:t>投标人法定代表人（或法定代表人授权代表）亲笔签字：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   年   月   日</w:t>
      </w:r>
    </w:p>
    <w:p>
      <w:pPr>
        <w:pStyle w:val="4"/>
        <w:spacing w:after="120" w:line="480" w:lineRule="exact"/>
        <w:rPr>
          <w:rFonts w:hAnsi="宋体" w:cs="宋体"/>
          <w:b/>
          <w:szCs w:val="20"/>
          <w:highlight w:val="none"/>
        </w:rPr>
      </w:pPr>
      <w:r>
        <w:rPr>
          <w:rFonts w:hint="eastAsia" w:hAnsi="宋体" w:cs="宋体"/>
          <w:b/>
          <w:szCs w:val="20"/>
          <w:highlight w:val="none"/>
        </w:rPr>
        <w:br w:type="page"/>
      </w:r>
      <w:r>
        <w:rPr>
          <w:rFonts w:hint="eastAsia" w:hAnsi="宋体" w:cs="宋体"/>
          <w:b/>
          <w:szCs w:val="20"/>
          <w:highlight w:val="none"/>
        </w:rPr>
        <w:t>附表2.2 投标人资格声明书格式</w:t>
      </w:r>
    </w:p>
    <w:p>
      <w:pPr>
        <w:pStyle w:val="2"/>
        <w:spacing w:line="480" w:lineRule="exact"/>
        <w:jc w:val="center"/>
        <w:rPr>
          <w:rFonts w:hAnsi="宋体" w:cs="宋体"/>
          <w:b/>
          <w:bCs/>
          <w:sz w:val="32"/>
          <w:szCs w:val="32"/>
          <w:highlight w:val="none"/>
        </w:rPr>
      </w:pPr>
      <w:r>
        <w:rPr>
          <w:rFonts w:hint="eastAsia" w:hAnsi="宋体" w:cs="宋体"/>
          <w:b/>
          <w:bCs/>
          <w:sz w:val="32"/>
          <w:szCs w:val="32"/>
          <w:highlight w:val="none"/>
        </w:rPr>
        <w:t>资格声明书</w:t>
      </w:r>
    </w:p>
    <w:p>
      <w:pPr>
        <w:pStyle w:val="2"/>
        <w:spacing w:line="480" w:lineRule="exact"/>
        <w:rPr>
          <w:rFonts w:hAnsi="宋体" w:cs="宋体"/>
          <w:highlight w:val="none"/>
        </w:rPr>
      </w:pPr>
      <w:r>
        <w:rPr>
          <w:rFonts w:hint="eastAsia" w:hAnsi="宋体" w:cs="宋体"/>
          <w:b/>
          <w:highlight w:val="none"/>
        </w:rPr>
        <w:t>致：</w:t>
      </w:r>
      <w:r>
        <w:rPr>
          <w:rFonts w:hint="eastAsia" w:hAnsi="宋体" w:cs="宋体"/>
          <w:b/>
          <w:highlight w:val="none"/>
          <w:u w:val="single"/>
        </w:rPr>
        <w:t xml:space="preserve"> 国家海洋局南海标准计量中心/ 广东远东招标代理有限公司 </w:t>
      </w:r>
    </w:p>
    <w:p>
      <w:pPr>
        <w:pStyle w:val="2"/>
        <w:spacing w:line="360" w:lineRule="auto"/>
        <w:ind w:firstLine="420"/>
        <w:rPr>
          <w:rFonts w:hAnsi="宋体" w:cs="宋体"/>
          <w:szCs w:val="21"/>
          <w:highlight w:val="none"/>
        </w:rPr>
      </w:pPr>
      <w:bookmarkStart w:id="31" w:name="_Hlt10549792"/>
      <w:bookmarkEnd w:id="31"/>
      <w:bookmarkStart w:id="32" w:name="_Toc10548701"/>
      <w:r>
        <w:rPr>
          <w:rFonts w:hint="eastAsia" w:hAnsi="宋体" w:cs="宋体"/>
          <w:szCs w:val="21"/>
          <w:highlight w:val="none"/>
        </w:rPr>
        <w:t>为响应你方组织的“国家海洋局南海标准计量中心2023年船员服务采购项目”的招标[采购编号为：GDYD221545]，我方愿参与投标并作出如下声明：</w:t>
      </w:r>
    </w:p>
    <w:p>
      <w:pPr>
        <w:pStyle w:val="2"/>
        <w:spacing w:line="360" w:lineRule="auto"/>
        <w:ind w:firstLine="420"/>
        <w:rPr>
          <w:rFonts w:hAnsi="宋体" w:cs="宋体"/>
          <w:szCs w:val="21"/>
          <w:highlight w:val="none"/>
        </w:rPr>
      </w:pPr>
      <w:r>
        <w:rPr>
          <w:rFonts w:hint="eastAsia" w:hAnsi="宋体" w:cs="宋体"/>
          <w:szCs w:val="21"/>
          <w:highlight w:val="none"/>
        </w:rPr>
        <w:t>一、我方作为</w:t>
      </w:r>
      <w:r>
        <w:rPr>
          <w:rFonts w:hint="eastAsia" w:hAnsi="宋体" w:cs="宋体"/>
          <w:szCs w:val="21"/>
          <w:highlight w:val="none"/>
          <w:u w:val="single"/>
        </w:rPr>
        <w:t xml:space="preserve">   （投标人名称）   </w:t>
      </w:r>
      <w:r>
        <w:rPr>
          <w:rFonts w:hint="eastAsia" w:hAnsi="宋体" w:cs="宋体"/>
          <w:szCs w:val="21"/>
          <w:highlight w:val="none"/>
        </w:rPr>
        <w:t>是在法律、财务和运作上独立于采购人、采购代理机构的投标人，提交所有文件和全部说明是真实的和正确的。</w:t>
      </w:r>
    </w:p>
    <w:p>
      <w:pPr>
        <w:pStyle w:val="2"/>
        <w:spacing w:line="360" w:lineRule="auto"/>
        <w:ind w:firstLine="420"/>
        <w:rPr>
          <w:rFonts w:hAnsi="宋体" w:cs="宋体"/>
          <w:szCs w:val="21"/>
          <w:highlight w:val="none"/>
        </w:rPr>
      </w:pPr>
      <w:r>
        <w:rPr>
          <w:rFonts w:hint="eastAsia" w:hAnsi="宋体" w:cs="宋体"/>
          <w:szCs w:val="21"/>
          <w:highlight w:val="none"/>
        </w:rPr>
        <w:t>二、本公司（企业）具备《中华人民共和国政府采购法》第二十二条规定的条件：</w:t>
      </w:r>
    </w:p>
    <w:p>
      <w:pPr>
        <w:pStyle w:val="2"/>
        <w:spacing w:line="360" w:lineRule="auto"/>
        <w:ind w:firstLine="420"/>
        <w:rPr>
          <w:rFonts w:hAnsi="宋体" w:cs="宋体"/>
          <w:szCs w:val="21"/>
          <w:highlight w:val="none"/>
        </w:rPr>
      </w:pPr>
      <w:r>
        <w:rPr>
          <w:rFonts w:hint="eastAsia" w:hAnsi="宋体" w:cs="宋体"/>
          <w:szCs w:val="21"/>
          <w:highlight w:val="none"/>
        </w:rPr>
        <w:t>（一）具有独立承担民事责任的能力；</w:t>
      </w:r>
    </w:p>
    <w:p>
      <w:pPr>
        <w:pStyle w:val="2"/>
        <w:spacing w:line="360" w:lineRule="auto"/>
        <w:ind w:firstLine="420"/>
        <w:rPr>
          <w:rFonts w:hAnsi="宋体" w:cs="宋体"/>
          <w:szCs w:val="21"/>
          <w:highlight w:val="none"/>
        </w:rPr>
      </w:pPr>
      <w:r>
        <w:rPr>
          <w:rFonts w:hint="eastAsia" w:hAnsi="宋体" w:cs="宋体"/>
          <w:szCs w:val="21"/>
          <w:highlight w:val="none"/>
        </w:rPr>
        <w:t>（二）具有良好的商业信誉和健全的财务会计制度；</w:t>
      </w:r>
    </w:p>
    <w:p>
      <w:pPr>
        <w:pStyle w:val="2"/>
        <w:spacing w:line="360" w:lineRule="auto"/>
        <w:ind w:firstLine="420"/>
        <w:rPr>
          <w:rFonts w:hAnsi="宋体" w:cs="宋体"/>
          <w:szCs w:val="21"/>
          <w:highlight w:val="none"/>
        </w:rPr>
      </w:pPr>
      <w:r>
        <w:rPr>
          <w:rFonts w:hint="eastAsia" w:hAnsi="宋体" w:cs="宋体"/>
          <w:szCs w:val="21"/>
          <w:highlight w:val="none"/>
        </w:rPr>
        <w:t>（三）具有履行合同所必需的设备和专业技术能力；</w:t>
      </w:r>
    </w:p>
    <w:p>
      <w:pPr>
        <w:pStyle w:val="2"/>
        <w:spacing w:line="360" w:lineRule="auto"/>
        <w:ind w:firstLine="420"/>
        <w:rPr>
          <w:rFonts w:hAnsi="宋体" w:cs="宋体"/>
          <w:szCs w:val="21"/>
          <w:highlight w:val="none"/>
        </w:rPr>
      </w:pPr>
      <w:r>
        <w:rPr>
          <w:rFonts w:hint="eastAsia" w:hAnsi="宋体" w:cs="宋体"/>
          <w:szCs w:val="21"/>
          <w:highlight w:val="none"/>
        </w:rPr>
        <w:t>（四）有依法缴纳税收和社会保障资金的良好记录；</w:t>
      </w:r>
    </w:p>
    <w:p>
      <w:pPr>
        <w:pStyle w:val="2"/>
        <w:spacing w:line="360" w:lineRule="auto"/>
        <w:ind w:firstLine="420"/>
        <w:rPr>
          <w:rFonts w:hAnsi="宋体" w:cs="宋体"/>
          <w:szCs w:val="21"/>
          <w:highlight w:val="none"/>
        </w:rPr>
      </w:pPr>
      <w:r>
        <w:rPr>
          <w:rFonts w:hint="eastAsia" w:hAnsi="宋体" w:cs="宋体"/>
          <w:szCs w:val="21"/>
          <w:highlight w:val="none"/>
        </w:rPr>
        <w:t>（五）参加政府采购活动前三年内，在经营活动中没有重大违法记录；</w:t>
      </w:r>
    </w:p>
    <w:p>
      <w:pPr>
        <w:pStyle w:val="2"/>
        <w:spacing w:line="360" w:lineRule="auto"/>
        <w:ind w:firstLine="420"/>
        <w:rPr>
          <w:rFonts w:hAnsi="宋体" w:cs="宋体"/>
          <w:szCs w:val="21"/>
          <w:highlight w:val="none"/>
        </w:rPr>
      </w:pPr>
      <w:r>
        <w:rPr>
          <w:rFonts w:hint="eastAsia" w:hAnsi="宋体" w:cs="宋体"/>
          <w:szCs w:val="21"/>
          <w:highlight w:val="none"/>
        </w:rPr>
        <w:t>（六）法律、行政法规规定的其他条件。</w:t>
      </w:r>
    </w:p>
    <w:p>
      <w:pPr>
        <w:pStyle w:val="2"/>
        <w:spacing w:line="360" w:lineRule="auto"/>
        <w:ind w:firstLine="420"/>
        <w:rPr>
          <w:rFonts w:hAnsi="宋体" w:cs="宋体"/>
          <w:szCs w:val="21"/>
          <w:highlight w:val="none"/>
        </w:rPr>
      </w:pPr>
      <w:r>
        <w:rPr>
          <w:rFonts w:hint="eastAsia" w:hAnsi="宋体" w:cs="宋体"/>
          <w:szCs w:val="21"/>
          <w:highlight w:val="none"/>
        </w:rPr>
        <w:t>三、本公司（企业）的单位负责人与所参投的本采购项目的其他投标人的单位负责人不为同一人且与其他投标人之间不存在直接控股、管理关系。</w:t>
      </w:r>
    </w:p>
    <w:p>
      <w:pPr>
        <w:pStyle w:val="2"/>
        <w:spacing w:line="360" w:lineRule="auto"/>
        <w:ind w:firstLine="420"/>
        <w:rPr>
          <w:rFonts w:hAnsi="宋体" w:cs="宋体"/>
          <w:szCs w:val="21"/>
          <w:highlight w:val="none"/>
        </w:rPr>
      </w:pPr>
      <w:r>
        <w:rPr>
          <w:rFonts w:hint="eastAsia" w:hAnsi="宋体" w:cs="宋体"/>
          <w:szCs w:val="21"/>
          <w:highlight w:val="none"/>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2"/>
        <w:spacing w:line="360" w:lineRule="auto"/>
        <w:ind w:firstLine="420"/>
        <w:rPr>
          <w:rFonts w:hAnsi="宋体" w:cs="宋体"/>
          <w:szCs w:val="21"/>
          <w:highlight w:val="none"/>
        </w:rPr>
      </w:pPr>
      <w:r>
        <w:rPr>
          <w:rFonts w:hint="eastAsia" w:hAnsi="宋体" w:cs="宋体"/>
          <w:szCs w:val="21"/>
          <w:highlight w:val="none"/>
        </w:rPr>
        <w:t>五、本公司（企业）承诺在本次招标采购活动中，如有违法、违规、弄虚作假行为，所造成的损失、不良后果及法律责任，一律由我公司（企业）承担。</w:t>
      </w:r>
    </w:p>
    <w:p>
      <w:pPr>
        <w:pStyle w:val="2"/>
        <w:spacing w:line="360" w:lineRule="auto"/>
        <w:ind w:firstLine="420"/>
        <w:rPr>
          <w:rFonts w:hAnsi="宋体" w:cs="宋体"/>
          <w:szCs w:val="21"/>
          <w:highlight w:val="none"/>
        </w:rPr>
      </w:pPr>
      <w:r>
        <w:rPr>
          <w:rFonts w:hint="eastAsia" w:hAnsi="宋体" w:cs="宋体"/>
          <w:szCs w:val="21"/>
          <w:highlight w:val="none"/>
        </w:rPr>
        <w:t>六、我方理解你方可能还要求提供更进一步的资格资料，并愿意应你方的要求提交。</w:t>
      </w:r>
    </w:p>
    <w:p>
      <w:pPr>
        <w:pStyle w:val="2"/>
        <w:spacing w:line="360" w:lineRule="auto"/>
        <w:rPr>
          <w:rFonts w:hAnsi="宋体" w:cs="宋体"/>
          <w:szCs w:val="21"/>
          <w:highlight w:val="none"/>
        </w:rPr>
      </w:pPr>
      <w:r>
        <w:rPr>
          <w:rFonts w:hint="eastAsia" w:hAnsi="宋体" w:cs="宋体"/>
          <w:szCs w:val="21"/>
          <w:highlight w:val="none"/>
        </w:rPr>
        <w:t>投标人：（</w:t>
      </w:r>
      <w:r>
        <w:rPr>
          <w:rFonts w:hint="eastAsia" w:hAnsi="宋体" w:cs="宋体"/>
          <w:szCs w:val="21"/>
          <w:highlight w:val="none"/>
          <w:lang w:val="zh-CN"/>
        </w:rPr>
        <w:t>加盖法人公章</w:t>
      </w:r>
      <w:r>
        <w:rPr>
          <w:rFonts w:hint="eastAsia" w:hAnsi="宋体" w:cs="宋体"/>
          <w:szCs w:val="21"/>
          <w:highlight w:val="none"/>
        </w:rPr>
        <w:t>）</w:t>
      </w:r>
    </w:p>
    <w:p>
      <w:pPr>
        <w:pStyle w:val="2"/>
        <w:spacing w:line="360" w:lineRule="auto"/>
        <w:rPr>
          <w:rFonts w:hAnsi="宋体" w:cs="宋体"/>
          <w:szCs w:val="21"/>
          <w:highlight w:val="none"/>
        </w:rPr>
      </w:pPr>
      <w:r>
        <w:rPr>
          <w:rFonts w:hint="eastAsia" w:hAnsi="宋体" w:cs="宋体"/>
          <w:szCs w:val="21"/>
          <w:highlight w:val="none"/>
        </w:rPr>
        <w:t>法 定 地 址：</w:t>
      </w:r>
    </w:p>
    <w:p>
      <w:pPr>
        <w:pStyle w:val="2"/>
        <w:spacing w:line="360" w:lineRule="auto"/>
        <w:rPr>
          <w:rFonts w:hAnsi="宋体" w:cs="宋体"/>
          <w:szCs w:val="21"/>
          <w:highlight w:val="none"/>
        </w:rPr>
      </w:pPr>
      <w:r>
        <w:rPr>
          <w:rFonts w:hint="eastAsia" w:hAnsi="宋体" w:cs="宋体"/>
          <w:szCs w:val="21"/>
          <w:highlight w:val="none"/>
        </w:rPr>
        <w:t>邮       编：.</w:t>
      </w:r>
    </w:p>
    <w:p>
      <w:pPr>
        <w:pStyle w:val="2"/>
        <w:spacing w:line="360" w:lineRule="auto"/>
        <w:rPr>
          <w:rFonts w:hAnsi="宋体" w:cs="宋体"/>
          <w:szCs w:val="21"/>
          <w:highlight w:val="none"/>
        </w:rPr>
      </w:pPr>
      <w:r>
        <w:rPr>
          <w:rFonts w:hint="eastAsia" w:hAnsi="宋体" w:cs="宋体"/>
          <w:szCs w:val="21"/>
          <w:highlight w:val="none"/>
        </w:rPr>
        <w:t>授权代表（亲笔签字）： 签字人姓名（印刷体）.</w:t>
      </w:r>
    </w:p>
    <w:p>
      <w:pPr>
        <w:pStyle w:val="2"/>
        <w:spacing w:line="360" w:lineRule="auto"/>
        <w:rPr>
          <w:rFonts w:hAnsi="宋体" w:cs="宋体"/>
          <w:szCs w:val="21"/>
          <w:highlight w:val="none"/>
        </w:rPr>
      </w:pPr>
      <w:r>
        <w:rPr>
          <w:rFonts w:hint="eastAsia" w:hAnsi="宋体" w:cs="宋体"/>
          <w:szCs w:val="21"/>
          <w:highlight w:val="none"/>
        </w:rPr>
        <w:t>电       话：</w:t>
      </w:r>
    </w:p>
    <w:p>
      <w:pPr>
        <w:pStyle w:val="2"/>
        <w:spacing w:line="360" w:lineRule="auto"/>
        <w:rPr>
          <w:rFonts w:hAnsi="宋体" w:cs="宋体"/>
          <w:szCs w:val="21"/>
          <w:highlight w:val="none"/>
        </w:rPr>
      </w:pPr>
      <w:r>
        <w:rPr>
          <w:rFonts w:hint="eastAsia" w:hAnsi="宋体" w:cs="宋体"/>
          <w:szCs w:val="21"/>
          <w:highlight w:val="none"/>
        </w:rPr>
        <w:t>传       真：.</w:t>
      </w:r>
    </w:p>
    <w:p>
      <w:pPr>
        <w:pStyle w:val="4"/>
        <w:spacing w:after="120" w:line="480" w:lineRule="exact"/>
        <w:rPr>
          <w:rFonts w:hAnsi="宋体" w:cs="宋体"/>
          <w:b/>
          <w:szCs w:val="20"/>
          <w:highlight w:val="none"/>
        </w:rPr>
      </w:pPr>
      <w:r>
        <w:rPr>
          <w:rFonts w:hint="eastAsia" w:hAnsi="宋体" w:cs="宋体"/>
          <w:b/>
          <w:szCs w:val="20"/>
          <w:highlight w:val="none"/>
        </w:rPr>
        <w:br w:type="page"/>
      </w:r>
      <w:r>
        <w:rPr>
          <w:rFonts w:hint="eastAsia" w:hAnsi="宋体" w:cs="宋体"/>
          <w:b/>
          <w:szCs w:val="20"/>
          <w:highlight w:val="none"/>
        </w:rPr>
        <w:t>附表2.3 法定代表人证明书格式</w:t>
      </w:r>
    </w:p>
    <w:p>
      <w:pPr>
        <w:spacing w:line="480" w:lineRule="exact"/>
        <w:jc w:val="center"/>
        <w:rPr>
          <w:rFonts w:hAnsi="宋体" w:cs="宋体"/>
          <w:b/>
          <w:sz w:val="28"/>
          <w:szCs w:val="28"/>
          <w:highlight w:val="none"/>
        </w:rPr>
      </w:pPr>
    </w:p>
    <w:p>
      <w:pPr>
        <w:spacing w:line="480" w:lineRule="exact"/>
        <w:jc w:val="center"/>
        <w:rPr>
          <w:rFonts w:hAnsi="宋体" w:cs="宋体"/>
          <w:b/>
          <w:sz w:val="32"/>
          <w:szCs w:val="32"/>
          <w:highlight w:val="none"/>
        </w:rPr>
      </w:pPr>
      <w:r>
        <w:rPr>
          <w:rFonts w:hint="eastAsia" w:hAnsi="宋体" w:cs="宋体"/>
          <w:b/>
          <w:sz w:val="32"/>
          <w:szCs w:val="32"/>
          <w:highlight w:val="none"/>
        </w:rPr>
        <w:t>法定代表人/负责人资格证明书</w:t>
      </w:r>
    </w:p>
    <w:p>
      <w:pPr>
        <w:spacing w:line="480" w:lineRule="exact"/>
        <w:rPr>
          <w:rFonts w:hAnsi="宋体" w:cs="宋体"/>
          <w:szCs w:val="21"/>
          <w:highlight w:val="none"/>
        </w:rPr>
      </w:pPr>
    </w:p>
    <w:p>
      <w:pPr>
        <w:spacing w:line="480" w:lineRule="exact"/>
        <w:rPr>
          <w:rFonts w:hAnsi="宋体" w:cs="宋体"/>
          <w:szCs w:val="21"/>
          <w:highlight w:val="none"/>
        </w:rPr>
      </w:pPr>
      <w:r>
        <w:rPr>
          <w:rFonts w:hint="eastAsia" w:hAnsi="宋体" w:cs="宋体"/>
          <w:szCs w:val="21"/>
          <w:highlight w:val="none"/>
        </w:rPr>
        <w:t>致：国家海洋局南海标准计量中心/ 广东远东招标代理有限公司</w:t>
      </w:r>
    </w:p>
    <w:p>
      <w:pPr>
        <w:rPr>
          <w:rFonts w:hAnsi="宋体" w:cs="宋体"/>
          <w:szCs w:val="21"/>
          <w:highlight w:val="none"/>
        </w:rPr>
      </w:pPr>
    </w:p>
    <w:p>
      <w:pPr>
        <w:spacing w:line="440" w:lineRule="exact"/>
        <w:rPr>
          <w:rFonts w:hAnsi="宋体" w:cs="宋体"/>
          <w:szCs w:val="21"/>
          <w:highlight w:val="none"/>
        </w:rPr>
      </w:pPr>
      <w:r>
        <w:rPr>
          <w:rFonts w:hint="eastAsia" w:hAnsi="宋体" w:cs="宋体"/>
          <w:szCs w:val="21"/>
          <w:highlight w:val="none"/>
        </w:rPr>
        <w:t>同志，现任我单位职务，为法定代表人，特此证明。</w:t>
      </w:r>
    </w:p>
    <w:p>
      <w:pPr>
        <w:spacing w:line="440" w:lineRule="exact"/>
        <w:ind w:firstLine="210" w:firstLineChars="100"/>
        <w:rPr>
          <w:rFonts w:hAnsi="宋体" w:cs="宋体"/>
          <w:szCs w:val="21"/>
          <w:highlight w:val="none"/>
        </w:rPr>
      </w:pPr>
      <w:r>
        <w:rPr>
          <w:rFonts w:hint="eastAsia" w:hAnsi="宋体" w:cs="宋体"/>
          <w:szCs w:val="21"/>
          <w:highlight w:val="none"/>
        </w:rPr>
        <w:t>签发日期：           单位：           （</w:t>
      </w:r>
      <w:r>
        <w:rPr>
          <w:rFonts w:hint="eastAsia" w:hAnsi="宋体" w:cs="宋体"/>
          <w:kern w:val="2"/>
          <w:szCs w:val="21"/>
          <w:highlight w:val="none"/>
          <w:lang w:val="zh-CN"/>
        </w:rPr>
        <w:t>加盖法人公章</w:t>
      </w:r>
      <w:r>
        <w:rPr>
          <w:rFonts w:hint="eastAsia" w:hAnsi="宋体" w:cs="宋体"/>
          <w:szCs w:val="21"/>
          <w:highlight w:val="none"/>
        </w:rPr>
        <w:t>）</w:t>
      </w:r>
    </w:p>
    <w:p>
      <w:pPr>
        <w:spacing w:line="440" w:lineRule="exact"/>
        <w:ind w:firstLine="210" w:firstLineChars="100"/>
        <w:rPr>
          <w:rFonts w:hAnsi="宋体" w:cs="宋体"/>
          <w:szCs w:val="21"/>
          <w:highlight w:val="none"/>
        </w:rPr>
      </w:pPr>
      <w:r>
        <w:rPr>
          <w:rFonts w:hint="eastAsia" w:hAnsi="宋体" w:cs="宋体"/>
          <w:szCs w:val="21"/>
          <w:highlight w:val="none"/>
        </w:rPr>
        <w:t>附：代表人性别：            年龄：           身份证号码：</w:t>
      </w:r>
    </w:p>
    <w:p>
      <w:pPr>
        <w:spacing w:line="440" w:lineRule="exact"/>
        <w:ind w:firstLine="210" w:firstLineChars="100"/>
        <w:rPr>
          <w:rFonts w:hAnsi="宋体" w:cs="宋体"/>
          <w:szCs w:val="21"/>
          <w:highlight w:val="none"/>
        </w:rPr>
      </w:pPr>
      <w:r>
        <w:rPr>
          <w:rFonts w:hint="eastAsia" w:hAnsi="宋体" w:cs="宋体"/>
          <w:szCs w:val="21"/>
          <w:highlight w:val="none"/>
        </w:rPr>
        <w:t>联系电话：</w:t>
      </w:r>
    </w:p>
    <w:p>
      <w:pPr>
        <w:spacing w:line="440" w:lineRule="exact"/>
        <w:ind w:firstLine="210" w:firstLineChars="100"/>
        <w:rPr>
          <w:rFonts w:hAnsi="宋体" w:cs="宋体"/>
          <w:szCs w:val="21"/>
          <w:highlight w:val="none"/>
        </w:rPr>
      </w:pPr>
      <w:r>
        <w:rPr>
          <w:rFonts w:hint="eastAsia" w:hAnsi="宋体" w:cs="宋体"/>
          <w:szCs w:val="21"/>
          <w:highlight w:val="none"/>
        </w:rPr>
        <w:t>营业执照号码：                       经济性质：</w:t>
      </w:r>
    </w:p>
    <w:p>
      <w:pPr>
        <w:spacing w:line="440" w:lineRule="exact"/>
        <w:ind w:firstLine="210" w:firstLineChars="100"/>
        <w:rPr>
          <w:rFonts w:hAnsi="宋体" w:cs="宋体"/>
          <w:szCs w:val="21"/>
          <w:highlight w:val="none"/>
        </w:rPr>
      </w:pPr>
      <w:r>
        <w:rPr>
          <w:rFonts w:hint="eastAsia" w:hAnsi="宋体" w:cs="宋体"/>
          <w:szCs w:val="21"/>
          <w:highlight w:val="none"/>
        </w:rPr>
        <w:t>主营（产）：</w:t>
      </w:r>
    </w:p>
    <w:p>
      <w:pPr>
        <w:spacing w:line="440" w:lineRule="exact"/>
        <w:ind w:firstLine="210" w:firstLineChars="100"/>
        <w:rPr>
          <w:rFonts w:hAnsi="宋体" w:cs="宋体"/>
          <w:szCs w:val="21"/>
          <w:highlight w:val="none"/>
        </w:rPr>
      </w:pPr>
      <w:r>
        <w:rPr>
          <w:rFonts w:hint="eastAsia" w:hAnsi="宋体" w:cs="宋体"/>
          <w:szCs w:val="21"/>
          <w:highlight w:val="none"/>
        </w:rPr>
        <w:t>兼营（产）：</w:t>
      </w:r>
    </w:p>
    <w:p>
      <w:pPr>
        <w:spacing w:line="440" w:lineRule="exact"/>
        <w:ind w:firstLine="210" w:firstLineChars="100"/>
        <w:rPr>
          <w:rFonts w:hAnsi="宋体" w:cs="宋体"/>
          <w:szCs w:val="21"/>
          <w:highlight w:val="none"/>
        </w:rPr>
      </w:pPr>
      <w:r>
        <w:rPr>
          <w:rFonts w:hint="eastAsia" w:hAnsi="宋体" w:cs="宋体"/>
          <w:szCs w:val="21"/>
          <w:highlight w:val="none"/>
        </w:rPr>
        <w:t>进口物品经营许可证号码：</w:t>
      </w:r>
    </w:p>
    <w:p>
      <w:pPr>
        <w:spacing w:line="440" w:lineRule="exact"/>
        <w:ind w:firstLine="210" w:firstLineChars="100"/>
        <w:rPr>
          <w:rFonts w:hAnsi="宋体" w:cs="宋体"/>
          <w:szCs w:val="21"/>
          <w:highlight w:val="none"/>
        </w:rPr>
      </w:pPr>
      <w:r>
        <w:rPr>
          <w:rFonts w:hint="eastAsia" w:hAnsi="宋体" w:cs="宋体"/>
          <w:szCs w:val="21"/>
          <w:highlight w:val="none"/>
        </w:rPr>
        <w:t>主营：</w:t>
      </w:r>
    </w:p>
    <w:p>
      <w:pPr>
        <w:spacing w:line="440" w:lineRule="exact"/>
        <w:ind w:firstLine="210" w:firstLineChars="100"/>
        <w:rPr>
          <w:rFonts w:hAnsi="宋体" w:cs="宋体"/>
          <w:szCs w:val="21"/>
          <w:highlight w:val="none"/>
        </w:rPr>
      </w:pPr>
      <w:r>
        <w:rPr>
          <w:rFonts w:hint="eastAsia" w:hAnsi="宋体" w:cs="宋体"/>
          <w:szCs w:val="21"/>
          <w:highlight w:val="none"/>
        </w:rPr>
        <w:t>兼营：</w:t>
      </w:r>
    </w:p>
    <w:p>
      <w:pPr>
        <w:spacing w:line="440" w:lineRule="exact"/>
        <w:rPr>
          <w:rFonts w:hAnsi="宋体" w:cs="宋体"/>
          <w:szCs w:val="21"/>
          <w:highlight w:val="none"/>
        </w:rPr>
      </w:pPr>
      <w:r>
        <w:rPr>
          <w:rFonts w:hint="eastAsia" w:hAnsi="宋体" w:cs="宋体"/>
          <w:szCs w:val="21"/>
          <w:highlight w:val="none"/>
        </w:rPr>
        <w:t>说明：1.法定代表人为企业事业单位、国家机关、社会团体的主要行政负责人。</w:t>
      </w:r>
    </w:p>
    <w:p>
      <w:pPr>
        <w:spacing w:line="440" w:lineRule="exact"/>
        <w:rPr>
          <w:rFonts w:hAnsi="宋体" w:cs="宋体"/>
          <w:szCs w:val="21"/>
          <w:highlight w:val="none"/>
        </w:rPr>
      </w:pPr>
      <w:r>
        <w:rPr>
          <w:rFonts w:hint="eastAsia" w:hAnsi="宋体" w:cs="宋体"/>
          <w:szCs w:val="21"/>
          <w:highlight w:val="none"/>
        </w:rPr>
        <w:t xml:space="preserve">      2.内容必须填写真实、清楚、涂改无效，不得转让、买卖。</w:t>
      </w:r>
    </w:p>
    <w:p>
      <w:pPr>
        <w:spacing w:line="440" w:lineRule="exact"/>
        <w:ind w:firstLine="630" w:firstLineChars="300"/>
        <w:rPr>
          <w:rFonts w:hAnsi="宋体" w:cs="宋体"/>
          <w:szCs w:val="21"/>
          <w:highlight w:val="none"/>
        </w:rPr>
      </w:pPr>
      <w:r>
        <w:rPr>
          <w:rFonts w:hint="eastAsia" w:hAnsi="宋体" w:cs="宋体"/>
          <w:szCs w:val="21"/>
          <w:highlight w:val="none"/>
        </w:rPr>
        <w:t>3.将此证明书提交对方作为合同附件</w:t>
      </w:r>
      <w:r>
        <w:rPr>
          <w:rFonts w:hint="eastAsia" w:hAnsi="宋体" w:cs="宋体"/>
          <w:b/>
          <w:szCs w:val="21"/>
          <w:highlight w:val="none"/>
        </w:rPr>
        <w:t>。</w:t>
      </w:r>
    </w:p>
    <w:p>
      <w:pPr>
        <w:rPr>
          <w:rFonts w:hAnsi="宋体" w:cs="宋体"/>
          <w:szCs w:val="21"/>
          <w:highlight w:val="none"/>
        </w:rPr>
      </w:pPr>
    </w:p>
    <w:p>
      <w:pPr>
        <w:rPr>
          <w:rFonts w:hAnsi="宋体" w:cs="宋体"/>
          <w:szCs w:val="21"/>
          <w:highlight w:val="none"/>
        </w:rPr>
      </w:pPr>
    </w:p>
    <w:p>
      <w:pPr>
        <w:rPr>
          <w:rFonts w:hAnsi="宋体" w:cs="宋体"/>
          <w:szCs w:val="21"/>
          <w:highlight w:val="none"/>
        </w:rPr>
      </w:pPr>
    </w:p>
    <w:p>
      <w:pPr>
        <w:rPr>
          <w:rFonts w:hAnsi="宋体" w:cs="宋体"/>
          <w:b/>
          <w:szCs w:val="21"/>
          <w:highlight w:val="none"/>
        </w:rPr>
      </w:pPr>
      <w:r>
        <w:rPr>
          <w:rFonts w:hint="eastAsia" w:hAnsi="宋体" w:cs="宋体"/>
          <w:b/>
          <w:szCs w:val="21"/>
          <w:highlight w:val="none"/>
        </w:rPr>
        <w:t xml:space="preserve"> (为避免废标，请投标人务必提供下列附件)</w:t>
      </w:r>
    </w:p>
    <w:p>
      <w:pPr>
        <w:rPr>
          <w:rFonts w:hAnsi="宋体" w:cs="宋体"/>
          <w:b/>
          <w:szCs w:val="21"/>
          <w:highlight w:val="none"/>
        </w:rPr>
      </w:pPr>
    </w:p>
    <w:p>
      <w:pPr>
        <w:rPr>
          <w:rFonts w:hAnsi="宋体" w:cs="宋体"/>
          <w:b/>
          <w:szCs w:val="21"/>
          <w:highlight w:val="none"/>
        </w:rPr>
      </w:pPr>
      <w:r>
        <w:rPr>
          <w:rFonts w:hAnsi="宋体" w:cs="宋体"/>
          <w:b/>
          <w:szCs w:val="21"/>
          <w:highlight w:val="none"/>
        </w:rPr>
        <mc:AlternateContent>
          <mc:Choice Requires="wps">
            <w:drawing>
              <wp:anchor distT="0" distB="0" distL="114300" distR="114300" simplePos="0" relativeHeight="251664384" behindDoc="0" locked="0" layoutInCell="1" allowOverlap="1">
                <wp:simplePos x="0" y="0"/>
                <wp:positionH relativeFrom="column">
                  <wp:posOffset>2990850</wp:posOffset>
                </wp:positionH>
                <wp:positionV relativeFrom="paragraph">
                  <wp:posOffset>74930</wp:posOffset>
                </wp:positionV>
                <wp:extent cx="2333625" cy="1584325"/>
                <wp:effectExtent l="4445" t="4445" r="11430" b="11430"/>
                <wp:wrapNone/>
                <wp:docPr id="5" name="自选图形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法人身份证复印件反面</w:t>
                            </w:r>
                          </w:p>
                        </w:txbxContent>
                      </wps:txbx>
                      <wps:bodyPr upright="1"/>
                    </wps:wsp>
                  </a:graphicData>
                </a:graphic>
              </wp:anchor>
            </w:drawing>
          </mc:Choice>
          <mc:Fallback>
            <w:pict>
              <v:shape id="自选图形 8" o:spid="_x0000_s1026" o:spt="176" type="#_x0000_t176" style="position:absolute;left:0pt;margin-left:235.5pt;margin-top:5.9pt;height:124.75pt;width:183.75pt;z-index:251664384;mso-width-relative:page;mso-height-relative:page;" fillcolor="#FFFFFF" filled="t" stroked="t" coordsize="21600,21600" o:gfxdata="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nxwO2AAA&#10;AAoBAAAPAAAAAAAAAAEAIAAAACIAAABkcnMvZG93bnJldi54bWxQSwECFAAUAAAACACHTuJA2KxS&#10;Lh4CAABTBAAADgAAAAAAAAABACAAAAAnAQAAZHJzL2Uyb0RvYy54bWxQSwUGAAAAAAYABgBZAQAA&#10;twUAAAAA&#10;">
                <v:fill on="t" focussize="0,0"/>
                <v:stroke color="#000000" joinstyle="miter"/>
                <v:imagedata o:title=""/>
                <o:lock v:ext="edit" aspectratio="f"/>
                <v:textbox>
                  <w:txbxContent>
                    <w:p>
                      <w:pPr>
                        <w:jc w:val="center"/>
                        <w:rPr>
                          <w:szCs w:val="21"/>
                        </w:rPr>
                      </w:pPr>
                      <w:r>
                        <w:rPr>
                          <w:rFonts w:hint="eastAsia"/>
                          <w:szCs w:val="21"/>
                        </w:rPr>
                        <w:t>法人身份证复印件反面</w:t>
                      </w:r>
                    </w:p>
                  </w:txbxContent>
                </v:textbox>
              </v:shape>
            </w:pict>
          </mc:Fallback>
        </mc:AlternateContent>
      </w:r>
      <w:r>
        <w:rPr>
          <w:rFonts w:hAnsi="宋体" w:cs="宋体"/>
          <w:b/>
          <w:szCs w:val="21"/>
          <w:highlight w:val="none"/>
        </w:rPr>
        <mc:AlternateContent>
          <mc:Choice Requires="wps">
            <w:drawing>
              <wp:anchor distT="0" distB="0" distL="114300" distR="114300" simplePos="0" relativeHeight="251662336" behindDoc="0" locked="0" layoutInCell="1" allowOverlap="1">
                <wp:simplePos x="0" y="0"/>
                <wp:positionH relativeFrom="column">
                  <wp:posOffset>447675</wp:posOffset>
                </wp:positionH>
                <wp:positionV relativeFrom="paragraph">
                  <wp:posOffset>74930</wp:posOffset>
                </wp:positionV>
                <wp:extent cx="2333625" cy="1584325"/>
                <wp:effectExtent l="4445" t="4445" r="11430" b="11430"/>
                <wp:wrapNone/>
                <wp:docPr id="3" name="自选图形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法人身份证复印件正面</w:t>
                            </w:r>
                          </w:p>
                        </w:txbxContent>
                      </wps:txbx>
                      <wps:bodyPr upright="1"/>
                    </wps:wsp>
                  </a:graphicData>
                </a:graphic>
              </wp:anchor>
            </w:drawing>
          </mc:Choice>
          <mc:Fallback>
            <w:pict>
              <v:shape id="自选图形 2" o:spid="_x0000_s1026" o:spt="176" type="#_x0000_t176" style="position:absolute;left:0pt;margin-left:35.25pt;margin-top:5.9pt;height:124.75pt;width:183.75pt;z-index:251662336;mso-width-relative:page;mso-height-relative:page;" fillcolor="#FFFFFF" filled="t" stroked="t" coordsize="21600,21600" o:gfxdata="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lXoYdcA&#10;AAAJAQAADwAAAAAAAAABACAAAAAiAAAAZHJzL2Rvd25yZXYueG1sUEsBAhQAFAAAAAgAh07iQPJO&#10;1hsgAgAAUwQAAA4AAAAAAAAAAQAgAAAAJgEAAGRycy9lMm9Eb2MueG1sUEsFBgAAAAAGAAYAWQEA&#10;ALgFAAAAAA==&#10;">
                <v:fill on="t" focussize="0,0"/>
                <v:stroke color="#000000" joinstyle="miter"/>
                <v:imagedata o:title=""/>
                <o:lock v:ext="edit" aspectratio="f"/>
                <v:textbox>
                  <w:txbxContent>
                    <w:p>
                      <w:pPr>
                        <w:jc w:val="center"/>
                        <w:rPr>
                          <w:szCs w:val="21"/>
                        </w:rPr>
                      </w:pPr>
                      <w:r>
                        <w:rPr>
                          <w:rFonts w:hint="eastAsia"/>
                          <w:szCs w:val="21"/>
                        </w:rPr>
                        <w:t>法人身份证复印件正面</w:t>
                      </w:r>
                    </w:p>
                  </w:txbxContent>
                </v:textbox>
              </v:shape>
            </w:pict>
          </mc:Fallback>
        </mc:AlternateContent>
      </w:r>
    </w:p>
    <w:p>
      <w:pPr>
        <w:rPr>
          <w:rFonts w:hAnsi="宋体" w:cs="宋体"/>
          <w:b/>
          <w:szCs w:val="21"/>
          <w:highlight w:val="none"/>
        </w:rPr>
      </w:pPr>
    </w:p>
    <w:p>
      <w:pPr>
        <w:rPr>
          <w:rFonts w:hAnsi="宋体" w:cs="宋体"/>
          <w:b/>
          <w:szCs w:val="21"/>
          <w:highlight w:val="none"/>
        </w:rPr>
      </w:pPr>
    </w:p>
    <w:p>
      <w:pPr>
        <w:rPr>
          <w:rFonts w:hAnsi="宋体" w:cs="宋体"/>
          <w:b/>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Ansi="宋体" w:cs="宋体"/>
          <w:szCs w:val="21"/>
          <w:highlight w:val="none"/>
        </w:rPr>
      </w:pPr>
    </w:p>
    <w:p>
      <w:pPr>
        <w:rPr>
          <w:rFonts w:hAnsi="宋体" w:cs="宋体"/>
          <w:highlight w:val="none"/>
        </w:rPr>
      </w:pPr>
    </w:p>
    <w:p>
      <w:pPr>
        <w:rPr>
          <w:rFonts w:hAnsi="宋体" w:cs="宋体"/>
          <w:highlight w:val="none"/>
        </w:rPr>
      </w:pPr>
    </w:p>
    <w:p>
      <w:pPr>
        <w:rPr>
          <w:rFonts w:hAnsi="宋体" w:cs="宋体"/>
          <w:highlight w:val="none"/>
        </w:rPr>
      </w:pPr>
    </w:p>
    <w:bookmarkEnd w:id="32"/>
    <w:p>
      <w:pPr>
        <w:pStyle w:val="4"/>
        <w:spacing w:after="120" w:line="480" w:lineRule="exact"/>
        <w:rPr>
          <w:rFonts w:hAnsi="宋体" w:cs="宋体"/>
          <w:b/>
          <w:szCs w:val="20"/>
          <w:highlight w:val="none"/>
        </w:rPr>
      </w:pPr>
      <w:r>
        <w:rPr>
          <w:rFonts w:hint="eastAsia" w:hAnsi="宋体" w:cs="宋体"/>
          <w:b/>
          <w:szCs w:val="20"/>
          <w:highlight w:val="none"/>
        </w:rPr>
        <w:br w:type="page"/>
      </w:r>
      <w:r>
        <w:rPr>
          <w:rFonts w:hint="eastAsia" w:hAnsi="宋体" w:cs="宋体"/>
          <w:b/>
          <w:szCs w:val="20"/>
          <w:highlight w:val="none"/>
        </w:rPr>
        <w:t>附表2.4 法定代表人授权书格式（有被授权人时适用）</w:t>
      </w:r>
    </w:p>
    <w:p>
      <w:pPr>
        <w:spacing w:line="360" w:lineRule="auto"/>
        <w:jc w:val="center"/>
        <w:rPr>
          <w:rFonts w:hAnsi="宋体" w:cs="宋体"/>
          <w:b/>
          <w:szCs w:val="21"/>
          <w:highlight w:val="none"/>
        </w:rPr>
      </w:pPr>
    </w:p>
    <w:p>
      <w:pPr>
        <w:spacing w:line="360" w:lineRule="auto"/>
        <w:jc w:val="center"/>
        <w:rPr>
          <w:rFonts w:hAnsi="宋体" w:cs="宋体"/>
          <w:b/>
          <w:szCs w:val="21"/>
          <w:highlight w:val="none"/>
        </w:rPr>
      </w:pPr>
      <w:r>
        <w:rPr>
          <w:rFonts w:hint="eastAsia" w:hAnsi="宋体" w:cs="宋体"/>
          <w:b/>
          <w:szCs w:val="21"/>
          <w:highlight w:val="none"/>
        </w:rPr>
        <w:t>法定代表人授权书格式</w:t>
      </w:r>
    </w:p>
    <w:p>
      <w:pPr>
        <w:spacing w:line="360" w:lineRule="auto"/>
        <w:rPr>
          <w:rFonts w:hAnsi="宋体" w:cs="宋体"/>
          <w:szCs w:val="21"/>
          <w:highlight w:val="none"/>
        </w:rPr>
      </w:pPr>
      <w:r>
        <w:rPr>
          <w:rFonts w:hint="eastAsia" w:hAnsi="宋体" w:cs="宋体"/>
          <w:szCs w:val="21"/>
          <w:highlight w:val="none"/>
        </w:rPr>
        <w:t>致：国家海洋局南海标准计量中心/ 广东远东招标代理有限公司</w:t>
      </w:r>
    </w:p>
    <w:p>
      <w:pPr>
        <w:spacing w:line="480" w:lineRule="exact"/>
        <w:ind w:firstLine="420" w:firstLineChars="200"/>
        <w:rPr>
          <w:rFonts w:hAnsi="宋体" w:cs="宋体"/>
          <w:szCs w:val="21"/>
          <w:highlight w:val="none"/>
        </w:rPr>
      </w:pPr>
      <w:r>
        <w:rPr>
          <w:rFonts w:hint="eastAsia" w:hAnsi="宋体" w:cs="宋体"/>
          <w:szCs w:val="21"/>
          <w:highlight w:val="none"/>
        </w:rPr>
        <w:t>兹授权同志，为我方签订经济合同及办理其他事务代理人，其权限是：</w:t>
      </w:r>
    </w:p>
    <w:p>
      <w:pPr>
        <w:spacing w:line="480" w:lineRule="exact"/>
        <w:rPr>
          <w:rFonts w:hAnsi="宋体" w:cs="宋体"/>
          <w:szCs w:val="21"/>
          <w:highlight w:val="none"/>
        </w:rPr>
      </w:pPr>
      <w:r>
        <w:rPr>
          <w:rFonts w:hint="eastAsia" w:hAnsi="宋体" w:cs="宋体"/>
          <w:szCs w:val="21"/>
          <w:highlight w:val="none"/>
        </w:rPr>
        <w:t>。</w:t>
      </w:r>
    </w:p>
    <w:p>
      <w:pPr>
        <w:spacing w:line="480" w:lineRule="exact"/>
        <w:rPr>
          <w:rFonts w:hAnsi="宋体" w:cs="宋体"/>
          <w:szCs w:val="21"/>
          <w:highlight w:val="none"/>
        </w:rPr>
      </w:pPr>
      <w:r>
        <w:rPr>
          <w:rFonts w:hint="eastAsia" w:hAnsi="宋体" w:cs="宋体"/>
          <w:szCs w:val="21"/>
          <w:highlight w:val="none"/>
        </w:rPr>
        <w:t>授权单位：          （</w:t>
      </w:r>
      <w:r>
        <w:rPr>
          <w:rFonts w:hint="eastAsia" w:hAnsi="宋体" w:cs="宋体"/>
          <w:kern w:val="2"/>
          <w:szCs w:val="21"/>
          <w:highlight w:val="none"/>
          <w:lang w:val="zh-CN"/>
        </w:rPr>
        <w:t>加盖法人公章</w:t>
      </w:r>
      <w:r>
        <w:rPr>
          <w:rFonts w:hint="eastAsia" w:hAnsi="宋体" w:cs="宋体"/>
          <w:szCs w:val="21"/>
          <w:highlight w:val="none"/>
        </w:rPr>
        <w:t>）     法定代表人              （签名亲笔或盖私章）</w:t>
      </w:r>
    </w:p>
    <w:p>
      <w:pPr>
        <w:spacing w:line="480" w:lineRule="exact"/>
        <w:rPr>
          <w:rFonts w:hAnsi="宋体" w:cs="宋体"/>
          <w:szCs w:val="21"/>
          <w:highlight w:val="none"/>
        </w:rPr>
      </w:pPr>
      <w:r>
        <w:rPr>
          <w:rFonts w:hint="eastAsia" w:hAnsi="宋体" w:cs="宋体"/>
          <w:szCs w:val="21"/>
          <w:highlight w:val="none"/>
        </w:rPr>
        <w:t>有效期限：至        年       月      日       签发日期：</w:t>
      </w:r>
    </w:p>
    <w:p>
      <w:pPr>
        <w:spacing w:line="480" w:lineRule="exact"/>
        <w:rPr>
          <w:rFonts w:hAnsi="宋体" w:cs="宋体"/>
          <w:szCs w:val="21"/>
          <w:highlight w:val="none"/>
        </w:rPr>
      </w:pPr>
      <w:r>
        <w:rPr>
          <w:rFonts w:hint="eastAsia" w:hAnsi="宋体" w:cs="宋体"/>
          <w:szCs w:val="21"/>
          <w:highlight w:val="none"/>
        </w:rPr>
        <w:t>附：代理人性别：        年龄：       职务：         身份证号码：</w:t>
      </w:r>
    </w:p>
    <w:p>
      <w:pPr>
        <w:spacing w:line="480" w:lineRule="exact"/>
        <w:rPr>
          <w:rFonts w:hAnsi="宋体" w:cs="宋体"/>
          <w:szCs w:val="21"/>
          <w:highlight w:val="none"/>
        </w:rPr>
      </w:pPr>
      <w:r>
        <w:rPr>
          <w:rFonts w:hint="eastAsia" w:hAnsi="宋体" w:cs="宋体"/>
          <w:szCs w:val="21"/>
          <w:highlight w:val="none"/>
        </w:rPr>
        <w:t xml:space="preserve">  联系电话：</w:t>
      </w:r>
    </w:p>
    <w:p>
      <w:pPr>
        <w:spacing w:line="480" w:lineRule="exact"/>
        <w:ind w:firstLine="210" w:firstLineChars="100"/>
        <w:rPr>
          <w:rFonts w:hAnsi="宋体" w:cs="宋体"/>
          <w:szCs w:val="21"/>
          <w:highlight w:val="none"/>
        </w:rPr>
      </w:pPr>
      <w:r>
        <w:rPr>
          <w:rFonts w:hint="eastAsia" w:hAnsi="宋体" w:cs="宋体"/>
          <w:szCs w:val="21"/>
          <w:highlight w:val="none"/>
        </w:rPr>
        <w:t>营业执照号码：                         经济性质：</w:t>
      </w:r>
    </w:p>
    <w:p>
      <w:pPr>
        <w:spacing w:line="480" w:lineRule="exact"/>
        <w:ind w:firstLine="210" w:firstLineChars="100"/>
        <w:rPr>
          <w:rFonts w:hAnsi="宋体" w:cs="宋体"/>
          <w:szCs w:val="21"/>
          <w:highlight w:val="none"/>
        </w:rPr>
      </w:pPr>
      <w:r>
        <w:rPr>
          <w:rFonts w:hint="eastAsia" w:hAnsi="宋体" w:cs="宋体"/>
          <w:szCs w:val="21"/>
          <w:highlight w:val="none"/>
        </w:rPr>
        <w:t>主营（产）：</w:t>
      </w:r>
    </w:p>
    <w:p>
      <w:pPr>
        <w:spacing w:line="480" w:lineRule="exact"/>
        <w:ind w:firstLine="210" w:firstLineChars="100"/>
        <w:rPr>
          <w:rFonts w:hAnsi="宋体" w:cs="宋体"/>
          <w:szCs w:val="21"/>
          <w:highlight w:val="none"/>
        </w:rPr>
      </w:pPr>
      <w:r>
        <w:rPr>
          <w:rFonts w:hint="eastAsia" w:hAnsi="宋体" w:cs="宋体"/>
          <w:szCs w:val="21"/>
          <w:highlight w:val="none"/>
        </w:rPr>
        <w:t>兼营（产）：</w:t>
      </w:r>
    </w:p>
    <w:p>
      <w:pPr>
        <w:spacing w:line="480" w:lineRule="exact"/>
        <w:rPr>
          <w:rFonts w:hAnsi="宋体" w:cs="宋体"/>
          <w:szCs w:val="21"/>
          <w:highlight w:val="none"/>
        </w:rPr>
      </w:pPr>
      <w:r>
        <w:rPr>
          <w:rFonts w:hint="eastAsia" w:hAnsi="宋体" w:cs="宋体"/>
          <w:szCs w:val="21"/>
          <w:highlight w:val="none"/>
        </w:rPr>
        <w:t>说明：1.法定代表人为企业事业单位、国家机关、社会团体的主要行政负责人。</w:t>
      </w:r>
    </w:p>
    <w:p>
      <w:pPr>
        <w:spacing w:line="480" w:lineRule="exact"/>
        <w:rPr>
          <w:rFonts w:hAnsi="宋体" w:cs="宋体"/>
          <w:szCs w:val="21"/>
          <w:highlight w:val="none"/>
        </w:rPr>
      </w:pPr>
      <w:r>
        <w:rPr>
          <w:rFonts w:hint="eastAsia" w:hAnsi="宋体" w:cs="宋体"/>
          <w:szCs w:val="21"/>
          <w:highlight w:val="none"/>
        </w:rPr>
        <w:t xml:space="preserve">      2.内容必须填写真实、清楚、涂改无效，不得转让、买卖。</w:t>
      </w:r>
    </w:p>
    <w:p>
      <w:pPr>
        <w:spacing w:line="480" w:lineRule="exact"/>
        <w:ind w:firstLine="630" w:firstLineChars="300"/>
        <w:rPr>
          <w:rFonts w:hAnsi="宋体" w:cs="宋体"/>
          <w:b/>
          <w:szCs w:val="21"/>
          <w:highlight w:val="none"/>
        </w:rPr>
      </w:pPr>
      <w:r>
        <w:rPr>
          <w:rFonts w:hint="eastAsia" w:hAnsi="宋体" w:cs="宋体"/>
          <w:szCs w:val="21"/>
          <w:highlight w:val="none"/>
        </w:rPr>
        <w:t>3.将此证明书提交对方作为合同附件</w:t>
      </w:r>
      <w:r>
        <w:rPr>
          <w:rFonts w:hint="eastAsia" w:hAnsi="宋体" w:cs="宋体"/>
          <w:b/>
          <w:szCs w:val="21"/>
          <w:highlight w:val="none"/>
        </w:rPr>
        <w:t>。</w:t>
      </w:r>
    </w:p>
    <w:p>
      <w:pPr>
        <w:spacing w:line="480" w:lineRule="exact"/>
        <w:ind w:firstLine="630" w:firstLineChars="300"/>
        <w:rPr>
          <w:rFonts w:hAnsi="宋体" w:cs="宋体"/>
          <w:szCs w:val="21"/>
          <w:highlight w:val="none"/>
        </w:rPr>
      </w:pPr>
      <w:r>
        <w:rPr>
          <w:rFonts w:hint="eastAsia" w:hAnsi="宋体" w:cs="宋体"/>
          <w:szCs w:val="21"/>
          <w:highlight w:val="none"/>
        </w:rPr>
        <w:t>4.授权权限：全权代表本公司参与上述采购项目的投标，负责提供与签署确认一切文书资料，以及向贵方递交的任何补充承诺。</w:t>
      </w:r>
    </w:p>
    <w:p>
      <w:pPr>
        <w:spacing w:line="440" w:lineRule="exact"/>
        <w:ind w:firstLine="644" w:firstLineChars="307"/>
        <w:rPr>
          <w:rFonts w:hAnsi="宋体" w:cs="宋体"/>
          <w:szCs w:val="21"/>
          <w:highlight w:val="none"/>
        </w:rPr>
      </w:pPr>
      <w:r>
        <w:rPr>
          <w:rFonts w:hint="eastAsia" w:hAnsi="宋体" w:cs="宋体"/>
          <w:szCs w:val="21"/>
          <w:highlight w:val="none"/>
        </w:rPr>
        <w:t>5.有效期限：与本公司投标文件中标注的投标有效期相同，自本单位盖公章之日起生效。</w:t>
      </w:r>
    </w:p>
    <w:p>
      <w:pPr>
        <w:spacing w:line="440" w:lineRule="exact"/>
        <w:ind w:firstLine="644" w:firstLineChars="307"/>
        <w:rPr>
          <w:rFonts w:hAnsi="宋体" w:cs="宋体"/>
          <w:szCs w:val="21"/>
          <w:highlight w:val="none"/>
        </w:rPr>
      </w:pPr>
      <w:r>
        <w:rPr>
          <w:rFonts w:hint="eastAsia" w:hAnsi="宋体" w:cs="宋体"/>
          <w:szCs w:val="21"/>
          <w:highlight w:val="none"/>
        </w:rPr>
        <w:t>6.投标签字代表为法定代表人，则本表不适用。</w:t>
      </w:r>
    </w:p>
    <w:p>
      <w:pPr>
        <w:spacing w:line="360" w:lineRule="auto"/>
        <w:ind w:firstLine="420"/>
        <w:rPr>
          <w:rFonts w:hAnsi="宋体" w:cs="宋体"/>
          <w:szCs w:val="21"/>
          <w:highlight w:val="none"/>
          <w:u w:val="single"/>
        </w:rPr>
      </w:pPr>
      <w:r>
        <w:rPr>
          <w:rFonts w:hAnsi="宋体" w:cs="宋体"/>
          <w:szCs w:val="21"/>
          <w:highlight w:val="none"/>
          <w:u w:val="single"/>
        </w:rPr>
        <mc:AlternateContent>
          <mc:Choice Requires="wps">
            <w:drawing>
              <wp:anchor distT="0" distB="0" distL="114300" distR="114300" simplePos="0" relativeHeight="251665408" behindDoc="0" locked="0" layoutInCell="1" allowOverlap="1">
                <wp:simplePos x="0" y="0"/>
                <wp:positionH relativeFrom="column">
                  <wp:posOffset>2828925</wp:posOffset>
                </wp:positionH>
                <wp:positionV relativeFrom="paragraph">
                  <wp:posOffset>33020</wp:posOffset>
                </wp:positionV>
                <wp:extent cx="2333625" cy="1584325"/>
                <wp:effectExtent l="4445" t="4445" r="11430" b="11430"/>
                <wp:wrapNone/>
                <wp:docPr id="6" name="自选图形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授权代表身份证复印件反面</w:t>
                            </w:r>
                          </w:p>
                        </w:txbxContent>
                      </wps:txbx>
                      <wps:bodyPr upright="1"/>
                    </wps:wsp>
                  </a:graphicData>
                </a:graphic>
              </wp:anchor>
            </w:drawing>
          </mc:Choice>
          <mc:Fallback>
            <w:pict>
              <v:shape id="自选图形 9" o:spid="_x0000_s1026" o:spt="176" type="#_x0000_t176" style="position:absolute;left:0pt;margin-left:222.75pt;margin-top:2.6pt;height:124.75pt;width:183.75pt;z-index:251665408;mso-width-relative:page;mso-height-relative:page;" fillcolor="#FFFFFF" filled="t" stroked="t" coordsize="21600,21600" o:gfxdata="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7/R5dgA&#10;AAAJAQAADwAAAAAAAAABACAAAAAiAAAAZHJzL2Rvd25yZXYueG1sUEsBAhQAFAAAAAgAh07iQEs6&#10;32YfAgAAUwQAAA4AAAAAAAAAAQAgAAAAJwEAAGRycy9lMm9Eb2MueG1sUEsFBgAAAAAGAAYAWQEA&#10;ALgFAAAAAA==&#10;">
                <v:fill on="t" focussize="0,0"/>
                <v:stroke color="#000000" joinstyle="miter"/>
                <v:imagedata o:title=""/>
                <o:lock v:ext="edit" aspectratio="f"/>
                <v:textbox>
                  <w:txbxContent>
                    <w:p>
                      <w:pPr>
                        <w:jc w:val="center"/>
                        <w:rPr>
                          <w:szCs w:val="21"/>
                        </w:rPr>
                      </w:pPr>
                      <w:r>
                        <w:rPr>
                          <w:rFonts w:hint="eastAsia"/>
                          <w:szCs w:val="21"/>
                        </w:rPr>
                        <w:t>授权代表身份证复印件反面</w:t>
                      </w:r>
                    </w:p>
                  </w:txbxContent>
                </v:textbox>
              </v:shape>
            </w:pict>
          </mc:Fallback>
        </mc:AlternateContent>
      </w:r>
      <w:r>
        <w:rPr>
          <w:rFonts w:hAnsi="宋体" w:cs="宋体"/>
          <w:szCs w:val="21"/>
          <w:highlight w:val="none"/>
          <w:u w:val="single"/>
        </w:rPr>
        <mc:AlternateContent>
          <mc:Choice Requires="wps">
            <w:drawing>
              <wp:anchor distT="0" distB="0" distL="114300" distR="114300" simplePos="0" relativeHeight="251663360" behindDoc="0" locked="0" layoutInCell="1" allowOverlap="1">
                <wp:simplePos x="0" y="0"/>
                <wp:positionH relativeFrom="column">
                  <wp:posOffset>400050</wp:posOffset>
                </wp:positionH>
                <wp:positionV relativeFrom="paragraph">
                  <wp:posOffset>33020</wp:posOffset>
                </wp:positionV>
                <wp:extent cx="2333625" cy="1584325"/>
                <wp:effectExtent l="4445" t="4445" r="11430" b="11430"/>
                <wp:wrapNone/>
                <wp:docPr id="4" name="自选图形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Cs w:val="21"/>
                              </w:rPr>
                            </w:pPr>
                            <w:r>
                              <w:rPr>
                                <w:rFonts w:hint="eastAsia"/>
                                <w:szCs w:val="21"/>
                              </w:rPr>
                              <w:t>授权代表身份证复印件正面</w:t>
                            </w:r>
                          </w:p>
                        </w:txbxContent>
                      </wps:txbx>
                      <wps:bodyPr upright="1"/>
                    </wps:wsp>
                  </a:graphicData>
                </a:graphic>
              </wp:anchor>
            </w:drawing>
          </mc:Choice>
          <mc:Fallback>
            <w:pict>
              <v:shape id="自选图形 3" o:spid="_x0000_s1026" o:spt="176" type="#_x0000_t176" style="position:absolute;left:0pt;margin-left:31.5pt;margin-top:2.6pt;height:124.75pt;width:183.75pt;z-index:251663360;mso-width-relative:page;mso-height-relative:page;" fillcolor="#FFFFFF" filled="t" stroked="t" coordsize="21600,21600" o:gfxdata="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TfM0tcA&#10;AAAIAQAADwAAAAAAAAABACAAAAAiAAAAZHJzL2Rvd25yZXYueG1sUEsBAhQAFAAAAAgAh07iQBix&#10;ozUgAgAAUwQAAA4AAAAAAAAAAQAgAAAAJgEAAGRycy9lMm9Eb2MueG1sUEsFBgAAAAAGAAYAWQEA&#10;ALgFAAAAAA==&#10;">
                <v:fill on="t" focussize="0,0"/>
                <v:stroke color="#000000" joinstyle="miter"/>
                <v:imagedata o:title=""/>
                <o:lock v:ext="edit" aspectratio="f"/>
                <v:textbox>
                  <w:txbxContent>
                    <w:p>
                      <w:pPr>
                        <w:jc w:val="center"/>
                        <w:rPr>
                          <w:szCs w:val="21"/>
                        </w:rPr>
                      </w:pPr>
                      <w:r>
                        <w:rPr>
                          <w:rFonts w:hint="eastAsia"/>
                          <w:szCs w:val="21"/>
                        </w:rPr>
                        <w:t>授权代表身份证复印件正面</w:t>
                      </w:r>
                    </w:p>
                  </w:txbxContent>
                </v:textbox>
              </v:shape>
            </w:pict>
          </mc:Fallback>
        </mc:AlternateContent>
      </w:r>
    </w:p>
    <w:p>
      <w:pPr>
        <w:spacing w:line="360" w:lineRule="auto"/>
        <w:ind w:firstLine="420"/>
        <w:rPr>
          <w:rFonts w:hAnsi="宋体" w:cs="宋体"/>
          <w:szCs w:val="21"/>
          <w:highlight w:val="none"/>
          <w:u w:val="single"/>
        </w:rPr>
      </w:pPr>
    </w:p>
    <w:p>
      <w:pPr>
        <w:pStyle w:val="4"/>
        <w:spacing w:after="120" w:line="480" w:lineRule="exact"/>
        <w:rPr>
          <w:rFonts w:hAnsi="宋体" w:cs="宋体"/>
          <w:b/>
          <w:szCs w:val="21"/>
          <w:highlight w:val="none"/>
        </w:rPr>
      </w:pPr>
      <w:bookmarkStart w:id="33" w:name="_Toc10548704"/>
      <w:r>
        <w:rPr>
          <w:rFonts w:hint="eastAsia" w:hAnsi="宋体" w:cs="宋体"/>
          <w:b/>
          <w:szCs w:val="20"/>
          <w:highlight w:val="none"/>
        </w:rPr>
        <w:br w:type="page"/>
      </w:r>
      <w:r>
        <w:rPr>
          <w:rFonts w:hint="eastAsia" w:hAnsi="宋体" w:cs="宋体"/>
          <w:b/>
          <w:szCs w:val="21"/>
          <w:highlight w:val="none"/>
        </w:rPr>
        <w:t>附表2.5 证明投标人的合格性的证明文件格式</w:t>
      </w:r>
    </w:p>
    <w:p>
      <w:pPr>
        <w:spacing w:line="360" w:lineRule="auto"/>
        <w:rPr>
          <w:rFonts w:hAnsi="宋体" w:cs="宋体"/>
          <w:szCs w:val="21"/>
          <w:highlight w:val="none"/>
        </w:rPr>
      </w:pPr>
      <w:r>
        <w:rPr>
          <w:rFonts w:hint="eastAsia" w:hAnsi="宋体" w:cs="宋体"/>
          <w:szCs w:val="21"/>
          <w:highlight w:val="none"/>
        </w:rPr>
        <w:t>投标人具有履行合同所需的财务、技术和维护能力的资格证明文件(复印件加盖投标人法人公章)：</w:t>
      </w:r>
    </w:p>
    <w:p>
      <w:pPr>
        <w:spacing w:line="360" w:lineRule="auto"/>
        <w:ind w:right="-34"/>
        <w:jc w:val="both"/>
        <w:rPr>
          <w:rFonts w:hAnsi="宋体" w:cs="宋体"/>
          <w:szCs w:val="21"/>
          <w:highlight w:val="none"/>
        </w:rPr>
      </w:pPr>
      <w:r>
        <w:rPr>
          <w:rFonts w:hint="eastAsia" w:hAnsi="宋体" w:cs="宋体"/>
          <w:szCs w:val="21"/>
          <w:highlight w:val="none"/>
        </w:rPr>
        <w:t>1.供应商应具备《政府采购法》第二十二条规定的条件；</w:t>
      </w:r>
    </w:p>
    <w:p>
      <w:pPr>
        <w:spacing w:line="360" w:lineRule="auto"/>
        <w:ind w:right="-34"/>
        <w:jc w:val="both"/>
        <w:rPr>
          <w:rFonts w:hAnsi="宋体" w:cs="宋体"/>
          <w:szCs w:val="21"/>
          <w:highlight w:val="none"/>
        </w:rPr>
      </w:pPr>
      <w:r>
        <w:rPr>
          <w:rFonts w:hint="eastAsia" w:hAnsi="宋体" w:cs="宋体"/>
          <w:szCs w:val="21"/>
          <w:highlight w:val="none"/>
        </w:rPr>
        <w:t>2.落实政府采购政策需满足的资格要求：本项目属于专门面向中小企业采购的项目。（本项目所属行业：其他未列明行业）</w:t>
      </w:r>
    </w:p>
    <w:p>
      <w:pPr>
        <w:spacing w:line="360" w:lineRule="auto"/>
        <w:ind w:right="-34"/>
        <w:jc w:val="both"/>
        <w:rPr>
          <w:rFonts w:hAnsi="宋体" w:cs="宋体"/>
          <w:szCs w:val="21"/>
          <w:highlight w:val="none"/>
        </w:rPr>
      </w:pPr>
      <w:r>
        <w:rPr>
          <w:rFonts w:hint="eastAsia" w:hAnsi="宋体" w:cs="宋体"/>
          <w:szCs w:val="21"/>
          <w:highlight w:val="none"/>
        </w:rPr>
        <w:t>3.具有独立民事责任的法人、其他组织或者自然人，并取得合法工商执照或者其它法人（负责人）证书，如供应商为自然人的需提供自然人身份证明。</w:t>
      </w:r>
    </w:p>
    <w:p>
      <w:pPr>
        <w:spacing w:line="360" w:lineRule="auto"/>
        <w:ind w:right="-34"/>
        <w:jc w:val="both"/>
        <w:rPr>
          <w:rFonts w:hAnsi="宋体" w:cs="宋体"/>
          <w:szCs w:val="21"/>
          <w:highlight w:val="none"/>
        </w:rPr>
      </w:pPr>
      <w:r>
        <w:rPr>
          <w:rFonts w:hint="eastAsia" w:hAnsi="宋体" w:cs="宋体"/>
          <w:szCs w:val="21"/>
          <w:highlight w:val="none"/>
        </w:rPr>
        <w:t>4.信用记录：供应商未被列入“信用中国”网站(www.creditchina.gov.cn)“失信被执行人或重大税收违法失信主体或政府采购严重违法失信行为记录名单”记录名单；不处于中国政府采购网(www.ccgp.gov.cn)“政府采购严重违法失信行为信息记录”中的禁止参加政府采购活动期间。（以采购代理机构在投标（响应）截止日当天在“信用中国”网站（www.creditchina.gov.cn）及中国政府采购网(www.ccgp.gov.cn)查询结果为准，注：如相关失信记录已失效，供应商需提供相关证明资料。）</w:t>
      </w:r>
    </w:p>
    <w:p>
      <w:pPr>
        <w:spacing w:line="360" w:lineRule="auto"/>
        <w:ind w:right="-34"/>
        <w:jc w:val="both"/>
        <w:rPr>
          <w:rFonts w:hAnsi="宋体" w:cs="宋体"/>
          <w:szCs w:val="21"/>
          <w:highlight w:val="none"/>
        </w:rPr>
      </w:pPr>
      <w:r>
        <w:rPr>
          <w:rFonts w:hint="eastAsia" w:hAnsi="宋体" w:cs="宋体"/>
          <w:szCs w:val="21"/>
          <w:highlight w:val="none"/>
        </w:rPr>
        <w:t>5.具备</w:t>
      </w:r>
      <w:r>
        <w:rPr>
          <w:rFonts w:hint="eastAsia" w:hAnsi="宋体"/>
          <w:szCs w:val="21"/>
          <w:highlight w:val="none"/>
        </w:rPr>
        <w:t>《劳务派遣经营许可证》</w:t>
      </w:r>
      <w:r>
        <w:rPr>
          <w:rFonts w:hint="eastAsia" w:hAnsi="宋体" w:cs="宋体"/>
          <w:szCs w:val="21"/>
          <w:highlight w:val="none"/>
        </w:rPr>
        <w:t>；</w:t>
      </w:r>
    </w:p>
    <w:p>
      <w:pPr>
        <w:spacing w:line="360" w:lineRule="auto"/>
        <w:ind w:right="-34"/>
        <w:jc w:val="both"/>
        <w:rPr>
          <w:rFonts w:hAnsi="宋体" w:cs="宋体"/>
          <w:szCs w:val="21"/>
          <w:highlight w:val="none"/>
        </w:rPr>
      </w:pPr>
      <w:r>
        <w:rPr>
          <w:rFonts w:hint="eastAsia" w:hAnsi="宋体" w:cs="宋体"/>
          <w:szCs w:val="21"/>
          <w:highlight w:val="none"/>
        </w:rPr>
        <w:t>6.提供</w:t>
      </w:r>
      <w:r>
        <w:rPr>
          <w:rFonts w:hint="eastAsia"/>
          <w:highlight w:val="none"/>
        </w:rPr>
        <w:t>近6个月</w:t>
      </w:r>
      <w:r>
        <w:rPr>
          <w:rFonts w:hint="eastAsia" w:hAnsi="宋体" w:cs="宋体"/>
          <w:szCs w:val="21"/>
          <w:highlight w:val="none"/>
        </w:rPr>
        <w:t>内任意一个月的依法缴纳社会保险的证明（缴费凭证）复印件，如依法不需要缴纳社会保障资金的，应提供相应文件证明其依法不需要缴纳社会保障资金；</w:t>
      </w:r>
    </w:p>
    <w:p>
      <w:pPr>
        <w:spacing w:line="360" w:lineRule="auto"/>
        <w:ind w:right="-34"/>
        <w:jc w:val="both"/>
        <w:rPr>
          <w:rFonts w:hAnsi="宋体" w:cs="宋体"/>
          <w:szCs w:val="21"/>
          <w:highlight w:val="none"/>
        </w:rPr>
      </w:pPr>
      <w:r>
        <w:rPr>
          <w:rFonts w:hint="eastAsia" w:hAnsi="宋体" w:cs="宋体"/>
          <w:szCs w:val="21"/>
          <w:highlight w:val="none"/>
        </w:rPr>
        <w:t>7.提供</w:t>
      </w:r>
      <w:r>
        <w:rPr>
          <w:rFonts w:hint="eastAsia"/>
          <w:highlight w:val="none"/>
        </w:rPr>
        <w:t>近6个月</w:t>
      </w:r>
      <w:r>
        <w:rPr>
          <w:rFonts w:hint="eastAsia" w:hAnsi="宋体" w:cs="宋体"/>
          <w:szCs w:val="21"/>
          <w:highlight w:val="none"/>
        </w:rPr>
        <w:t>内任意一个月的依法缴纳税收的证明（纳税凭证）复印件，如依法免税的，应提供相应文件证明其依法免税；</w:t>
      </w:r>
    </w:p>
    <w:p>
      <w:pPr>
        <w:spacing w:line="360" w:lineRule="auto"/>
        <w:ind w:right="-34"/>
        <w:jc w:val="both"/>
        <w:rPr>
          <w:rFonts w:hAnsi="宋体" w:cs="宋体"/>
          <w:szCs w:val="21"/>
          <w:highlight w:val="none"/>
        </w:rPr>
      </w:pPr>
      <w:r>
        <w:rPr>
          <w:rFonts w:hint="eastAsia" w:hAnsi="宋体" w:cs="宋体"/>
          <w:szCs w:val="21"/>
          <w:highlight w:val="none"/>
        </w:rPr>
        <w:t>8.本项目不接受联合体投标；</w:t>
      </w:r>
    </w:p>
    <w:p>
      <w:pPr>
        <w:spacing w:line="360" w:lineRule="auto"/>
        <w:ind w:right="-34"/>
        <w:jc w:val="both"/>
        <w:rPr>
          <w:rFonts w:hAnsi="宋体" w:cs="宋体"/>
          <w:szCs w:val="21"/>
          <w:highlight w:val="none"/>
        </w:rPr>
      </w:pPr>
      <w:r>
        <w:rPr>
          <w:rFonts w:hint="eastAsia" w:hAnsi="宋体" w:cs="宋体"/>
          <w:szCs w:val="21"/>
          <w:highlight w:val="none"/>
        </w:rPr>
        <w:t>9.供应商参加政府采购活动前三年内，在经营活动中没有重大违法记录（可参照报价函相关承诺格式内容）。重大违法记录，是指供应商因违法经营受到刑事处罚或者责令停产停业、吊销许可证或者执照、较大数额罚款等行政处罚。（较大数额罚款按照财库〔2022〕3号文，“较大数额罚款”认定为200万元以上的罚款，法律、行政法规以及国务院有关部门明确规定相关领域“较大数额罚款”标准高于200万元的，从其规定。）</w:t>
      </w:r>
    </w:p>
    <w:p>
      <w:pPr>
        <w:spacing w:line="360" w:lineRule="auto"/>
        <w:ind w:right="-34"/>
        <w:jc w:val="both"/>
        <w:rPr>
          <w:rFonts w:hAnsi="宋体" w:cs="宋体"/>
          <w:szCs w:val="21"/>
          <w:highlight w:val="none"/>
        </w:rPr>
      </w:pPr>
      <w:r>
        <w:rPr>
          <w:rFonts w:hint="eastAsia" w:hAnsi="宋体" w:cs="宋体"/>
          <w:szCs w:val="21"/>
          <w:highlight w:val="none"/>
        </w:rPr>
        <w:t>10.提供履行合同所必需的设备和专业技术能力的书面声明；（提供《资格声明书》，格式详见招标文件附表2.2）。</w:t>
      </w:r>
    </w:p>
    <w:p>
      <w:pPr>
        <w:spacing w:line="360" w:lineRule="auto"/>
        <w:ind w:right="-34"/>
        <w:jc w:val="both"/>
        <w:rPr>
          <w:rFonts w:hAnsi="宋体" w:cs="宋体"/>
          <w:szCs w:val="21"/>
          <w:highlight w:val="none"/>
        </w:rPr>
      </w:pPr>
      <w:r>
        <w:rPr>
          <w:rFonts w:hint="eastAsia" w:hAnsi="宋体" w:cs="宋体"/>
          <w:szCs w:val="21"/>
          <w:highlight w:val="none"/>
        </w:rPr>
        <w:t>11.存在隶属关系或同属一母公司或法人的企业，仅能由一家企业参与投标。</w:t>
      </w:r>
    </w:p>
    <w:p>
      <w:pPr>
        <w:spacing w:line="360" w:lineRule="auto"/>
        <w:ind w:right="-34"/>
        <w:jc w:val="both"/>
        <w:rPr>
          <w:rFonts w:hAnsi="宋体" w:cs="宋体"/>
          <w:szCs w:val="21"/>
          <w:highlight w:val="none"/>
        </w:rPr>
      </w:pPr>
      <w:r>
        <w:rPr>
          <w:rFonts w:hint="eastAsia" w:hAnsi="宋体" w:cs="宋体"/>
          <w:szCs w:val="21"/>
          <w:highlight w:val="none"/>
        </w:rPr>
        <w:t>12.已办理报名并成功购买本招标文件的供应商。</w:t>
      </w:r>
    </w:p>
    <w:p>
      <w:pPr>
        <w:spacing w:line="360" w:lineRule="auto"/>
        <w:ind w:right="-34"/>
        <w:jc w:val="both"/>
        <w:rPr>
          <w:rFonts w:hAnsi="宋体" w:cs="宋体"/>
          <w:b/>
          <w:szCs w:val="21"/>
          <w:highlight w:val="none"/>
        </w:rPr>
      </w:pPr>
      <w:r>
        <w:rPr>
          <w:rFonts w:hint="eastAsia" w:hAnsi="宋体" w:cs="宋体"/>
          <w:b/>
          <w:szCs w:val="21"/>
          <w:highlight w:val="none"/>
        </w:rPr>
        <w:br w:type="page"/>
      </w:r>
      <w:r>
        <w:rPr>
          <w:rFonts w:hint="eastAsia" w:hAnsi="宋体" w:cs="宋体"/>
          <w:b/>
          <w:szCs w:val="21"/>
          <w:highlight w:val="none"/>
        </w:rPr>
        <w:t>附表2.6 投标人基本情况表格式</w:t>
      </w:r>
    </w:p>
    <w:p>
      <w:pPr>
        <w:spacing w:line="360" w:lineRule="auto"/>
        <w:jc w:val="center"/>
        <w:rPr>
          <w:rFonts w:hAnsi="宋体" w:cs="宋体"/>
          <w:b/>
          <w:szCs w:val="21"/>
          <w:highlight w:val="none"/>
        </w:rPr>
      </w:pPr>
    </w:p>
    <w:p>
      <w:pPr>
        <w:spacing w:line="360" w:lineRule="auto"/>
        <w:jc w:val="center"/>
        <w:rPr>
          <w:rFonts w:hAnsi="宋体" w:cs="宋体"/>
          <w:b/>
          <w:szCs w:val="21"/>
          <w:highlight w:val="none"/>
        </w:rPr>
      </w:pPr>
      <w:r>
        <w:rPr>
          <w:rFonts w:hint="eastAsia" w:hAnsi="宋体" w:cs="宋体"/>
          <w:b/>
          <w:szCs w:val="21"/>
          <w:highlight w:val="none"/>
        </w:rPr>
        <w:t>投标人基本情况表</w:t>
      </w:r>
    </w:p>
    <w:tbl>
      <w:tblPr>
        <w:tblStyle w:val="49"/>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221"/>
        <w:gridCol w:w="1321"/>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top w:val="double" w:color="auto" w:sz="4" w:space="0"/>
              <w:left w:val="double" w:color="auto" w:sz="4" w:space="0"/>
            </w:tcBorders>
            <w:vAlign w:val="center"/>
          </w:tcPr>
          <w:p>
            <w:pPr>
              <w:tabs>
                <w:tab w:val="left" w:pos="4320"/>
              </w:tabs>
              <w:jc w:val="center"/>
              <w:rPr>
                <w:rFonts w:hAnsi="宋体" w:cs="宋体"/>
                <w:szCs w:val="21"/>
                <w:highlight w:val="none"/>
              </w:rPr>
            </w:pPr>
            <w:r>
              <w:rPr>
                <w:rFonts w:hint="eastAsia" w:hAnsi="宋体" w:cs="宋体"/>
                <w:szCs w:val="21"/>
                <w:highlight w:val="none"/>
              </w:rPr>
              <w:t>单位名称</w:t>
            </w:r>
          </w:p>
        </w:tc>
        <w:tc>
          <w:tcPr>
            <w:tcW w:w="2077" w:type="dxa"/>
            <w:gridSpan w:val="2"/>
            <w:tcBorders>
              <w:top w:val="double" w:color="auto" w:sz="4" w:space="0"/>
            </w:tcBorders>
            <w:vAlign w:val="center"/>
          </w:tcPr>
          <w:p>
            <w:pPr>
              <w:tabs>
                <w:tab w:val="left" w:pos="4320"/>
              </w:tabs>
              <w:rPr>
                <w:rFonts w:hAnsi="宋体" w:cs="宋体"/>
                <w:szCs w:val="21"/>
                <w:highlight w:val="none"/>
              </w:rPr>
            </w:pPr>
          </w:p>
        </w:tc>
        <w:tc>
          <w:tcPr>
            <w:tcW w:w="891" w:type="dxa"/>
            <w:tcBorders>
              <w:top w:val="double" w:color="auto" w:sz="4" w:space="0"/>
            </w:tcBorders>
            <w:vAlign w:val="center"/>
          </w:tcPr>
          <w:p>
            <w:pPr>
              <w:tabs>
                <w:tab w:val="left" w:pos="4320"/>
              </w:tabs>
              <w:jc w:val="center"/>
              <w:rPr>
                <w:rFonts w:hAnsi="宋体" w:cs="宋体"/>
                <w:szCs w:val="21"/>
                <w:highlight w:val="none"/>
              </w:rPr>
            </w:pPr>
            <w:r>
              <w:rPr>
                <w:rFonts w:hint="eastAsia" w:hAnsi="宋体" w:cs="宋体"/>
                <w:szCs w:val="21"/>
                <w:highlight w:val="none"/>
              </w:rPr>
              <w:t>电话</w:t>
            </w:r>
          </w:p>
        </w:tc>
        <w:tc>
          <w:tcPr>
            <w:tcW w:w="989" w:type="dxa"/>
            <w:tcBorders>
              <w:top w:val="double" w:color="auto" w:sz="4" w:space="0"/>
            </w:tcBorders>
            <w:vAlign w:val="center"/>
          </w:tcPr>
          <w:p>
            <w:pPr>
              <w:tabs>
                <w:tab w:val="left" w:pos="4320"/>
              </w:tabs>
              <w:rPr>
                <w:rFonts w:hAnsi="宋体" w:cs="宋体"/>
                <w:szCs w:val="21"/>
                <w:highlight w:val="none"/>
              </w:rPr>
            </w:pPr>
          </w:p>
        </w:tc>
        <w:tc>
          <w:tcPr>
            <w:tcW w:w="1221" w:type="dxa"/>
            <w:tcBorders>
              <w:top w:val="double" w:color="auto" w:sz="4" w:space="0"/>
            </w:tcBorders>
            <w:vAlign w:val="center"/>
          </w:tcPr>
          <w:p>
            <w:pPr>
              <w:tabs>
                <w:tab w:val="left" w:pos="4320"/>
              </w:tabs>
              <w:jc w:val="center"/>
              <w:rPr>
                <w:rFonts w:hAnsi="宋体" w:cs="宋体"/>
                <w:szCs w:val="21"/>
                <w:highlight w:val="none"/>
              </w:rPr>
            </w:pPr>
            <w:r>
              <w:rPr>
                <w:rFonts w:hint="eastAsia" w:hAnsi="宋体" w:cs="宋体"/>
                <w:szCs w:val="21"/>
                <w:highlight w:val="none"/>
              </w:rPr>
              <w:t>法定代表人</w:t>
            </w:r>
          </w:p>
        </w:tc>
        <w:tc>
          <w:tcPr>
            <w:tcW w:w="1321" w:type="dxa"/>
            <w:tcBorders>
              <w:top w:val="double" w:color="auto" w:sz="4" w:space="0"/>
            </w:tcBorders>
            <w:vAlign w:val="center"/>
          </w:tcPr>
          <w:p>
            <w:pPr>
              <w:tabs>
                <w:tab w:val="left" w:pos="4320"/>
              </w:tabs>
              <w:rPr>
                <w:rFonts w:hAnsi="宋体" w:cs="宋体"/>
                <w:szCs w:val="21"/>
                <w:highlight w:val="none"/>
              </w:rPr>
            </w:pPr>
          </w:p>
        </w:tc>
        <w:tc>
          <w:tcPr>
            <w:tcW w:w="989" w:type="dxa"/>
            <w:tcBorders>
              <w:top w:val="double" w:color="auto" w:sz="4" w:space="0"/>
            </w:tcBorders>
            <w:vAlign w:val="center"/>
          </w:tcPr>
          <w:p>
            <w:pPr>
              <w:tabs>
                <w:tab w:val="left" w:pos="4320"/>
              </w:tabs>
              <w:jc w:val="center"/>
              <w:rPr>
                <w:rFonts w:hAnsi="宋体" w:cs="宋体"/>
                <w:szCs w:val="21"/>
                <w:highlight w:val="none"/>
              </w:rPr>
            </w:pPr>
            <w:r>
              <w:rPr>
                <w:rFonts w:hint="eastAsia" w:hAnsi="宋体" w:cs="宋体"/>
                <w:szCs w:val="21"/>
                <w:highlight w:val="none"/>
              </w:rPr>
              <w:t>职务</w:t>
            </w:r>
          </w:p>
        </w:tc>
        <w:tc>
          <w:tcPr>
            <w:tcW w:w="1129" w:type="dxa"/>
            <w:tcBorders>
              <w:top w:val="double" w:color="auto" w:sz="4" w:space="0"/>
              <w:right w:val="double" w:color="auto" w:sz="4" w:space="0"/>
            </w:tcBorders>
            <w:vAlign w:val="center"/>
          </w:tcPr>
          <w:p>
            <w:pPr>
              <w:tabs>
                <w:tab w:val="left" w:pos="4320"/>
              </w:tabs>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left w:val="double" w:color="auto" w:sz="4" w:space="0"/>
            </w:tcBorders>
            <w:vAlign w:val="center"/>
          </w:tcPr>
          <w:p>
            <w:pPr>
              <w:tabs>
                <w:tab w:val="left" w:pos="4320"/>
              </w:tabs>
              <w:jc w:val="center"/>
              <w:rPr>
                <w:rFonts w:hAnsi="宋体" w:cs="宋体"/>
                <w:szCs w:val="21"/>
                <w:highlight w:val="none"/>
              </w:rPr>
            </w:pPr>
            <w:r>
              <w:rPr>
                <w:rFonts w:hint="eastAsia" w:hAnsi="宋体" w:cs="宋体"/>
                <w:szCs w:val="21"/>
                <w:highlight w:val="none"/>
              </w:rPr>
              <w:t>地址</w:t>
            </w:r>
          </w:p>
        </w:tc>
        <w:tc>
          <w:tcPr>
            <w:tcW w:w="2077" w:type="dxa"/>
            <w:gridSpan w:val="2"/>
            <w:vAlign w:val="center"/>
          </w:tcPr>
          <w:p>
            <w:pPr>
              <w:tabs>
                <w:tab w:val="left" w:pos="4320"/>
              </w:tabs>
              <w:rPr>
                <w:rFonts w:hAnsi="宋体" w:cs="宋体"/>
                <w:szCs w:val="21"/>
                <w:highlight w:val="none"/>
              </w:rPr>
            </w:pPr>
          </w:p>
        </w:tc>
        <w:tc>
          <w:tcPr>
            <w:tcW w:w="891" w:type="dxa"/>
            <w:vAlign w:val="center"/>
          </w:tcPr>
          <w:p>
            <w:pPr>
              <w:tabs>
                <w:tab w:val="left" w:pos="4320"/>
              </w:tabs>
              <w:jc w:val="center"/>
              <w:rPr>
                <w:rFonts w:hAnsi="宋体" w:cs="宋体"/>
                <w:szCs w:val="21"/>
                <w:highlight w:val="none"/>
              </w:rPr>
            </w:pPr>
            <w:r>
              <w:rPr>
                <w:rFonts w:hint="eastAsia" w:hAnsi="宋体" w:cs="宋体"/>
                <w:szCs w:val="21"/>
                <w:highlight w:val="none"/>
              </w:rPr>
              <w:t>传真</w:t>
            </w:r>
          </w:p>
        </w:tc>
        <w:tc>
          <w:tcPr>
            <w:tcW w:w="989" w:type="dxa"/>
            <w:vAlign w:val="center"/>
          </w:tcPr>
          <w:p>
            <w:pPr>
              <w:tabs>
                <w:tab w:val="left" w:pos="4320"/>
              </w:tabs>
              <w:rPr>
                <w:rFonts w:hAnsi="宋体" w:cs="宋体"/>
                <w:szCs w:val="21"/>
                <w:highlight w:val="none"/>
              </w:rPr>
            </w:pPr>
          </w:p>
        </w:tc>
        <w:tc>
          <w:tcPr>
            <w:tcW w:w="1221" w:type="dxa"/>
            <w:vAlign w:val="center"/>
          </w:tcPr>
          <w:p>
            <w:pPr>
              <w:tabs>
                <w:tab w:val="left" w:pos="4320"/>
              </w:tabs>
              <w:jc w:val="center"/>
              <w:rPr>
                <w:rFonts w:hAnsi="宋体" w:cs="宋体"/>
                <w:szCs w:val="21"/>
                <w:highlight w:val="none"/>
              </w:rPr>
            </w:pPr>
            <w:r>
              <w:rPr>
                <w:rFonts w:hint="eastAsia" w:hAnsi="宋体" w:cs="宋体"/>
                <w:szCs w:val="21"/>
                <w:highlight w:val="none"/>
              </w:rPr>
              <w:t>被授权人</w:t>
            </w:r>
          </w:p>
        </w:tc>
        <w:tc>
          <w:tcPr>
            <w:tcW w:w="1321" w:type="dxa"/>
            <w:vAlign w:val="center"/>
          </w:tcPr>
          <w:p>
            <w:pPr>
              <w:tabs>
                <w:tab w:val="left" w:pos="4320"/>
              </w:tabs>
              <w:rPr>
                <w:rFonts w:hAnsi="宋体" w:cs="宋体"/>
                <w:szCs w:val="21"/>
                <w:highlight w:val="none"/>
              </w:rPr>
            </w:pPr>
          </w:p>
        </w:tc>
        <w:tc>
          <w:tcPr>
            <w:tcW w:w="989" w:type="dxa"/>
            <w:vAlign w:val="center"/>
          </w:tcPr>
          <w:p>
            <w:pPr>
              <w:tabs>
                <w:tab w:val="left" w:pos="4320"/>
              </w:tabs>
              <w:jc w:val="center"/>
              <w:rPr>
                <w:rFonts w:hAnsi="宋体" w:cs="宋体"/>
                <w:szCs w:val="21"/>
                <w:highlight w:val="none"/>
              </w:rPr>
            </w:pPr>
            <w:r>
              <w:rPr>
                <w:rFonts w:hint="eastAsia" w:hAnsi="宋体" w:cs="宋体"/>
                <w:szCs w:val="21"/>
                <w:highlight w:val="none"/>
              </w:rPr>
              <w:t>职务</w:t>
            </w:r>
          </w:p>
        </w:tc>
        <w:tc>
          <w:tcPr>
            <w:tcW w:w="1129" w:type="dxa"/>
            <w:tcBorders>
              <w:right w:val="double" w:color="auto" w:sz="4" w:space="0"/>
            </w:tcBorders>
            <w:vAlign w:val="center"/>
          </w:tcPr>
          <w:p>
            <w:pPr>
              <w:tabs>
                <w:tab w:val="left" w:pos="4320"/>
              </w:tabs>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0" w:type="dxa"/>
            <w:tcBorders>
              <w:left w:val="double" w:color="auto" w:sz="4" w:space="0"/>
            </w:tcBorders>
            <w:vAlign w:val="center"/>
          </w:tcPr>
          <w:p>
            <w:pPr>
              <w:tabs>
                <w:tab w:val="left" w:pos="4320"/>
              </w:tabs>
              <w:ind w:left="210" w:hanging="210" w:hangingChars="100"/>
              <w:rPr>
                <w:rFonts w:hAnsi="宋体" w:cs="宋体"/>
                <w:szCs w:val="21"/>
                <w:highlight w:val="none"/>
              </w:rPr>
            </w:pPr>
            <w:r>
              <w:rPr>
                <w:rFonts w:hint="eastAsia" w:hAnsi="宋体" w:cs="宋体"/>
                <w:szCs w:val="21"/>
                <w:highlight w:val="none"/>
              </w:rPr>
              <w:t>一、单位简历及隶属关系</w:t>
            </w:r>
          </w:p>
        </w:tc>
        <w:tc>
          <w:tcPr>
            <w:tcW w:w="2968" w:type="dxa"/>
            <w:gridSpan w:val="3"/>
            <w:vAlign w:val="center"/>
          </w:tcPr>
          <w:p>
            <w:pPr>
              <w:tabs>
                <w:tab w:val="left" w:pos="4320"/>
              </w:tabs>
              <w:rPr>
                <w:rFonts w:hAnsi="宋体" w:cs="宋体"/>
                <w:szCs w:val="21"/>
                <w:highlight w:val="none"/>
              </w:rPr>
            </w:pPr>
          </w:p>
        </w:tc>
        <w:tc>
          <w:tcPr>
            <w:tcW w:w="989" w:type="dxa"/>
            <w:vAlign w:val="center"/>
          </w:tcPr>
          <w:p>
            <w:pPr>
              <w:tabs>
                <w:tab w:val="left" w:pos="4320"/>
              </w:tabs>
              <w:jc w:val="center"/>
              <w:rPr>
                <w:rFonts w:hAnsi="宋体" w:cs="宋体"/>
                <w:szCs w:val="21"/>
                <w:highlight w:val="none"/>
              </w:rPr>
            </w:pPr>
            <w:r>
              <w:rPr>
                <w:rFonts w:hint="eastAsia" w:hAnsi="宋体" w:cs="宋体"/>
                <w:szCs w:val="21"/>
                <w:highlight w:val="none"/>
              </w:rPr>
              <w:t>单位优势及特长</w:t>
            </w:r>
          </w:p>
        </w:tc>
        <w:tc>
          <w:tcPr>
            <w:tcW w:w="4660" w:type="dxa"/>
            <w:gridSpan w:val="4"/>
            <w:tcBorders>
              <w:right w:val="double" w:color="auto" w:sz="4" w:space="0"/>
            </w:tcBorders>
            <w:vAlign w:val="center"/>
          </w:tcPr>
          <w:p>
            <w:pPr>
              <w:tabs>
                <w:tab w:val="left" w:pos="4320"/>
              </w:tabs>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restart"/>
            <w:tcBorders>
              <w:left w:val="double" w:color="auto" w:sz="4" w:space="0"/>
            </w:tcBorders>
            <w:vAlign w:val="center"/>
          </w:tcPr>
          <w:p>
            <w:pPr>
              <w:tabs>
                <w:tab w:val="left" w:pos="4320"/>
              </w:tabs>
              <w:ind w:left="233" w:hanging="233" w:hangingChars="111"/>
              <w:rPr>
                <w:rFonts w:hAnsi="宋体" w:cs="宋体"/>
                <w:szCs w:val="21"/>
                <w:highlight w:val="none"/>
              </w:rPr>
            </w:pPr>
            <w:r>
              <w:rPr>
                <w:rFonts w:hint="eastAsia" w:hAnsi="宋体" w:cs="宋体"/>
                <w:szCs w:val="21"/>
                <w:highlight w:val="none"/>
              </w:rPr>
              <w:t>二、单位概况</w:t>
            </w:r>
          </w:p>
        </w:tc>
        <w:tc>
          <w:tcPr>
            <w:tcW w:w="963" w:type="dxa"/>
            <w:vAlign w:val="center"/>
          </w:tcPr>
          <w:p>
            <w:pPr>
              <w:tabs>
                <w:tab w:val="left" w:pos="4320"/>
              </w:tabs>
              <w:jc w:val="center"/>
              <w:rPr>
                <w:rFonts w:hAnsi="宋体" w:cs="宋体"/>
                <w:szCs w:val="21"/>
                <w:highlight w:val="none"/>
              </w:rPr>
            </w:pPr>
            <w:r>
              <w:rPr>
                <w:rFonts w:hint="eastAsia" w:hAnsi="宋体" w:cs="宋体"/>
                <w:szCs w:val="21"/>
                <w:highlight w:val="none"/>
              </w:rPr>
              <w:t>职工总数</w:t>
            </w:r>
          </w:p>
        </w:tc>
        <w:tc>
          <w:tcPr>
            <w:tcW w:w="1114" w:type="dxa"/>
            <w:vAlign w:val="center"/>
          </w:tcPr>
          <w:p>
            <w:pPr>
              <w:tabs>
                <w:tab w:val="left" w:pos="4320"/>
              </w:tabs>
              <w:jc w:val="right"/>
              <w:rPr>
                <w:rFonts w:hAnsi="宋体" w:cs="宋体"/>
                <w:szCs w:val="21"/>
                <w:highlight w:val="none"/>
              </w:rPr>
            </w:pPr>
            <w:r>
              <w:rPr>
                <w:rFonts w:hint="eastAsia" w:hAnsi="宋体" w:cs="宋体"/>
                <w:szCs w:val="21"/>
                <w:highlight w:val="none"/>
              </w:rPr>
              <w:t>人</w:t>
            </w:r>
          </w:p>
        </w:tc>
        <w:tc>
          <w:tcPr>
            <w:tcW w:w="891" w:type="dxa"/>
            <w:vMerge w:val="restart"/>
            <w:vAlign w:val="center"/>
          </w:tcPr>
          <w:p>
            <w:pPr>
              <w:tabs>
                <w:tab w:val="left" w:pos="4320"/>
              </w:tabs>
              <w:rPr>
                <w:rFonts w:hAnsi="宋体" w:cs="宋体"/>
                <w:szCs w:val="21"/>
                <w:highlight w:val="none"/>
              </w:rPr>
            </w:pPr>
            <w:r>
              <w:rPr>
                <w:rFonts w:hint="eastAsia" w:hAnsi="宋体" w:cs="宋体"/>
                <w:szCs w:val="21"/>
                <w:highlight w:val="none"/>
              </w:rPr>
              <w:t>上一年主要经济指标</w:t>
            </w:r>
          </w:p>
        </w:tc>
        <w:tc>
          <w:tcPr>
            <w:tcW w:w="989" w:type="dxa"/>
            <w:vAlign w:val="center"/>
          </w:tcPr>
          <w:p>
            <w:pPr>
              <w:tabs>
                <w:tab w:val="left" w:pos="4320"/>
              </w:tabs>
              <w:jc w:val="center"/>
              <w:rPr>
                <w:rFonts w:hAnsi="宋体" w:cs="宋体"/>
                <w:szCs w:val="21"/>
                <w:highlight w:val="none"/>
              </w:rPr>
            </w:pPr>
            <w:r>
              <w:rPr>
                <w:rFonts w:hint="eastAsia" w:hAnsi="宋体" w:cs="宋体"/>
                <w:szCs w:val="21"/>
                <w:highlight w:val="none"/>
              </w:rPr>
              <w:t>营业额</w:t>
            </w:r>
          </w:p>
        </w:tc>
        <w:tc>
          <w:tcPr>
            <w:tcW w:w="1221" w:type="dxa"/>
            <w:vAlign w:val="center"/>
          </w:tcPr>
          <w:p>
            <w:pPr>
              <w:tabs>
                <w:tab w:val="left" w:pos="4320"/>
              </w:tabs>
              <w:rPr>
                <w:rFonts w:hAnsi="宋体" w:cs="宋体"/>
                <w:szCs w:val="21"/>
                <w:highlight w:val="none"/>
              </w:rPr>
            </w:pPr>
          </w:p>
        </w:tc>
        <w:tc>
          <w:tcPr>
            <w:tcW w:w="1321" w:type="dxa"/>
            <w:vAlign w:val="center"/>
          </w:tcPr>
          <w:p>
            <w:pPr>
              <w:tabs>
                <w:tab w:val="left" w:pos="4320"/>
              </w:tabs>
              <w:jc w:val="center"/>
              <w:rPr>
                <w:rFonts w:hAnsi="宋体" w:cs="宋体"/>
                <w:szCs w:val="21"/>
                <w:highlight w:val="none"/>
              </w:rPr>
            </w:pPr>
            <w:r>
              <w:rPr>
                <w:rFonts w:hint="eastAsia" w:hAnsi="宋体" w:cs="宋体"/>
                <w:szCs w:val="21"/>
                <w:highlight w:val="none"/>
              </w:rPr>
              <w:t>实现利润</w:t>
            </w:r>
          </w:p>
        </w:tc>
        <w:tc>
          <w:tcPr>
            <w:tcW w:w="2118" w:type="dxa"/>
            <w:gridSpan w:val="2"/>
            <w:tcBorders>
              <w:right w:val="double" w:color="auto" w:sz="4" w:space="0"/>
            </w:tcBorders>
            <w:vAlign w:val="center"/>
          </w:tcPr>
          <w:p>
            <w:pPr>
              <w:tabs>
                <w:tab w:val="left" w:pos="4320"/>
              </w:tabs>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hAnsi="宋体" w:cs="宋体"/>
                <w:szCs w:val="21"/>
                <w:highlight w:val="none"/>
              </w:rPr>
            </w:pPr>
          </w:p>
        </w:tc>
        <w:tc>
          <w:tcPr>
            <w:tcW w:w="963" w:type="dxa"/>
            <w:vAlign w:val="center"/>
          </w:tcPr>
          <w:p>
            <w:pPr>
              <w:tabs>
                <w:tab w:val="left" w:pos="4320"/>
              </w:tabs>
              <w:jc w:val="center"/>
              <w:rPr>
                <w:rFonts w:hAnsi="宋体" w:cs="宋体"/>
                <w:szCs w:val="21"/>
                <w:highlight w:val="none"/>
              </w:rPr>
            </w:pPr>
            <w:r>
              <w:rPr>
                <w:rFonts w:hint="eastAsia" w:hAnsi="宋体" w:cs="宋体"/>
                <w:szCs w:val="21"/>
                <w:highlight w:val="none"/>
              </w:rPr>
              <w:t>流动资金</w:t>
            </w:r>
          </w:p>
        </w:tc>
        <w:tc>
          <w:tcPr>
            <w:tcW w:w="1114" w:type="dxa"/>
            <w:vAlign w:val="center"/>
          </w:tcPr>
          <w:p>
            <w:pPr>
              <w:tabs>
                <w:tab w:val="left" w:pos="4320"/>
              </w:tabs>
              <w:jc w:val="right"/>
              <w:rPr>
                <w:rFonts w:hAnsi="宋体" w:cs="宋体"/>
                <w:szCs w:val="21"/>
                <w:highlight w:val="none"/>
              </w:rPr>
            </w:pPr>
            <w:r>
              <w:rPr>
                <w:rFonts w:hint="eastAsia" w:hAnsi="宋体" w:cs="宋体"/>
                <w:szCs w:val="21"/>
                <w:highlight w:val="none"/>
              </w:rPr>
              <w:t>万元</w:t>
            </w:r>
          </w:p>
        </w:tc>
        <w:tc>
          <w:tcPr>
            <w:tcW w:w="891" w:type="dxa"/>
            <w:vMerge w:val="continue"/>
            <w:vAlign w:val="center"/>
          </w:tcPr>
          <w:p>
            <w:pPr>
              <w:tabs>
                <w:tab w:val="left" w:pos="4320"/>
              </w:tabs>
              <w:rPr>
                <w:rFonts w:hAnsi="宋体" w:cs="宋体"/>
                <w:szCs w:val="21"/>
                <w:highlight w:val="none"/>
              </w:rPr>
            </w:pPr>
          </w:p>
        </w:tc>
        <w:tc>
          <w:tcPr>
            <w:tcW w:w="989" w:type="dxa"/>
            <w:vMerge w:val="restart"/>
            <w:vAlign w:val="center"/>
          </w:tcPr>
          <w:p>
            <w:pPr>
              <w:tabs>
                <w:tab w:val="left" w:pos="4320"/>
              </w:tabs>
              <w:jc w:val="center"/>
              <w:rPr>
                <w:rFonts w:hAnsi="宋体" w:cs="宋体"/>
                <w:szCs w:val="21"/>
                <w:highlight w:val="none"/>
              </w:rPr>
            </w:pPr>
            <w:r>
              <w:rPr>
                <w:rFonts w:hint="eastAsia" w:hAnsi="宋体" w:cs="宋体"/>
                <w:szCs w:val="21"/>
                <w:highlight w:val="none"/>
              </w:rPr>
              <w:t>主要项目</w:t>
            </w:r>
          </w:p>
        </w:tc>
        <w:tc>
          <w:tcPr>
            <w:tcW w:w="4660" w:type="dxa"/>
            <w:gridSpan w:val="4"/>
            <w:tcBorders>
              <w:right w:val="double" w:color="auto" w:sz="4" w:space="0"/>
            </w:tcBorders>
            <w:vAlign w:val="center"/>
          </w:tcPr>
          <w:p>
            <w:pPr>
              <w:tabs>
                <w:tab w:val="left" w:pos="4320"/>
              </w:tabs>
              <w:spacing w:before="120" w:after="120"/>
              <w:rPr>
                <w:rFonts w:hAnsi="宋体" w:cs="宋体"/>
                <w:szCs w:val="21"/>
                <w:highlight w:val="none"/>
              </w:rPr>
            </w:pPr>
            <w:r>
              <w:rPr>
                <w:rFonts w:hint="eastAsia" w:hAnsi="宋体" w:cs="宋体"/>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hAnsi="宋体" w:cs="宋体"/>
                <w:szCs w:val="21"/>
                <w:highlight w:val="none"/>
              </w:rPr>
            </w:pPr>
          </w:p>
        </w:tc>
        <w:tc>
          <w:tcPr>
            <w:tcW w:w="963" w:type="dxa"/>
            <w:vAlign w:val="center"/>
          </w:tcPr>
          <w:p>
            <w:pPr>
              <w:tabs>
                <w:tab w:val="left" w:pos="4320"/>
              </w:tabs>
              <w:jc w:val="center"/>
              <w:rPr>
                <w:rFonts w:hAnsi="宋体" w:cs="宋体"/>
                <w:szCs w:val="21"/>
                <w:highlight w:val="none"/>
              </w:rPr>
            </w:pPr>
            <w:r>
              <w:rPr>
                <w:rFonts w:hint="eastAsia" w:hAnsi="宋体" w:cs="宋体"/>
                <w:szCs w:val="21"/>
                <w:highlight w:val="none"/>
              </w:rPr>
              <w:t>固定资产</w:t>
            </w:r>
          </w:p>
          <w:p>
            <w:pPr>
              <w:tabs>
                <w:tab w:val="left" w:pos="4320"/>
              </w:tabs>
              <w:jc w:val="center"/>
              <w:rPr>
                <w:rFonts w:hAnsi="宋体" w:cs="宋体"/>
                <w:szCs w:val="21"/>
                <w:highlight w:val="none"/>
              </w:rPr>
            </w:pPr>
            <w:r>
              <w:rPr>
                <w:rFonts w:hint="eastAsia" w:hAnsi="宋体" w:cs="宋体"/>
                <w:szCs w:val="21"/>
                <w:highlight w:val="none"/>
              </w:rPr>
              <w:t>（万元）</w:t>
            </w:r>
          </w:p>
        </w:tc>
        <w:tc>
          <w:tcPr>
            <w:tcW w:w="1114" w:type="dxa"/>
            <w:vAlign w:val="center"/>
          </w:tcPr>
          <w:p>
            <w:pPr>
              <w:tabs>
                <w:tab w:val="left" w:pos="-48"/>
                <w:tab w:val="left" w:pos="4320"/>
              </w:tabs>
              <w:ind w:right="-133" w:hanging="48"/>
              <w:rPr>
                <w:rFonts w:hAnsi="宋体" w:cs="宋体"/>
                <w:szCs w:val="21"/>
                <w:highlight w:val="none"/>
              </w:rPr>
            </w:pPr>
            <w:r>
              <w:rPr>
                <w:rFonts w:hint="eastAsia" w:hAnsi="宋体" w:cs="宋体"/>
                <w:szCs w:val="21"/>
                <w:highlight w:val="none"/>
              </w:rPr>
              <w:t>原值：</w:t>
            </w:r>
          </w:p>
          <w:p>
            <w:pPr>
              <w:tabs>
                <w:tab w:val="left" w:pos="-48"/>
                <w:tab w:val="left" w:pos="4320"/>
              </w:tabs>
              <w:ind w:hanging="48"/>
              <w:jc w:val="right"/>
              <w:rPr>
                <w:rFonts w:hAnsi="宋体" w:cs="宋体"/>
                <w:szCs w:val="21"/>
                <w:highlight w:val="none"/>
              </w:rPr>
            </w:pPr>
          </w:p>
          <w:p>
            <w:pPr>
              <w:tabs>
                <w:tab w:val="left" w:pos="-48"/>
                <w:tab w:val="left" w:pos="4320"/>
              </w:tabs>
              <w:ind w:right="-133" w:hanging="48"/>
              <w:rPr>
                <w:rFonts w:hAnsi="宋体" w:cs="宋体"/>
                <w:szCs w:val="21"/>
                <w:highlight w:val="none"/>
              </w:rPr>
            </w:pPr>
            <w:r>
              <w:rPr>
                <w:rFonts w:hint="eastAsia" w:hAnsi="宋体" w:cs="宋体"/>
                <w:szCs w:val="21"/>
                <w:highlight w:val="none"/>
              </w:rPr>
              <w:t>净值：</w:t>
            </w:r>
          </w:p>
          <w:p>
            <w:pPr>
              <w:tabs>
                <w:tab w:val="left" w:pos="-48"/>
                <w:tab w:val="left" w:pos="4320"/>
              </w:tabs>
              <w:ind w:hanging="48"/>
              <w:jc w:val="right"/>
              <w:rPr>
                <w:rFonts w:hAnsi="宋体" w:cs="宋体"/>
                <w:szCs w:val="21"/>
                <w:highlight w:val="none"/>
              </w:rPr>
            </w:pPr>
          </w:p>
        </w:tc>
        <w:tc>
          <w:tcPr>
            <w:tcW w:w="891" w:type="dxa"/>
            <w:vMerge w:val="continue"/>
            <w:vAlign w:val="center"/>
          </w:tcPr>
          <w:p>
            <w:pPr>
              <w:tabs>
                <w:tab w:val="left" w:pos="4320"/>
              </w:tabs>
              <w:rPr>
                <w:rFonts w:hAnsi="宋体" w:cs="宋体"/>
                <w:szCs w:val="21"/>
                <w:highlight w:val="none"/>
              </w:rPr>
            </w:pPr>
          </w:p>
        </w:tc>
        <w:tc>
          <w:tcPr>
            <w:tcW w:w="989" w:type="dxa"/>
            <w:vMerge w:val="continue"/>
            <w:vAlign w:val="center"/>
          </w:tcPr>
          <w:p>
            <w:pPr>
              <w:tabs>
                <w:tab w:val="left" w:pos="4320"/>
              </w:tabs>
              <w:jc w:val="center"/>
              <w:rPr>
                <w:rFonts w:hAnsi="宋体" w:cs="宋体"/>
                <w:szCs w:val="21"/>
                <w:highlight w:val="none"/>
              </w:rPr>
            </w:pPr>
          </w:p>
        </w:tc>
        <w:tc>
          <w:tcPr>
            <w:tcW w:w="4660" w:type="dxa"/>
            <w:gridSpan w:val="4"/>
            <w:tcBorders>
              <w:right w:val="double" w:color="auto" w:sz="4" w:space="0"/>
            </w:tcBorders>
            <w:vAlign w:val="center"/>
          </w:tcPr>
          <w:p>
            <w:pPr>
              <w:tabs>
                <w:tab w:val="left" w:pos="4320"/>
              </w:tabs>
              <w:rPr>
                <w:rFonts w:hAnsi="宋体" w:cs="宋体"/>
                <w:szCs w:val="21"/>
                <w:highlight w:val="none"/>
              </w:rPr>
            </w:pPr>
            <w:r>
              <w:rPr>
                <w:rFonts w:hint="eastAsia" w:hAnsi="宋体" w:cs="宋体"/>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continue"/>
            <w:tcBorders>
              <w:left w:val="double" w:color="auto" w:sz="4" w:space="0"/>
            </w:tcBorders>
            <w:vAlign w:val="center"/>
          </w:tcPr>
          <w:p>
            <w:pPr>
              <w:tabs>
                <w:tab w:val="left" w:pos="4320"/>
              </w:tabs>
              <w:ind w:left="233" w:hanging="233" w:hangingChars="111"/>
              <w:rPr>
                <w:rFonts w:hAnsi="宋体" w:cs="宋体"/>
                <w:szCs w:val="21"/>
                <w:highlight w:val="none"/>
              </w:rPr>
            </w:pPr>
          </w:p>
        </w:tc>
        <w:tc>
          <w:tcPr>
            <w:tcW w:w="963" w:type="dxa"/>
            <w:vAlign w:val="center"/>
          </w:tcPr>
          <w:p>
            <w:pPr>
              <w:tabs>
                <w:tab w:val="left" w:pos="4320"/>
              </w:tabs>
              <w:jc w:val="center"/>
              <w:rPr>
                <w:rFonts w:hAnsi="宋体" w:cs="宋体"/>
                <w:szCs w:val="21"/>
                <w:highlight w:val="none"/>
              </w:rPr>
            </w:pPr>
            <w:r>
              <w:rPr>
                <w:rFonts w:hint="eastAsia" w:hAnsi="宋体" w:cs="宋体"/>
                <w:szCs w:val="21"/>
                <w:highlight w:val="none"/>
              </w:rPr>
              <w:t>占地面积</w:t>
            </w:r>
          </w:p>
        </w:tc>
        <w:tc>
          <w:tcPr>
            <w:tcW w:w="1114" w:type="dxa"/>
            <w:vAlign w:val="center"/>
          </w:tcPr>
          <w:p>
            <w:pPr>
              <w:tabs>
                <w:tab w:val="left" w:pos="4320"/>
              </w:tabs>
              <w:jc w:val="right"/>
              <w:rPr>
                <w:rFonts w:hAnsi="宋体" w:cs="宋体"/>
                <w:szCs w:val="21"/>
                <w:highlight w:val="none"/>
              </w:rPr>
            </w:pPr>
            <w:r>
              <w:rPr>
                <w:rFonts w:hint="eastAsia" w:hAnsi="宋体" w:cs="宋体"/>
                <w:szCs w:val="21"/>
                <w:highlight w:val="none"/>
              </w:rPr>
              <w:t>M</w:t>
            </w:r>
            <w:r>
              <w:rPr>
                <w:rFonts w:hint="eastAsia" w:hAnsi="宋体" w:cs="宋体"/>
                <w:szCs w:val="21"/>
                <w:highlight w:val="none"/>
                <w:vertAlign w:val="superscript"/>
              </w:rPr>
              <w:t>2</w:t>
            </w:r>
          </w:p>
        </w:tc>
        <w:tc>
          <w:tcPr>
            <w:tcW w:w="891" w:type="dxa"/>
            <w:vMerge w:val="continue"/>
            <w:vAlign w:val="center"/>
          </w:tcPr>
          <w:p>
            <w:pPr>
              <w:tabs>
                <w:tab w:val="left" w:pos="4320"/>
              </w:tabs>
              <w:rPr>
                <w:rFonts w:hAnsi="宋体" w:cs="宋体"/>
                <w:szCs w:val="21"/>
                <w:highlight w:val="none"/>
              </w:rPr>
            </w:pPr>
          </w:p>
        </w:tc>
        <w:tc>
          <w:tcPr>
            <w:tcW w:w="989" w:type="dxa"/>
            <w:vMerge w:val="continue"/>
            <w:vAlign w:val="center"/>
          </w:tcPr>
          <w:p>
            <w:pPr>
              <w:tabs>
                <w:tab w:val="left" w:pos="4320"/>
              </w:tabs>
              <w:jc w:val="center"/>
              <w:rPr>
                <w:rFonts w:hAnsi="宋体" w:cs="宋体"/>
                <w:szCs w:val="21"/>
                <w:highlight w:val="none"/>
              </w:rPr>
            </w:pPr>
          </w:p>
        </w:tc>
        <w:tc>
          <w:tcPr>
            <w:tcW w:w="4660" w:type="dxa"/>
            <w:gridSpan w:val="4"/>
            <w:tcBorders>
              <w:right w:val="double" w:color="auto" w:sz="4" w:space="0"/>
            </w:tcBorders>
            <w:vAlign w:val="center"/>
          </w:tcPr>
          <w:p>
            <w:pPr>
              <w:tabs>
                <w:tab w:val="left" w:pos="4320"/>
              </w:tabs>
              <w:spacing w:before="120" w:after="120"/>
              <w:rPr>
                <w:rFonts w:hAnsi="宋体" w:cs="宋体"/>
                <w:szCs w:val="21"/>
                <w:highlight w:val="none"/>
              </w:rPr>
            </w:pPr>
            <w:r>
              <w:rPr>
                <w:rFonts w:hint="eastAsia" w:hAnsi="宋体" w:cs="宋体"/>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0" w:type="dxa"/>
            <w:vMerge w:val="restart"/>
            <w:tcBorders>
              <w:left w:val="double" w:color="auto" w:sz="4" w:space="0"/>
            </w:tcBorders>
            <w:vAlign w:val="center"/>
          </w:tcPr>
          <w:p>
            <w:pPr>
              <w:tabs>
                <w:tab w:val="left" w:pos="4320"/>
              </w:tabs>
              <w:rPr>
                <w:rFonts w:hAnsi="宋体" w:cs="宋体"/>
                <w:szCs w:val="21"/>
                <w:highlight w:val="none"/>
              </w:rPr>
            </w:pPr>
            <w:r>
              <w:rPr>
                <w:rFonts w:hint="eastAsia" w:hAnsi="宋体" w:cs="宋体"/>
                <w:szCs w:val="21"/>
                <w:highlight w:val="none"/>
              </w:rPr>
              <w:t>四、其它</w:t>
            </w:r>
          </w:p>
        </w:tc>
        <w:tc>
          <w:tcPr>
            <w:tcW w:w="3957" w:type="dxa"/>
            <w:gridSpan w:val="4"/>
            <w:vAlign w:val="center"/>
          </w:tcPr>
          <w:p>
            <w:pPr>
              <w:tabs>
                <w:tab w:val="left" w:pos="4320"/>
              </w:tabs>
              <w:spacing w:before="60" w:after="60"/>
              <w:rPr>
                <w:rFonts w:hAnsi="宋体" w:cs="宋体"/>
                <w:szCs w:val="21"/>
                <w:highlight w:val="none"/>
              </w:rPr>
            </w:pPr>
            <w:r>
              <w:rPr>
                <w:rFonts w:hint="eastAsia" w:hAnsi="宋体" w:cs="宋体"/>
                <w:szCs w:val="21"/>
                <w:highlight w:val="none"/>
              </w:rPr>
              <w:t>近3年完成及正在执行的合同中发生的由于投标人违约或部份违约而引起诉讼和受到索赔的案件具体情况及结果（须如实填写，若对此进行隐瞒，尔后又被采购人或采购代理机构发现，或被它人举证成立，其投标资格将被取消）。</w:t>
            </w:r>
          </w:p>
        </w:tc>
        <w:tc>
          <w:tcPr>
            <w:tcW w:w="4660" w:type="dxa"/>
            <w:gridSpan w:val="4"/>
            <w:tcBorders>
              <w:right w:val="double" w:color="auto" w:sz="4" w:space="0"/>
            </w:tcBorders>
            <w:vAlign w:val="center"/>
          </w:tcPr>
          <w:p>
            <w:pPr>
              <w:tabs>
                <w:tab w:val="left" w:pos="4320"/>
              </w:tabs>
              <w:spacing w:before="60" w:after="60"/>
              <w:rPr>
                <w:rFonts w:hAnsi="宋体" w:cs="宋体"/>
                <w:szCs w:val="21"/>
                <w:highlight w:val="none"/>
              </w:rPr>
            </w:pPr>
            <w:r>
              <w:rPr>
                <w:rFonts w:hint="eastAsia" w:hAnsi="宋体" w:cs="宋体"/>
                <w:szCs w:val="21"/>
                <w:highlight w:val="none"/>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1130" w:type="dxa"/>
            <w:vMerge w:val="continue"/>
            <w:tcBorders>
              <w:left w:val="double" w:color="auto" w:sz="4" w:space="0"/>
              <w:bottom w:val="double" w:color="auto" w:sz="4" w:space="0"/>
            </w:tcBorders>
            <w:vAlign w:val="center"/>
          </w:tcPr>
          <w:p>
            <w:pPr>
              <w:tabs>
                <w:tab w:val="left" w:pos="4320"/>
              </w:tabs>
              <w:rPr>
                <w:rFonts w:hAnsi="宋体" w:cs="宋体"/>
                <w:szCs w:val="21"/>
                <w:highlight w:val="none"/>
              </w:rPr>
            </w:pPr>
          </w:p>
        </w:tc>
        <w:tc>
          <w:tcPr>
            <w:tcW w:w="3957" w:type="dxa"/>
            <w:gridSpan w:val="4"/>
            <w:tcBorders>
              <w:bottom w:val="double" w:color="auto" w:sz="4" w:space="0"/>
            </w:tcBorders>
            <w:vAlign w:val="center"/>
          </w:tcPr>
          <w:p>
            <w:pPr>
              <w:tabs>
                <w:tab w:val="left" w:pos="4320"/>
              </w:tabs>
              <w:rPr>
                <w:rFonts w:hAnsi="宋体" w:cs="宋体"/>
                <w:szCs w:val="21"/>
                <w:highlight w:val="none"/>
              </w:rPr>
            </w:pPr>
          </w:p>
        </w:tc>
        <w:tc>
          <w:tcPr>
            <w:tcW w:w="4660" w:type="dxa"/>
            <w:gridSpan w:val="4"/>
            <w:tcBorders>
              <w:bottom w:val="double" w:color="auto" w:sz="4" w:space="0"/>
              <w:right w:val="double" w:color="auto" w:sz="4" w:space="0"/>
            </w:tcBorders>
            <w:vAlign w:val="center"/>
          </w:tcPr>
          <w:p>
            <w:pPr>
              <w:tabs>
                <w:tab w:val="left" w:pos="4320"/>
              </w:tabs>
              <w:rPr>
                <w:rFonts w:hAnsi="宋体" w:cs="宋体"/>
                <w:szCs w:val="21"/>
                <w:highlight w:val="none"/>
              </w:rPr>
            </w:pPr>
          </w:p>
        </w:tc>
      </w:tr>
    </w:tbl>
    <w:p>
      <w:pPr>
        <w:pStyle w:val="76"/>
        <w:spacing w:before="0" w:after="0" w:line="360" w:lineRule="auto"/>
        <w:ind w:left="840" w:hanging="840" w:hangingChars="400"/>
        <w:rPr>
          <w:rFonts w:ascii="宋体" w:hAnsi="宋体" w:cs="宋体"/>
          <w:bCs w:val="0"/>
          <w:spacing w:val="0"/>
          <w:kern w:val="2"/>
          <w:szCs w:val="21"/>
          <w:highlight w:val="none"/>
          <w:lang w:val="en-GB"/>
        </w:rPr>
      </w:pPr>
    </w:p>
    <w:p>
      <w:pPr>
        <w:pStyle w:val="76"/>
        <w:spacing w:before="0" w:after="0" w:line="360" w:lineRule="auto"/>
        <w:ind w:left="840" w:hanging="840" w:hangingChars="400"/>
        <w:rPr>
          <w:rFonts w:ascii="宋体" w:hAnsi="宋体" w:cs="宋体"/>
          <w:bCs w:val="0"/>
          <w:spacing w:val="0"/>
          <w:kern w:val="2"/>
          <w:szCs w:val="21"/>
          <w:highlight w:val="none"/>
          <w:lang w:val="en-GB"/>
        </w:rPr>
      </w:pPr>
      <w:r>
        <w:rPr>
          <w:rFonts w:hint="eastAsia" w:ascii="宋体" w:hAnsi="宋体" w:cs="宋体"/>
          <w:bCs w:val="0"/>
          <w:spacing w:val="0"/>
          <w:kern w:val="2"/>
          <w:szCs w:val="21"/>
          <w:highlight w:val="none"/>
          <w:lang w:val="en-GB"/>
        </w:rPr>
        <w:t>注：1）文字描述：单位性质、发展历程、经营规模及服务理念、主营产品、技术力量等。</w:t>
      </w:r>
    </w:p>
    <w:p>
      <w:pPr>
        <w:pStyle w:val="76"/>
        <w:spacing w:before="0" w:after="0" w:line="360" w:lineRule="auto"/>
        <w:ind w:left="840" w:hanging="840" w:hangingChars="400"/>
        <w:rPr>
          <w:rFonts w:ascii="宋体" w:hAnsi="宋体" w:cs="宋体"/>
          <w:bCs w:val="0"/>
          <w:spacing w:val="0"/>
          <w:kern w:val="2"/>
          <w:szCs w:val="21"/>
          <w:highlight w:val="none"/>
          <w:lang w:val="en-GB"/>
        </w:rPr>
      </w:pPr>
      <w:r>
        <w:rPr>
          <w:rFonts w:hint="eastAsia" w:ascii="宋体" w:hAnsi="宋体" w:cs="宋体"/>
          <w:bCs w:val="0"/>
          <w:spacing w:val="0"/>
          <w:kern w:val="2"/>
          <w:szCs w:val="21"/>
          <w:highlight w:val="none"/>
          <w:lang w:val="en-GB"/>
        </w:rPr>
        <w:t xml:space="preserve">    2) 图片描述：经营场所、主要或关键产品介绍、生产场所及工艺流程等。</w:t>
      </w:r>
    </w:p>
    <w:p>
      <w:pPr>
        <w:spacing w:line="360" w:lineRule="auto"/>
        <w:ind w:firstLine="420" w:firstLineChars="200"/>
        <w:rPr>
          <w:rFonts w:hAnsi="宋体" w:cs="宋体"/>
          <w:kern w:val="2"/>
          <w:szCs w:val="21"/>
          <w:highlight w:val="none"/>
          <w:lang w:val="en-GB"/>
        </w:rPr>
      </w:pPr>
      <w:r>
        <w:rPr>
          <w:rFonts w:hint="eastAsia" w:hAnsi="宋体" w:cs="宋体"/>
          <w:kern w:val="2"/>
          <w:szCs w:val="21"/>
          <w:highlight w:val="none"/>
          <w:lang w:val="en-GB"/>
        </w:rPr>
        <w:t>3）如投标人此表数据有虚假，一经查实，自行承担相关责任。</w:t>
      </w:r>
    </w:p>
    <w:p>
      <w:pPr>
        <w:snapToGrid w:val="0"/>
        <w:spacing w:line="300" w:lineRule="auto"/>
        <w:rPr>
          <w:rFonts w:hAnsi="宋体" w:cs="宋体"/>
          <w:szCs w:val="21"/>
          <w:highlight w:val="none"/>
        </w:rPr>
      </w:pPr>
    </w:p>
    <w:p>
      <w:pPr>
        <w:snapToGrid w:val="0"/>
        <w:spacing w:line="300" w:lineRule="auto"/>
        <w:rPr>
          <w:rFonts w:hAnsi="宋体" w:cs="宋体"/>
          <w:szCs w:val="21"/>
          <w:highlight w:val="none"/>
        </w:rPr>
      </w:pPr>
      <w:r>
        <w:rPr>
          <w:rFonts w:hint="eastAsia" w:hAnsi="宋体" w:cs="宋体"/>
          <w:szCs w:val="21"/>
          <w:highlight w:val="none"/>
        </w:rPr>
        <w:t>投标人法定代表人（或法定代表人授权代表）亲笔签字：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日期：年 月 日</w:t>
      </w:r>
    </w:p>
    <w:p>
      <w:pPr>
        <w:pStyle w:val="4"/>
        <w:spacing w:after="120" w:line="480" w:lineRule="exact"/>
        <w:rPr>
          <w:rFonts w:hAnsi="宋体" w:cs="宋体"/>
          <w:b/>
          <w:szCs w:val="20"/>
          <w:highlight w:val="none"/>
        </w:rPr>
      </w:pPr>
      <w:r>
        <w:rPr>
          <w:rFonts w:hint="eastAsia" w:hAnsi="宋体" w:cs="宋体"/>
          <w:b/>
          <w:szCs w:val="20"/>
          <w:highlight w:val="none"/>
        </w:rPr>
        <w:br w:type="page"/>
      </w:r>
      <w:r>
        <w:rPr>
          <w:rFonts w:hint="eastAsia" w:hAnsi="宋体" w:cs="宋体"/>
          <w:b/>
          <w:szCs w:val="20"/>
          <w:highlight w:val="none"/>
        </w:rPr>
        <w:t>附表2.7 2020年投标人财务状况表格式</w:t>
      </w:r>
    </w:p>
    <w:p>
      <w:pPr>
        <w:spacing w:line="360" w:lineRule="auto"/>
        <w:ind w:firstLine="420"/>
        <w:rPr>
          <w:rFonts w:hAnsi="宋体" w:cs="宋体"/>
          <w:szCs w:val="20"/>
          <w:highlight w:val="none"/>
        </w:rPr>
      </w:pPr>
    </w:p>
    <w:p>
      <w:pPr>
        <w:spacing w:line="360" w:lineRule="auto"/>
        <w:jc w:val="center"/>
        <w:rPr>
          <w:rFonts w:hAnsi="宋体" w:cs="宋体"/>
          <w:b/>
          <w:szCs w:val="21"/>
          <w:highlight w:val="none"/>
        </w:rPr>
      </w:pPr>
      <w:r>
        <w:rPr>
          <w:rFonts w:hint="eastAsia" w:hAnsi="宋体" w:cs="宋体"/>
          <w:b/>
          <w:szCs w:val="21"/>
          <w:highlight w:val="none"/>
        </w:rPr>
        <w:t>2020年投标人财务状况表</w:t>
      </w:r>
    </w:p>
    <w:tbl>
      <w:tblPr>
        <w:tblStyle w:val="49"/>
        <w:tblW w:w="98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21"/>
        <w:gridCol w:w="2137"/>
        <w:gridCol w:w="2137"/>
        <w:gridCol w:w="2137"/>
        <w:gridCol w:w="21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321" w:type="dxa"/>
            <w:vAlign w:val="center"/>
          </w:tcPr>
          <w:p>
            <w:pPr>
              <w:spacing w:line="360" w:lineRule="auto"/>
              <w:jc w:val="center"/>
              <w:rPr>
                <w:rFonts w:hAnsi="宋体" w:cs="宋体"/>
                <w:szCs w:val="21"/>
                <w:highlight w:val="none"/>
              </w:rPr>
            </w:pPr>
            <w:r>
              <w:rPr>
                <w:rFonts w:hint="eastAsia" w:hAnsi="宋体" w:cs="宋体"/>
                <w:szCs w:val="21"/>
                <w:highlight w:val="none"/>
              </w:rPr>
              <w:t>年  度</w:t>
            </w:r>
          </w:p>
        </w:tc>
        <w:tc>
          <w:tcPr>
            <w:tcW w:w="2137" w:type="dxa"/>
            <w:vAlign w:val="center"/>
          </w:tcPr>
          <w:p>
            <w:pPr>
              <w:spacing w:line="360" w:lineRule="auto"/>
              <w:jc w:val="center"/>
              <w:rPr>
                <w:rFonts w:hAnsi="宋体" w:cs="宋体"/>
                <w:szCs w:val="21"/>
                <w:highlight w:val="none"/>
              </w:rPr>
            </w:pPr>
            <w:r>
              <w:rPr>
                <w:rFonts w:hint="eastAsia" w:hAnsi="宋体" w:cs="宋体"/>
                <w:szCs w:val="21"/>
                <w:highlight w:val="none"/>
              </w:rPr>
              <w:t>总资产（元）</w:t>
            </w:r>
          </w:p>
        </w:tc>
        <w:tc>
          <w:tcPr>
            <w:tcW w:w="2137" w:type="dxa"/>
            <w:vAlign w:val="center"/>
          </w:tcPr>
          <w:p>
            <w:pPr>
              <w:spacing w:line="360" w:lineRule="auto"/>
              <w:jc w:val="center"/>
              <w:rPr>
                <w:rFonts w:hAnsi="宋体" w:cs="宋体"/>
                <w:szCs w:val="21"/>
                <w:highlight w:val="none"/>
              </w:rPr>
            </w:pPr>
            <w:r>
              <w:rPr>
                <w:rFonts w:hint="eastAsia" w:hAnsi="宋体" w:cs="宋体"/>
                <w:szCs w:val="21"/>
                <w:highlight w:val="none"/>
              </w:rPr>
              <w:t>净资产（元）</w:t>
            </w:r>
          </w:p>
        </w:tc>
        <w:tc>
          <w:tcPr>
            <w:tcW w:w="2137" w:type="dxa"/>
            <w:vAlign w:val="center"/>
          </w:tcPr>
          <w:p>
            <w:pPr>
              <w:spacing w:line="360" w:lineRule="auto"/>
              <w:jc w:val="center"/>
              <w:rPr>
                <w:rFonts w:hAnsi="宋体" w:cs="宋体"/>
                <w:szCs w:val="21"/>
                <w:highlight w:val="none"/>
              </w:rPr>
            </w:pPr>
            <w:r>
              <w:rPr>
                <w:rFonts w:hint="eastAsia" w:hAnsi="宋体" w:cs="宋体"/>
                <w:szCs w:val="21"/>
                <w:highlight w:val="none"/>
              </w:rPr>
              <w:t>年营业额（元）</w:t>
            </w:r>
          </w:p>
        </w:tc>
        <w:tc>
          <w:tcPr>
            <w:tcW w:w="2137" w:type="dxa"/>
            <w:vAlign w:val="center"/>
          </w:tcPr>
          <w:p>
            <w:pPr>
              <w:spacing w:line="360" w:lineRule="auto"/>
              <w:jc w:val="center"/>
              <w:rPr>
                <w:rFonts w:hAnsi="宋体" w:cs="宋体"/>
                <w:szCs w:val="21"/>
                <w:highlight w:val="none"/>
              </w:rPr>
            </w:pPr>
            <w:r>
              <w:rPr>
                <w:rFonts w:hint="eastAsia" w:hAnsi="宋体" w:cs="宋体"/>
                <w:szCs w:val="21"/>
                <w:highlight w:val="none"/>
              </w:rPr>
              <w:t>年净利润（元）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321" w:type="dxa"/>
            <w:vAlign w:val="center"/>
          </w:tcPr>
          <w:p>
            <w:pPr>
              <w:spacing w:line="360" w:lineRule="auto"/>
              <w:jc w:val="center"/>
              <w:rPr>
                <w:rFonts w:hAnsi="宋体" w:cs="宋体"/>
                <w:szCs w:val="21"/>
                <w:highlight w:val="none"/>
              </w:rPr>
            </w:pPr>
            <w:r>
              <w:rPr>
                <w:rFonts w:hint="eastAsia" w:hAnsi="宋体" w:cs="宋体"/>
                <w:szCs w:val="21"/>
                <w:highlight w:val="none"/>
              </w:rPr>
              <w:t>2021</w:t>
            </w:r>
          </w:p>
        </w:tc>
        <w:tc>
          <w:tcPr>
            <w:tcW w:w="2137" w:type="dxa"/>
            <w:vAlign w:val="center"/>
          </w:tcPr>
          <w:p>
            <w:pPr>
              <w:spacing w:line="360" w:lineRule="auto"/>
              <w:jc w:val="center"/>
              <w:rPr>
                <w:rFonts w:hAnsi="宋体" w:cs="宋体"/>
                <w:szCs w:val="21"/>
                <w:highlight w:val="none"/>
              </w:rPr>
            </w:pPr>
          </w:p>
        </w:tc>
        <w:tc>
          <w:tcPr>
            <w:tcW w:w="2137" w:type="dxa"/>
            <w:vAlign w:val="center"/>
          </w:tcPr>
          <w:p>
            <w:pPr>
              <w:spacing w:line="360" w:lineRule="auto"/>
              <w:jc w:val="center"/>
              <w:rPr>
                <w:rFonts w:hAnsi="宋体" w:cs="宋体"/>
                <w:szCs w:val="21"/>
                <w:highlight w:val="none"/>
              </w:rPr>
            </w:pPr>
          </w:p>
        </w:tc>
        <w:tc>
          <w:tcPr>
            <w:tcW w:w="2137" w:type="dxa"/>
            <w:vAlign w:val="center"/>
          </w:tcPr>
          <w:p>
            <w:pPr>
              <w:spacing w:line="360" w:lineRule="auto"/>
              <w:jc w:val="center"/>
              <w:rPr>
                <w:rFonts w:hAnsi="宋体" w:cs="宋体"/>
                <w:szCs w:val="21"/>
                <w:highlight w:val="none"/>
              </w:rPr>
            </w:pPr>
          </w:p>
        </w:tc>
        <w:tc>
          <w:tcPr>
            <w:tcW w:w="2137" w:type="dxa"/>
            <w:vAlign w:val="center"/>
          </w:tcPr>
          <w:p>
            <w:pPr>
              <w:spacing w:line="360" w:lineRule="auto"/>
              <w:jc w:val="center"/>
              <w:rPr>
                <w:rFonts w:hAnsi="宋体" w:cs="宋体"/>
                <w:szCs w:val="21"/>
                <w:highlight w:val="none"/>
              </w:rPr>
            </w:pPr>
          </w:p>
        </w:tc>
      </w:tr>
    </w:tbl>
    <w:p>
      <w:pPr>
        <w:spacing w:line="360" w:lineRule="auto"/>
        <w:rPr>
          <w:rFonts w:hAnsi="宋体" w:cs="宋体"/>
          <w:szCs w:val="21"/>
          <w:highlight w:val="none"/>
        </w:rPr>
      </w:pPr>
    </w:p>
    <w:p>
      <w:pPr>
        <w:spacing w:line="360" w:lineRule="auto"/>
        <w:rPr>
          <w:rFonts w:hAnsi="宋体"/>
          <w:b/>
          <w:szCs w:val="21"/>
          <w:highlight w:val="none"/>
        </w:rPr>
      </w:pPr>
      <w:r>
        <w:rPr>
          <w:rFonts w:hint="eastAsia" w:hAnsi="宋体"/>
          <w:szCs w:val="21"/>
          <w:highlight w:val="none"/>
        </w:rPr>
        <w:t>【备注】2022年度成立的公司无需提供此表。</w:t>
      </w:r>
    </w:p>
    <w:p>
      <w:pPr>
        <w:spacing w:line="360" w:lineRule="auto"/>
        <w:rPr>
          <w:rFonts w:hAnsi="宋体" w:cs="宋体"/>
          <w:b/>
          <w:szCs w:val="21"/>
          <w:highlight w:val="none"/>
        </w:rPr>
      </w:pPr>
    </w:p>
    <w:p>
      <w:pPr>
        <w:spacing w:line="360" w:lineRule="auto"/>
        <w:rPr>
          <w:rFonts w:hAnsi="宋体" w:cs="宋体"/>
          <w:b/>
          <w:szCs w:val="21"/>
          <w:highlight w:val="none"/>
        </w:rPr>
      </w:pPr>
    </w:p>
    <w:p>
      <w:pPr>
        <w:snapToGrid w:val="0"/>
        <w:spacing w:line="360" w:lineRule="auto"/>
        <w:rPr>
          <w:rFonts w:hAnsi="宋体" w:cs="宋体"/>
          <w:szCs w:val="21"/>
          <w:highlight w:val="none"/>
        </w:rPr>
      </w:pPr>
      <w:r>
        <w:rPr>
          <w:rFonts w:hint="eastAsia" w:hAnsi="宋体" w:cs="宋体"/>
          <w:szCs w:val="21"/>
          <w:highlight w:val="none"/>
        </w:rPr>
        <w:t xml:space="preserve">投标人法定代表人（或法定代表人授权代表）亲笔签字：                   </w:t>
      </w:r>
    </w:p>
    <w:p>
      <w:pPr>
        <w:snapToGrid w:val="0"/>
        <w:spacing w:line="360" w:lineRule="auto"/>
        <w:rPr>
          <w:rFonts w:hAnsi="宋体" w:cs="宋体"/>
          <w:szCs w:val="21"/>
          <w:highlight w:val="none"/>
        </w:rPr>
      </w:pPr>
      <w:r>
        <w:rPr>
          <w:rFonts w:hint="eastAsia" w:hAnsi="宋体" w:cs="宋体"/>
          <w:szCs w:val="21"/>
          <w:highlight w:val="none"/>
        </w:rPr>
        <w:t xml:space="preserve">投标人名称（加盖法人公章）：                        </w:t>
      </w:r>
    </w:p>
    <w:p>
      <w:pPr>
        <w:snapToGrid w:val="0"/>
        <w:spacing w:line="360" w:lineRule="auto"/>
        <w:rPr>
          <w:rFonts w:hAnsi="宋体" w:cs="宋体"/>
          <w:szCs w:val="21"/>
          <w:highlight w:val="none"/>
        </w:rPr>
      </w:pPr>
      <w:r>
        <w:rPr>
          <w:rFonts w:hint="eastAsia" w:hAnsi="宋体" w:cs="宋体"/>
          <w:szCs w:val="21"/>
          <w:highlight w:val="none"/>
        </w:rPr>
        <w:t>日期：          年      月     日</w:t>
      </w:r>
    </w:p>
    <w:p>
      <w:pPr>
        <w:spacing w:line="480" w:lineRule="exact"/>
        <w:rPr>
          <w:rFonts w:hAnsi="宋体" w:cs="宋体"/>
          <w:b/>
          <w:highlight w:val="none"/>
        </w:rPr>
      </w:pPr>
    </w:p>
    <w:p>
      <w:pPr>
        <w:pStyle w:val="4"/>
        <w:spacing w:after="120" w:line="480" w:lineRule="exact"/>
        <w:rPr>
          <w:rFonts w:hAnsi="宋体" w:cs="宋体"/>
          <w:b/>
          <w:szCs w:val="21"/>
          <w:highlight w:val="none"/>
        </w:rPr>
      </w:pPr>
      <w:r>
        <w:rPr>
          <w:rFonts w:hint="eastAsia" w:hAnsi="宋体" w:cs="宋体"/>
          <w:szCs w:val="21"/>
          <w:highlight w:val="none"/>
        </w:rPr>
        <w:br w:type="page"/>
      </w:r>
      <w:r>
        <w:rPr>
          <w:rFonts w:hint="eastAsia" w:hAnsi="宋体" w:cs="宋体"/>
          <w:b/>
          <w:szCs w:val="20"/>
          <w:highlight w:val="none"/>
        </w:rPr>
        <w:t>附表2.8 中标服务费承诺书格式</w:t>
      </w:r>
    </w:p>
    <w:p>
      <w:pPr>
        <w:spacing w:line="360" w:lineRule="auto"/>
        <w:ind w:right="893" w:firstLine="420"/>
        <w:jc w:val="both"/>
        <w:rPr>
          <w:rFonts w:hAnsi="宋体" w:cs="宋体"/>
          <w:kern w:val="2"/>
          <w:szCs w:val="21"/>
          <w:highlight w:val="none"/>
          <w:lang w:val="zh-CN"/>
        </w:rPr>
      </w:pPr>
    </w:p>
    <w:p>
      <w:pPr>
        <w:spacing w:line="360" w:lineRule="auto"/>
        <w:jc w:val="center"/>
        <w:rPr>
          <w:rFonts w:hAnsi="宋体" w:cs="宋体"/>
          <w:b/>
          <w:sz w:val="28"/>
          <w:szCs w:val="28"/>
          <w:highlight w:val="none"/>
        </w:rPr>
      </w:pPr>
      <w:r>
        <w:rPr>
          <w:rFonts w:hint="eastAsia" w:hAnsi="宋体" w:cs="宋体"/>
          <w:b/>
          <w:sz w:val="28"/>
          <w:szCs w:val="28"/>
          <w:highlight w:val="none"/>
        </w:rPr>
        <w:t>中标服务费承诺书</w:t>
      </w:r>
    </w:p>
    <w:p>
      <w:pPr>
        <w:spacing w:line="360" w:lineRule="auto"/>
        <w:ind w:right="893" w:firstLine="420"/>
        <w:jc w:val="both"/>
        <w:rPr>
          <w:rFonts w:hAnsi="宋体" w:cs="宋体"/>
          <w:kern w:val="2"/>
          <w:szCs w:val="21"/>
          <w:highlight w:val="none"/>
          <w:lang w:val="zh-CN"/>
        </w:rPr>
      </w:pPr>
    </w:p>
    <w:p>
      <w:pPr>
        <w:spacing w:line="360" w:lineRule="auto"/>
        <w:ind w:right="893"/>
        <w:jc w:val="both"/>
        <w:rPr>
          <w:rFonts w:hAnsi="宋体" w:cs="宋体"/>
          <w:b/>
          <w:bCs/>
          <w:kern w:val="2"/>
          <w:szCs w:val="21"/>
          <w:highlight w:val="none"/>
          <w:lang w:val="zh-CN"/>
        </w:rPr>
      </w:pPr>
      <w:r>
        <w:rPr>
          <w:rFonts w:hint="eastAsia" w:hAnsi="宋体" w:cs="宋体"/>
          <w:b/>
          <w:bCs/>
          <w:kern w:val="2"/>
          <w:szCs w:val="21"/>
          <w:highlight w:val="none"/>
          <w:lang w:val="zh-CN"/>
        </w:rPr>
        <w:t>致：</w:t>
      </w:r>
      <w:r>
        <w:rPr>
          <w:rFonts w:hint="eastAsia" w:hAnsi="宋体" w:cs="宋体"/>
          <w:b/>
          <w:szCs w:val="21"/>
          <w:highlight w:val="none"/>
          <w:u w:val="single"/>
        </w:rPr>
        <w:t>广东远东招标代理有限公司</w:t>
      </w:r>
    </w:p>
    <w:p>
      <w:pPr>
        <w:spacing w:line="360" w:lineRule="auto"/>
        <w:ind w:right="893" w:firstLine="420"/>
        <w:jc w:val="both"/>
        <w:rPr>
          <w:rFonts w:hAnsi="宋体" w:cs="宋体"/>
          <w:kern w:val="2"/>
          <w:szCs w:val="21"/>
          <w:highlight w:val="none"/>
          <w:lang w:val="zh-CN"/>
        </w:rPr>
      </w:pPr>
    </w:p>
    <w:p>
      <w:pPr>
        <w:tabs>
          <w:tab w:val="left" w:pos="-142"/>
        </w:tabs>
        <w:spacing w:line="360" w:lineRule="auto"/>
        <w:ind w:left="-31" w:leftChars="-15" w:right="18" w:firstLine="457" w:firstLineChars="218"/>
        <w:jc w:val="both"/>
        <w:rPr>
          <w:rFonts w:hAnsi="宋体" w:cs="宋体"/>
          <w:kern w:val="2"/>
          <w:szCs w:val="21"/>
          <w:highlight w:val="none"/>
          <w:lang w:val="zh-CN"/>
        </w:rPr>
      </w:pPr>
      <w:r>
        <w:rPr>
          <w:rFonts w:hint="eastAsia" w:hAnsi="宋体" w:cs="宋体"/>
          <w:kern w:val="2"/>
          <w:szCs w:val="21"/>
          <w:highlight w:val="none"/>
          <w:lang w:val="zh-CN"/>
        </w:rPr>
        <w:t>我单位在贵司代理的</w:t>
      </w:r>
      <w:r>
        <w:rPr>
          <w:rFonts w:hint="eastAsia" w:hAnsi="宋体" w:cs="宋体"/>
          <w:szCs w:val="21"/>
          <w:highlight w:val="none"/>
          <w:u w:val="single"/>
        </w:rPr>
        <w:t xml:space="preserve"> 国家海洋局南海标准计量中心2023年船员服务采购项目 </w:t>
      </w:r>
      <w:r>
        <w:rPr>
          <w:rFonts w:hint="eastAsia" w:hAnsi="宋体" w:cs="宋体"/>
          <w:szCs w:val="21"/>
          <w:highlight w:val="none"/>
        </w:rPr>
        <w:t>(</w:t>
      </w:r>
      <w:r>
        <w:rPr>
          <w:rFonts w:hint="eastAsia" w:hAnsi="宋体" w:cs="宋体"/>
          <w:kern w:val="2"/>
          <w:szCs w:val="21"/>
          <w:highlight w:val="none"/>
          <w:lang w:val="zh-CN"/>
        </w:rPr>
        <w:t>采购编号：GDYD221545)招标中若获中标，我们保证在领取中标通知书原件的同时按招标文件的规定，以电汇、现金或经贵公司认可的一种方式，向贵公司即</w:t>
      </w:r>
      <w:r>
        <w:rPr>
          <w:rFonts w:hint="eastAsia" w:hAnsi="宋体" w:cs="宋体"/>
          <w:kern w:val="2"/>
          <w:szCs w:val="21"/>
          <w:highlight w:val="none"/>
          <w:u w:val="single"/>
          <w:lang w:val="zh-CN"/>
        </w:rPr>
        <w:t>广东远东招标代理有限公司</w:t>
      </w:r>
      <w:r>
        <w:rPr>
          <w:rFonts w:hint="eastAsia" w:hAnsi="宋体" w:cs="宋体"/>
          <w:kern w:val="2"/>
          <w:szCs w:val="21"/>
          <w:highlight w:val="none"/>
          <w:lang w:val="zh-CN"/>
        </w:rPr>
        <w:t>指定的银行帐号，一次性支付中标服务费（详见本招标文件投标人须知第37款）。</w:t>
      </w:r>
    </w:p>
    <w:p>
      <w:pPr>
        <w:spacing w:line="360" w:lineRule="auto"/>
        <w:ind w:right="893"/>
        <w:jc w:val="both"/>
        <w:rPr>
          <w:rFonts w:hAnsi="宋体" w:cs="宋体"/>
          <w:kern w:val="2"/>
          <w:szCs w:val="21"/>
          <w:highlight w:val="none"/>
          <w:lang w:val="zh-CN"/>
        </w:rPr>
      </w:pPr>
    </w:p>
    <w:p>
      <w:pPr>
        <w:spacing w:line="360" w:lineRule="auto"/>
        <w:ind w:right="893" w:firstLine="480"/>
        <w:jc w:val="both"/>
        <w:rPr>
          <w:rFonts w:hAnsi="宋体" w:cs="宋体"/>
          <w:kern w:val="2"/>
          <w:szCs w:val="21"/>
          <w:highlight w:val="none"/>
          <w:lang w:val="zh-CN"/>
        </w:rPr>
      </w:pPr>
      <w:r>
        <w:rPr>
          <w:rFonts w:hint="eastAsia" w:hAnsi="宋体" w:cs="宋体"/>
          <w:kern w:val="2"/>
          <w:szCs w:val="21"/>
          <w:highlight w:val="none"/>
          <w:lang w:val="zh-CN"/>
        </w:rPr>
        <w:t>特此承诺。</w:t>
      </w:r>
    </w:p>
    <w:p>
      <w:pPr>
        <w:spacing w:line="360" w:lineRule="auto"/>
        <w:ind w:right="893"/>
        <w:jc w:val="both"/>
        <w:rPr>
          <w:rFonts w:hAnsi="宋体" w:cs="宋体"/>
          <w:kern w:val="2"/>
          <w:szCs w:val="21"/>
          <w:highlight w:val="none"/>
          <w:lang w:val="zh-CN"/>
        </w:rPr>
      </w:pPr>
    </w:p>
    <w:p>
      <w:pPr>
        <w:spacing w:line="360" w:lineRule="auto"/>
        <w:ind w:right="893"/>
        <w:jc w:val="both"/>
        <w:rPr>
          <w:rFonts w:hAnsi="宋体" w:cs="宋体"/>
          <w:kern w:val="2"/>
          <w:szCs w:val="21"/>
          <w:highlight w:val="none"/>
          <w:lang w:val="zh-CN"/>
        </w:rPr>
      </w:pPr>
    </w:p>
    <w:p>
      <w:pPr>
        <w:spacing w:line="360" w:lineRule="auto"/>
        <w:ind w:right="893"/>
        <w:jc w:val="both"/>
        <w:rPr>
          <w:rFonts w:hAnsi="宋体" w:cs="宋体"/>
          <w:kern w:val="2"/>
          <w:szCs w:val="21"/>
          <w:highlight w:val="none"/>
          <w:lang w:val="zh-CN"/>
        </w:rPr>
      </w:pPr>
      <w:r>
        <w:rPr>
          <w:rFonts w:hint="eastAsia" w:hAnsi="宋体" w:cs="宋体"/>
          <w:kern w:val="2"/>
          <w:szCs w:val="21"/>
          <w:highlight w:val="none"/>
          <w:lang w:val="zh-CN"/>
        </w:rPr>
        <w:t>投标人名称： （加盖法人公章）</w:t>
      </w:r>
    </w:p>
    <w:p>
      <w:pPr>
        <w:spacing w:line="360" w:lineRule="auto"/>
        <w:ind w:right="893"/>
        <w:jc w:val="both"/>
        <w:rPr>
          <w:rFonts w:hAnsi="宋体" w:cs="宋体"/>
          <w:kern w:val="2"/>
          <w:szCs w:val="21"/>
          <w:highlight w:val="none"/>
          <w:lang w:val="zh-CN"/>
        </w:rPr>
      </w:pPr>
      <w:r>
        <w:rPr>
          <w:rFonts w:hint="eastAsia" w:hAnsi="宋体" w:cs="宋体"/>
          <w:kern w:val="2"/>
          <w:szCs w:val="21"/>
          <w:highlight w:val="none"/>
          <w:lang w:val="zh-CN"/>
        </w:rPr>
        <w:t>地址：</w:t>
      </w:r>
    </w:p>
    <w:p>
      <w:pPr>
        <w:spacing w:line="360" w:lineRule="auto"/>
        <w:ind w:right="893"/>
        <w:jc w:val="both"/>
        <w:rPr>
          <w:rFonts w:hAnsi="宋体" w:cs="宋体"/>
          <w:kern w:val="2"/>
          <w:szCs w:val="21"/>
          <w:highlight w:val="none"/>
          <w:lang w:val="zh-CN"/>
        </w:rPr>
      </w:pPr>
      <w:r>
        <w:rPr>
          <w:rFonts w:hint="eastAsia" w:hAnsi="宋体" w:cs="宋体"/>
          <w:kern w:val="2"/>
          <w:szCs w:val="21"/>
          <w:highlight w:val="none"/>
          <w:lang w:val="zh-CN"/>
        </w:rPr>
        <w:t>电话：        传真：</w:t>
      </w:r>
    </w:p>
    <w:p>
      <w:pPr>
        <w:spacing w:line="360" w:lineRule="auto"/>
        <w:ind w:right="893"/>
        <w:jc w:val="both"/>
        <w:rPr>
          <w:rFonts w:hAnsi="宋体" w:cs="宋体"/>
          <w:kern w:val="2"/>
          <w:szCs w:val="21"/>
          <w:highlight w:val="none"/>
          <w:lang w:val="zh-CN"/>
        </w:rPr>
      </w:pPr>
      <w:r>
        <w:rPr>
          <w:rFonts w:hint="eastAsia" w:hAnsi="宋体" w:cs="宋体"/>
          <w:kern w:val="2"/>
          <w:szCs w:val="21"/>
          <w:highlight w:val="none"/>
          <w:lang w:val="zh-CN"/>
        </w:rPr>
        <w:t>邮箱：          邮编：</w:t>
      </w:r>
    </w:p>
    <w:p>
      <w:pPr>
        <w:spacing w:line="360" w:lineRule="auto"/>
        <w:ind w:right="893"/>
        <w:jc w:val="both"/>
        <w:rPr>
          <w:rFonts w:hAnsi="宋体" w:cs="宋体"/>
          <w:kern w:val="2"/>
          <w:szCs w:val="21"/>
          <w:highlight w:val="none"/>
          <w:lang w:val="zh-CN"/>
        </w:rPr>
      </w:pPr>
      <w:r>
        <w:rPr>
          <w:rFonts w:hint="eastAsia" w:hAnsi="宋体" w:cs="宋体"/>
          <w:kern w:val="2"/>
          <w:szCs w:val="21"/>
          <w:highlight w:val="none"/>
          <w:lang w:val="zh-CN"/>
        </w:rPr>
        <w:t>法定代表人或其授权代表（亲笔签字）：</w:t>
      </w:r>
    </w:p>
    <w:p>
      <w:pPr>
        <w:spacing w:line="360" w:lineRule="auto"/>
        <w:rPr>
          <w:rFonts w:hAnsi="宋体" w:cs="宋体"/>
          <w:kern w:val="2"/>
          <w:szCs w:val="21"/>
          <w:highlight w:val="none"/>
          <w:lang w:val="zh-CN"/>
        </w:rPr>
      </w:pPr>
      <w:r>
        <w:rPr>
          <w:rFonts w:hint="eastAsia" w:hAnsi="宋体" w:cs="宋体"/>
          <w:kern w:val="2"/>
          <w:szCs w:val="21"/>
          <w:highlight w:val="none"/>
          <w:lang w:val="zh-CN"/>
        </w:rPr>
        <w:t>承诺日期：</w:t>
      </w:r>
    </w:p>
    <w:p>
      <w:pPr>
        <w:spacing w:line="360" w:lineRule="auto"/>
        <w:rPr>
          <w:rFonts w:hAnsi="宋体" w:cs="宋体"/>
          <w:b/>
          <w:szCs w:val="21"/>
          <w:highlight w:val="none"/>
        </w:rPr>
      </w:pPr>
    </w:p>
    <w:p>
      <w:pPr>
        <w:pStyle w:val="4"/>
        <w:spacing w:after="120" w:line="480" w:lineRule="exact"/>
        <w:rPr>
          <w:rFonts w:hAnsi="宋体" w:cs="宋体"/>
          <w:b/>
          <w:szCs w:val="21"/>
          <w:highlight w:val="none"/>
        </w:rPr>
      </w:pPr>
      <w:r>
        <w:rPr>
          <w:rFonts w:hint="eastAsia" w:hAnsi="宋体" w:cs="宋体"/>
          <w:b/>
          <w:szCs w:val="20"/>
          <w:highlight w:val="none"/>
        </w:rPr>
        <w:br w:type="page"/>
      </w:r>
      <w:r>
        <w:rPr>
          <w:rFonts w:hint="eastAsia" w:hAnsi="宋体" w:cs="宋体"/>
          <w:b/>
          <w:szCs w:val="20"/>
          <w:highlight w:val="none"/>
        </w:rPr>
        <w:t>附表2.9 项目管理架构格式</w:t>
      </w:r>
    </w:p>
    <w:p>
      <w:pPr>
        <w:jc w:val="center"/>
        <w:rPr>
          <w:rFonts w:hAnsi="宋体" w:cs="宋体"/>
          <w:b/>
          <w:sz w:val="32"/>
          <w:szCs w:val="32"/>
          <w:highlight w:val="none"/>
        </w:rPr>
      </w:pPr>
    </w:p>
    <w:p>
      <w:pPr>
        <w:jc w:val="center"/>
        <w:rPr>
          <w:rFonts w:hAnsi="宋体" w:cs="宋体"/>
          <w:b/>
          <w:sz w:val="32"/>
          <w:szCs w:val="32"/>
          <w:highlight w:val="none"/>
        </w:rPr>
      </w:pPr>
      <w:r>
        <w:rPr>
          <w:rFonts w:hint="eastAsia" w:hAnsi="宋体" w:cs="宋体"/>
          <w:b/>
          <w:sz w:val="32"/>
          <w:szCs w:val="32"/>
          <w:highlight w:val="none"/>
        </w:rPr>
        <w:t>项目管理架构</w:t>
      </w:r>
    </w:p>
    <w:p>
      <w:pPr>
        <w:rPr>
          <w:rFonts w:hAnsi="宋体" w:cs="宋体"/>
          <w:highlight w:val="none"/>
        </w:rPr>
      </w:pPr>
    </w:p>
    <w:tbl>
      <w:tblPr>
        <w:tblStyle w:val="4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524"/>
        <w:gridCol w:w="952"/>
        <w:gridCol w:w="2966"/>
        <w:gridCol w:w="763"/>
        <w:gridCol w:w="763"/>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72" w:type="dxa"/>
            <w:tcBorders>
              <w:top w:val="single" w:color="auto" w:sz="4" w:space="0"/>
              <w:left w:val="single" w:color="auto" w:sz="4" w:space="0"/>
              <w:bottom w:val="nil"/>
              <w:right w:val="single" w:color="auto" w:sz="4" w:space="0"/>
            </w:tcBorders>
            <w:shd w:val="clear" w:color="auto" w:fill="F3F3F3"/>
            <w:vAlign w:val="center"/>
          </w:tcPr>
          <w:p>
            <w:pPr>
              <w:jc w:val="center"/>
              <w:rPr>
                <w:rFonts w:hAnsi="宋体" w:cs="宋体"/>
                <w:b/>
                <w:szCs w:val="21"/>
                <w:highlight w:val="none"/>
              </w:rPr>
            </w:pPr>
            <w:r>
              <w:rPr>
                <w:rFonts w:hint="eastAsia" w:hAnsi="宋体" w:cs="宋体"/>
                <w:b/>
                <w:szCs w:val="21"/>
                <w:highlight w:val="none"/>
              </w:rPr>
              <w:t>职责分工</w:t>
            </w:r>
          </w:p>
        </w:tc>
        <w:tc>
          <w:tcPr>
            <w:tcW w:w="1524" w:type="dxa"/>
            <w:tcBorders>
              <w:top w:val="single" w:color="auto" w:sz="4" w:space="0"/>
              <w:left w:val="single" w:color="auto" w:sz="4" w:space="0"/>
              <w:bottom w:val="nil"/>
              <w:right w:val="single" w:color="auto" w:sz="4" w:space="0"/>
            </w:tcBorders>
            <w:shd w:val="clear" w:color="auto" w:fill="F3F3F3"/>
            <w:vAlign w:val="center"/>
          </w:tcPr>
          <w:p>
            <w:pPr>
              <w:jc w:val="center"/>
              <w:rPr>
                <w:rFonts w:hAnsi="宋体" w:cs="宋体"/>
                <w:b/>
                <w:szCs w:val="21"/>
                <w:highlight w:val="none"/>
              </w:rPr>
            </w:pPr>
            <w:r>
              <w:rPr>
                <w:rFonts w:hint="eastAsia" w:hAnsi="宋体" w:cs="宋体"/>
                <w:b/>
                <w:szCs w:val="21"/>
                <w:highlight w:val="none"/>
              </w:rPr>
              <w:t>姓名</w:t>
            </w:r>
          </w:p>
        </w:tc>
        <w:tc>
          <w:tcPr>
            <w:tcW w:w="952" w:type="dxa"/>
            <w:tcBorders>
              <w:top w:val="single" w:color="auto" w:sz="4" w:space="0"/>
              <w:left w:val="single" w:color="auto" w:sz="4" w:space="0"/>
              <w:bottom w:val="nil"/>
            </w:tcBorders>
            <w:shd w:val="clear" w:color="auto" w:fill="F3F3F3"/>
            <w:vAlign w:val="center"/>
          </w:tcPr>
          <w:p>
            <w:pPr>
              <w:jc w:val="center"/>
              <w:rPr>
                <w:rFonts w:hAnsi="宋体" w:cs="宋体"/>
                <w:b/>
                <w:szCs w:val="21"/>
                <w:highlight w:val="none"/>
              </w:rPr>
            </w:pPr>
            <w:r>
              <w:rPr>
                <w:rFonts w:hint="eastAsia" w:hAnsi="宋体" w:cs="宋体"/>
                <w:b/>
                <w:szCs w:val="21"/>
                <w:highlight w:val="none"/>
              </w:rPr>
              <w:t>现职务</w:t>
            </w:r>
          </w:p>
        </w:tc>
        <w:tc>
          <w:tcPr>
            <w:tcW w:w="2966" w:type="dxa"/>
            <w:tcBorders>
              <w:top w:val="single" w:color="auto" w:sz="4" w:space="0"/>
              <w:bottom w:val="nil"/>
            </w:tcBorders>
            <w:shd w:val="clear" w:color="auto" w:fill="F3F3F3"/>
            <w:vAlign w:val="center"/>
          </w:tcPr>
          <w:p>
            <w:pPr>
              <w:jc w:val="center"/>
              <w:rPr>
                <w:rFonts w:hAnsi="宋体" w:cs="宋体"/>
                <w:b/>
                <w:szCs w:val="21"/>
                <w:highlight w:val="none"/>
              </w:rPr>
            </w:pPr>
            <w:r>
              <w:rPr>
                <w:rFonts w:hint="eastAsia" w:hAnsi="宋体" w:cs="宋体"/>
                <w:b/>
                <w:szCs w:val="21"/>
                <w:highlight w:val="none"/>
              </w:rPr>
              <w:t>曾主持/参与的同类项目经历</w:t>
            </w:r>
          </w:p>
        </w:tc>
        <w:tc>
          <w:tcPr>
            <w:tcW w:w="763" w:type="dxa"/>
            <w:tcBorders>
              <w:top w:val="single" w:color="auto" w:sz="4" w:space="0"/>
              <w:bottom w:val="nil"/>
            </w:tcBorders>
            <w:shd w:val="clear" w:color="auto" w:fill="F3F3F3"/>
            <w:vAlign w:val="center"/>
          </w:tcPr>
          <w:p>
            <w:pPr>
              <w:jc w:val="center"/>
              <w:rPr>
                <w:rFonts w:hAnsi="宋体" w:cs="宋体"/>
                <w:b/>
                <w:szCs w:val="21"/>
                <w:highlight w:val="none"/>
              </w:rPr>
            </w:pPr>
            <w:r>
              <w:rPr>
                <w:rFonts w:hint="eastAsia" w:hAnsi="宋体" w:cs="宋体"/>
                <w:b/>
                <w:szCs w:val="21"/>
                <w:highlight w:val="none"/>
              </w:rPr>
              <w:t>职称</w:t>
            </w:r>
          </w:p>
        </w:tc>
        <w:tc>
          <w:tcPr>
            <w:tcW w:w="763" w:type="dxa"/>
            <w:tcBorders>
              <w:top w:val="single" w:color="auto" w:sz="4" w:space="0"/>
              <w:bottom w:val="nil"/>
              <w:right w:val="single" w:color="auto" w:sz="4" w:space="0"/>
            </w:tcBorders>
            <w:shd w:val="clear" w:color="auto" w:fill="F3F3F3"/>
            <w:vAlign w:val="center"/>
          </w:tcPr>
          <w:p>
            <w:pPr>
              <w:ind w:firstLine="12"/>
              <w:jc w:val="center"/>
              <w:rPr>
                <w:rFonts w:hAnsi="宋体" w:cs="宋体"/>
                <w:b/>
                <w:szCs w:val="21"/>
                <w:highlight w:val="none"/>
              </w:rPr>
            </w:pPr>
            <w:r>
              <w:rPr>
                <w:rFonts w:hint="eastAsia" w:hAnsi="宋体" w:cs="宋体"/>
                <w:b/>
                <w:szCs w:val="21"/>
                <w:highlight w:val="none"/>
              </w:rPr>
              <w:t>专业工龄</w:t>
            </w:r>
          </w:p>
        </w:tc>
        <w:tc>
          <w:tcPr>
            <w:tcW w:w="1715" w:type="dxa"/>
            <w:tcBorders>
              <w:top w:val="single" w:color="auto" w:sz="4" w:space="0"/>
              <w:bottom w:val="nil"/>
              <w:right w:val="single" w:color="auto" w:sz="4" w:space="0"/>
            </w:tcBorders>
            <w:shd w:val="clear" w:color="auto" w:fill="F3F3F3"/>
            <w:vAlign w:val="center"/>
          </w:tcPr>
          <w:p>
            <w:pPr>
              <w:ind w:firstLine="12"/>
              <w:jc w:val="center"/>
              <w:rPr>
                <w:rFonts w:hAnsi="宋体" w:cs="宋体"/>
                <w:b/>
                <w:szCs w:val="21"/>
                <w:highlight w:val="none"/>
              </w:rPr>
            </w:pPr>
            <w:r>
              <w:rPr>
                <w:rFonts w:hint="eastAsia" w:hAnsi="宋体" w:cs="宋体"/>
                <w:b/>
                <w:szCs w:val="21"/>
                <w:highlight w:val="none"/>
              </w:rPr>
              <w:t>联系电话/手机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72" w:type="dxa"/>
            <w:tcBorders>
              <w:top w:val="single" w:color="auto" w:sz="4" w:space="0"/>
              <w:left w:val="single" w:color="auto" w:sz="4" w:space="0"/>
              <w:bottom w:val="nil"/>
              <w:right w:val="single" w:color="auto" w:sz="4" w:space="0"/>
            </w:tcBorders>
            <w:vAlign w:val="center"/>
          </w:tcPr>
          <w:p>
            <w:pPr>
              <w:rPr>
                <w:rFonts w:hAnsi="宋体" w:cs="宋体"/>
                <w:szCs w:val="21"/>
                <w:highlight w:val="none"/>
              </w:rPr>
            </w:pPr>
            <w:r>
              <w:rPr>
                <w:rFonts w:hint="eastAsia" w:hAnsi="宋体" w:cs="宋体"/>
                <w:szCs w:val="21"/>
                <w:highlight w:val="none"/>
              </w:rPr>
              <w:t>总负责人</w:t>
            </w:r>
          </w:p>
        </w:tc>
        <w:tc>
          <w:tcPr>
            <w:tcW w:w="1524" w:type="dxa"/>
            <w:tcBorders>
              <w:top w:val="single" w:color="auto" w:sz="4" w:space="0"/>
              <w:left w:val="single" w:color="auto" w:sz="4" w:space="0"/>
              <w:bottom w:val="nil"/>
              <w:right w:val="single" w:color="auto" w:sz="4" w:space="0"/>
            </w:tcBorders>
            <w:vAlign w:val="center"/>
          </w:tcPr>
          <w:p>
            <w:pPr>
              <w:jc w:val="center"/>
              <w:rPr>
                <w:rFonts w:hAnsi="宋体" w:cs="宋体"/>
                <w:szCs w:val="21"/>
                <w:highlight w:val="none"/>
              </w:rPr>
            </w:pPr>
          </w:p>
        </w:tc>
        <w:tc>
          <w:tcPr>
            <w:tcW w:w="952" w:type="dxa"/>
            <w:tcBorders>
              <w:top w:val="single" w:color="auto" w:sz="4" w:space="0"/>
              <w:left w:val="single" w:color="auto" w:sz="4" w:space="0"/>
              <w:bottom w:val="nil"/>
            </w:tcBorders>
            <w:vAlign w:val="center"/>
          </w:tcPr>
          <w:p>
            <w:pPr>
              <w:jc w:val="center"/>
              <w:rPr>
                <w:rFonts w:hAnsi="宋体" w:cs="宋体"/>
                <w:szCs w:val="21"/>
                <w:highlight w:val="none"/>
              </w:rPr>
            </w:pPr>
          </w:p>
        </w:tc>
        <w:tc>
          <w:tcPr>
            <w:tcW w:w="2966" w:type="dxa"/>
            <w:tcBorders>
              <w:top w:val="single" w:color="auto" w:sz="4" w:space="0"/>
              <w:bottom w:val="nil"/>
            </w:tcBorders>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p>
        </w:tc>
        <w:tc>
          <w:tcPr>
            <w:tcW w:w="763" w:type="dxa"/>
            <w:tcBorders>
              <w:top w:val="single" w:color="auto" w:sz="4" w:space="0"/>
              <w:bottom w:val="nil"/>
            </w:tcBorders>
            <w:vAlign w:val="center"/>
          </w:tcPr>
          <w:p>
            <w:pPr>
              <w:jc w:val="center"/>
              <w:rPr>
                <w:rFonts w:hAnsi="宋体" w:cs="宋体"/>
                <w:szCs w:val="21"/>
                <w:highlight w:val="none"/>
              </w:rPr>
            </w:pPr>
          </w:p>
        </w:tc>
        <w:tc>
          <w:tcPr>
            <w:tcW w:w="763" w:type="dxa"/>
            <w:tcBorders>
              <w:top w:val="single" w:color="auto" w:sz="4" w:space="0"/>
              <w:bottom w:val="nil"/>
              <w:right w:val="single" w:color="auto" w:sz="4" w:space="0"/>
            </w:tcBorders>
            <w:vAlign w:val="center"/>
          </w:tcPr>
          <w:p>
            <w:pPr>
              <w:ind w:firstLine="12"/>
              <w:jc w:val="center"/>
              <w:rPr>
                <w:rFonts w:hAnsi="宋体" w:cs="宋体"/>
                <w:szCs w:val="21"/>
                <w:highlight w:val="none"/>
              </w:rPr>
            </w:pPr>
          </w:p>
        </w:tc>
        <w:tc>
          <w:tcPr>
            <w:tcW w:w="1715" w:type="dxa"/>
            <w:tcBorders>
              <w:top w:val="single" w:color="auto" w:sz="4" w:space="0"/>
              <w:bottom w:val="nil"/>
              <w:right w:val="single" w:color="auto" w:sz="4" w:space="0"/>
            </w:tcBorders>
            <w:vAlign w:val="center"/>
          </w:tcPr>
          <w:p>
            <w:pPr>
              <w:ind w:firstLine="12"/>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restart"/>
            <w:tcBorders>
              <w:left w:val="single" w:color="auto" w:sz="4" w:space="0"/>
              <w:right w:val="single" w:color="auto" w:sz="4" w:space="0"/>
            </w:tcBorders>
            <w:vAlign w:val="center"/>
          </w:tcPr>
          <w:p>
            <w:pPr>
              <w:rPr>
                <w:rFonts w:hAnsi="宋体" w:cs="宋体"/>
                <w:szCs w:val="21"/>
                <w:highlight w:val="none"/>
              </w:rPr>
            </w:pPr>
            <w:r>
              <w:rPr>
                <w:rFonts w:hint="eastAsia" w:hAnsi="宋体" w:cs="宋体"/>
                <w:szCs w:val="21"/>
                <w:highlight w:val="none"/>
              </w:rPr>
              <w:t>其他主要技术人员</w:t>
            </w:r>
          </w:p>
        </w:tc>
        <w:tc>
          <w:tcPr>
            <w:tcW w:w="1524" w:type="dxa"/>
            <w:tcBorders>
              <w:left w:val="single" w:color="auto" w:sz="4" w:space="0"/>
              <w:right w:val="single" w:color="auto" w:sz="4" w:space="0"/>
            </w:tcBorders>
            <w:vAlign w:val="center"/>
          </w:tcPr>
          <w:p>
            <w:pPr>
              <w:jc w:val="center"/>
              <w:rPr>
                <w:rFonts w:hAnsi="宋体" w:cs="宋体"/>
                <w:szCs w:val="21"/>
                <w:highlight w:val="none"/>
              </w:rPr>
            </w:pPr>
          </w:p>
        </w:tc>
        <w:tc>
          <w:tcPr>
            <w:tcW w:w="952" w:type="dxa"/>
            <w:tcBorders>
              <w:left w:val="single" w:color="auto" w:sz="4" w:space="0"/>
            </w:tcBorders>
            <w:vAlign w:val="center"/>
          </w:tcPr>
          <w:p>
            <w:pPr>
              <w:jc w:val="center"/>
              <w:rPr>
                <w:rFonts w:hAnsi="宋体" w:cs="宋体"/>
                <w:szCs w:val="21"/>
                <w:highlight w:val="none"/>
              </w:rPr>
            </w:pPr>
          </w:p>
        </w:tc>
        <w:tc>
          <w:tcPr>
            <w:tcW w:w="2966" w:type="dxa"/>
            <w:vAlign w:val="center"/>
          </w:tcPr>
          <w:p>
            <w:pPr>
              <w:jc w:val="center"/>
              <w:rPr>
                <w:rFonts w:hAnsi="宋体" w:cs="宋体"/>
                <w:szCs w:val="21"/>
                <w:highlight w:val="none"/>
              </w:rPr>
            </w:pPr>
          </w:p>
        </w:tc>
        <w:tc>
          <w:tcPr>
            <w:tcW w:w="763" w:type="dxa"/>
            <w:vAlign w:val="center"/>
          </w:tcPr>
          <w:p>
            <w:pPr>
              <w:jc w:val="center"/>
              <w:rPr>
                <w:rFonts w:hAnsi="宋体" w:cs="宋体"/>
                <w:szCs w:val="21"/>
                <w:highlight w:val="none"/>
              </w:rPr>
            </w:pPr>
          </w:p>
        </w:tc>
        <w:tc>
          <w:tcPr>
            <w:tcW w:w="763" w:type="dxa"/>
            <w:tcBorders>
              <w:right w:val="single" w:color="auto" w:sz="4" w:space="0"/>
            </w:tcBorders>
            <w:vAlign w:val="center"/>
          </w:tcPr>
          <w:p>
            <w:pPr>
              <w:jc w:val="center"/>
              <w:rPr>
                <w:rFonts w:hAnsi="宋体" w:cs="宋体"/>
                <w:szCs w:val="21"/>
                <w:highlight w:val="none"/>
              </w:rPr>
            </w:pPr>
          </w:p>
        </w:tc>
        <w:tc>
          <w:tcPr>
            <w:tcW w:w="1715" w:type="dxa"/>
            <w:tcBorders>
              <w:right w:val="single" w:color="auto" w:sz="4" w:space="0"/>
            </w:tcBorders>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rPr>
                <w:rFonts w:hAnsi="宋体" w:cs="宋体"/>
                <w:szCs w:val="21"/>
                <w:highlight w:val="none"/>
              </w:rPr>
            </w:pPr>
          </w:p>
        </w:tc>
        <w:tc>
          <w:tcPr>
            <w:tcW w:w="1524" w:type="dxa"/>
            <w:tcBorders>
              <w:left w:val="single" w:color="auto" w:sz="4" w:space="0"/>
              <w:right w:val="single" w:color="auto" w:sz="4" w:space="0"/>
            </w:tcBorders>
            <w:vAlign w:val="center"/>
          </w:tcPr>
          <w:p>
            <w:pPr>
              <w:jc w:val="center"/>
              <w:rPr>
                <w:rFonts w:hAnsi="宋体" w:cs="宋体"/>
                <w:szCs w:val="21"/>
                <w:highlight w:val="none"/>
              </w:rPr>
            </w:pPr>
          </w:p>
        </w:tc>
        <w:tc>
          <w:tcPr>
            <w:tcW w:w="952" w:type="dxa"/>
            <w:tcBorders>
              <w:left w:val="single" w:color="auto" w:sz="4" w:space="0"/>
            </w:tcBorders>
            <w:vAlign w:val="center"/>
          </w:tcPr>
          <w:p>
            <w:pPr>
              <w:jc w:val="center"/>
              <w:rPr>
                <w:rFonts w:hAnsi="宋体" w:cs="宋体"/>
                <w:szCs w:val="21"/>
                <w:highlight w:val="none"/>
              </w:rPr>
            </w:pPr>
          </w:p>
        </w:tc>
        <w:tc>
          <w:tcPr>
            <w:tcW w:w="2966" w:type="dxa"/>
            <w:vAlign w:val="center"/>
          </w:tcPr>
          <w:p>
            <w:pPr>
              <w:jc w:val="center"/>
              <w:rPr>
                <w:rFonts w:hAnsi="宋体" w:cs="宋体"/>
                <w:szCs w:val="21"/>
                <w:highlight w:val="none"/>
              </w:rPr>
            </w:pPr>
          </w:p>
        </w:tc>
        <w:tc>
          <w:tcPr>
            <w:tcW w:w="763" w:type="dxa"/>
            <w:vAlign w:val="center"/>
          </w:tcPr>
          <w:p>
            <w:pPr>
              <w:jc w:val="center"/>
              <w:rPr>
                <w:rFonts w:hAnsi="宋体" w:cs="宋体"/>
                <w:szCs w:val="21"/>
                <w:highlight w:val="none"/>
              </w:rPr>
            </w:pPr>
          </w:p>
        </w:tc>
        <w:tc>
          <w:tcPr>
            <w:tcW w:w="763" w:type="dxa"/>
            <w:tcBorders>
              <w:right w:val="single" w:color="auto" w:sz="4" w:space="0"/>
            </w:tcBorders>
            <w:vAlign w:val="center"/>
          </w:tcPr>
          <w:p>
            <w:pPr>
              <w:jc w:val="center"/>
              <w:rPr>
                <w:rFonts w:hAnsi="宋体" w:cs="宋体"/>
                <w:szCs w:val="21"/>
                <w:highlight w:val="none"/>
              </w:rPr>
            </w:pPr>
          </w:p>
        </w:tc>
        <w:tc>
          <w:tcPr>
            <w:tcW w:w="1715" w:type="dxa"/>
            <w:tcBorders>
              <w:right w:val="single" w:color="auto" w:sz="4" w:space="0"/>
            </w:tcBorders>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rPr>
                <w:rFonts w:hAnsi="宋体" w:cs="宋体"/>
                <w:szCs w:val="21"/>
                <w:highlight w:val="none"/>
              </w:rPr>
            </w:pPr>
          </w:p>
        </w:tc>
        <w:tc>
          <w:tcPr>
            <w:tcW w:w="1524" w:type="dxa"/>
            <w:tcBorders>
              <w:left w:val="single" w:color="auto" w:sz="4" w:space="0"/>
              <w:right w:val="single" w:color="auto" w:sz="4" w:space="0"/>
            </w:tcBorders>
            <w:vAlign w:val="center"/>
          </w:tcPr>
          <w:p>
            <w:pPr>
              <w:jc w:val="center"/>
              <w:rPr>
                <w:rFonts w:hAnsi="宋体" w:cs="宋体"/>
                <w:szCs w:val="21"/>
                <w:highlight w:val="none"/>
              </w:rPr>
            </w:pPr>
          </w:p>
        </w:tc>
        <w:tc>
          <w:tcPr>
            <w:tcW w:w="952" w:type="dxa"/>
            <w:tcBorders>
              <w:left w:val="single" w:color="auto" w:sz="4" w:space="0"/>
            </w:tcBorders>
            <w:vAlign w:val="center"/>
          </w:tcPr>
          <w:p>
            <w:pPr>
              <w:jc w:val="center"/>
              <w:rPr>
                <w:rFonts w:hAnsi="宋体" w:cs="宋体"/>
                <w:szCs w:val="21"/>
                <w:highlight w:val="none"/>
              </w:rPr>
            </w:pPr>
          </w:p>
        </w:tc>
        <w:tc>
          <w:tcPr>
            <w:tcW w:w="2966" w:type="dxa"/>
            <w:vAlign w:val="center"/>
          </w:tcPr>
          <w:p>
            <w:pPr>
              <w:jc w:val="center"/>
              <w:rPr>
                <w:rFonts w:hAnsi="宋体" w:cs="宋体"/>
                <w:szCs w:val="21"/>
                <w:highlight w:val="none"/>
              </w:rPr>
            </w:pPr>
          </w:p>
        </w:tc>
        <w:tc>
          <w:tcPr>
            <w:tcW w:w="763" w:type="dxa"/>
            <w:vAlign w:val="center"/>
          </w:tcPr>
          <w:p>
            <w:pPr>
              <w:jc w:val="center"/>
              <w:rPr>
                <w:rFonts w:hAnsi="宋体" w:cs="宋体"/>
                <w:szCs w:val="21"/>
                <w:highlight w:val="none"/>
              </w:rPr>
            </w:pPr>
          </w:p>
        </w:tc>
        <w:tc>
          <w:tcPr>
            <w:tcW w:w="763" w:type="dxa"/>
            <w:tcBorders>
              <w:right w:val="single" w:color="auto" w:sz="4" w:space="0"/>
            </w:tcBorders>
            <w:vAlign w:val="center"/>
          </w:tcPr>
          <w:p>
            <w:pPr>
              <w:jc w:val="center"/>
              <w:rPr>
                <w:rFonts w:hAnsi="宋体" w:cs="宋体"/>
                <w:szCs w:val="21"/>
                <w:highlight w:val="none"/>
              </w:rPr>
            </w:pPr>
          </w:p>
        </w:tc>
        <w:tc>
          <w:tcPr>
            <w:tcW w:w="1715" w:type="dxa"/>
            <w:tcBorders>
              <w:right w:val="single" w:color="auto" w:sz="4" w:space="0"/>
            </w:tcBorders>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jc w:val="center"/>
              <w:rPr>
                <w:rFonts w:hAnsi="宋体" w:cs="宋体"/>
                <w:szCs w:val="21"/>
                <w:highlight w:val="none"/>
              </w:rPr>
            </w:pPr>
          </w:p>
        </w:tc>
        <w:tc>
          <w:tcPr>
            <w:tcW w:w="1524" w:type="dxa"/>
            <w:tcBorders>
              <w:left w:val="single" w:color="auto" w:sz="4" w:space="0"/>
              <w:right w:val="single" w:color="auto" w:sz="4" w:space="0"/>
            </w:tcBorders>
            <w:vAlign w:val="center"/>
          </w:tcPr>
          <w:p>
            <w:pPr>
              <w:jc w:val="center"/>
              <w:rPr>
                <w:rFonts w:hAnsi="宋体" w:cs="宋体"/>
                <w:szCs w:val="21"/>
                <w:highlight w:val="none"/>
              </w:rPr>
            </w:pPr>
          </w:p>
        </w:tc>
        <w:tc>
          <w:tcPr>
            <w:tcW w:w="952" w:type="dxa"/>
            <w:tcBorders>
              <w:left w:val="single" w:color="auto" w:sz="4" w:space="0"/>
            </w:tcBorders>
            <w:vAlign w:val="center"/>
          </w:tcPr>
          <w:p>
            <w:pPr>
              <w:jc w:val="center"/>
              <w:rPr>
                <w:rFonts w:hAnsi="宋体" w:cs="宋体"/>
                <w:szCs w:val="21"/>
                <w:highlight w:val="none"/>
              </w:rPr>
            </w:pPr>
          </w:p>
        </w:tc>
        <w:tc>
          <w:tcPr>
            <w:tcW w:w="2966" w:type="dxa"/>
            <w:vAlign w:val="center"/>
          </w:tcPr>
          <w:p>
            <w:pPr>
              <w:jc w:val="center"/>
              <w:rPr>
                <w:rFonts w:hAnsi="宋体" w:cs="宋体"/>
                <w:szCs w:val="21"/>
                <w:highlight w:val="none"/>
              </w:rPr>
            </w:pPr>
          </w:p>
        </w:tc>
        <w:tc>
          <w:tcPr>
            <w:tcW w:w="763" w:type="dxa"/>
            <w:vAlign w:val="center"/>
          </w:tcPr>
          <w:p>
            <w:pPr>
              <w:jc w:val="center"/>
              <w:rPr>
                <w:rFonts w:hAnsi="宋体" w:cs="宋体"/>
                <w:szCs w:val="21"/>
                <w:highlight w:val="none"/>
              </w:rPr>
            </w:pPr>
          </w:p>
        </w:tc>
        <w:tc>
          <w:tcPr>
            <w:tcW w:w="763" w:type="dxa"/>
            <w:tcBorders>
              <w:right w:val="single" w:color="auto" w:sz="4" w:space="0"/>
            </w:tcBorders>
            <w:vAlign w:val="center"/>
          </w:tcPr>
          <w:p>
            <w:pPr>
              <w:jc w:val="center"/>
              <w:rPr>
                <w:rFonts w:hAnsi="宋体" w:cs="宋体"/>
                <w:szCs w:val="21"/>
                <w:highlight w:val="none"/>
              </w:rPr>
            </w:pPr>
          </w:p>
        </w:tc>
        <w:tc>
          <w:tcPr>
            <w:tcW w:w="1715" w:type="dxa"/>
            <w:tcBorders>
              <w:right w:val="single" w:color="auto" w:sz="4" w:space="0"/>
            </w:tcBorders>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72" w:type="dxa"/>
            <w:vMerge w:val="continue"/>
            <w:tcBorders>
              <w:left w:val="single" w:color="auto" w:sz="4" w:space="0"/>
              <w:right w:val="single" w:color="auto" w:sz="4" w:space="0"/>
            </w:tcBorders>
            <w:vAlign w:val="center"/>
          </w:tcPr>
          <w:p>
            <w:pPr>
              <w:jc w:val="center"/>
              <w:rPr>
                <w:rFonts w:hAnsi="宋体" w:cs="宋体"/>
                <w:szCs w:val="21"/>
                <w:highlight w:val="none"/>
              </w:rPr>
            </w:pPr>
          </w:p>
        </w:tc>
        <w:tc>
          <w:tcPr>
            <w:tcW w:w="1524" w:type="dxa"/>
            <w:tcBorders>
              <w:left w:val="single" w:color="auto" w:sz="4" w:space="0"/>
              <w:right w:val="single" w:color="auto" w:sz="4" w:space="0"/>
            </w:tcBorders>
            <w:vAlign w:val="center"/>
          </w:tcPr>
          <w:p>
            <w:pPr>
              <w:jc w:val="center"/>
              <w:rPr>
                <w:rFonts w:hAnsi="宋体" w:cs="宋体"/>
                <w:szCs w:val="21"/>
                <w:highlight w:val="none"/>
              </w:rPr>
            </w:pPr>
            <w:r>
              <w:rPr>
                <w:rFonts w:hint="eastAsia" w:hAnsi="宋体" w:cs="宋体"/>
                <w:szCs w:val="21"/>
                <w:highlight w:val="none"/>
              </w:rPr>
              <w:t>…</w:t>
            </w:r>
          </w:p>
        </w:tc>
        <w:tc>
          <w:tcPr>
            <w:tcW w:w="952" w:type="dxa"/>
            <w:tcBorders>
              <w:left w:val="single" w:color="auto" w:sz="4" w:space="0"/>
            </w:tcBorders>
            <w:vAlign w:val="center"/>
          </w:tcPr>
          <w:p>
            <w:pPr>
              <w:jc w:val="center"/>
              <w:rPr>
                <w:rFonts w:hAnsi="宋体" w:cs="宋体"/>
                <w:szCs w:val="21"/>
                <w:highlight w:val="none"/>
              </w:rPr>
            </w:pPr>
          </w:p>
        </w:tc>
        <w:tc>
          <w:tcPr>
            <w:tcW w:w="2966" w:type="dxa"/>
            <w:vAlign w:val="center"/>
          </w:tcPr>
          <w:p>
            <w:pPr>
              <w:jc w:val="center"/>
              <w:rPr>
                <w:rFonts w:hAnsi="宋体" w:cs="宋体"/>
                <w:szCs w:val="21"/>
                <w:highlight w:val="none"/>
              </w:rPr>
            </w:pPr>
          </w:p>
        </w:tc>
        <w:tc>
          <w:tcPr>
            <w:tcW w:w="763" w:type="dxa"/>
            <w:vAlign w:val="center"/>
          </w:tcPr>
          <w:p>
            <w:pPr>
              <w:jc w:val="center"/>
              <w:rPr>
                <w:rFonts w:hAnsi="宋体" w:cs="宋体"/>
                <w:szCs w:val="21"/>
                <w:highlight w:val="none"/>
              </w:rPr>
            </w:pPr>
          </w:p>
        </w:tc>
        <w:tc>
          <w:tcPr>
            <w:tcW w:w="763" w:type="dxa"/>
            <w:tcBorders>
              <w:right w:val="single" w:color="auto" w:sz="4" w:space="0"/>
            </w:tcBorders>
            <w:vAlign w:val="center"/>
          </w:tcPr>
          <w:p>
            <w:pPr>
              <w:jc w:val="center"/>
              <w:rPr>
                <w:rFonts w:hAnsi="宋体" w:cs="宋体"/>
                <w:szCs w:val="21"/>
                <w:highlight w:val="none"/>
              </w:rPr>
            </w:pPr>
          </w:p>
        </w:tc>
        <w:tc>
          <w:tcPr>
            <w:tcW w:w="1715" w:type="dxa"/>
            <w:tcBorders>
              <w:right w:val="single" w:color="auto" w:sz="4" w:space="0"/>
            </w:tcBorders>
            <w:vAlign w:val="center"/>
          </w:tcPr>
          <w:p>
            <w:pPr>
              <w:jc w:val="center"/>
              <w:rPr>
                <w:rFonts w:hAnsi="宋体" w:cs="宋体"/>
                <w:szCs w:val="21"/>
                <w:highlight w:val="none"/>
              </w:rPr>
            </w:pPr>
          </w:p>
        </w:tc>
      </w:tr>
    </w:tbl>
    <w:p>
      <w:pPr>
        <w:snapToGrid w:val="0"/>
        <w:spacing w:beforeLines="50" w:line="300" w:lineRule="auto"/>
        <w:rPr>
          <w:rFonts w:hAnsi="宋体" w:cs="宋体"/>
          <w:szCs w:val="21"/>
          <w:highlight w:val="none"/>
        </w:rPr>
      </w:pPr>
    </w:p>
    <w:p>
      <w:pPr>
        <w:pStyle w:val="76"/>
        <w:rPr>
          <w:rFonts w:ascii="宋体" w:hAnsi="宋体" w:cs="宋体"/>
          <w:sz w:val="28"/>
          <w:szCs w:val="28"/>
          <w:highlight w:val="none"/>
        </w:rPr>
      </w:pPr>
    </w:p>
    <w:p>
      <w:pPr>
        <w:snapToGrid w:val="0"/>
        <w:spacing w:line="30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pacing w:line="360" w:lineRule="auto"/>
        <w:ind w:right="893"/>
        <w:jc w:val="both"/>
        <w:rPr>
          <w:rFonts w:hAnsi="宋体" w:cs="宋体"/>
          <w:kern w:val="2"/>
          <w:highlight w:val="none"/>
          <w:lang w:val="zh-CN"/>
        </w:rPr>
      </w:pPr>
      <w:r>
        <w:rPr>
          <w:rFonts w:hint="eastAsia" w:hAnsi="宋体" w:cs="宋体"/>
          <w:kern w:val="2"/>
          <w:highlight w:val="none"/>
          <w:lang w:val="zh-CN"/>
        </w:rPr>
        <w:t>日期：          年      月     日</w:t>
      </w:r>
    </w:p>
    <w:p>
      <w:pPr>
        <w:rPr>
          <w:rFonts w:hAnsi="宋体" w:cs="宋体"/>
          <w:highlight w:val="none"/>
        </w:rPr>
      </w:pPr>
    </w:p>
    <w:p>
      <w:pPr>
        <w:pStyle w:val="4"/>
        <w:spacing w:after="120" w:line="480" w:lineRule="exact"/>
        <w:rPr>
          <w:rFonts w:hAnsi="宋体" w:cs="宋体"/>
          <w:b/>
          <w:szCs w:val="21"/>
          <w:highlight w:val="none"/>
        </w:rPr>
      </w:pPr>
      <w:r>
        <w:rPr>
          <w:rFonts w:hint="eastAsia" w:hAnsi="宋体" w:cs="宋体"/>
          <w:b/>
          <w:szCs w:val="21"/>
          <w:highlight w:val="none"/>
        </w:rPr>
        <w:br w:type="page"/>
      </w:r>
      <w:r>
        <w:rPr>
          <w:rFonts w:hint="eastAsia" w:hAnsi="宋体" w:cs="宋体"/>
          <w:b/>
          <w:szCs w:val="20"/>
          <w:highlight w:val="none"/>
        </w:rPr>
        <w:t>附表2.10 供货渠道与合作机构情况表格式 （如有）</w:t>
      </w:r>
    </w:p>
    <w:p>
      <w:pPr>
        <w:pStyle w:val="76"/>
        <w:rPr>
          <w:rFonts w:ascii="宋体" w:hAnsi="宋体" w:cs="宋体"/>
          <w:b/>
          <w:bCs w:val="0"/>
          <w:spacing w:val="0"/>
          <w:kern w:val="2"/>
          <w:szCs w:val="24"/>
          <w:highlight w:val="none"/>
        </w:rPr>
      </w:pPr>
    </w:p>
    <w:p>
      <w:pPr>
        <w:pStyle w:val="76"/>
        <w:jc w:val="center"/>
        <w:rPr>
          <w:rFonts w:ascii="宋体" w:hAnsi="宋体" w:cs="宋体"/>
          <w:b/>
          <w:bCs w:val="0"/>
          <w:spacing w:val="0"/>
          <w:kern w:val="2"/>
          <w:sz w:val="32"/>
          <w:szCs w:val="32"/>
          <w:highlight w:val="none"/>
        </w:rPr>
      </w:pPr>
      <w:r>
        <w:rPr>
          <w:rFonts w:hint="eastAsia" w:ascii="宋体" w:hAnsi="宋体" w:cs="宋体"/>
          <w:b/>
          <w:bCs w:val="0"/>
          <w:spacing w:val="0"/>
          <w:kern w:val="2"/>
          <w:sz w:val="32"/>
          <w:szCs w:val="32"/>
          <w:highlight w:val="none"/>
        </w:rPr>
        <w:t>供货渠道与合作机构情况表</w:t>
      </w:r>
    </w:p>
    <w:tbl>
      <w:tblPr>
        <w:tblStyle w:val="4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4640"/>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436" w:type="dxa"/>
            <w:shd w:val="clear" w:color="auto" w:fill="F3F3F3"/>
            <w:vAlign w:val="center"/>
          </w:tcPr>
          <w:p>
            <w:pPr>
              <w:rPr>
                <w:rFonts w:hAnsi="宋体" w:cs="宋体"/>
                <w:b/>
                <w:bCs/>
                <w:szCs w:val="21"/>
                <w:highlight w:val="none"/>
              </w:rPr>
            </w:pPr>
            <w:r>
              <w:rPr>
                <w:rFonts w:hint="eastAsia" w:hAnsi="宋体" w:cs="宋体"/>
                <w:b/>
                <w:bCs/>
                <w:szCs w:val="21"/>
                <w:highlight w:val="none"/>
              </w:rPr>
              <w:t>分项</w:t>
            </w:r>
          </w:p>
        </w:tc>
        <w:tc>
          <w:tcPr>
            <w:tcW w:w="4640"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基 本 情 况</w:t>
            </w:r>
          </w:p>
        </w:tc>
        <w:tc>
          <w:tcPr>
            <w:tcW w:w="2779" w:type="dxa"/>
            <w:shd w:val="clear" w:color="auto" w:fill="F3F3F3"/>
            <w:vAlign w:val="center"/>
          </w:tcPr>
          <w:p>
            <w:pPr>
              <w:rPr>
                <w:rFonts w:hAnsi="宋体" w:cs="宋体"/>
                <w:b/>
                <w:bCs/>
                <w:szCs w:val="21"/>
                <w:highlight w:val="none"/>
              </w:rPr>
            </w:pPr>
            <w:r>
              <w:rPr>
                <w:rFonts w:hint="eastAsia" w:hAnsi="宋体" w:cs="宋体"/>
                <w:b/>
                <w:bCs/>
                <w:szCs w:val="21"/>
                <w:highlight w:val="none"/>
              </w:rPr>
              <w:t>联系人/联系电话/传真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436" w:type="dxa"/>
            <w:vAlign w:val="center"/>
          </w:tcPr>
          <w:p>
            <w:pPr>
              <w:jc w:val="center"/>
              <w:rPr>
                <w:rFonts w:hAnsi="宋体" w:cs="宋体"/>
                <w:szCs w:val="21"/>
                <w:highlight w:val="none"/>
              </w:rPr>
            </w:pPr>
            <w:r>
              <w:rPr>
                <w:rFonts w:hint="eastAsia" w:hAnsi="宋体" w:cs="宋体"/>
                <w:szCs w:val="21"/>
                <w:highlight w:val="none"/>
              </w:rPr>
              <w:t>华南地区或</w:t>
            </w:r>
          </w:p>
          <w:p>
            <w:pPr>
              <w:jc w:val="center"/>
              <w:rPr>
                <w:rFonts w:hAnsi="宋体" w:cs="宋体"/>
                <w:szCs w:val="21"/>
                <w:highlight w:val="none"/>
              </w:rPr>
            </w:pPr>
            <w:r>
              <w:rPr>
                <w:rFonts w:hint="eastAsia" w:hAnsi="宋体" w:cs="宋体"/>
                <w:szCs w:val="21"/>
                <w:highlight w:val="none"/>
              </w:rPr>
              <w:t>广东省总代理或中国总代理或生产厂家</w:t>
            </w:r>
          </w:p>
        </w:tc>
        <w:tc>
          <w:tcPr>
            <w:tcW w:w="4640" w:type="dxa"/>
            <w:vAlign w:val="center"/>
          </w:tcPr>
          <w:p>
            <w:pPr>
              <w:rPr>
                <w:rFonts w:hAnsi="宋体" w:cs="宋体"/>
                <w:szCs w:val="21"/>
                <w:highlight w:val="none"/>
              </w:rPr>
            </w:pPr>
            <w:r>
              <w:rPr>
                <w:rFonts w:hint="eastAsia" w:hAnsi="宋体" w:cs="宋体"/>
                <w:szCs w:val="21"/>
                <w:highlight w:val="none"/>
              </w:rPr>
              <w:t>单位名称：</w:t>
            </w:r>
          </w:p>
          <w:p>
            <w:pPr>
              <w:rPr>
                <w:rFonts w:hAnsi="宋体" w:cs="宋体"/>
                <w:szCs w:val="21"/>
                <w:highlight w:val="none"/>
              </w:rPr>
            </w:pPr>
            <w:r>
              <w:rPr>
                <w:rFonts w:hint="eastAsia" w:hAnsi="宋体" w:cs="宋体"/>
                <w:szCs w:val="21"/>
                <w:highlight w:val="none"/>
              </w:rPr>
              <w:t>地    址：</w:t>
            </w:r>
          </w:p>
          <w:p>
            <w:pPr>
              <w:rPr>
                <w:rFonts w:hAnsi="宋体" w:cs="宋体"/>
                <w:szCs w:val="21"/>
                <w:highlight w:val="none"/>
              </w:rPr>
            </w:pPr>
            <w:r>
              <w:rPr>
                <w:rFonts w:hint="eastAsia" w:hAnsi="宋体" w:cs="宋体"/>
                <w:szCs w:val="21"/>
                <w:highlight w:val="none"/>
              </w:rPr>
              <w:t>销售负责人：</w:t>
            </w:r>
          </w:p>
        </w:tc>
        <w:tc>
          <w:tcPr>
            <w:tcW w:w="2779" w:type="dxa"/>
            <w:vAlign w:val="center"/>
          </w:tcPr>
          <w:p>
            <w:pPr>
              <w:pStyle w:val="159"/>
              <w:jc w:val="both"/>
              <w:rPr>
                <w:rFonts w:ascii="宋体" w:hAnsi="宋体" w:cs="宋体"/>
                <w:b w:val="0"/>
                <w:color w:val="auto"/>
                <w:highlight w:val="none"/>
              </w:rPr>
            </w:pPr>
            <w:r>
              <w:rPr>
                <w:rFonts w:hint="eastAsia" w:ascii="宋体" w:hAnsi="宋体" w:cs="宋体"/>
                <w:b w:val="0"/>
                <w:color w:val="auto"/>
                <w:highlight w:val="none"/>
              </w:rPr>
              <w:t>姓名:</w:t>
            </w:r>
          </w:p>
          <w:p>
            <w:pPr>
              <w:pStyle w:val="159"/>
              <w:jc w:val="both"/>
              <w:rPr>
                <w:rFonts w:ascii="宋体" w:hAnsi="宋体" w:cs="宋体"/>
                <w:b w:val="0"/>
                <w:color w:val="auto"/>
                <w:highlight w:val="none"/>
              </w:rPr>
            </w:pPr>
            <w:r>
              <w:rPr>
                <w:rFonts w:hint="eastAsia" w:ascii="宋体" w:hAnsi="宋体" w:cs="宋体"/>
                <w:b w:val="0"/>
                <w:color w:val="auto"/>
                <w:highlight w:val="none"/>
              </w:rPr>
              <w:t>电话:</w:t>
            </w:r>
          </w:p>
          <w:p>
            <w:pPr>
              <w:rPr>
                <w:rFonts w:hAnsi="宋体" w:cs="宋体"/>
                <w:szCs w:val="21"/>
                <w:highlight w:val="none"/>
              </w:rPr>
            </w:pPr>
            <w:r>
              <w:rPr>
                <w:rFonts w:hint="eastAsia" w:hAnsi="宋体" w:cs="宋体"/>
                <w:szCs w:val="21"/>
                <w:highlight w:val="none"/>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436" w:type="dxa"/>
            <w:shd w:val="clear" w:color="auto" w:fill="auto"/>
            <w:vAlign w:val="center"/>
          </w:tcPr>
          <w:p>
            <w:pPr>
              <w:spacing w:line="360" w:lineRule="auto"/>
              <w:jc w:val="center"/>
              <w:rPr>
                <w:rFonts w:hAnsi="宋体" w:cs="宋体"/>
                <w:szCs w:val="21"/>
                <w:highlight w:val="none"/>
              </w:rPr>
            </w:pPr>
            <w:r>
              <w:rPr>
                <w:rFonts w:hint="eastAsia" w:hAnsi="宋体" w:cs="宋体"/>
                <w:szCs w:val="21"/>
                <w:highlight w:val="none"/>
              </w:rPr>
              <w:t>关键设备</w:t>
            </w:r>
          </w:p>
          <w:p>
            <w:pPr>
              <w:spacing w:line="360" w:lineRule="auto"/>
              <w:jc w:val="center"/>
              <w:rPr>
                <w:rFonts w:hAnsi="宋体" w:cs="宋体"/>
                <w:szCs w:val="21"/>
                <w:highlight w:val="none"/>
              </w:rPr>
            </w:pPr>
            <w:r>
              <w:rPr>
                <w:rFonts w:hint="eastAsia" w:hAnsi="宋体" w:cs="宋体"/>
                <w:szCs w:val="21"/>
                <w:highlight w:val="none"/>
              </w:rPr>
              <w:t>合法来源渠道</w:t>
            </w:r>
          </w:p>
          <w:p>
            <w:pPr>
              <w:spacing w:line="360" w:lineRule="auto"/>
              <w:jc w:val="center"/>
              <w:rPr>
                <w:rFonts w:hAnsi="宋体" w:cs="宋体"/>
                <w:szCs w:val="21"/>
                <w:highlight w:val="none"/>
              </w:rPr>
            </w:pPr>
            <w:r>
              <w:rPr>
                <w:rFonts w:hint="eastAsia" w:hAnsi="宋体" w:cs="宋体"/>
                <w:szCs w:val="21"/>
                <w:highlight w:val="none"/>
              </w:rPr>
              <w:t>（1）</w:t>
            </w:r>
          </w:p>
        </w:tc>
        <w:tc>
          <w:tcPr>
            <w:tcW w:w="4640" w:type="dxa"/>
            <w:shd w:val="clear" w:color="auto" w:fill="FFFFFF"/>
            <w:vAlign w:val="center"/>
          </w:tcPr>
          <w:p>
            <w:pPr>
              <w:rPr>
                <w:rFonts w:hAnsi="宋体" w:cs="宋体"/>
                <w:szCs w:val="21"/>
                <w:highlight w:val="none"/>
              </w:rPr>
            </w:pPr>
            <w:r>
              <w:rPr>
                <w:rFonts w:hint="eastAsia" w:hAnsi="宋体" w:cs="宋体"/>
                <w:szCs w:val="21"/>
                <w:highlight w:val="none"/>
              </w:rPr>
              <w:t xml:space="preserve">产品名称： </w:t>
            </w:r>
          </w:p>
          <w:p>
            <w:pPr>
              <w:rPr>
                <w:rFonts w:hAnsi="宋体" w:cs="宋体"/>
                <w:szCs w:val="21"/>
                <w:highlight w:val="none"/>
              </w:rPr>
            </w:pPr>
            <w:r>
              <w:rPr>
                <w:rFonts w:hint="eastAsia" w:hAnsi="宋体" w:cs="宋体"/>
                <w:szCs w:val="21"/>
                <w:highlight w:val="none"/>
              </w:rPr>
              <w:t>制造/供应商：</w:t>
            </w:r>
          </w:p>
          <w:p>
            <w:pPr>
              <w:rPr>
                <w:rFonts w:hAnsi="宋体" w:cs="宋体"/>
                <w:szCs w:val="21"/>
                <w:highlight w:val="none"/>
              </w:rPr>
            </w:pPr>
            <w:r>
              <w:rPr>
                <w:rFonts w:hint="eastAsia" w:hAnsi="宋体" w:cs="宋体"/>
                <w:szCs w:val="21"/>
                <w:highlight w:val="none"/>
              </w:rPr>
              <w:t xml:space="preserve">生产地：            </w:t>
            </w:r>
          </w:p>
          <w:p>
            <w:pPr>
              <w:rPr>
                <w:rFonts w:hAnsi="宋体" w:cs="宋体"/>
                <w:szCs w:val="21"/>
                <w:highlight w:val="none"/>
              </w:rPr>
            </w:pPr>
            <w:r>
              <w:rPr>
                <w:rFonts w:hint="eastAsia" w:hAnsi="宋体" w:cs="宋体"/>
                <w:szCs w:val="21"/>
                <w:highlight w:val="none"/>
              </w:rPr>
              <w:t>经销总代理：</w:t>
            </w:r>
          </w:p>
          <w:p>
            <w:pPr>
              <w:rPr>
                <w:rFonts w:hAnsi="宋体" w:cs="宋体"/>
                <w:szCs w:val="21"/>
                <w:highlight w:val="none"/>
              </w:rPr>
            </w:pPr>
            <w:r>
              <w:rPr>
                <w:rFonts w:hint="eastAsia" w:hAnsi="宋体" w:cs="宋体"/>
                <w:szCs w:val="21"/>
                <w:highlight w:val="none"/>
              </w:rPr>
              <w:t>销售负责人：</w:t>
            </w:r>
          </w:p>
          <w:p>
            <w:pPr>
              <w:rPr>
                <w:rFonts w:hAnsi="宋体" w:cs="宋体"/>
                <w:szCs w:val="21"/>
                <w:highlight w:val="none"/>
              </w:rPr>
            </w:pPr>
            <w:r>
              <w:rPr>
                <w:rFonts w:hint="eastAsia" w:hAnsi="宋体" w:cs="宋体"/>
                <w:szCs w:val="21"/>
                <w:highlight w:val="none"/>
              </w:rPr>
              <w:t>产品介绍和报价的权威网站：</w:t>
            </w:r>
          </w:p>
          <w:p>
            <w:pPr>
              <w:rPr>
                <w:rFonts w:hAnsi="宋体" w:cs="宋体"/>
                <w:szCs w:val="21"/>
                <w:highlight w:val="none"/>
              </w:rPr>
            </w:pPr>
            <w:r>
              <w:rPr>
                <w:rFonts w:hint="eastAsia" w:hAnsi="宋体" w:cs="宋体"/>
                <w:szCs w:val="21"/>
                <w:highlight w:val="none"/>
              </w:rPr>
              <w:t>产品合法来源验证查询专线：</w:t>
            </w:r>
          </w:p>
          <w:p>
            <w:pPr>
              <w:rPr>
                <w:rFonts w:hAnsi="宋体" w:cs="宋体"/>
                <w:szCs w:val="21"/>
                <w:highlight w:val="none"/>
              </w:rPr>
            </w:pPr>
            <w:r>
              <w:rPr>
                <w:rFonts w:hint="eastAsia" w:hAnsi="宋体" w:cs="宋体"/>
                <w:szCs w:val="21"/>
                <w:highlight w:val="none"/>
              </w:rPr>
              <w:t>售后服务管理验证查询专线：</w:t>
            </w:r>
          </w:p>
        </w:tc>
        <w:tc>
          <w:tcPr>
            <w:tcW w:w="2779" w:type="dxa"/>
            <w:vAlign w:val="center"/>
          </w:tcPr>
          <w:p>
            <w:pPr>
              <w:pStyle w:val="159"/>
              <w:jc w:val="both"/>
              <w:rPr>
                <w:rFonts w:ascii="宋体" w:hAnsi="宋体" w:cs="宋体"/>
                <w:b w:val="0"/>
                <w:color w:val="auto"/>
                <w:highlight w:val="none"/>
              </w:rPr>
            </w:pPr>
            <w:r>
              <w:rPr>
                <w:rFonts w:hint="eastAsia" w:ascii="宋体" w:hAnsi="宋体" w:cs="宋体"/>
                <w:b w:val="0"/>
                <w:color w:val="auto"/>
                <w:highlight w:val="none"/>
              </w:rPr>
              <w:t>姓名:</w:t>
            </w:r>
          </w:p>
          <w:p>
            <w:pPr>
              <w:pStyle w:val="159"/>
              <w:jc w:val="both"/>
              <w:rPr>
                <w:rFonts w:ascii="宋体" w:hAnsi="宋体" w:cs="宋体"/>
                <w:b w:val="0"/>
                <w:color w:val="auto"/>
                <w:highlight w:val="none"/>
              </w:rPr>
            </w:pPr>
            <w:r>
              <w:rPr>
                <w:rFonts w:hint="eastAsia" w:ascii="宋体" w:hAnsi="宋体" w:cs="宋体"/>
                <w:b w:val="0"/>
                <w:color w:val="auto"/>
                <w:highlight w:val="none"/>
              </w:rPr>
              <w:t>电话:</w:t>
            </w:r>
          </w:p>
          <w:p>
            <w:pPr>
              <w:rPr>
                <w:rFonts w:hAnsi="宋体" w:cs="宋体"/>
                <w:szCs w:val="21"/>
                <w:highlight w:val="none"/>
              </w:rPr>
            </w:pPr>
            <w:r>
              <w:rPr>
                <w:rFonts w:hint="eastAsia" w:hAnsi="宋体" w:cs="宋体"/>
                <w:szCs w:val="21"/>
                <w:highlight w:val="none"/>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436" w:type="dxa"/>
            <w:shd w:val="clear" w:color="auto" w:fill="auto"/>
            <w:vAlign w:val="center"/>
          </w:tcPr>
          <w:p>
            <w:pPr>
              <w:spacing w:line="360" w:lineRule="auto"/>
              <w:jc w:val="center"/>
              <w:rPr>
                <w:rFonts w:hAnsi="宋体" w:cs="宋体"/>
                <w:szCs w:val="21"/>
                <w:highlight w:val="none"/>
              </w:rPr>
            </w:pPr>
            <w:r>
              <w:rPr>
                <w:rFonts w:hint="eastAsia" w:hAnsi="宋体" w:cs="宋体"/>
                <w:szCs w:val="21"/>
                <w:highlight w:val="none"/>
              </w:rPr>
              <w:t>关键设备</w:t>
            </w:r>
          </w:p>
          <w:p>
            <w:pPr>
              <w:spacing w:line="360" w:lineRule="auto"/>
              <w:jc w:val="center"/>
              <w:rPr>
                <w:rFonts w:hAnsi="宋体" w:cs="宋体"/>
                <w:szCs w:val="21"/>
                <w:highlight w:val="none"/>
              </w:rPr>
            </w:pPr>
            <w:r>
              <w:rPr>
                <w:rFonts w:hint="eastAsia" w:hAnsi="宋体" w:cs="宋体"/>
                <w:szCs w:val="21"/>
                <w:highlight w:val="none"/>
              </w:rPr>
              <w:t>合法来源渠道</w:t>
            </w:r>
          </w:p>
          <w:p>
            <w:pPr>
              <w:spacing w:line="360" w:lineRule="auto"/>
              <w:jc w:val="center"/>
              <w:rPr>
                <w:rFonts w:hAnsi="宋体" w:cs="宋体"/>
                <w:szCs w:val="21"/>
                <w:highlight w:val="none"/>
              </w:rPr>
            </w:pPr>
            <w:r>
              <w:rPr>
                <w:rFonts w:hint="eastAsia" w:hAnsi="宋体" w:cs="宋体"/>
                <w:szCs w:val="21"/>
                <w:highlight w:val="none"/>
              </w:rPr>
              <w:t>（2）</w:t>
            </w:r>
          </w:p>
        </w:tc>
        <w:tc>
          <w:tcPr>
            <w:tcW w:w="4640" w:type="dxa"/>
            <w:shd w:val="clear" w:color="auto" w:fill="FFFFFF"/>
            <w:vAlign w:val="center"/>
          </w:tcPr>
          <w:p>
            <w:pPr>
              <w:rPr>
                <w:rFonts w:hAnsi="宋体" w:cs="宋体"/>
                <w:szCs w:val="21"/>
                <w:highlight w:val="none"/>
              </w:rPr>
            </w:pPr>
            <w:r>
              <w:rPr>
                <w:rFonts w:hint="eastAsia" w:hAnsi="宋体" w:cs="宋体"/>
                <w:szCs w:val="21"/>
                <w:highlight w:val="none"/>
              </w:rPr>
              <w:t xml:space="preserve">产品名称： </w:t>
            </w:r>
          </w:p>
          <w:p>
            <w:pPr>
              <w:rPr>
                <w:rFonts w:hAnsi="宋体" w:cs="宋体"/>
                <w:szCs w:val="21"/>
                <w:highlight w:val="none"/>
              </w:rPr>
            </w:pPr>
            <w:r>
              <w:rPr>
                <w:rFonts w:hint="eastAsia" w:hAnsi="宋体" w:cs="宋体"/>
                <w:szCs w:val="21"/>
                <w:highlight w:val="none"/>
              </w:rPr>
              <w:t>制造/供应商：</w:t>
            </w:r>
          </w:p>
          <w:p>
            <w:pPr>
              <w:rPr>
                <w:rFonts w:hAnsi="宋体" w:cs="宋体"/>
                <w:szCs w:val="21"/>
                <w:highlight w:val="none"/>
              </w:rPr>
            </w:pPr>
            <w:r>
              <w:rPr>
                <w:rFonts w:hint="eastAsia" w:hAnsi="宋体" w:cs="宋体"/>
                <w:szCs w:val="21"/>
                <w:highlight w:val="none"/>
              </w:rPr>
              <w:t xml:space="preserve">生产地：            </w:t>
            </w:r>
          </w:p>
          <w:p>
            <w:pPr>
              <w:rPr>
                <w:rFonts w:hAnsi="宋体" w:cs="宋体"/>
                <w:szCs w:val="21"/>
                <w:highlight w:val="none"/>
              </w:rPr>
            </w:pPr>
            <w:r>
              <w:rPr>
                <w:rFonts w:hint="eastAsia" w:hAnsi="宋体" w:cs="宋体"/>
                <w:szCs w:val="21"/>
                <w:highlight w:val="none"/>
              </w:rPr>
              <w:t>经销总代理：</w:t>
            </w:r>
          </w:p>
          <w:p>
            <w:pPr>
              <w:rPr>
                <w:rFonts w:hAnsi="宋体" w:cs="宋体"/>
                <w:szCs w:val="21"/>
                <w:highlight w:val="none"/>
              </w:rPr>
            </w:pPr>
            <w:r>
              <w:rPr>
                <w:rFonts w:hint="eastAsia" w:hAnsi="宋体" w:cs="宋体"/>
                <w:szCs w:val="21"/>
                <w:highlight w:val="none"/>
              </w:rPr>
              <w:t>销售负责人：</w:t>
            </w:r>
          </w:p>
          <w:p>
            <w:pPr>
              <w:rPr>
                <w:rFonts w:hAnsi="宋体" w:cs="宋体"/>
                <w:szCs w:val="21"/>
                <w:highlight w:val="none"/>
              </w:rPr>
            </w:pPr>
            <w:r>
              <w:rPr>
                <w:rFonts w:hint="eastAsia" w:hAnsi="宋体" w:cs="宋体"/>
                <w:szCs w:val="21"/>
                <w:highlight w:val="none"/>
              </w:rPr>
              <w:t>产品介绍和报价的权威网站：</w:t>
            </w:r>
          </w:p>
          <w:p>
            <w:pPr>
              <w:rPr>
                <w:rFonts w:hAnsi="宋体" w:cs="宋体"/>
                <w:szCs w:val="21"/>
                <w:highlight w:val="none"/>
              </w:rPr>
            </w:pPr>
            <w:r>
              <w:rPr>
                <w:rFonts w:hint="eastAsia" w:hAnsi="宋体" w:cs="宋体"/>
                <w:szCs w:val="21"/>
                <w:highlight w:val="none"/>
              </w:rPr>
              <w:t>产品合法来源验证查询专线：</w:t>
            </w:r>
          </w:p>
          <w:p>
            <w:pPr>
              <w:rPr>
                <w:rFonts w:hAnsi="宋体" w:cs="宋体"/>
                <w:szCs w:val="21"/>
                <w:highlight w:val="none"/>
              </w:rPr>
            </w:pPr>
            <w:r>
              <w:rPr>
                <w:rFonts w:hint="eastAsia" w:hAnsi="宋体" w:cs="宋体"/>
                <w:szCs w:val="21"/>
                <w:highlight w:val="none"/>
              </w:rPr>
              <w:t>售后服务管理验证查询专线：</w:t>
            </w:r>
          </w:p>
        </w:tc>
        <w:tc>
          <w:tcPr>
            <w:tcW w:w="2779" w:type="dxa"/>
            <w:vAlign w:val="center"/>
          </w:tcPr>
          <w:p>
            <w:pPr>
              <w:pStyle w:val="159"/>
              <w:jc w:val="both"/>
              <w:rPr>
                <w:rFonts w:ascii="宋体" w:hAnsi="宋体" w:cs="宋体"/>
                <w:b w:val="0"/>
                <w:color w:val="auto"/>
                <w:highlight w:val="none"/>
              </w:rPr>
            </w:pPr>
            <w:r>
              <w:rPr>
                <w:rFonts w:hint="eastAsia" w:ascii="宋体" w:hAnsi="宋体" w:cs="宋体"/>
                <w:b w:val="0"/>
                <w:color w:val="auto"/>
                <w:highlight w:val="none"/>
              </w:rPr>
              <w:t>姓名:</w:t>
            </w:r>
          </w:p>
          <w:p>
            <w:pPr>
              <w:pStyle w:val="159"/>
              <w:jc w:val="both"/>
              <w:rPr>
                <w:rFonts w:ascii="宋体" w:hAnsi="宋体" w:cs="宋体"/>
                <w:b w:val="0"/>
                <w:color w:val="auto"/>
                <w:highlight w:val="none"/>
              </w:rPr>
            </w:pPr>
            <w:r>
              <w:rPr>
                <w:rFonts w:hint="eastAsia" w:ascii="宋体" w:hAnsi="宋体" w:cs="宋体"/>
                <w:b w:val="0"/>
                <w:color w:val="auto"/>
                <w:highlight w:val="none"/>
              </w:rPr>
              <w:t>电话:</w:t>
            </w:r>
          </w:p>
          <w:p>
            <w:pPr>
              <w:rPr>
                <w:rFonts w:hAnsi="宋体" w:cs="宋体"/>
                <w:szCs w:val="21"/>
                <w:highlight w:val="none"/>
              </w:rPr>
            </w:pPr>
            <w:r>
              <w:rPr>
                <w:rFonts w:hint="eastAsia" w:hAnsi="宋体" w:cs="宋体"/>
                <w:szCs w:val="21"/>
                <w:highlight w:val="none"/>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2436" w:type="dxa"/>
            <w:vAlign w:val="center"/>
          </w:tcPr>
          <w:p>
            <w:pPr>
              <w:ind w:firstLine="210" w:firstLineChars="100"/>
              <w:rPr>
                <w:rFonts w:hAnsi="宋体" w:cs="宋体"/>
                <w:szCs w:val="21"/>
                <w:highlight w:val="none"/>
              </w:rPr>
            </w:pPr>
            <w:r>
              <w:rPr>
                <w:rFonts w:hint="eastAsia" w:hAnsi="宋体" w:cs="宋体"/>
                <w:szCs w:val="21"/>
                <w:highlight w:val="none"/>
              </w:rPr>
              <w:t>设在广东省内的</w:t>
            </w:r>
          </w:p>
          <w:p>
            <w:pPr>
              <w:ind w:firstLine="210" w:firstLineChars="100"/>
              <w:rPr>
                <w:rFonts w:hAnsi="宋体" w:cs="宋体"/>
                <w:szCs w:val="21"/>
                <w:highlight w:val="none"/>
              </w:rPr>
            </w:pPr>
            <w:r>
              <w:rPr>
                <w:rFonts w:hint="eastAsia" w:hAnsi="宋体" w:cs="宋体"/>
                <w:szCs w:val="21"/>
                <w:highlight w:val="none"/>
              </w:rPr>
              <w:t>售后服务机构情况</w:t>
            </w:r>
          </w:p>
        </w:tc>
        <w:tc>
          <w:tcPr>
            <w:tcW w:w="4640" w:type="dxa"/>
            <w:vAlign w:val="center"/>
          </w:tcPr>
          <w:p>
            <w:pPr>
              <w:rPr>
                <w:rFonts w:hAnsi="宋体" w:cs="宋体"/>
                <w:szCs w:val="21"/>
                <w:highlight w:val="none"/>
              </w:rPr>
            </w:pPr>
            <w:r>
              <w:rPr>
                <w:rFonts w:hint="eastAsia" w:hAnsi="宋体" w:cs="宋体"/>
                <w:szCs w:val="21"/>
                <w:highlight w:val="none"/>
              </w:rPr>
              <w:t>机构名称：</w:t>
            </w:r>
          </w:p>
          <w:p>
            <w:pPr>
              <w:rPr>
                <w:rFonts w:hAnsi="宋体" w:cs="宋体"/>
                <w:szCs w:val="21"/>
                <w:highlight w:val="none"/>
              </w:rPr>
            </w:pPr>
            <w:r>
              <w:rPr>
                <w:rFonts w:hint="eastAsia" w:hAnsi="宋体" w:cs="宋体"/>
                <w:szCs w:val="21"/>
                <w:highlight w:val="none"/>
              </w:rPr>
              <w:t>地    址：</w:t>
            </w:r>
          </w:p>
          <w:p>
            <w:pPr>
              <w:rPr>
                <w:rFonts w:hAnsi="宋体" w:cs="宋体"/>
                <w:szCs w:val="21"/>
                <w:highlight w:val="none"/>
              </w:rPr>
            </w:pPr>
            <w:r>
              <w:rPr>
                <w:rFonts w:hint="eastAsia" w:hAnsi="宋体" w:cs="宋体"/>
                <w:szCs w:val="21"/>
                <w:highlight w:val="none"/>
              </w:rPr>
              <w:t>负 责 人：</w:t>
            </w:r>
          </w:p>
          <w:p>
            <w:pPr>
              <w:rPr>
                <w:rFonts w:hAnsi="宋体" w:cs="宋体"/>
                <w:szCs w:val="21"/>
                <w:highlight w:val="none"/>
              </w:rPr>
            </w:pPr>
            <w:r>
              <w:rPr>
                <w:rFonts w:hint="eastAsia" w:hAnsi="宋体" w:cs="宋体"/>
                <w:szCs w:val="21"/>
                <w:highlight w:val="none"/>
              </w:rPr>
              <w:t>服务机构性质：企业自有 /委托代理</w:t>
            </w:r>
          </w:p>
        </w:tc>
        <w:tc>
          <w:tcPr>
            <w:tcW w:w="2779" w:type="dxa"/>
            <w:vAlign w:val="center"/>
          </w:tcPr>
          <w:p>
            <w:pPr>
              <w:pStyle w:val="159"/>
              <w:jc w:val="both"/>
              <w:rPr>
                <w:rFonts w:ascii="宋体" w:hAnsi="宋体" w:cs="宋体"/>
                <w:b w:val="0"/>
                <w:color w:val="auto"/>
                <w:highlight w:val="none"/>
              </w:rPr>
            </w:pPr>
            <w:r>
              <w:rPr>
                <w:rFonts w:hint="eastAsia" w:ascii="宋体" w:hAnsi="宋体" w:cs="宋体"/>
                <w:b w:val="0"/>
                <w:color w:val="auto"/>
                <w:highlight w:val="none"/>
              </w:rPr>
              <w:t>姓名:</w:t>
            </w:r>
          </w:p>
          <w:p>
            <w:pPr>
              <w:pStyle w:val="159"/>
              <w:jc w:val="both"/>
              <w:rPr>
                <w:rFonts w:ascii="宋体" w:hAnsi="宋体" w:cs="宋体"/>
                <w:b w:val="0"/>
                <w:color w:val="auto"/>
                <w:highlight w:val="none"/>
              </w:rPr>
            </w:pPr>
            <w:r>
              <w:rPr>
                <w:rFonts w:hint="eastAsia" w:ascii="宋体" w:hAnsi="宋体" w:cs="宋体"/>
                <w:b w:val="0"/>
                <w:color w:val="auto"/>
                <w:highlight w:val="none"/>
              </w:rPr>
              <w:t>电话:</w:t>
            </w:r>
          </w:p>
          <w:p>
            <w:pPr>
              <w:rPr>
                <w:rFonts w:hAnsi="宋体" w:cs="宋体"/>
                <w:szCs w:val="21"/>
                <w:highlight w:val="none"/>
              </w:rPr>
            </w:pPr>
            <w:r>
              <w:rPr>
                <w:rFonts w:hint="eastAsia" w:hAnsi="宋体" w:cs="宋体"/>
                <w:szCs w:val="21"/>
                <w:highlight w:val="none"/>
              </w:rPr>
              <w:t>传真:</w:t>
            </w:r>
          </w:p>
        </w:tc>
      </w:tr>
    </w:tbl>
    <w:p>
      <w:pPr>
        <w:pStyle w:val="76"/>
        <w:rPr>
          <w:rFonts w:ascii="宋体" w:hAnsi="宋体" w:cs="宋体"/>
          <w:sz w:val="28"/>
          <w:szCs w:val="28"/>
          <w:highlight w:val="none"/>
        </w:rPr>
      </w:pPr>
    </w:p>
    <w:p>
      <w:pPr>
        <w:snapToGrid w:val="0"/>
        <w:spacing w:line="30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pacing w:line="360" w:lineRule="auto"/>
        <w:ind w:right="893"/>
        <w:jc w:val="both"/>
        <w:rPr>
          <w:rFonts w:hAnsi="宋体" w:cs="宋体"/>
          <w:kern w:val="2"/>
          <w:highlight w:val="none"/>
          <w:lang w:val="zh-CN"/>
        </w:rPr>
      </w:pPr>
      <w:r>
        <w:rPr>
          <w:rFonts w:hint="eastAsia" w:hAnsi="宋体" w:cs="宋体"/>
          <w:kern w:val="2"/>
          <w:highlight w:val="none"/>
          <w:lang w:val="zh-CN"/>
        </w:rPr>
        <w:t>日期：          年      月     日</w:t>
      </w:r>
    </w:p>
    <w:p>
      <w:pPr>
        <w:rPr>
          <w:rFonts w:hAnsi="宋体" w:cs="宋体"/>
          <w:highlight w:val="none"/>
        </w:rPr>
      </w:pPr>
    </w:p>
    <w:p>
      <w:pPr>
        <w:pStyle w:val="4"/>
        <w:spacing w:after="120" w:line="480" w:lineRule="exact"/>
        <w:rPr>
          <w:rFonts w:hAnsi="宋体" w:cs="宋体"/>
          <w:b/>
          <w:szCs w:val="21"/>
          <w:highlight w:val="none"/>
        </w:rPr>
      </w:pPr>
      <w:r>
        <w:rPr>
          <w:rFonts w:hint="eastAsia" w:hAnsi="宋体" w:cs="宋体"/>
          <w:szCs w:val="21"/>
          <w:highlight w:val="none"/>
        </w:rPr>
        <w:br w:type="page"/>
      </w:r>
      <w:r>
        <w:rPr>
          <w:rFonts w:hint="eastAsia" w:hAnsi="宋体" w:cs="宋体"/>
          <w:b/>
          <w:szCs w:val="20"/>
          <w:highlight w:val="none"/>
        </w:rPr>
        <w:t>附表2.11  商务条款响应表格式</w:t>
      </w:r>
    </w:p>
    <w:p>
      <w:pPr>
        <w:pStyle w:val="4"/>
        <w:spacing w:after="120" w:line="480" w:lineRule="exact"/>
        <w:rPr>
          <w:rFonts w:hAnsi="宋体" w:cs="宋体"/>
          <w:b/>
          <w:szCs w:val="20"/>
          <w:highlight w:val="none"/>
        </w:rPr>
      </w:pPr>
      <w:r>
        <w:rPr>
          <w:rFonts w:hint="eastAsia" w:hAnsi="宋体" w:cs="宋体"/>
          <w:b/>
          <w:szCs w:val="20"/>
          <w:highlight w:val="none"/>
        </w:rPr>
        <w:t>（1）实质性商务条款（“★”项）响应表格式</w:t>
      </w:r>
    </w:p>
    <w:p>
      <w:pPr>
        <w:pStyle w:val="76"/>
        <w:jc w:val="center"/>
        <w:rPr>
          <w:rFonts w:ascii="宋体" w:hAnsi="宋体" w:cs="宋体"/>
          <w:b/>
          <w:sz w:val="32"/>
          <w:szCs w:val="32"/>
          <w:highlight w:val="none"/>
        </w:rPr>
      </w:pPr>
      <w:bookmarkStart w:id="34" w:name="_Hlk495872607"/>
      <w:r>
        <w:rPr>
          <w:rFonts w:hint="eastAsia" w:ascii="宋体" w:hAnsi="宋体" w:cs="宋体"/>
          <w:b/>
          <w:sz w:val="32"/>
          <w:szCs w:val="32"/>
          <w:highlight w:val="none"/>
        </w:rPr>
        <w:t>实质性商务条款（“★”项）响应表</w:t>
      </w:r>
      <w:bookmarkEnd w:id="34"/>
    </w:p>
    <w:p>
      <w:pPr>
        <w:spacing w:line="360" w:lineRule="auto"/>
        <w:rPr>
          <w:rFonts w:hAnsi="宋体" w:cs="宋体"/>
          <w:szCs w:val="21"/>
          <w:highlight w:val="none"/>
          <w:u w:val="single"/>
        </w:rPr>
      </w:pPr>
      <w:r>
        <w:rPr>
          <w:rFonts w:hint="eastAsia" w:hAnsi="宋体" w:cs="宋体"/>
          <w:szCs w:val="21"/>
          <w:highlight w:val="none"/>
        </w:rPr>
        <w:t>投标人名称：</w:t>
      </w:r>
    </w:p>
    <w:p>
      <w:pPr>
        <w:spacing w:line="360" w:lineRule="auto"/>
        <w:rPr>
          <w:rFonts w:hAnsi="宋体" w:cs="宋体"/>
          <w:szCs w:val="21"/>
          <w:highlight w:val="none"/>
        </w:rPr>
      </w:pPr>
      <w:r>
        <w:rPr>
          <w:rFonts w:hint="eastAsia" w:hAnsi="宋体" w:cs="宋体"/>
          <w:szCs w:val="21"/>
          <w:highlight w:val="none"/>
        </w:rPr>
        <w:t xml:space="preserve">采购编号：GDYD221545    </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p>
      <w:pPr>
        <w:spacing w:line="360" w:lineRule="auto"/>
        <w:rPr>
          <w:rFonts w:hAnsi="宋体" w:cs="宋体"/>
          <w:szCs w:val="21"/>
          <w:highlight w:val="none"/>
        </w:rPr>
      </w:pPr>
      <w:r>
        <w:rPr>
          <w:rFonts w:hint="eastAsia" w:hAnsi="宋体" w:cs="宋体"/>
          <w:szCs w:val="21"/>
          <w:highlight w:val="none"/>
        </w:rPr>
        <w:t>包组号：</w:t>
      </w:r>
    </w:p>
    <w:p>
      <w:pPr>
        <w:spacing w:line="360" w:lineRule="auto"/>
        <w:rPr>
          <w:rFonts w:hAnsi="宋体" w:cs="宋体"/>
          <w:szCs w:val="21"/>
          <w:highlight w:val="none"/>
        </w:rPr>
      </w:pPr>
    </w:p>
    <w:tbl>
      <w:tblPr>
        <w:tblStyle w:val="4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6185"/>
        <w:gridCol w:w="804"/>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25"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序号</w:t>
            </w:r>
          </w:p>
        </w:tc>
        <w:tc>
          <w:tcPr>
            <w:tcW w:w="6185"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实质性响应条款要求</w:t>
            </w:r>
          </w:p>
        </w:tc>
        <w:tc>
          <w:tcPr>
            <w:tcW w:w="804"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是否响应</w:t>
            </w:r>
          </w:p>
        </w:tc>
        <w:tc>
          <w:tcPr>
            <w:tcW w:w="2141"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725" w:type="dxa"/>
            <w:vAlign w:val="center"/>
          </w:tcPr>
          <w:p>
            <w:pPr>
              <w:numPr>
                <w:ilvl w:val="1"/>
                <w:numId w:val="18"/>
              </w:numPr>
              <w:autoSpaceDE/>
              <w:autoSpaceDN/>
              <w:adjustRightInd/>
              <w:jc w:val="center"/>
              <w:rPr>
                <w:rFonts w:hAnsi="宋体" w:cs="宋体"/>
                <w:szCs w:val="21"/>
                <w:highlight w:val="none"/>
              </w:rPr>
            </w:pPr>
          </w:p>
        </w:tc>
        <w:tc>
          <w:tcPr>
            <w:tcW w:w="6185" w:type="dxa"/>
            <w:vAlign w:val="center"/>
          </w:tcPr>
          <w:p>
            <w:pPr>
              <w:rPr>
                <w:rFonts w:hAnsi="宋体" w:cs="宋体"/>
                <w:szCs w:val="21"/>
                <w:highlight w:val="none"/>
              </w:rPr>
            </w:pPr>
            <w:r>
              <w:rPr>
                <w:rFonts w:hint="eastAsia" w:hAnsi="宋体" w:cs="宋体"/>
                <w:szCs w:val="21"/>
                <w:highlight w:val="none"/>
              </w:rPr>
              <w:t>招标文件用户需求书中的所有实质性商务条款（“★”项）均完全响应，无任何偏离</w:t>
            </w:r>
          </w:p>
        </w:tc>
        <w:tc>
          <w:tcPr>
            <w:tcW w:w="804" w:type="dxa"/>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r>
              <w:rPr>
                <w:rFonts w:hint="eastAsia" w:ascii="宋体" w:hAnsi="宋体" w:cs="宋体"/>
                <w:snapToGrid/>
                <w:spacing w:val="0"/>
                <w:kern w:val="2"/>
                <w:szCs w:val="21"/>
                <w:highlight w:val="none"/>
              </w:rPr>
              <w:t>是</w:t>
            </w:r>
          </w:p>
        </w:tc>
        <w:tc>
          <w:tcPr>
            <w:tcW w:w="2141" w:type="dxa"/>
            <w:vAlign w:val="center"/>
          </w:tcPr>
          <w:p>
            <w:pPr>
              <w:jc w:val="center"/>
              <w:rPr>
                <w:rFonts w:hAnsi="宋体" w:cs="宋体"/>
                <w:szCs w:val="21"/>
                <w:highlight w:val="none"/>
              </w:rPr>
            </w:pPr>
            <w:r>
              <w:rPr>
                <w:rFonts w:hint="eastAsia" w:hAnsi="宋体" w:cs="宋体"/>
                <w:szCs w:val="21"/>
                <w:highlight w:val="none"/>
              </w:rPr>
              <w:t>无偏离</w:t>
            </w:r>
          </w:p>
        </w:tc>
      </w:tr>
    </w:tbl>
    <w:p>
      <w:pPr>
        <w:ind w:left="735" w:leftChars="150" w:hanging="420" w:hangingChars="200"/>
        <w:rPr>
          <w:rFonts w:hAnsi="宋体" w:cs="宋体"/>
          <w:szCs w:val="21"/>
          <w:highlight w:val="none"/>
          <w:lang w:val="en-GB"/>
        </w:rPr>
      </w:pPr>
    </w:p>
    <w:p>
      <w:pPr>
        <w:spacing w:line="360" w:lineRule="auto"/>
        <w:ind w:left="851" w:hanging="851"/>
        <w:rPr>
          <w:rFonts w:hAnsi="宋体" w:cs="宋体"/>
          <w:szCs w:val="21"/>
          <w:highlight w:val="none"/>
          <w:lang w:val="en-GB"/>
        </w:rPr>
      </w:pPr>
      <w:r>
        <w:rPr>
          <w:rFonts w:hint="eastAsia" w:hAnsi="宋体" w:cs="宋体"/>
          <w:szCs w:val="21"/>
          <w:highlight w:val="none"/>
        </w:rPr>
        <w:t>说明：1.投标人必须对应招标文件的商务条款要求带“★”号的内容逐条响应。如有缺漏，缺漏项视同不符合招标要求。投标人如响应所有的“★”商务条款，也可在表格中以“招标文件用户需求书中的所有实质性商务条款（“★”项）均完全响应，无任何偏离”的表述方式表述。</w:t>
      </w:r>
    </w:p>
    <w:p>
      <w:pPr>
        <w:spacing w:line="360" w:lineRule="auto"/>
        <w:ind w:left="770" w:leftChars="262" w:hanging="220" w:hangingChars="105"/>
        <w:rPr>
          <w:rFonts w:hAnsi="宋体" w:cs="宋体"/>
          <w:szCs w:val="21"/>
          <w:highlight w:val="none"/>
        </w:rPr>
      </w:pPr>
      <w:r>
        <w:rPr>
          <w:rFonts w:hint="eastAsia" w:hAnsi="宋体" w:cs="宋体"/>
          <w:szCs w:val="21"/>
          <w:highlight w:val="none"/>
          <w:lang w:val="en-GB"/>
        </w:rPr>
        <w:t>2.</w:t>
      </w:r>
      <w:r>
        <w:rPr>
          <w:rFonts w:hint="eastAsia" w:hAnsi="宋体" w:cs="宋体"/>
          <w:szCs w:val="21"/>
          <w:highlight w:val="none"/>
        </w:rPr>
        <w:t>投标人响应采购需求应具体、明确，含糊不清、不确切或伪造、变造证明材料的，按照不完全响应或者完全不响应处理。构成提供虚假材料的，移送监管部门查处。</w:t>
      </w:r>
    </w:p>
    <w:p>
      <w:pPr>
        <w:snapToGrid w:val="0"/>
        <w:spacing w:line="360" w:lineRule="auto"/>
        <w:ind w:firstLine="420" w:firstLineChars="200"/>
        <w:rPr>
          <w:rFonts w:hAnsi="宋体"/>
          <w:szCs w:val="21"/>
          <w:highlight w:val="none"/>
          <w:lang w:val="en-GB"/>
        </w:rPr>
      </w:pPr>
      <w:r>
        <w:rPr>
          <w:rFonts w:hint="eastAsia" w:hAnsi="宋体"/>
          <w:szCs w:val="21"/>
          <w:highlight w:val="none"/>
          <w:lang w:val="en-GB"/>
        </w:rPr>
        <w:t>3.本表内容按各自对应所投子包的内容自行更改。</w:t>
      </w:r>
    </w:p>
    <w:p>
      <w:pPr>
        <w:rPr>
          <w:rFonts w:hAnsi="宋体"/>
          <w:szCs w:val="21"/>
          <w:highlight w:val="none"/>
          <w:lang w:val="en-GB"/>
        </w:rPr>
      </w:pPr>
    </w:p>
    <w:p>
      <w:pPr>
        <w:rPr>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投标人法定代表人（或法定代表人授权代表）亲笔签字：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60" w:lineRule="auto"/>
        <w:rPr>
          <w:rFonts w:hAnsi="宋体" w:cs="宋体"/>
          <w:szCs w:val="21"/>
          <w:highlight w:val="none"/>
        </w:rPr>
      </w:pPr>
      <w:r>
        <w:rPr>
          <w:rFonts w:hint="eastAsia" w:hAnsi="宋体" w:cs="宋体"/>
          <w:szCs w:val="21"/>
          <w:highlight w:val="none"/>
        </w:rPr>
        <w:t>日期：年 月 日</w:t>
      </w:r>
    </w:p>
    <w:p>
      <w:pPr>
        <w:pStyle w:val="4"/>
        <w:spacing w:after="120" w:line="480" w:lineRule="exact"/>
        <w:rPr>
          <w:rFonts w:hAnsi="宋体" w:cs="宋体"/>
          <w:b/>
          <w:szCs w:val="20"/>
          <w:highlight w:val="none"/>
        </w:rPr>
      </w:pPr>
      <w:r>
        <w:rPr>
          <w:rFonts w:hint="eastAsia" w:hAnsi="宋体" w:cs="宋体"/>
          <w:b/>
          <w:szCs w:val="20"/>
          <w:highlight w:val="none"/>
        </w:rPr>
        <w:br w:type="page"/>
      </w:r>
      <w:r>
        <w:rPr>
          <w:rFonts w:hint="eastAsia" w:hAnsi="宋体" w:cs="宋体"/>
          <w:b/>
          <w:szCs w:val="20"/>
          <w:highlight w:val="none"/>
        </w:rPr>
        <w:t>（2）一般</w:t>
      </w:r>
      <w:r>
        <w:rPr>
          <w:highlight w:val="none"/>
        </w:rPr>
        <w:fldChar w:fldCharType="begin"/>
      </w:r>
      <w:r>
        <w:rPr>
          <w:highlight w:val="none"/>
        </w:rPr>
        <w:instrText xml:space="preserve"> DOCVARIABLE  商务条款响应表开始  \* MERGEFORMAT </w:instrText>
      </w:r>
      <w:r>
        <w:rPr>
          <w:highlight w:val="none"/>
        </w:rPr>
        <w:fldChar w:fldCharType="end"/>
      </w:r>
      <w:r>
        <w:rPr>
          <w:highlight w:val="none"/>
        </w:rPr>
        <w:fldChar w:fldCharType="begin"/>
      </w:r>
      <w:r>
        <w:rPr>
          <w:highlight w:val="none"/>
        </w:rPr>
        <w:instrText xml:space="preserve"> DOCVARIABLE  商务条款响应表开始  \* MERGEFORMAT </w:instrText>
      </w:r>
      <w:r>
        <w:rPr>
          <w:highlight w:val="none"/>
        </w:rPr>
        <w:fldChar w:fldCharType="end"/>
      </w:r>
      <w:r>
        <w:rPr>
          <w:rFonts w:hint="eastAsia" w:hAnsi="宋体" w:cs="宋体"/>
          <w:b/>
          <w:szCs w:val="20"/>
          <w:highlight w:val="none"/>
        </w:rPr>
        <w:t>商务条款响应表格式</w:t>
      </w:r>
    </w:p>
    <w:p>
      <w:pPr>
        <w:pStyle w:val="76"/>
        <w:jc w:val="center"/>
        <w:rPr>
          <w:rFonts w:ascii="宋体" w:hAnsi="宋体" w:cs="宋体"/>
          <w:b/>
          <w:sz w:val="28"/>
          <w:szCs w:val="28"/>
          <w:highlight w:val="none"/>
        </w:rPr>
      </w:pPr>
      <w:bookmarkStart w:id="35" w:name="_Hlk495872628"/>
      <w:r>
        <w:rPr>
          <w:rFonts w:hint="eastAsia" w:ascii="宋体" w:hAnsi="宋体" w:cs="宋体"/>
          <w:b/>
          <w:sz w:val="28"/>
          <w:szCs w:val="28"/>
          <w:highlight w:val="none"/>
        </w:rPr>
        <w:t>一般商务条款响应表</w:t>
      </w:r>
    </w:p>
    <w:bookmarkEnd w:id="35"/>
    <w:p>
      <w:pPr>
        <w:spacing w:line="360" w:lineRule="auto"/>
        <w:rPr>
          <w:rFonts w:hAnsi="宋体" w:cs="宋体"/>
          <w:szCs w:val="21"/>
          <w:highlight w:val="none"/>
          <w:u w:val="single"/>
        </w:rPr>
      </w:pPr>
      <w:r>
        <w:rPr>
          <w:rFonts w:hint="eastAsia" w:hAnsi="宋体" w:cs="宋体"/>
          <w:szCs w:val="21"/>
          <w:highlight w:val="none"/>
        </w:rPr>
        <w:t>投标人名称：</w:t>
      </w:r>
    </w:p>
    <w:p>
      <w:pPr>
        <w:spacing w:line="360" w:lineRule="auto"/>
        <w:rPr>
          <w:rFonts w:hAnsi="宋体" w:cs="宋体"/>
          <w:szCs w:val="21"/>
          <w:highlight w:val="none"/>
        </w:rPr>
      </w:pPr>
      <w:r>
        <w:rPr>
          <w:rFonts w:hint="eastAsia" w:hAnsi="宋体" w:cs="宋体"/>
          <w:szCs w:val="21"/>
          <w:highlight w:val="none"/>
        </w:rPr>
        <w:t xml:space="preserve">采购编号：GDYD221545                 </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p>
      <w:pPr>
        <w:spacing w:line="360" w:lineRule="auto"/>
        <w:rPr>
          <w:rFonts w:hAnsi="宋体" w:cs="宋体"/>
          <w:szCs w:val="21"/>
          <w:highlight w:val="none"/>
        </w:rPr>
      </w:pPr>
      <w:r>
        <w:rPr>
          <w:rFonts w:hint="eastAsia" w:hAnsi="宋体" w:cs="宋体"/>
          <w:szCs w:val="21"/>
          <w:highlight w:val="none"/>
        </w:rPr>
        <w:t>包组号：</w:t>
      </w:r>
    </w:p>
    <w:p>
      <w:pPr>
        <w:spacing w:line="360" w:lineRule="auto"/>
        <w:rPr>
          <w:rFonts w:hAnsi="宋体" w:cs="宋体"/>
          <w:szCs w:val="21"/>
          <w:highlight w:val="none"/>
        </w:rPr>
      </w:pPr>
    </w:p>
    <w:tbl>
      <w:tblPr>
        <w:tblStyle w:val="4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6470"/>
        <w:gridCol w:w="719"/>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序号</w:t>
            </w:r>
          </w:p>
        </w:tc>
        <w:tc>
          <w:tcPr>
            <w:tcW w:w="6470"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一般商务条款要求</w:t>
            </w:r>
          </w:p>
        </w:tc>
        <w:tc>
          <w:tcPr>
            <w:tcW w:w="719"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是否响应</w:t>
            </w:r>
          </w:p>
        </w:tc>
        <w:tc>
          <w:tcPr>
            <w:tcW w:w="719" w:type="dxa"/>
            <w:shd w:val="clear" w:color="auto" w:fill="F3F3F3"/>
            <w:vAlign w:val="center"/>
          </w:tcPr>
          <w:p>
            <w:pPr>
              <w:jc w:val="center"/>
              <w:rPr>
                <w:rFonts w:hAnsi="宋体" w:cs="宋体"/>
                <w:b/>
                <w:bCs/>
                <w:szCs w:val="21"/>
                <w:highlight w:val="none"/>
              </w:rPr>
            </w:pPr>
            <w:r>
              <w:rPr>
                <w:rFonts w:hint="eastAsia" w:hAnsi="宋体" w:cs="宋体"/>
                <w:b/>
                <w:bCs/>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1</w:t>
            </w:r>
          </w:p>
        </w:tc>
        <w:tc>
          <w:tcPr>
            <w:tcW w:w="6470" w:type="dxa"/>
            <w:vAlign w:val="center"/>
          </w:tcPr>
          <w:p>
            <w:pPr>
              <w:rPr>
                <w:rFonts w:hAnsi="宋体" w:cs="宋体"/>
                <w:szCs w:val="21"/>
                <w:highlight w:val="none"/>
              </w:rPr>
            </w:pPr>
            <w:r>
              <w:rPr>
                <w:rFonts w:hint="eastAsia" w:hAnsi="宋体" w:cs="宋体"/>
                <w:szCs w:val="21"/>
                <w:highlight w:val="none"/>
              </w:rPr>
              <w:t>完全理解并接受合同条款要求及其他所有商务条款要求</w:t>
            </w:r>
          </w:p>
        </w:tc>
        <w:tc>
          <w:tcPr>
            <w:tcW w:w="719" w:type="dxa"/>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p>
        </w:tc>
        <w:tc>
          <w:tcPr>
            <w:tcW w:w="719"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2</w:t>
            </w:r>
          </w:p>
        </w:tc>
        <w:tc>
          <w:tcPr>
            <w:tcW w:w="6470" w:type="dxa"/>
            <w:vAlign w:val="center"/>
          </w:tcPr>
          <w:p>
            <w:pPr>
              <w:rPr>
                <w:rFonts w:hAnsi="宋体" w:cs="宋体"/>
                <w:szCs w:val="21"/>
                <w:highlight w:val="none"/>
              </w:rPr>
            </w:pPr>
            <w:r>
              <w:rPr>
                <w:rFonts w:hint="eastAsia" w:hAnsi="宋体" w:cs="宋体"/>
                <w:szCs w:val="21"/>
                <w:highlight w:val="none"/>
              </w:rPr>
              <w:t>完全理解并接受对合格投标人、合格的货物、工程和服务要求</w:t>
            </w:r>
          </w:p>
        </w:tc>
        <w:tc>
          <w:tcPr>
            <w:tcW w:w="719" w:type="dxa"/>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p>
        </w:tc>
        <w:tc>
          <w:tcPr>
            <w:tcW w:w="719"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3</w:t>
            </w:r>
          </w:p>
        </w:tc>
        <w:tc>
          <w:tcPr>
            <w:tcW w:w="6470" w:type="dxa"/>
            <w:vAlign w:val="center"/>
          </w:tcPr>
          <w:p>
            <w:pPr>
              <w:rPr>
                <w:rFonts w:hAnsi="宋体" w:cs="宋体"/>
                <w:szCs w:val="21"/>
                <w:highlight w:val="none"/>
              </w:rPr>
            </w:pPr>
            <w:r>
              <w:rPr>
                <w:rFonts w:hint="eastAsia" w:hAnsi="宋体" w:cs="宋体"/>
                <w:szCs w:val="21"/>
                <w:highlight w:val="none"/>
              </w:rPr>
              <w:t>完全理解并接受对投标人的各项须知、规约要求和责任义务</w:t>
            </w:r>
          </w:p>
        </w:tc>
        <w:tc>
          <w:tcPr>
            <w:tcW w:w="719" w:type="dxa"/>
            <w:vAlign w:val="center"/>
          </w:tcPr>
          <w:p>
            <w:pPr>
              <w:jc w:val="center"/>
              <w:rPr>
                <w:rFonts w:hAnsi="宋体" w:cs="宋体"/>
                <w:szCs w:val="21"/>
                <w:highlight w:val="none"/>
              </w:rPr>
            </w:pPr>
          </w:p>
        </w:tc>
        <w:tc>
          <w:tcPr>
            <w:tcW w:w="719" w:type="dxa"/>
            <w:vAlign w:val="center"/>
          </w:tcPr>
          <w:p>
            <w:pPr>
              <w:ind w:right="-35"/>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4</w:t>
            </w:r>
          </w:p>
        </w:tc>
        <w:tc>
          <w:tcPr>
            <w:tcW w:w="6470" w:type="dxa"/>
            <w:vAlign w:val="center"/>
          </w:tcPr>
          <w:p>
            <w:pPr>
              <w:rPr>
                <w:rFonts w:hAnsi="宋体" w:cs="宋体"/>
                <w:iCs/>
                <w:szCs w:val="21"/>
                <w:highlight w:val="none"/>
              </w:rPr>
            </w:pPr>
            <w:r>
              <w:rPr>
                <w:rFonts w:hint="eastAsia" w:hAnsi="宋体" w:cs="宋体"/>
                <w:iCs/>
                <w:szCs w:val="21"/>
                <w:highlight w:val="none"/>
              </w:rPr>
              <w:t>投标有效期：投标有效期为自递交投标文件起不少于90天，如确定为正式中标人，则有效期将延至本项目《政府采购合同》执行期满日为止。</w:t>
            </w:r>
          </w:p>
        </w:tc>
        <w:tc>
          <w:tcPr>
            <w:tcW w:w="719" w:type="dxa"/>
            <w:vAlign w:val="center"/>
          </w:tcPr>
          <w:p>
            <w:pPr>
              <w:jc w:val="center"/>
              <w:rPr>
                <w:rFonts w:hAnsi="宋体" w:cs="宋体"/>
                <w:szCs w:val="21"/>
                <w:highlight w:val="none"/>
              </w:rPr>
            </w:pPr>
          </w:p>
        </w:tc>
        <w:tc>
          <w:tcPr>
            <w:tcW w:w="719" w:type="dxa"/>
            <w:vAlign w:val="center"/>
          </w:tcPr>
          <w:p>
            <w:pPr>
              <w:ind w:right="-35"/>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5</w:t>
            </w:r>
          </w:p>
        </w:tc>
        <w:tc>
          <w:tcPr>
            <w:tcW w:w="6470" w:type="dxa"/>
            <w:vAlign w:val="center"/>
          </w:tcPr>
          <w:p>
            <w:pPr>
              <w:rPr>
                <w:rFonts w:hAnsi="宋体" w:cs="宋体"/>
                <w:szCs w:val="21"/>
                <w:highlight w:val="none"/>
              </w:rPr>
            </w:pPr>
            <w:r>
              <w:rPr>
                <w:rFonts w:hint="eastAsia" w:hAnsi="宋体" w:cs="宋体"/>
                <w:szCs w:val="21"/>
                <w:highlight w:val="none"/>
              </w:rPr>
              <w:t>报价内容均涵盖报价要求之一切费用和伴随服务</w:t>
            </w:r>
          </w:p>
        </w:tc>
        <w:tc>
          <w:tcPr>
            <w:tcW w:w="719" w:type="dxa"/>
            <w:vAlign w:val="center"/>
          </w:tcPr>
          <w:p>
            <w:pPr>
              <w:jc w:val="center"/>
              <w:rPr>
                <w:rFonts w:hAnsi="宋体" w:cs="宋体"/>
                <w:szCs w:val="21"/>
                <w:highlight w:val="none"/>
              </w:rPr>
            </w:pPr>
          </w:p>
        </w:tc>
        <w:tc>
          <w:tcPr>
            <w:tcW w:w="719" w:type="dxa"/>
            <w:vAlign w:val="center"/>
          </w:tcPr>
          <w:p>
            <w:pPr>
              <w:ind w:right="-35"/>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6</w:t>
            </w:r>
          </w:p>
        </w:tc>
        <w:tc>
          <w:tcPr>
            <w:tcW w:w="6470" w:type="dxa"/>
            <w:vAlign w:val="center"/>
          </w:tcPr>
          <w:p>
            <w:pPr>
              <w:rPr>
                <w:rFonts w:hAnsi="宋体" w:cs="宋体"/>
                <w:szCs w:val="21"/>
                <w:highlight w:val="none"/>
              </w:rPr>
            </w:pPr>
            <w:r>
              <w:rPr>
                <w:rFonts w:hint="eastAsia" w:hAnsi="宋体" w:cs="宋体"/>
                <w:szCs w:val="21"/>
                <w:highlight w:val="none"/>
              </w:rPr>
              <w:t>在项目所在地有良好的、可靠的后续技术支持、有售后服务机构，或本项目的技术支持合作方</w:t>
            </w:r>
            <w:r>
              <w:rPr>
                <w:rFonts w:hint="eastAsia" w:hAnsi="宋体" w:cs="宋体"/>
                <w:szCs w:val="21"/>
                <w:highlight w:val="none"/>
                <w:lang w:val="hr-HR"/>
              </w:rPr>
              <w:t>（</w:t>
            </w:r>
            <w:r>
              <w:rPr>
                <w:rFonts w:hint="eastAsia" w:hAnsi="宋体" w:cs="宋体"/>
                <w:szCs w:val="21"/>
                <w:highlight w:val="none"/>
              </w:rPr>
              <w:t>相关证明文件）</w:t>
            </w:r>
          </w:p>
        </w:tc>
        <w:tc>
          <w:tcPr>
            <w:tcW w:w="719" w:type="dxa"/>
            <w:vAlign w:val="center"/>
          </w:tcPr>
          <w:p>
            <w:pPr>
              <w:jc w:val="center"/>
              <w:rPr>
                <w:rFonts w:hAnsi="宋体" w:cs="宋体"/>
                <w:szCs w:val="21"/>
                <w:highlight w:val="none"/>
              </w:rPr>
            </w:pPr>
          </w:p>
        </w:tc>
        <w:tc>
          <w:tcPr>
            <w:tcW w:w="719"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7</w:t>
            </w:r>
          </w:p>
        </w:tc>
        <w:tc>
          <w:tcPr>
            <w:tcW w:w="6470" w:type="dxa"/>
            <w:vAlign w:val="center"/>
          </w:tcPr>
          <w:p>
            <w:pPr>
              <w:rPr>
                <w:rFonts w:hAnsi="宋体" w:cs="宋体"/>
                <w:szCs w:val="21"/>
                <w:highlight w:val="none"/>
              </w:rPr>
            </w:pPr>
            <w:r>
              <w:rPr>
                <w:rFonts w:hint="eastAsia" w:hAnsi="宋体" w:cs="宋体"/>
                <w:szCs w:val="21"/>
                <w:highlight w:val="none"/>
                <w:lang w:val="en-GB"/>
              </w:rPr>
              <w:t>同意接受合同范本所列述的各项条款</w:t>
            </w:r>
          </w:p>
        </w:tc>
        <w:tc>
          <w:tcPr>
            <w:tcW w:w="719" w:type="dxa"/>
            <w:vAlign w:val="center"/>
          </w:tcPr>
          <w:p>
            <w:pPr>
              <w:jc w:val="center"/>
              <w:rPr>
                <w:rFonts w:hAnsi="宋体" w:cs="宋体"/>
                <w:szCs w:val="21"/>
                <w:highlight w:val="none"/>
              </w:rPr>
            </w:pPr>
          </w:p>
        </w:tc>
        <w:tc>
          <w:tcPr>
            <w:tcW w:w="719"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8</w:t>
            </w:r>
          </w:p>
        </w:tc>
        <w:tc>
          <w:tcPr>
            <w:tcW w:w="6470" w:type="dxa"/>
            <w:vAlign w:val="center"/>
          </w:tcPr>
          <w:p>
            <w:pPr>
              <w:ind w:left="-4" w:leftChars="-2"/>
              <w:rPr>
                <w:rFonts w:hAnsi="宋体" w:cs="宋体"/>
                <w:szCs w:val="21"/>
                <w:highlight w:val="none"/>
                <w:lang w:val="zh-CN"/>
              </w:rPr>
            </w:pPr>
            <w:r>
              <w:rPr>
                <w:rFonts w:hint="eastAsia" w:hAnsi="宋体" w:cs="宋体"/>
                <w:szCs w:val="21"/>
                <w:highlight w:val="none"/>
              </w:rPr>
              <w:t>同意按本项目要求缴付相关款项</w:t>
            </w:r>
          </w:p>
        </w:tc>
        <w:tc>
          <w:tcPr>
            <w:tcW w:w="719" w:type="dxa"/>
            <w:vAlign w:val="center"/>
          </w:tcPr>
          <w:p>
            <w:pPr>
              <w:jc w:val="center"/>
              <w:rPr>
                <w:rFonts w:hAnsi="宋体" w:cs="宋体"/>
                <w:szCs w:val="21"/>
                <w:highlight w:val="none"/>
                <w:lang w:val="en-GB"/>
              </w:rPr>
            </w:pPr>
          </w:p>
        </w:tc>
        <w:tc>
          <w:tcPr>
            <w:tcW w:w="719"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jc w:val="center"/>
              <w:rPr>
                <w:rFonts w:hAnsi="宋体" w:cs="宋体"/>
                <w:szCs w:val="21"/>
                <w:highlight w:val="none"/>
              </w:rPr>
            </w:pPr>
            <w:r>
              <w:rPr>
                <w:rFonts w:hint="eastAsia" w:hAnsi="宋体" w:cs="宋体"/>
                <w:szCs w:val="21"/>
                <w:highlight w:val="none"/>
              </w:rPr>
              <w:t>9</w:t>
            </w:r>
          </w:p>
        </w:tc>
        <w:tc>
          <w:tcPr>
            <w:tcW w:w="6470" w:type="dxa"/>
            <w:vAlign w:val="center"/>
          </w:tcPr>
          <w:p>
            <w:pPr>
              <w:rPr>
                <w:rFonts w:hAnsi="宋体" w:cs="宋体"/>
                <w:szCs w:val="21"/>
                <w:highlight w:val="none"/>
              </w:rPr>
            </w:pPr>
            <w:r>
              <w:rPr>
                <w:rFonts w:hint="eastAsia" w:hAnsi="宋体" w:cs="宋体"/>
                <w:szCs w:val="21"/>
                <w:highlight w:val="none"/>
              </w:rPr>
              <w:t>同意采购方以任何形式对我方投标文件内容的真实性和有效性进行审查、验证</w:t>
            </w:r>
          </w:p>
        </w:tc>
        <w:tc>
          <w:tcPr>
            <w:tcW w:w="719" w:type="dxa"/>
            <w:vAlign w:val="center"/>
          </w:tcPr>
          <w:p>
            <w:pPr>
              <w:jc w:val="center"/>
              <w:rPr>
                <w:rFonts w:hAnsi="宋体" w:cs="宋体"/>
                <w:szCs w:val="21"/>
                <w:highlight w:val="none"/>
              </w:rPr>
            </w:pPr>
          </w:p>
        </w:tc>
        <w:tc>
          <w:tcPr>
            <w:tcW w:w="719" w:type="dxa"/>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dxa"/>
            <w:vAlign w:val="center"/>
          </w:tcPr>
          <w:p>
            <w:pPr>
              <w:autoSpaceDE/>
              <w:autoSpaceDN/>
              <w:adjustRightInd/>
              <w:ind w:left="170"/>
              <w:rPr>
                <w:rFonts w:hAnsi="宋体" w:cs="宋体"/>
                <w:szCs w:val="21"/>
                <w:highlight w:val="none"/>
              </w:rPr>
            </w:pPr>
            <w:r>
              <w:rPr>
                <w:rFonts w:hint="eastAsia" w:hAnsi="宋体" w:cs="宋体"/>
                <w:szCs w:val="21"/>
                <w:highlight w:val="none"/>
              </w:rPr>
              <w:t>10</w:t>
            </w:r>
          </w:p>
        </w:tc>
        <w:tc>
          <w:tcPr>
            <w:tcW w:w="6470" w:type="dxa"/>
            <w:vAlign w:val="center"/>
          </w:tcPr>
          <w:p>
            <w:pPr>
              <w:rPr>
                <w:rFonts w:hAnsi="宋体" w:cs="宋体"/>
                <w:szCs w:val="21"/>
                <w:highlight w:val="none"/>
              </w:rPr>
            </w:pPr>
            <w:r>
              <w:rPr>
                <w:rFonts w:hint="eastAsia" w:hAnsi="宋体" w:cs="宋体"/>
                <w:szCs w:val="21"/>
                <w:highlight w:val="none"/>
              </w:rPr>
              <w:t>其它商务条款偏离说明：</w:t>
            </w:r>
          </w:p>
        </w:tc>
        <w:tc>
          <w:tcPr>
            <w:tcW w:w="719" w:type="dxa"/>
          </w:tcPr>
          <w:p>
            <w:pPr>
              <w:jc w:val="center"/>
              <w:rPr>
                <w:rFonts w:hAnsi="宋体" w:cs="宋体"/>
                <w:szCs w:val="21"/>
                <w:highlight w:val="none"/>
              </w:rPr>
            </w:pPr>
          </w:p>
        </w:tc>
        <w:tc>
          <w:tcPr>
            <w:tcW w:w="719" w:type="dxa"/>
            <w:vAlign w:val="center"/>
          </w:tcPr>
          <w:p>
            <w:pPr>
              <w:pStyle w:val="149"/>
              <w:keepNext w:val="0"/>
              <w:adjustRightInd/>
              <w:spacing w:before="0" w:after="0" w:line="240" w:lineRule="auto"/>
              <w:textAlignment w:val="auto"/>
              <w:rPr>
                <w:rFonts w:ascii="宋体" w:hAnsi="宋体" w:cs="宋体"/>
                <w:snapToGrid/>
                <w:spacing w:val="0"/>
                <w:kern w:val="2"/>
                <w:szCs w:val="21"/>
                <w:highlight w:val="none"/>
              </w:rPr>
            </w:pPr>
          </w:p>
        </w:tc>
      </w:tr>
    </w:tbl>
    <w:p>
      <w:pPr>
        <w:rPr>
          <w:rFonts w:hAnsi="宋体" w:cs="宋体"/>
          <w:szCs w:val="21"/>
          <w:highlight w:val="none"/>
          <w:lang w:val="en-GB"/>
        </w:rPr>
      </w:pPr>
      <w:r>
        <w:rPr>
          <w:rFonts w:hint="eastAsia" w:hAnsi="宋体" w:cs="宋体"/>
          <w:szCs w:val="21"/>
          <w:highlight w:val="none"/>
          <w:lang w:val="en-GB"/>
        </w:rPr>
        <w:t>注： 1.</w:t>
      </w:r>
      <w:r>
        <w:rPr>
          <w:rFonts w:hint="eastAsia" w:hAnsi="宋体" w:cs="宋体"/>
          <w:szCs w:val="21"/>
          <w:highlight w:val="none"/>
        </w:rPr>
        <w:t>对</w:t>
      </w:r>
      <w:r>
        <w:rPr>
          <w:rFonts w:hint="eastAsia" w:hAnsi="宋体" w:cs="宋体"/>
          <w:szCs w:val="21"/>
          <w:highlight w:val="none"/>
          <w:lang w:val="en-GB"/>
        </w:rPr>
        <w:t>于上述要求，如投标人完全响应，则请在“是否响应”栏内打“√”，对空白或打“×”视为偏离，请在“偏离说明”栏内扼要说明偏离情况。</w:t>
      </w:r>
    </w:p>
    <w:p>
      <w:pPr>
        <w:snapToGrid w:val="0"/>
        <w:spacing w:line="360" w:lineRule="auto"/>
        <w:ind w:firstLine="420" w:firstLineChars="200"/>
        <w:rPr>
          <w:rFonts w:hAnsi="宋体"/>
          <w:szCs w:val="21"/>
          <w:highlight w:val="none"/>
          <w:lang w:val="en-GB"/>
        </w:rPr>
      </w:pPr>
      <w:r>
        <w:rPr>
          <w:rFonts w:hint="eastAsia" w:hAnsi="宋体"/>
          <w:szCs w:val="21"/>
          <w:highlight w:val="none"/>
          <w:lang w:val="en-GB"/>
        </w:rPr>
        <w:t>3.本表内容按各自对应所投子包的内容自行更改。</w:t>
      </w:r>
    </w:p>
    <w:p>
      <w:pPr>
        <w:rPr>
          <w:rFonts w:hAnsi="宋体"/>
          <w:szCs w:val="21"/>
          <w:highlight w:val="none"/>
          <w:lang w:val="en-GB"/>
        </w:rPr>
      </w:pPr>
    </w:p>
    <w:p>
      <w:pPr>
        <w:rPr>
          <w:highlight w:val="none"/>
          <w:lang w:val="en-GB"/>
        </w:rPr>
      </w:pPr>
    </w:p>
    <w:p>
      <w:pPr>
        <w:snapToGrid w:val="0"/>
        <w:spacing w:line="300" w:lineRule="auto"/>
        <w:rPr>
          <w:rFonts w:hAnsi="宋体" w:cs="宋体"/>
          <w:szCs w:val="21"/>
          <w:highlight w:val="none"/>
        </w:rPr>
      </w:pPr>
      <w:r>
        <w:rPr>
          <w:rFonts w:hint="eastAsia" w:hAnsi="宋体" w:cs="宋体"/>
          <w:szCs w:val="21"/>
          <w:highlight w:val="none"/>
        </w:rPr>
        <w:t>投标人法定代表人（或法定代表人授权代表）亲笔签字：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pacing w:line="360" w:lineRule="auto"/>
        <w:rPr>
          <w:rFonts w:hAnsi="宋体" w:cs="宋体"/>
          <w:szCs w:val="21"/>
          <w:highlight w:val="none"/>
        </w:rPr>
      </w:pPr>
      <w:r>
        <w:rPr>
          <w:rFonts w:hint="eastAsia" w:hAnsi="宋体" w:cs="宋体"/>
          <w:szCs w:val="21"/>
          <w:highlight w:val="none"/>
        </w:rPr>
        <w:t>日期：年 月 日</w:t>
      </w:r>
    </w:p>
    <w:p>
      <w:pPr>
        <w:spacing w:line="360" w:lineRule="auto"/>
        <w:rPr>
          <w:rFonts w:hAnsi="宋体" w:cs="宋体"/>
          <w:b/>
          <w:szCs w:val="20"/>
          <w:highlight w:val="none"/>
        </w:rPr>
      </w:pPr>
    </w:p>
    <w:p>
      <w:pPr>
        <w:pStyle w:val="4"/>
        <w:spacing w:after="120" w:line="480" w:lineRule="exact"/>
        <w:rPr>
          <w:rFonts w:hAnsi="宋体" w:cs="宋体"/>
          <w:b/>
          <w:szCs w:val="20"/>
          <w:highlight w:val="none"/>
        </w:rPr>
      </w:pPr>
    </w:p>
    <w:p>
      <w:pPr>
        <w:pStyle w:val="4"/>
        <w:spacing w:after="120" w:line="480" w:lineRule="exact"/>
        <w:rPr>
          <w:rFonts w:hAnsi="宋体" w:cs="宋体"/>
          <w:b/>
          <w:szCs w:val="20"/>
          <w:highlight w:val="none"/>
        </w:rPr>
      </w:pPr>
    </w:p>
    <w:p>
      <w:pPr>
        <w:pStyle w:val="4"/>
        <w:spacing w:after="120" w:line="480" w:lineRule="exact"/>
        <w:rPr>
          <w:rFonts w:hAnsi="宋体" w:cs="宋体"/>
          <w:b/>
          <w:szCs w:val="20"/>
          <w:highlight w:val="none"/>
        </w:rPr>
      </w:pPr>
    </w:p>
    <w:p>
      <w:pPr>
        <w:pStyle w:val="4"/>
        <w:spacing w:after="120" w:line="480" w:lineRule="exact"/>
        <w:rPr>
          <w:rFonts w:hAnsi="宋体" w:cs="宋体"/>
          <w:b/>
          <w:szCs w:val="21"/>
          <w:highlight w:val="none"/>
        </w:rPr>
      </w:pPr>
      <w:r>
        <w:rPr>
          <w:rFonts w:hint="eastAsia" w:hAnsi="宋体" w:cs="宋体"/>
          <w:b/>
          <w:szCs w:val="20"/>
          <w:highlight w:val="none"/>
        </w:rPr>
        <w:t xml:space="preserve">附表2.12 </w:t>
      </w:r>
      <w:bookmarkStart w:id="36" w:name="_Hlk495872671"/>
      <w:r>
        <w:rPr>
          <w:rFonts w:hint="eastAsia" w:hAnsi="宋体" w:cs="宋体"/>
          <w:b/>
          <w:szCs w:val="20"/>
          <w:highlight w:val="none"/>
        </w:rPr>
        <w:t>各项声明函（落实政府采购政策时所需）</w:t>
      </w:r>
      <w:bookmarkEnd w:id="36"/>
    </w:p>
    <w:p>
      <w:pPr>
        <w:pStyle w:val="4"/>
        <w:spacing w:after="120" w:line="480" w:lineRule="exact"/>
        <w:rPr>
          <w:rFonts w:hAnsi="宋体" w:cs="宋体"/>
          <w:b/>
          <w:szCs w:val="20"/>
          <w:highlight w:val="none"/>
        </w:rPr>
      </w:pPr>
      <w:r>
        <w:rPr>
          <w:rFonts w:hint="eastAsia" w:hAnsi="宋体" w:cs="宋体"/>
          <w:b/>
          <w:szCs w:val="20"/>
          <w:highlight w:val="none"/>
        </w:rPr>
        <w:t>附表2.12-1</w:t>
      </w:r>
      <w:bookmarkStart w:id="37" w:name="_Hlk495872698"/>
      <w:r>
        <w:rPr>
          <w:rFonts w:hint="eastAsia" w:hAnsi="宋体" w:cs="宋体"/>
          <w:b/>
          <w:szCs w:val="20"/>
          <w:highlight w:val="none"/>
        </w:rPr>
        <w:t xml:space="preserve"> 中小企业声明函格式（如有）</w:t>
      </w:r>
      <w:bookmarkEnd w:id="37"/>
    </w:p>
    <w:p>
      <w:pPr>
        <w:widowControl/>
        <w:spacing w:before="100" w:beforeAutospacing="1" w:after="100" w:afterAutospacing="1" w:line="360" w:lineRule="auto"/>
        <w:jc w:val="center"/>
        <w:rPr>
          <w:rFonts w:hAnsi="宋体" w:cs="宋体"/>
          <w:b/>
          <w:szCs w:val="21"/>
          <w:highlight w:val="none"/>
        </w:rPr>
      </w:pPr>
      <w:r>
        <w:rPr>
          <w:rFonts w:hint="eastAsia" w:hAnsi="宋体" w:cs="宋体"/>
          <w:b/>
          <w:szCs w:val="21"/>
          <w:highlight w:val="none"/>
        </w:rPr>
        <w:t>中小企业声明函</w:t>
      </w:r>
    </w:p>
    <w:p>
      <w:pPr>
        <w:spacing w:line="360" w:lineRule="auto"/>
        <w:rPr>
          <w:rFonts w:hAnsi="宋体" w:cs="宋体"/>
          <w:szCs w:val="21"/>
          <w:highlight w:val="none"/>
        </w:rPr>
      </w:pPr>
      <w:r>
        <w:rPr>
          <w:rFonts w:hint="eastAsia" w:hAnsi="宋体" w:cs="宋体"/>
          <w:szCs w:val="21"/>
          <w:highlight w:val="none"/>
        </w:rPr>
        <w:t>　　</w:t>
      </w:r>
    </w:p>
    <w:p>
      <w:pPr>
        <w:spacing w:line="360" w:lineRule="auto"/>
        <w:ind w:firstLine="480"/>
        <w:rPr>
          <w:highlight w:val="none"/>
        </w:rPr>
      </w:pPr>
      <w:r>
        <w:rPr>
          <w:highlight w:val="none"/>
        </w:rPr>
        <w:t>本公司（联合体）郑重声明，根据《政府采购促进中小企业发展管理办法》（财库﹝2020﹞46</w:t>
      </w:r>
      <w:r>
        <w:rPr>
          <w:highlight w:val="none"/>
        </w:rPr>
        <w:tab/>
      </w:r>
      <w:r>
        <w:rPr>
          <w:highlight w:val="none"/>
        </w:rPr>
        <w:tab/>
      </w:r>
      <w:r>
        <w:rPr>
          <w:highlight w:val="none"/>
        </w:rPr>
        <w:tab/>
      </w:r>
      <w:r>
        <w:rPr>
          <w:highlight w:val="none"/>
        </w:rPr>
        <w:t xml:space="preserve"> 号）的规定，本公司（联合体）参加</w:t>
      </w:r>
      <w:r>
        <w:rPr>
          <w:highlight w:val="none"/>
          <w:u w:val="single"/>
        </w:rPr>
        <w:t>（单位名称）</w:t>
      </w:r>
      <w:r>
        <w:rPr>
          <w:highlight w:val="none"/>
        </w:rPr>
        <w:t>的</w:t>
      </w:r>
      <w:r>
        <w:rPr>
          <w:highlight w:val="none"/>
          <w:u w:val="single"/>
        </w:rPr>
        <w:t>（项目名称）</w:t>
      </w:r>
      <w:r>
        <w:rPr>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highlight w:val="none"/>
        </w:rPr>
      </w:pPr>
      <w:r>
        <w:rPr>
          <w:highlight w:val="none"/>
        </w:rPr>
        <w:t>1.</w:t>
      </w:r>
      <w:r>
        <w:rPr>
          <w:highlight w:val="none"/>
          <w:u w:val="single"/>
        </w:rPr>
        <w:t>（标的名称）</w:t>
      </w:r>
      <w:r>
        <w:rPr>
          <w:highlight w:val="none"/>
        </w:rPr>
        <w:t>，属于</w:t>
      </w:r>
      <w:r>
        <w:rPr>
          <w:highlight w:val="none"/>
          <w:u w:val="single"/>
        </w:rPr>
        <w:t>（采购文件中明确的所属行业）</w:t>
      </w:r>
      <w:r>
        <w:rPr>
          <w:highlight w:val="none"/>
        </w:rPr>
        <w:t>行业；承建（承接）企业为</w:t>
      </w:r>
      <w:r>
        <w:rPr>
          <w:highlight w:val="none"/>
          <w:u w:val="single"/>
        </w:rPr>
        <w:t>（企业名称）</w:t>
      </w:r>
      <w:r>
        <w:rPr>
          <w:highlight w:val="none"/>
        </w:rPr>
        <w:t>，从业人员__________________人，营业收入为__________________万元，资产总额为__________________万元</w:t>
      </w:r>
      <w:r>
        <w:rPr>
          <w:sz w:val="7"/>
          <w:highlight w:val="none"/>
        </w:rPr>
        <w:t>1</w:t>
      </w:r>
      <w:r>
        <w:rPr>
          <w:highlight w:val="none"/>
        </w:rPr>
        <w:t>，属于</w:t>
      </w:r>
      <w:r>
        <w:rPr>
          <w:highlight w:val="none"/>
          <w:u w:val="single"/>
        </w:rPr>
        <w:t>（中型企业、小型企业、微型企业）</w:t>
      </w:r>
      <w:r>
        <w:rPr>
          <w:highlight w:val="none"/>
        </w:rPr>
        <w:t>；</w:t>
      </w:r>
    </w:p>
    <w:p>
      <w:pPr>
        <w:spacing w:line="360" w:lineRule="auto"/>
        <w:ind w:firstLine="480"/>
        <w:rPr>
          <w:highlight w:val="none"/>
        </w:rPr>
      </w:pPr>
      <w:r>
        <w:rPr>
          <w:highlight w:val="none"/>
        </w:rPr>
        <w:t>2.</w:t>
      </w:r>
      <w:r>
        <w:rPr>
          <w:highlight w:val="none"/>
          <w:u w:val="single"/>
        </w:rPr>
        <w:t>（标的名称）</w:t>
      </w:r>
      <w:r>
        <w:rPr>
          <w:highlight w:val="none"/>
        </w:rPr>
        <w:t>，属于</w:t>
      </w:r>
      <w:r>
        <w:rPr>
          <w:highlight w:val="none"/>
          <w:u w:val="single"/>
        </w:rPr>
        <w:t>（采购文件中明确的所属行业）</w:t>
      </w:r>
      <w:r>
        <w:rPr>
          <w:highlight w:val="none"/>
        </w:rPr>
        <w:t>行业；承建（承接）企业为</w:t>
      </w:r>
      <w:r>
        <w:rPr>
          <w:highlight w:val="none"/>
          <w:u w:val="single"/>
        </w:rPr>
        <w:t>（企业名称）</w:t>
      </w:r>
      <w:r>
        <w:rPr>
          <w:highlight w:val="none"/>
        </w:rPr>
        <w:t>，从业人员__________________人，营业收入为__________________万元，资产总额为__________________万元</w:t>
      </w:r>
      <w:r>
        <w:rPr>
          <w:sz w:val="7"/>
          <w:highlight w:val="none"/>
        </w:rPr>
        <w:t>1</w:t>
      </w:r>
      <w:r>
        <w:rPr>
          <w:highlight w:val="none"/>
        </w:rPr>
        <w:t>，属于</w:t>
      </w:r>
      <w:r>
        <w:rPr>
          <w:highlight w:val="none"/>
          <w:u w:val="single"/>
        </w:rPr>
        <w:t>（中型企业、小型企业、微型企业）</w:t>
      </w:r>
      <w:r>
        <w:rPr>
          <w:highlight w:val="none"/>
        </w:rPr>
        <w:t>；</w:t>
      </w:r>
    </w:p>
    <w:p>
      <w:pPr>
        <w:spacing w:line="360" w:lineRule="auto"/>
        <w:ind w:firstLine="480"/>
        <w:rPr>
          <w:highlight w:val="none"/>
        </w:rPr>
      </w:pPr>
      <w:r>
        <w:rPr>
          <w:highlight w:val="none"/>
        </w:rPr>
        <w:t>……</w:t>
      </w:r>
    </w:p>
    <w:p>
      <w:pPr>
        <w:spacing w:line="360" w:lineRule="auto"/>
        <w:ind w:firstLine="480"/>
        <w:rPr>
          <w:highlight w:val="none"/>
        </w:rPr>
      </w:pPr>
      <w:r>
        <w:rPr>
          <w:highlight w:val="none"/>
        </w:rPr>
        <w:t>以上企业，不属于大企业的分支机构，不存在控股股东为大企业的情形，也不存在与大企业的负责人为同一人的情形。</w:t>
      </w:r>
    </w:p>
    <w:p>
      <w:pPr>
        <w:spacing w:line="360" w:lineRule="auto"/>
        <w:ind w:firstLine="480"/>
        <w:rPr>
          <w:highlight w:val="none"/>
        </w:rPr>
      </w:pPr>
      <w:r>
        <w:rPr>
          <w:highlight w:val="none"/>
        </w:rPr>
        <w:t>本企业对上述声明内容的真实性负责。如有虚假，将依法承担相应责任。</w:t>
      </w:r>
    </w:p>
    <w:p>
      <w:pPr>
        <w:spacing w:line="360" w:lineRule="auto"/>
        <w:rPr>
          <w:highlight w:val="none"/>
        </w:rPr>
      </w:pPr>
      <w:r>
        <w:rPr>
          <w:highlight w:val="none"/>
        </w:rPr>
        <w:t xml:space="preserve"> 企业名称（盖章）：__________________</w:t>
      </w:r>
    </w:p>
    <w:p>
      <w:pPr>
        <w:spacing w:line="360" w:lineRule="auto"/>
        <w:rPr>
          <w:highlight w:val="none"/>
        </w:rPr>
      </w:pPr>
      <w:r>
        <w:rPr>
          <w:highlight w:val="none"/>
        </w:rPr>
        <w:t>日期： 年 月 日</w:t>
      </w:r>
    </w:p>
    <w:p>
      <w:pPr>
        <w:spacing w:line="360" w:lineRule="auto"/>
        <w:ind w:firstLine="480"/>
        <w:rPr>
          <w:highlight w:val="none"/>
        </w:rPr>
      </w:pPr>
      <w:r>
        <w:rPr>
          <w:highlight w:val="none"/>
        </w:rPr>
        <w:t>1：从业人员、营业收入、资产总额填报上一年度数据，无上一年度数据的新成立企业可不填报。</w:t>
      </w:r>
    </w:p>
    <w:p>
      <w:pPr>
        <w:spacing w:line="360" w:lineRule="auto"/>
        <w:ind w:firstLine="480"/>
        <w:rPr>
          <w:highlight w:val="none"/>
        </w:rPr>
      </w:pPr>
      <w:r>
        <w:rPr>
          <w:highlight w:val="none"/>
        </w:rPr>
        <w:t>2：投标人应当自行核实是否属于小微企业，并认真填写声明函，若有虚假将追究其责任。</w:t>
      </w:r>
    </w:p>
    <w:p>
      <w:pPr>
        <w:spacing w:line="360" w:lineRule="auto"/>
        <w:jc w:val="both"/>
        <w:rPr>
          <w:rFonts w:hAnsi="宋体"/>
          <w:kern w:val="2"/>
          <w:szCs w:val="21"/>
          <w:highlight w:val="none"/>
        </w:rPr>
      </w:pPr>
    </w:p>
    <w:p>
      <w:pPr>
        <w:spacing w:line="360" w:lineRule="auto"/>
        <w:jc w:val="both"/>
        <w:rPr>
          <w:rFonts w:hAnsi="宋体"/>
          <w:kern w:val="2"/>
          <w:szCs w:val="21"/>
          <w:highlight w:val="none"/>
        </w:rPr>
      </w:pPr>
      <w:r>
        <w:rPr>
          <w:rFonts w:hint="eastAsia" w:hAnsi="宋体"/>
          <w:kern w:val="2"/>
          <w:szCs w:val="21"/>
          <w:highlight w:val="none"/>
        </w:rPr>
        <w:t>【备注】以从业人员、营业收入、资产总额填报上一年度数据，无上一年度数据的新成立企业可不填报。</w:t>
      </w:r>
    </w:p>
    <w:p>
      <w:pPr>
        <w:spacing w:line="300" w:lineRule="auto"/>
        <w:jc w:val="both"/>
        <w:rPr>
          <w:rFonts w:hAnsi="宋体" w:cs="宋体"/>
          <w:kern w:val="2"/>
          <w:szCs w:val="21"/>
          <w:highlight w:val="none"/>
        </w:rPr>
      </w:pPr>
    </w:p>
    <w:p>
      <w:pPr>
        <w:pStyle w:val="4"/>
        <w:spacing w:after="120" w:line="480" w:lineRule="exact"/>
        <w:rPr>
          <w:rFonts w:hAnsi="宋体" w:cs="宋体"/>
          <w:b/>
          <w:szCs w:val="20"/>
          <w:highlight w:val="none"/>
        </w:rPr>
      </w:pPr>
      <w:r>
        <w:rPr>
          <w:rFonts w:hint="eastAsia" w:hAnsi="宋体" w:cs="宋体"/>
          <w:b/>
          <w:szCs w:val="20"/>
          <w:highlight w:val="none"/>
        </w:rPr>
        <w:t>附表2.12-2监狱企业的证明文件（如有）</w:t>
      </w:r>
    </w:p>
    <w:p>
      <w:pPr>
        <w:spacing w:line="300" w:lineRule="auto"/>
        <w:jc w:val="both"/>
        <w:rPr>
          <w:rFonts w:hAnsi="宋体" w:cs="宋体"/>
          <w:kern w:val="2"/>
          <w:szCs w:val="21"/>
          <w:highlight w:val="none"/>
        </w:rPr>
      </w:pPr>
      <w:r>
        <w:rPr>
          <w:rFonts w:hint="eastAsia" w:hAnsi="宋体" w:cs="宋体"/>
          <w:kern w:val="2"/>
          <w:szCs w:val="21"/>
          <w:highlight w:val="none"/>
        </w:rPr>
        <w:t>说明：监狱企业参加政府采购活动时，应当提供由省级以上监狱管理局、戒毒管理局（含新疆生产建设兵团）出具的属于监狱企业的证明文件</w:t>
      </w:r>
    </w:p>
    <w:p>
      <w:pPr>
        <w:tabs>
          <w:tab w:val="left" w:pos="360"/>
          <w:tab w:val="left" w:pos="993"/>
        </w:tabs>
        <w:spacing w:line="360" w:lineRule="auto"/>
        <w:rPr>
          <w:rFonts w:hAnsi="宋体" w:cs="宋体"/>
          <w:szCs w:val="21"/>
          <w:highlight w:val="none"/>
          <w:lang w:val="en-GB"/>
        </w:rPr>
      </w:pPr>
    </w:p>
    <w:p>
      <w:pPr>
        <w:pStyle w:val="4"/>
        <w:spacing w:after="120" w:line="480" w:lineRule="exact"/>
        <w:rPr>
          <w:rFonts w:hAnsi="宋体" w:cs="宋体"/>
          <w:b/>
          <w:szCs w:val="20"/>
          <w:highlight w:val="none"/>
        </w:rPr>
      </w:pPr>
      <w:bookmarkStart w:id="38" w:name="_Hlk495871330"/>
      <w:r>
        <w:rPr>
          <w:rFonts w:hint="eastAsia" w:hAnsi="宋体" w:cs="宋体"/>
          <w:b/>
          <w:szCs w:val="20"/>
          <w:highlight w:val="none"/>
        </w:rPr>
        <w:br w:type="page"/>
      </w:r>
      <w:r>
        <w:rPr>
          <w:rFonts w:hint="eastAsia" w:hAnsi="宋体" w:cs="宋体"/>
          <w:b/>
          <w:szCs w:val="20"/>
          <w:highlight w:val="none"/>
        </w:rPr>
        <w:t>附表2.12-3</w:t>
      </w:r>
      <w:bookmarkEnd w:id="38"/>
      <w:r>
        <w:rPr>
          <w:rFonts w:hint="eastAsia" w:hAnsi="宋体" w:cs="宋体"/>
          <w:b/>
          <w:szCs w:val="20"/>
          <w:highlight w:val="none"/>
        </w:rPr>
        <w:t xml:space="preserve"> 残疾人福利性单位的声明函及证明文件（如有）</w:t>
      </w:r>
    </w:p>
    <w:p>
      <w:pPr>
        <w:tabs>
          <w:tab w:val="left" w:pos="360"/>
          <w:tab w:val="left" w:pos="993"/>
        </w:tabs>
        <w:spacing w:line="360" w:lineRule="auto"/>
        <w:rPr>
          <w:rFonts w:hAnsi="宋体" w:cs="宋体"/>
          <w:szCs w:val="21"/>
          <w:highlight w:val="none"/>
          <w:lang w:val="en-GB"/>
        </w:rPr>
      </w:pPr>
      <w:r>
        <w:rPr>
          <w:rFonts w:hint="eastAsia" w:hAnsi="宋体" w:cs="宋体"/>
          <w:szCs w:val="21"/>
          <w:highlight w:val="none"/>
          <w:lang w:val="en-GB"/>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tabs>
          <w:tab w:val="left" w:pos="360"/>
          <w:tab w:val="left" w:pos="993"/>
        </w:tabs>
        <w:spacing w:line="360" w:lineRule="auto"/>
        <w:rPr>
          <w:rFonts w:hAnsi="宋体" w:cs="宋体"/>
          <w:szCs w:val="21"/>
          <w:highlight w:val="none"/>
          <w:lang w:val="en-GB"/>
        </w:rPr>
      </w:pPr>
      <w:r>
        <w:rPr>
          <w:rFonts w:hint="eastAsia" w:hAnsi="宋体" w:cs="宋体"/>
          <w:szCs w:val="21"/>
          <w:highlight w:val="none"/>
          <w:lang w:val="en-GB"/>
        </w:rPr>
        <w:t>本单位对上述声明的真实性负责。如有虚假，将依法承担相应责任。</w:t>
      </w: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r>
        <w:rPr>
          <w:rFonts w:hint="eastAsia" w:hAnsi="宋体" w:cs="宋体"/>
          <w:szCs w:val="21"/>
          <w:highlight w:val="none"/>
          <w:lang w:val="en-GB"/>
        </w:rPr>
        <w:t>单位名称（盖章）：</w:t>
      </w:r>
    </w:p>
    <w:p>
      <w:pPr>
        <w:tabs>
          <w:tab w:val="left" w:pos="360"/>
          <w:tab w:val="left" w:pos="993"/>
        </w:tabs>
        <w:spacing w:line="360" w:lineRule="auto"/>
        <w:rPr>
          <w:rFonts w:hAnsi="宋体" w:cs="宋体"/>
          <w:szCs w:val="21"/>
          <w:highlight w:val="none"/>
          <w:lang w:val="en-GB"/>
        </w:rPr>
      </w:pPr>
      <w:r>
        <w:rPr>
          <w:rFonts w:hint="eastAsia" w:hAnsi="宋体" w:cs="宋体"/>
          <w:szCs w:val="21"/>
          <w:highlight w:val="none"/>
          <w:lang w:val="en-GB"/>
        </w:rPr>
        <w:t>日  期：</w:t>
      </w: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tabs>
          <w:tab w:val="left" w:pos="360"/>
          <w:tab w:val="left" w:pos="993"/>
        </w:tabs>
        <w:spacing w:line="360" w:lineRule="auto"/>
        <w:rPr>
          <w:rFonts w:hAnsi="宋体" w:cs="宋体"/>
          <w:szCs w:val="21"/>
          <w:highlight w:val="none"/>
          <w:lang w:val="en-GB"/>
        </w:rPr>
      </w:pPr>
    </w:p>
    <w:p>
      <w:pPr>
        <w:pStyle w:val="4"/>
        <w:spacing w:after="120" w:line="480" w:lineRule="exact"/>
        <w:rPr>
          <w:rFonts w:hAnsi="宋体" w:cs="宋体"/>
          <w:b/>
          <w:szCs w:val="20"/>
          <w:highlight w:val="none"/>
        </w:rPr>
      </w:pPr>
      <w:r>
        <w:rPr>
          <w:rFonts w:hint="eastAsia" w:hAnsi="宋体" w:cs="宋体"/>
          <w:b/>
          <w:szCs w:val="20"/>
          <w:highlight w:val="none"/>
        </w:rPr>
        <w:br w:type="page"/>
      </w:r>
    </w:p>
    <w:p>
      <w:pPr>
        <w:pStyle w:val="4"/>
        <w:spacing w:after="120" w:line="480" w:lineRule="exact"/>
        <w:rPr>
          <w:rFonts w:hAnsi="宋体" w:cs="宋体"/>
          <w:b/>
          <w:szCs w:val="21"/>
          <w:highlight w:val="none"/>
        </w:rPr>
      </w:pPr>
      <w:r>
        <w:rPr>
          <w:rFonts w:hint="eastAsia" w:hAnsi="宋体" w:cs="宋体"/>
          <w:b/>
          <w:szCs w:val="20"/>
          <w:highlight w:val="none"/>
        </w:rPr>
        <w:t>附表2.13 投标人认为完成本项目所需的其他证明文件</w:t>
      </w:r>
    </w:p>
    <w:p>
      <w:pPr>
        <w:spacing w:line="360" w:lineRule="auto"/>
        <w:ind w:firstLine="420" w:firstLineChars="200"/>
        <w:rPr>
          <w:rFonts w:hAnsi="宋体" w:cs="宋体"/>
          <w:szCs w:val="21"/>
          <w:highlight w:val="none"/>
        </w:rPr>
      </w:pPr>
      <w:r>
        <w:rPr>
          <w:rFonts w:hint="eastAsia" w:hAnsi="宋体" w:cs="宋体"/>
          <w:szCs w:val="21"/>
          <w:highlight w:val="none"/>
        </w:rPr>
        <w:t xml:space="preserve">投标人在有效期内ISO9001质量体系认证证书、ISO14001环境体系认证证书等（如有）（请粘贴相关证书复印件）  </w:t>
      </w:r>
    </w:p>
    <w:p>
      <w:pPr>
        <w:spacing w:line="360" w:lineRule="auto"/>
        <w:ind w:firstLine="420" w:firstLineChars="200"/>
        <w:rPr>
          <w:rFonts w:hAnsi="宋体" w:cs="宋体"/>
          <w:szCs w:val="21"/>
          <w:highlight w:val="none"/>
        </w:rPr>
      </w:pPr>
    </w:p>
    <w:p>
      <w:pPr>
        <w:spacing w:line="360" w:lineRule="auto"/>
        <w:ind w:firstLine="420" w:firstLineChars="200"/>
        <w:rPr>
          <w:rFonts w:hAnsi="宋体" w:cs="宋体"/>
          <w:szCs w:val="21"/>
          <w:highlight w:val="none"/>
        </w:rPr>
      </w:pPr>
    </w:p>
    <w:p>
      <w:pPr>
        <w:spacing w:line="360" w:lineRule="auto"/>
        <w:ind w:firstLine="420" w:firstLineChars="200"/>
        <w:rPr>
          <w:rFonts w:hAnsi="宋体" w:cs="宋体"/>
          <w:szCs w:val="21"/>
          <w:highlight w:val="none"/>
        </w:rPr>
      </w:pPr>
    </w:p>
    <w:p>
      <w:pPr>
        <w:spacing w:line="360" w:lineRule="auto"/>
        <w:ind w:firstLine="420" w:firstLineChars="200"/>
        <w:rPr>
          <w:rFonts w:hAnsi="宋体" w:cs="宋体"/>
          <w:szCs w:val="21"/>
          <w:highlight w:val="none"/>
        </w:rPr>
      </w:pPr>
      <w:r>
        <w:rPr>
          <w:rFonts w:hint="eastAsia" w:hAnsi="宋体" w:cs="宋体"/>
          <w:szCs w:val="21"/>
          <w:highlight w:val="none"/>
        </w:rPr>
        <w:t>（格式自定）</w:t>
      </w:r>
    </w:p>
    <w:p>
      <w:pPr>
        <w:widowControl/>
        <w:spacing w:before="100" w:beforeAutospacing="1" w:after="100" w:afterAutospacing="1" w:line="360" w:lineRule="auto"/>
        <w:rPr>
          <w:rFonts w:hAnsi="宋体" w:cs="宋体"/>
          <w:szCs w:val="21"/>
          <w:highlight w:val="none"/>
        </w:rPr>
        <w:sectPr>
          <w:pgSz w:w="11906" w:h="16838"/>
          <w:pgMar w:top="1440" w:right="1800" w:bottom="1440" w:left="1800" w:header="850" w:footer="1020" w:gutter="0"/>
          <w:pgBorders>
            <w:top w:val="none" w:sz="0" w:space="0"/>
            <w:left w:val="none" w:sz="0" w:space="0"/>
            <w:bottom w:val="none" w:sz="0" w:space="0"/>
            <w:right w:val="none" w:sz="0" w:space="0"/>
          </w:pgBorders>
          <w:cols w:space="720" w:num="1"/>
          <w:docGrid w:type="lines" w:linePitch="312" w:charSpace="0"/>
        </w:sectPr>
      </w:pPr>
    </w:p>
    <w:p>
      <w:pPr>
        <w:pStyle w:val="4"/>
        <w:spacing w:after="120" w:line="480" w:lineRule="exact"/>
        <w:rPr>
          <w:rFonts w:hAnsi="宋体" w:cs="宋体"/>
          <w:b/>
          <w:szCs w:val="20"/>
          <w:highlight w:val="none"/>
        </w:rPr>
      </w:pPr>
      <w:bookmarkStart w:id="39" w:name="_Hlk495871502"/>
      <w:r>
        <w:rPr>
          <w:rFonts w:hint="eastAsia" w:hAnsi="宋体" w:cs="宋体"/>
          <w:b/>
          <w:szCs w:val="20"/>
          <w:highlight w:val="none"/>
        </w:rPr>
        <w:t>附表2.14 公平竞争承诺书</w:t>
      </w:r>
    </w:p>
    <w:bookmarkEnd w:id="39"/>
    <w:p>
      <w:pPr>
        <w:spacing w:line="360" w:lineRule="auto"/>
        <w:ind w:firstLine="422" w:firstLineChars="200"/>
        <w:jc w:val="center"/>
        <w:rPr>
          <w:rFonts w:hAnsi="宋体" w:cs="宋体"/>
          <w:b/>
          <w:highlight w:val="none"/>
        </w:rPr>
      </w:pPr>
      <w:bookmarkStart w:id="40" w:name="_Toc345249422"/>
      <w:bookmarkStart w:id="41" w:name="_Hlk495871495"/>
      <w:r>
        <w:rPr>
          <w:rFonts w:hint="eastAsia" w:hAnsi="宋体" w:cs="宋体"/>
          <w:b/>
          <w:highlight w:val="none"/>
        </w:rPr>
        <w:t>公平竞争承诺书</w:t>
      </w:r>
      <w:bookmarkEnd w:id="40"/>
    </w:p>
    <w:bookmarkEnd w:id="41"/>
    <w:p>
      <w:pPr>
        <w:spacing w:line="360" w:lineRule="auto"/>
        <w:ind w:firstLine="420" w:firstLineChars="200"/>
        <w:rPr>
          <w:rFonts w:hAnsi="宋体" w:cs="宋体"/>
          <w:highlight w:val="none"/>
        </w:rPr>
      </w:pPr>
    </w:p>
    <w:p>
      <w:pPr>
        <w:spacing w:line="360" w:lineRule="auto"/>
        <w:ind w:firstLine="420" w:firstLineChars="200"/>
        <w:rPr>
          <w:rFonts w:hAnsi="宋体" w:cs="宋体"/>
          <w:highlight w:val="none"/>
        </w:rPr>
      </w:pPr>
      <w:r>
        <w:rPr>
          <w:rFonts w:hint="eastAsia" w:hAnsi="宋体" w:cs="宋体"/>
          <w:highlight w:val="none"/>
        </w:rPr>
        <w:t xml:space="preserve">本公司郑重承诺：本公司保证所提交的相关资质文件和证明材料的真实性，有良好的历史诚信记录，并将依法参与 </w:t>
      </w:r>
      <w:r>
        <w:rPr>
          <w:rFonts w:hint="eastAsia" w:hAnsi="宋体" w:cs="宋体"/>
          <w:highlight w:val="none"/>
          <w:u w:val="single"/>
        </w:rPr>
        <w:t xml:space="preserve"> 国家海洋局南海标准计量中心2023年船员服务采购项目 </w:t>
      </w:r>
      <w:r>
        <w:rPr>
          <w:rFonts w:hint="eastAsia" w:hAnsi="宋体" w:cs="宋体"/>
          <w:highlight w:val="none"/>
        </w:rPr>
        <w:t xml:space="preserve">项目的公平竞争，不以任何不正当行为谋取不当利益，否则承担相应的法律责任。  </w:t>
      </w:r>
    </w:p>
    <w:p>
      <w:pPr>
        <w:spacing w:line="360" w:lineRule="auto"/>
        <w:rPr>
          <w:rFonts w:hAnsi="宋体" w:cs="宋体"/>
          <w:highlight w:val="none"/>
        </w:rPr>
      </w:pPr>
    </w:p>
    <w:p>
      <w:pPr>
        <w:spacing w:line="360" w:lineRule="auto"/>
        <w:rPr>
          <w:rFonts w:hAnsi="宋体" w:cs="宋体"/>
          <w:highlight w:val="none"/>
        </w:rPr>
      </w:pPr>
    </w:p>
    <w:p>
      <w:pPr>
        <w:spacing w:line="360" w:lineRule="auto"/>
        <w:rPr>
          <w:rFonts w:hAnsi="宋体" w:cs="宋体"/>
          <w:highlight w:val="none"/>
        </w:rPr>
      </w:pPr>
    </w:p>
    <w:p>
      <w:pPr>
        <w:spacing w:line="360" w:lineRule="auto"/>
        <w:jc w:val="right"/>
        <w:rPr>
          <w:rFonts w:hAnsi="宋体" w:cs="宋体"/>
          <w:highlight w:val="none"/>
        </w:rPr>
      </w:pPr>
      <w:r>
        <w:rPr>
          <w:rFonts w:hint="eastAsia" w:hAnsi="宋体" w:cs="宋体"/>
          <w:highlight w:val="none"/>
        </w:rPr>
        <w:t>（公司名称，加盖公章）</w:t>
      </w:r>
    </w:p>
    <w:p>
      <w:pPr>
        <w:spacing w:line="440" w:lineRule="exact"/>
        <w:jc w:val="right"/>
        <w:rPr>
          <w:rFonts w:hAnsi="宋体" w:cs="宋体"/>
          <w:highlight w:val="none"/>
        </w:rPr>
      </w:pPr>
      <w:r>
        <w:rPr>
          <w:rFonts w:hint="eastAsia" w:hAnsi="宋体" w:cs="宋体"/>
          <w:highlight w:val="none"/>
        </w:rPr>
        <w:t>时间：  年    月   日</w:t>
      </w: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rFonts w:hAnsi="宋体" w:cs="宋体"/>
          <w:highlight w:val="none"/>
        </w:rPr>
      </w:pPr>
    </w:p>
    <w:p>
      <w:pPr>
        <w:rPr>
          <w:highlight w:val="none"/>
        </w:rPr>
      </w:pPr>
    </w:p>
    <w:p>
      <w:pPr>
        <w:rPr>
          <w:highlight w:val="none"/>
        </w:rPr>
      </w:pPr>
    </w:p>
    <w:p>
      <w:pPr>
        <w:rPr>
          <w:highlight w:val="none"/>
        </w:rPr>
      </w:pPr>
    </w:p>
    <w:p>
      <w:pPr>
        <w:rPr>
          <w:highlight w:val="none"/>
        </w:rPr>
      </w:pPr>
    </w:p>
    <w:p>
      <w:pPr>
        <w:pStyle w:val="4"/>
        <w:spacing w:before="312" w:line="480" w:lineRule="exact"/>
        <w:jc w:val="center"/>
        <w:rPr>
          <w:rFonts w:hAnsi="宋体" w:cs="宋体"/>
          <w:b/>
          <w:sz w:val="32"/>
          <w:szCs w:val="32"/>
          <w:highlight w:val="none"/>
        </w:rPr>
      </w:pPr>
      <w:r>
        <w:rPr>
          <w:rFonts w:hint="eastAsia"/>
          <w:highlight w:val="none"/>
        </w:rPr>
        <w:br w:type="page"/>
      </w:r>
      <w:r>
        <w:rPr>
          <w:rFonts w:hint="eastAsia" w:hAnsi="宋体" w:cs="宋体"/>
          <w:b/>
          <w:sz w:val="32"/>
          <w:szCs w:val="32"/>
          <w:highlight w:val="none"/>
        </w:rPr>
        <w:t>三、技术部分文件</w:t>
      </w:r>
    </w:p>
    <w:bookmarkEnd w:id="33"/>
    <w:p>
      <w:pPr>
        <w:jc w:val="center"/>
        <w:rPr>
          <w:rFonts w:hAnsi="宋体" w:cs="宋体"/>
          <w:b/>
          <w:highlight w:val="none"/>
        </w:rPr>
      </w:pPr>
    </w:p>
    <w:p>
      <w:pPr>
        <w:spacing w:line="480" w:lineRule="exact"/>
        <w:ind w:left="709" w:hanging="709"/>
        <w:jc w:val="both"/>
        <w:rPr>
          <w:rFonts w:hAnsi="宋体" w:cs="宋体"/>
          <w:szCs w:val="21"/>
          <w:highlight w:val="none"/>
        </w:rPr>
      </w:pPr>
      <w:r>
        <w:rPr>
          <w:rFonts w:hint="eastAsia" w:hAnsi="宋体" w:cs="宋体"/>
          <w:b/>
          <w:szCs w:val="21"/>
          <w:highlight w:val="none"/>
        </w:rPr>
        <w:t>[说明]</w:t>
      </w:r>
      <w:r>
        <w:rPr>
          <w:rFonts w:hint="eastAsia" w:hAnsi="宋体" w:cs="宋体"/>
          <w:szCs w:val="21"/>
          <w:highlight w:val="none"/>
        </w:rPr>
        <w:t xml:space="preserve"> 投标人应按照招标文件要求，根据“用户需求书”内容作出全面响应。编制和提交的内容应包括但不限于以下各项。对必须满足的内容，必须完全满足。对响应有差异的，则说明差异的内容。</w:t>
      </w:r>
    </w:p>
    <w:p>
      <w:pPr>
        <w:spacing w:line="360" w:lineRule="auto"/>
        <w:rPr>
          <w:rFonts w:hAnsi="宋体" w:cs="宋体"/>
          <w:szCs w:val="21"/>
          <w:highlight w:val="none"/>
        </w:rPr>
      </w:pPr>
    </w:p>
    <w:p>
      <w:pPr>
        <w:spacing w:line="360" w:lineRule="auto"/>
        <w:ind w:firstLine="525" w:firstLineChars="250"/>
        <w:rPr>
          <w:rFonts w:hAnsi="宋体" w:cs="宋体"/>
          <w:szCs w:val="21"/>
          <w:highlight w:val="none"/>
        </w:rPr>
      </w:pPr>
      <w:r>
        <w:rPr>
          <w:rFonts w:hint="eastAsia" w:hAnsi="宋体" w:cs="宋体"/>
          <w:szCs w:val="21"/>
          <w:highlight w:val="none"/>
        </w:rPr>
        <w:t>附表3.1   服务总体方案</w:t>
      </w:r>
    </w:p>
    <w:p>
      <w:pPr>
        <w:spacing w:line="360" w:lineRule="auto"/>
        <w:ind w:firstLine="525" w:firstLineChars="250"/>
        <w:rPr>
          <w:rFonts w:hAnsi="宋体" w:cs="宋体"/>
          <w:szCs w:val="21"/>
          <w:highlight w:val="none"/>
        </w:rPr>
      </w:pPr>
      <w:r>
        <w:rPr>
          <w:rFonts w:hint="eastAsia" w:hAnsi="宋体" w:cs="宋体"/>
          <w:szCs w:val="21"/>
          <w:highlight w:val="none"/>
        </w:rPr>
        <w:t>附表3.2   临时突击性工作及突发事件应急保障措施</w:t>
      </w:r>
    </w:p>
    <w:p>
      <w:pPr>
        <w:spacing w:line="360" w:lineRule="auto"/>
        <w:ind w:firstLine="525" w:firstLineChars="250"/>
        <w:rPr>
          <w:rFonts w:hAnsi="宋体" w:cs="宋体"/>
          <w:szCs w:val="21"/>
          <w:highlight w:val="none"/>
        </w:rPr>
      </w:pPr>
      <w:r>
        <w:rPr>
          <w:rFonts w:hint="eastAsia" w:hAnsi="宋体" w:cs="宋体"/>
          <w:szCs w:val="21"/>
          <w:highlight w:val="none"/>
        </w:rPr>
        <w:t>附表3.3   整体船舶管理服务方案</w:t>
      </w:r>
    </w:p>
    <w:p>
      <w:pPr>
        <w:spacing w:line="360" w:lineRule="auto"/>
        <w:ind w:firstLine="525" w:firstLineChars="250"/>
        <w:rPr>
          <w:rFonts w:hAnsi="宋体" w:cs="宋体"/>
          <w:szCs w:val="21"/>
          <w:highlight w:val="none"/>
        </w:rPr>
      </w:pPr>
      <w:r>
        <w:rPr>
          <w:rFonts w:hint="eastAsia" w:hAnsi="宋体" w:cs="宋体"/>
          <w:szCs w:val="21"/>
          <w:highlight w:val="none"/>
        </w:rPr>
        <w:t>附表3.4   人文关怀和激励保障措施</w:t>
      </w:r>
    </w:p>
    <w:p>
      <w:pPr>
        <w:spacing w:line="360" w:lineRule="auto"/>
        <w:ind w:firstLine="525" w:firstLineChars="250"/>
        <w:rPr>
          <w:rFonts w:hAnsi="宋体" w:cs="宋体"/>
          <w:szCs w:val="21"/>
          <w:highlight w:val="none"/>
        </w:rPr>
      </w:pPr>
      <w:r>
        <w:rPr>
          <w:rFonts w:hint="eastAsia" w:hAnsi="宋体" w:cs="宋体"/>
          <w:szCs w:val="21"/>
          <w:highlight w:val="none"/>
        </w:rPr>
        <w:t>附表3.5   船员待遇保障水平</w:t>
      </w:r>
    </w:p>
    <w:p>
      <w:pPr>
        <w:spacing w:line="360" w:lineRule="auto"/>
        <w:ind w:firstLine="525" w:firstLineChars="250"/>
        <w:rPr>
          <w:rFonts w:hAnsi="宋体" w:cs="宋体"/>
          <w:szCs w:val="21"/>
          <w:highlight w:val="none"/>
        </w:rPr>
      </w:pPr>
      <w:r>
        <w:rPr>
          <w:rFonts w:hint="eastAsia" w:hAnsi="宋体" w:cs="宋体"/>
          <w:szCs w:val="21"/>
          <w:highlight w:val="none"/>
        </w:rPr>
        <w:t>附表3.</w:t>
      </w:r>
      <w:r>
        <w:rPr>
          <w:rFonts w:hAnsi="宋体" w:cs="宋体"/>
          <w:szCs w:val="21"/>
          <w:highlight w:val="none"/>
        </w:rPr>
        <w:t>6</w:t>
      </w:r>
      <w:r>
        <w:rPr>
          <w:rFonts w:hint="eastAsia" w:hAnsi="宋体" w:cs="宋体"/>
          <w:szCs w:val="21"/>
          <w:highlight w:val="none"/>
        </w:rPr>
        <w:t>技术规格偏离表</w:t>
      </w:r>
    </w:p>
    <w:p>
      <w:pPr>
        <w:spacing w:line="360" w:lineRule="auto"/>
        <w:rPr>
          <w:rFonts w:hAnsi="宋体" w:cs="宋体"/>
          <w:b/>
          <w:szCs w:val="21"/>
          <w:highlight w:val="none"/>
        </w:rPr>
      </w:pPr>
    </w:p>
    <w:p>
      <w:pPr>
        <w:spacing w:line="360" w:lineRule="auto"/>
        <w:rPr>
          <w:rFonts w:hAnsi="宋体" w:cs="宋体"/>
          <w:b/>
          <w:szCs w:val="21"/>
          <w:highlight w:val="none"/>
        </w:rPr>
      </w:pPr>
    </w:p>
    <w:p>
      <w:pPr>
        <w:spacing w:line="360" w:lineRule="auto"/>
        <w:rPr>
          <w:rFonts w:hAnsi="宋体" w:cs="宋体"/>
          <w:szCs w:val="21"/>
          <w:highlight w:val="none"/>
        </w:rPr>
      </w:pPr>
    </w:p>
    <w:p>
      <w:pPr>
        <w:pStyle w:val="4"/>
        <w:spacing w:after="120" w:line="480" w:lineRule="exact"/>
        <w:rPr>
          <w:rFonts w:hAnsi="宋体" w:cs="宋体"/>
          <w:b/>
          <w:szCs w:val="21"/>
          <w:highlight w:val="none"/>
        </w:rPr>
      </w:pPr>
      <w:r>
        <w:rPr>
          <w:rFonts w:hint="eastAsia" w:hAnsi="宋体" w:cs="宋体"/>
          <w:b/>
          <w:highlight w:val="none"/>
        </w:rPr>
        <w:br w:type="page"/>
      </w:r>
      <w:r>
        <w:rPr>
          <w:rFonts w:hint="eastAsia" w:hAnsi="宋体" w:cs="宋体"/>
          <w:b/>
          <w:szCs w:val="20"/>
          <w:highlight w:val="none"/>
        </w:rPr>
        <w:t>附表3.1 服务总体方案</w:t>
      </w:r>
    </w:p>
    <w:p>
      <w:pPr>
        <w:spacing w:line="360" w:lineRule="auto"/>
        <w:jc w:val="center"/>
        <w:rPr>
          <w:rFonts w:hAnsi="宋体" w:cs="宋体"/>
          <w:b/>
          <w:highlight w:val="none"/>
        </w:rPr>
      </w:pPr>
    </w:p>
    <w:p>
      <w:pPr>
        <w:spacing w:line="360" w:lineRule="auto"/>
        <w:jc w:val="center"/>
        <w:rPr>
          <w:rFonts w:hAnsi="宋体" w:cs="宋体"/>
          <w:szCs w:val="21"/>
          <w:highlight w:val="none"/>
        </w:rPr>
      </w:pPr>
      <w:r>
        <w:rPr>
          <w:rFonts w:hint="eastAsia" w:hAnsi="宋体" w:cs="宋体"/>
          <w:b/>
          <w:sz w:val="32"/>
          <w:szCs w:val="32"/>
          <w:highlight w:val="none"/>
        </w:rPr>
        <w:t>服务总体方案</w:t>
      </w:r>
    </w:p>
    <w:p>
      <w:pPr>
        <w:spacing w:line="360" w:lineRule="auto"/>
        <w:rPr>
          <w:rFonts w:hAnsi="宋体" w:cs="宋体"/>
          <w:szCs w:val="21"/>
          <w:highlight w:val="none"/>
          <w:lang w:val="en-GB"/>
        </w:rPr>
      </w:pPr>
      <w:r>
        <w:rPr>
          <w:rFonts w:hint="eastAsia" w:hAnsi="宋体" w:cs="宋体"/>
          <w:szCs w:val="21"/>
          <w:highlight w:val="none"/>
        </w:rPr>
        <w:t>服务总体方案</w:t>
      </w:r>
    </w:p>
    <w:p>
      <w:pPr>
        <w:spacing w:line="360" w:lineRule="auto"/>
        <w:rPr>
          <w:rFonts w:hAnsi="宋体" w:cs="宋体"/>
          <w:szCs w:val="21"/>
          <w:highlight w:val="none"/>
        </w:rPr>
      </w:pPr>
    </w:p>
    <w:p>
      <w:pPr>
        <w:snapToGrid w:val="0"/>
        <w:spacing w:line="30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0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日期：年 月 日</w:t>
      </w:r>
    </w:p>
    <w:p>
      <w:pPr>
        <w:spacing w:line="360" w:lineRule="auto"/>
        <w:rPr>
          <w:rFonts w:hAnsi="宋体" w:cs="宋体"/>
          <w:szCs w:val="21"/>
          <w:highlight w:val="none"/>
        </w:rPr>
      </w:pPr>
    </w:p>
    <w:p>
      <w:pPr>
        <w:pStyle w:val="4"/>
        <w:spacing w:after="120" w:line="480" w:lineRule="exact"/>
        <w:rPr>
          <w:rFonts w:hAnsi="宋体" w:cs="宋体"/>
          <w:b/>
          <w:szCs w:val="21"/>
          <w:highlight w:val="none"/>
        </w:rPr>
      </w:pPr>
      <w:r>
        <w:rPr>
          <w:rFonts w:hint="eastAsia" w:hAnsi="宋体" w:cs="宋体"/>
          <w:b/>
          <w:szCs w:val="20"/>
          <w:highlight w:val="none"/>
        </w:rPr>
        <w:t>附表3.2 临时突击性工作及突发事件应急保障措施</w:t>
      </w:r>
    </w:p>
    <w:p>
      <w:pPr>
        <w:spacing w:line="360" w:lineRule="auto"/>
        <w:jc w:val="center"/>
        <w:rPr>
          <w:rFonts w:hAnsi="宋体" w:cs="宋体"/>
          <w:b/>
          <w:highlight w:val="none"/>
        </w:rPr>
      </w:pPr>
    </w:p>
    <w:p>
      <w:pPr>
        <w:spacing w:line="360" w:lineRule="auto"/>
        <w:jc w:val="center"/>
        <w:rPr>
          <w:rFonts w:hAnsi="宋体" w:cs="宋体"/>
          <w:b/>
          <w:sz w:val="32"/>
          <w:szCs w:val="32"/>
          <w:highlight w:val="none"/>
        </w:rPr>
      </w:pPr>
      <w:r>
        <w:rPr>
          <w:rFonts w:hint="eastAsia" w:hAnsi="宋体" w:cs="宋体"/>
          <w:b/>
          <w:sz w:val="32"/>
          <w:szCs w:val="32"/>
          <w:highlight w:val="none"/>
        </w:rPr>
        <w:t>临时突击性工作及突发事件应急保障措施</w:t>
      </w:r>
    </w:p>
    <w:p>
      <w:pPr>
        <w:pStyle w:val="2"/>
        <w:rPr>
          <w:highlight w:val="none"/>
        </w:rPr>
      </w:pPr>
    </w:p>
    <w:p>
      <w:pPr>
        <w:spacing w:line="360" w:lineRule="auto"/>
        <w:rPr>
          <w:rFonts w:hAnsi="宋体" w:cs="宋体"/>
          <w:szCs w:val="21"/>
          <w:highlight w:val="none"/>
        </w:rPr>
      </w:pPr>
      <w:r>
        <w:rPr>
          <w:rFonts w:hint="eastAsia" w:hAnsi="宋体" w:cs="宋体"/>
          <w:szCs w:val="21"/>
          <w:highlight w:val="none"/>
        </w:rPr>
        <w:t>临时突击性工作及突发事件应急保障措施</w:t>
      </w:r>
    </w:p>
    <w:p>
      <w:pPr>
        <w:pStyle w:val="2"/>
        <w:rPr>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60" w:lineRule="auto"/>
        <w:rPr>
          <w:rFonts w:hAnsi="宋体" w:cs="宋体"/>
          <w:szCs w:val="21"/>
          <w:highlight w:val="none"/>
        </w:rPr>
      </w:pPr>
      <w:r>
        <w:rPr>
          <w:rFonts w:hint="eastAsia" w:hAnsi="宋体" w:cs="宋体"/>
          <w:szCs w:val="21"/>
          <w:highlight w:val="none"/>
        </w:rPr>
        <w:t>日期：年 月 日</w:t>
      </w:r>
    </w:p>
    <w:p>
      <w:pPr>
        <w:spacing w:line="360" w:lineRule="auto"/>
        <w:rPr>
          <w:rFonts w:hAnsi="宋体" w:cs="宋体"/>
          <w:szCs w:val="21"/>
          <w:highlight w:val="none"/>
        </w:rPr>
      </w:pPr>
    </w:p>
    <w:p>
      <w:pPr>
        <w:pStyle w:val="4"/>
        <w:spacing w:after="120" w:line="480" w:lineRule="exact"/>
        <w:rPr>
          <w:rFonts w:hAnsi="宋体" w:cs="宋体"/>
          <w:b/>
          <w:szCs w:val="21"/>
          <w:highlight w:val="none"/>
        </w:rPr>
      </w:pPr>
      <w:r>
        <w:rPr>
          <w:rFonts w:hint="eastAsia" w:hAnsi="宋体" w:cs="宋体"/>
          <w:b/>
          <w:szCs w:val="20"/>
          <w:highlight w:val="none"/>
        </w:rPr>
        <w:t>附表3.3 整体船舶管理服务方案</w:t>
      </w:r>
    </w:p>
    <w:p>
      <w:pPr>
        <w:spacing w:line="360" w:lineRule="auto"/>
        <w:ind w:firstLine="643" w:firstLineChars="200"/>
        <w:jc w:val="center"/>
        <w:rPr>
          <w:rFonts w:hAnsi="宋体" w:cs="宋体"/>
          <w:b/>
          <w:sz w:val="32"/>
          <w:szCs w:val="32"/>
          <w:highlight w:val="none"/>
        </w:rPr>
      </w:pPr>
    </w:p>
    <w:p>
      <w:pPr>
        <w:spacing w:line="360" w:lineRule="auto"/>
        <w:jc w:val="center"/>
        <w:rPr>
          <w:rFonts w:hAnsi="宋体" w:cs="宋体"/>
          <w:szCs w:val="21"/>
          <w:highlight w:val="none"/>
          <w:lang w:val="en-GB"/>
        </w:rPr>
      </w:pPr>
      <w:r>
        <w:rPr>
          <w:rFonts w:hint="eastAsia" w:hAnsi="宋体" w:cs="宋体"/>
          <w:b/>
          <w:sz w:val="32"/>
          <w:szCs w:val="32"/>
          <w:highlight w:val="none"/>
        </w:rPr>
        <w:t>整体船舶管理服务方案</w:t>
      </w:r>
    </w:p>
    <w:p>
      <w:pPr>
        <w:spacing w:line="360" w:lineRule="auto"/>
        <w:rPr>
          <w:rFonts w:hAnsi="宋体" w:cs="宋体"/>
          <w:szCs w:val="21"/>
          <w:highlight w:val="none"/>
          <w:lang w:val="en-GB"/>
        </w:rPr>
      </w:pPr>
      <w:r>
        <w:rPr>
          <w:rFonts w:hint="eastAsia" w:hAnsi="宋体" w:cs="宋体"/>
          <w:szCs w:val="21"/>
          <w:highlight w:val="none"/>
          <w:lang w:val="en-GB"/>
        </w:rPr>
        <w:t>整体船舶管理服务方案</w:t>
      </w:r>
    </w:p>
    <w:p>
      <w:pPr>
        <w:snapToGrid w:val="0"/>
        <w:spacing w:line="360" w:lineRule="auto"/>
        <w:rPr>
          <w:rFonts w:hAnsi="宋体" w:cs="宋体"/>
          <w:szCs w:val="21"/>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60" w:lineRule="auto"/>
        <w:rPr>
          <w:rFonts w:hAnsi="宋体" w:cs="宋体"/>
          <w:szCs w:val="21"/>
          <w:highlight w:val="none"/>
        </w:rPr>
      </w:pPr>
      <w:r>
        <w:rPr>
          <w:rFonts w:hint="eastAsia" w:hAnsi="宋体" w:cs="宋体"/>
          <w:szCs w:val="21"/>
          <w:highlight w:val="none"/>
        </w:rPr>
        <w:t>日期：年 月 日</w:t>
      </w:r>
    </w:p>
    <w:p>
      <w:pPr>
        <w:spacing w:line="360" w:lineRule="auto"/>
        <w:rPr>
          <w:rFonts w:hAnsi="宋体" w:cs="宋体"/>
          <w:b/>
          <w:highlight w:val="none"/>
        </w:rPr>
      </w:pPr>
    </w:p>
    <w:p>
      <w:pPr>
        <w:pStyle w:val="4"/>
        <w:spacing w:after="120" w:line="480" w:lineRule="exact"/>
        <w:rPr>
          <w:rFonts w:hAnsi="宋体" w:cs="宋体"/>
          <w:b/>
          <w:szCs w:val="21"/>
          <w:highlight w:val="none"/>
        </w:rPr>
      </w:pPr>
      <w:r>
        <w:rPr>
          <w:rFonts w:hint="eastAsia" w:hAnsi="宋体" w:cs="宋体"/>
          <w:szCs w:val="21"/>
          <w:highlight w:val="none"/>
        </w:rPr>
        <w:br w:type="page"/>
      </w:r>
      <w:r>
        <w:rPr>
          <w:rFonts w:hint="eastAsia" w:hAnsi="宋体" w:cs="宋体"/>
          <w:b/>
          <w:szCs w:val="20"/>
          <w:highlight w:val="none"/>
        </w:rPr>
        <w:t>附表3.4 人文关怀和激励保障措施</w:t>
      </w:r>
    </w:p>
    <w:p>
      <w:pPr>
        <w:spacing w:line="480" w:lineRule="exact"/>
        <w:rPr>
          <w:rFonts w:hAnsi="宋体" w:cs="宋体"/>
          <w:b/>
          <w:highlight w:val="none"/>
        </w:rPr>
      </w:pPr>
    </w:p>
    <w:p>
      <w:pPr>
        <w:spacing w:line="480" w:lineRule="exact"/>
        <w:jc w:val="center"/>
        <w:rPr>
          <w:rFonts w:hAnsi="宋体" w:cs="宋体"/>
          <w:b/>
          <w:bCs/>
          <w:sz w:val="32"/>
          <w:szCs w:val="32"/>
          <w:highlight w:val="none"/>
        </w:rPr>
      </w:pPr>
      <w:r>
        <w:rPr>
          <w:rFonts w:hint="eastAsia" w:hAnsi="宋体" w:cs="宋体"/>
          <w:b/>
          <w:bCs/>
          <w:sz w:val="32"/>
          <w:szCs w:val="32"/>
          <w:highlight w:val="none"/>
        </w:rPr>
        <w:t>人文关怀和激励保障措施</w:t>
      </w:r>
    </w:p>
    <w:p>
      <w:pPr>
        <w:pStyle w:val="2"/>
        <w:rPr>
          <w:highlight w:val="none"/>
        </w:rPr>
      </w:pPr>
    </w:p>
    <w:p>
      <w:pPr>
        <w:spacing w:line="480" w:lineRule="exact"/>
        <w:rPr>
          <w:rFonts w:hAnsi="宋体" w:cs="宋体"/>
          <w:szCs w:val="21"/>
          <w:highlight w:val="none"/>
        </w:rPr>
      </w:pPr>
      <w:r>
        <w:rPr>
          <w:rFonts w:hint="eastAsia" w:hAnsi="宋体" w:cs="宋体"/>
          <w:szCs w:val="21"/>
          <w:highlight w:val="none"/>
        </w:rPr>
        <w:t>人文关怀和激励保障措施</w:t>
      </w:r>
    </w:p>
    <w:p>
      <w:pPr>
        <w:spacing w:line="480" w:lineRule="exact"/>
        <w:ind w:firstLine="403"/>
        <w:rPr>
          <w:rFonts w:hAnsi="宋体" w:cs="宋体"/>
          <w:szCs w:val="21"/>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60" w:lineRule="auto"/>
        <w:rPr>
          <w:rFonts w:hAnsi="宋体" w:cs="宋体"/>
          <w:szCs w:val="21"/>
          <w:highlight w:val="none"/>
        </w:rPr>
      </w:pPr>
      <w:r>
        <w:rPr>
          <w:rFonts w:hint="eastAsia" w:hAnsi="宋体" w:cs="宋体"/>
          <w:szCs w:val="21"/>
          <w:highlight w:val="none"/>
        </w:rPr>
        <w:t>日期：年 月 日</w:t>
      </w:r>
    </w:p>
    <w:p>
      <w:pPr>
        <w:spacing w:line="480" w:lineRule="exact"/>
        <w:rPr>
          <w:rFonts w:hAnsi="宋体" w:cs="宋体"/>
          <w:szCs w:val="21"/>
          <w:highlight w:val="none"/>
        </w:rPr>
      </w:pPr>
    </w:p>
    <w:p>
      <w:pPr>
        <w:pStyle w:val="2"/>
        <w:rPr>
          <w:highlight w:val="none"/>
        </w:rPr>
      </w:pPr>
    </w:p>
    <w:p>
      <w:pPr>
        <w:pStyle w:val="4"/>
        <w:spacing w:after="120" w:line="480" w:lineRule="exact"/>
        <w:rPr>
          <w:rFonts w:hAnsi="宋体" w:cs="宋体"/>
          <w:b/>
          <w:szCs w:val="21"/>
          <w:highlight w:val="none"/>
        </w:rPr>
      </w:pPr>
      <w:r>
        <w:rPr>
          <w:rFonts w:hint="eastAsia" w:hAnsi="宋体" w:cs="宋体"/>
          <w:b/>
          <w:szCs w:val="20"/>
          <w:highlight w:val="none"/>
        </w:rPr>
        <w:t>附表3.</w:t>
      </w:r>
      <w:r>
        <w:rPr>
          <w:rFonts w:hAnsi="宋体" w:cs="宋体"/>
          <w:b/>
          <w:szCs w:val="20"/>
          <w:highlight w:val="none"/>
        </w:rPr>
        <w:t>5</w:t>
      </w:r>
      <w:r>
        <w:rPr>
          <w:rFonts w:hint="eastAsia" w:hAnsi="宋体" w:cs="宋体"/>
          <w:b/>
          <w:szCs w:val="20"/>
          <w:highlight w:val="none"/>
        </w:rPr>
        <w:t xml:space="preserve"> 船员待遇保障水平</w:t>
      </w:r>
    </w:p>
    <w:p>
      <w:pPr>
        <w:spacing w:line="480" w:lineRule="exact"/>
        <w:rPr>
          <w:rFonts w:hAnsi="宋体" w:cs="宋体"/>
          <w:b/>
          <w:highlight w:val="none"/>
        </w:rPr>
      </w:pPr>
    </w:p>
    <w:p>
      <w:pPr>
        <w:spacing w:line="480" w:lineRule="exact"/>
        <w:jc w:val="center"/>
        <w:rPr>
          <w:rFonts w:hAnsi="宋体" w:cs="宋体"/>
          <w:b/>
          <w:bCs/>
          <w:sz w:val="32"/>
          <w:szCs w:val="32"/>
          <w:highlight w:val="none"/>
        </w:rPr>
      </w:pPr>
      <w:r>
        <w:rPr>
          <w:rFonts w:hint="eastAsia" w:hAnsi="宋体" w:cs="宋体"/>
          <w:b/>
          <w:bCs/>
          <w:sz w:val="32"/>
          <w:szCs w:val="32"/>
          <w:highlight w:val="none"/>
        </w:rPr>
        <w:t>船员待遇保障水平</w:t>
      </w:r>
    </w:p>
    <w:p>
      <w:pPr>
        <w:spacing w:line="480" w:lineRule="exact"/>
        <w:rPr>
          <w:rFonts w:hAnsi="宋体" w:cs="宋体"/>
          <w:szCs w:val="21"/>
          <w:highlight w:val="none"/>
        </w:rPr>
      </w:pPr>
      <w:r>
        <w:rPr>
          <w:rFonts w:hint="eastAsia" w:hAnsi="宋体" w:cs="宋体"/>
          <w:szCs w:val="21"/>
          <w:highlight w:val="none"/>
        </w:rPr>
        <w:t>船员待遇保障水平</w:t>
      </w:r>
    </w:p>
    <w:p>
      <w:pPr>
        <w:pStyle w:val="2"/>
        <w:rPr>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60" w:lineRule="auto"/>
        <w:rPr>
          <w:rFonts w:hAnsi="宋体" w:cs="宋体"/>
          <w:szCs w:val="21"/>
          <w:highlight w:val="none"/>
        </w:rPr>
      </w:pPr>
      <w:r>
        <w:rPr>
          <w:rFonts w:hint="eastAsia" w:hAnsi="宋体" w:cs="宋体"/>
          <w:szCs w:val="21"/>
          <w:highlight w:val="none"/>
        </w:rPr>
        <w:t>日期：年 月 日</w:t>
      </w:r>
    </w:p>
    <w:p>
      <w:pPr>
        <w:pStyle w:val="2"/>
        <w:rPr>
          <w:highlight w:val="none"/>
        </w:rPr>
      </w:pPr>
    </w:p>
    <w:p>
      <w:pPr>
        <w:pStyle w:val="4"/>
        <w:spacing w:after="120" w:line="480" w:lineRule="exact"/>
        <w:rPr>
          <w:rFonts w:hAnsi="宋体" w:cs="宋体"/>
          <w:b/>
          <w:szCs w:val="21"/>
          <w:highlight w:val="none"/>
        </w:rPr>
      </w:pPr>
      <w:bookmarkStart w:id="42" w:name="_Hlt10567911"/>
      <w:bookmarkEnd w:id="42"/>
      <w:bookmarkStart w:id="43" w:name="_Toc4471833"/>
      <w:bookmarkStart w:id="44" w:name="_Toc10548709"/>
      <w:r>
        <w:rPr>
          <w:rFonts w:hint="eastAsia" w:hAnsi="宋体" w:cs="宋体"/>
          <w:highlight w:val="none"/>
        </w:rPr>
        <w:br w:type="page"/>
      </w:r>
      <w:r>
        <w:rPr>
          <w:rFonts w:hint="eastAsia" w:hAnsi="宋体" w:cs="宋体"/>
          <w:b/>
          <w:szCs w:val="20"/>
          <w:highlight w:val="none"/>
        </w:rPr>
        <w:t>附表3.</w:t>
      </w:r>
      <w:r>
        <w:rPr>
          <w:rFonts w:hAnsi="宋体" w:cs="宋体"/>
          <w:b/>
          <w:szCs w:val="20"/>
          <w:highlight w:val="none"/>
        </w:rPr>
        <w:t>6</w:t>
      </w:r>
      <w:r>
        <w:rPr>
          <w:rFonts w:hint="eastAsia" w:hAnsi="宋体" w:cs="宋体"/>
          <w:b/>
          <w:szCs w:val="20"/>
          <w:highlight w:val="none"/>
        </w:rPr>
        <w:t xml:space="preserve"> 技术规格偏离表格式</w:t>
      </w:r>
      <w:bookmarkEnd w:id="43"/>
      <w:bookmarkEnd w:id="44"/>
    </w:p>
    <w:p>
      <w:pPr>
        <w:pStyle w:val="4"/>
        <w:spacing w:after="120" w:line="480" w:lineRule="exact"/>
        <w:rPr>
          <w:rFonts w:hAnsi="宋体" w:cs="宋体"/>
          <w:b/>
          <w:szCs w:val="20"/>
          <w:highlight w:val="none"/>
        </w:rPr>
      </w:pPr>
      <w:r>
        <w:rPr>
          <w:rFonts w:hint="eastAsia" w:hAnsi="宋体" w:cs="宋体"/>
          <w:b/>
          <w:szCs w:val="20"/>
          <w:highlight w:val="none"/>
        </w:rPr>
        <w:t>（</w:t>
      </w:r>
      <w:bookmarkStart w:id="45" w:name="_Hlk495873026"/>
      <w:r>
        <w:rPr>
          <w:rFonts w:hint="eastAsia" w:hAnsi="宋体" w:cs="宋体"/>
          <w:b/>
          <w:szCs w:val="20"/>
          <w:highlight w:val="none"/>
        </w:rPr>
        <w:t>1）实质性响应技术条款（“★”项）响应表格式</w:t>
      </w:r>
    </w:p>
    <w:bookmarkEnd w:id="45"/>
    <w:p>
      <w:pPr>
        <w:spacing w:line="360" w:lineRule="auto"/>
        <w:rPr>
          <w:rFonts w:hAnsi="宋体" w:cs="宋体"/>
          <w:szCs w:val="21"/>
          <w:highlight w:val="none"/>
        </w:rPr>
      </w:pPr>
    </w:p>
    <w:p>
      <w:pPr>
        <w:spacing w:line="360" w:lineRule="auto"/>
        <w:jc w:val="center"/>
        <w:rPr>
          <w:rFonts w:hAnsi="宋体" w:cs="宋体"/>
          <w:sz w:val="28"/>
          <w:szCs w:val="28"/>
          <w:highlight w:val="none"/>
        </w:rPr>
      </w:pPr>
      <w:bookmarkStart w:id="46" w:name="_Hlk502600877"/>
      <w:r>
        <w:rPr>
          <w:rFonts w:hint="eastAsia" w:hAnsi="宋体" w:cs="宋体"/>
          <w:b/>
          <w:sz w:val="28"/>
          <w:szCs w:val="28"/>
          <w:highlight w:val="none"/>
        </w:rPr>
        <w:t>实质性响应技术条款（“★”项）</w:t>
      </w:r>
      <w:bookmarkEnd w:id="46"/>
      <w:r>
        <w:rPr>
          <w:rFonts w:hint="eastAsia" w:hAnsi="宋体" w:cs="宋体"/>
          <w:b/>
          <w:sz w:val="28"/>
          <w:szCs w:val="28"/>
          <w:highlight w:val="none"/>
        </w:rPr>
        <w:t>响应表</w:t>
      </w:r>
    </w:p>
    <w:p>
      <w:pPr>
        <w:spacing w:line="360" w:lineRule="auto"/>
        <w:rPr>
          <w:rFonts w:hAnsi="宋体" w:cs="宋体"/>
          <w:szCs w:val="21"/>
          <w:highlight w:val="none"/>
          <w:u w:val="single"/>
        </w:rPr>
      </w:pPr>
      <w:r>
        <w:rPr>
          <w:rFonts w:hint="eastAsia" w:hAnsi="宋体" w:cs="宋体"/>
          <w:szCs w:val="21"/>
          <w:highlight w:val="none"/>
        </w:rPr>
        <w:t>投标人名称：</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p>
      <w:pPr>
        <w:spacing w:line="360" w:lineRule="auto"/>
        <w:rPr>
          <w:rFonts w:hAnsi="宋体" w:cs="宋体"/>
          <w:szCs w:val="21"/>
          <w:highlight w:val="none"/>
        </w:rPr>
      </w:pPr>
      <w:r>
        <w:rPr>
          <w:rFonts w:hint="eastAsia" w:hAnsi="宋体" w:cs="宋体"/>
          <w:szCs w:val="21"/>
          <w:highlight w:val="none"/>
        </w:rPr>
        <w:t xml:space="preserve">采购编号：GDYD221545    </w:t>
      </w:r>
    </w:p>
    <w:tbl>
      <w:tblPr>
        <w:tblStyle w:val="49"/>
        <w:tblW w:w="9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20"/>
        <w:gridCol w:w="3588"/>
        <w:gridCol w:w="211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73" w:type="dxa"/>
            <w:vAlign w:val="center"/>
          </w:tcPr>
          <w:p>
            <w:pPr>
              <w:jc w:val="center"/>
              <w:rPr>
                <w:rFonts w:hAnsi="宋体" w:cs="宋体"/>
                <w:b/>
                <w:szCs w:val="21"/>
                <w:highlight w:val="none"/>
              </w:rPr>
            </w:pPr>
            <w:r>
              <w:rPr>
                <w:rFonts w:hint="eastAsia" w:hAnsi="宋体" w:cs="宋体"/>
                <w:b/>
                <w:szCs w:val="21"/>
                <w:highlight w:val="none"/>
              </w:rPr>
              <w:t>序号</w:t>
            </w:r>
          </w:p>
        </w:tc>
        <w:tc>
          <w:tcPr>
            <w:tcW w:w="1920" w:type="dxa"/>
            <w:vAlign w:val="center"/>
          </w:tcPr>
          <w:p>
            <w:pPr>
              <w:jc w:val="center"/>
              <w:rPr>
                <w:rFonts w:hAnsi="宋体" w:cs="宋体"/>
                <w:b/>
                <w:szCs w:val="21"/>
                <w:highlight w:val="none"/>
              </w:rPr>
            </w:pPr>
            <w:r>
              <w:rPr>
                <w:rFonts w:hint="eastAsia" w:hAnsi="宋体" w:cs="宋体"/>
                <w:b/>
                <w:szCs w:val="21"/>
                <w:highlight w:val="none"/>
              </w:rPr>
              <w:t>招标规格/要求</w:t>
            </w:r>
          </w:p>
        </w:tc>
        <w:tc>
          <w:tcPr>
            <w:tcW w:w="3588" w:type="dxa"/>
            <w:vAlign w:val="center"/>
          </w:tcPr>
          <w:p>
            <w:pPr>
              <w:jc w:val="center"/>
              <w:rPr>
                <w:rFonts w:hAnsi="宋体" w:cs="宋体"/>
                <w:b/>
                <w:szCs w:val="21"/>
                <w:highlight w:val="none"/>
              </w:rPr>
            </w:pPr>
            <w:r>
              <w:rPr>
                <w:rFonts w:hint="eastAsia" w:hAnsi="宋体" w:cs="宋体"/>
                <w:b/>
                <w:szCs w:val="21"/>
                <w:highlight w:val="none"/>
              </w:rPr>
              <w:t>投标实际参数</w:t>
            </w:r>
          </w:p>
          <w:p>
            <w:pPr>
              <w:jc w:val="center"/>
              <w:rPr>
                <w:rFonts w:hAnsi="宋体" w:cs="宋体"/>
                <w:b/>
                <w:szCs w:val="21"/>
                <w:highlight w:val="none"/>
              </w:rPr>
            </w:pPr>
            <w:r>
              <w:rPr>
                <w:rFonts w:hint="eastAsia" w:hAnsi="宋体" w:cs="宋体"/>
                <w:b/>
                <w:bCs/>
                <w:szCs w:val="21"/>
                <w:highlight w:val="none"/>
              </w:rPr>
              <w:t>(投标人应按投标服务实际数据填写，不能照抄招标要求)</w:t>
            </w:r>
          </w:p>
        </w:tc>
        <w:tc>
          <w:tcPr>
            <w:tcW w:w="2115" w:type="dxa"/>
            <w:vAlign w:val="center"/>
          </w:tcPr>
          <w:p>
            <w:pPr>
              <w:jc w:val="center"/>
              <w:rPr>
                <w:rFonts w:hAnsi="宋体" w:cs="宋体"/>
                <w:b/>
                <w:szCs w:val="21"/>
                <w:highlight w:val="none"/>
              </w:rPr>
            </w:pPr>
            <w:r>
              <w:rPr>
                <w:rFonts w:hint="eastAsia" w:hAnsi="宋体" w:cs="宋体"/>
                <w:b/>
                <w:szCs w:val="21"/>
                <w:highlight w:val="none"/>
              </w:rPr>
              <w:t>是否偏离（无偏离/正偏离/负偏离）</w:t>
            </w:r>
          </w:p>
        </w:tc>
        <w:tc>
          <w:tcPr>
            <w:tcW w:w="1295" w:type="dxa"/>
            <w:vAlign w:val="center"/>
          </w:tcPr>
          <w:p>
            <w:pPr>
              <w:jc w:val="center"/>
              <w:rPr>
                <w:rFonts w:hAnsi="宋体" w:cs="宋体"/>
                <w:b/>
                <w:szCs w:val="21"/>
                <w:highlight w:val="none"/>
              </w:rPr>
            </w:pPr>
            <w:r>
              <w:rPr>
                <w:rFonts w:hint="eastAsia" w:hAnsi="宋体" w:cs="宋体"/>
                <w:b/>
                <w:szCs w:val="21"/>
                <w:highlight w:val="none"/>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73" w:type="dxa"/>
          </w:tcPr>
          <w:p>
            <w:pPr>
              <w:jc w:val="center"/>
              <w:rPr>
                <w:rFonts w:hAnsi="宋体" w:cs="宋体"/>
                <w:szCs w:val="21"/>
                <w:highlight w:val="none"/>
              </w:rPr>
            </w:pPr>
            <w:r>
              <w:rPr>
                <w:rFonts w:hint="eastAsia" w:hAnsi="宋体" w:cs="宋体"/>
                <w:szCs w:val="21"/>
                <w:highlight w:val="none"/>
              </w:rPr>
              <w:t>1</w:t>
            </w:r>
          </w:p>
        </w:tc>
        <w:tc>
          <w:tcPr>
            <w:tcW w:w="5508" w:type="dxa"/>
            <w:gridSpan w:val="2"/>
          </w:tcPr>
          <w:p>
            <w:pPr>
              <w:rPr>
                <w:rFonts w:hAnsi="宋体" w:cs="宋体"/>
                <w:szCs w:val="21"/>
                <w:highlight w:val="none"/>
              </w:rPr>
            </w:pPr>
            <w:r>
              <w:rPr>
                <w:rFonts w:hint="eastAsia" w:hAnsi="宋体" w:cs="宋体"/>
                <w:szCs w:val="21"/>
                <w:highlight w:val="none"/>
                <w:lang w:val="en-GB"/>
              </w:rPr>
              <w:t>招标文件用户需求书中的所有实质性响应技术条款（“★”项）均完全响应，无任何偏离</w:t>
            </w:r>
          </w:p>
        </w:tc>
        <w:tc>
          <w:tcPr>
            <w:tcW w:w="2115" w:type="dxa"/>
            <w:vAlign w:val="center"/>
          </w:tcPr>
          <w:p>
            <w:pPr>
              <w:jc w:val="center"/>
              <w:rPr>
                <w:rFonts w:hAnsi="宋体" w:cs="宋体"/>
                <w:szCs w:val="21"/>
                <w:highlight w:val="none"/>
              </w:rPr>
            </w:pPr>
            <w:r>
              <w:rPr>
                <w:rFonts w:hint="eastAsia" w:hAnsi="宋体" w:cs="宋体"/>
                <w:szCs w:val="21"/>
                <w:highlight w:val="none"/>
              </w:rPr>
              <w:t>无偏离</w:t>
            </w:r>
          </w:p>
        </w:tc>
        <w:tc>
          <w:tcPr>
            <w:tcW w:w="1295" w:type="dxa"/>
          </w:tcPr>
          <w:p>
            <w:pP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73" w:type="dxa"/>
          </w:tcPr>
          <w:p>
            <w:pPr>
              <w:jc w:val="center"/>
              <w:rPr>
                <w:rFonts w:hAnsi="宋体" w:cs="宋体"/>
                <w:szCs w:val="21"/>
                <w:highlight w:val="none"/>
              </w:rPr>
            </w:pPr>
            <w:r>
              <w:rPr>
                <w:rFonts w:hint="eastAsia" w:hAnsi="宋体" w:cs="宋体"/>
                <w:szCs w:val="21"/>
                <w:highlight w:val="none"/>
              </w:rPr>
              <w:t>…</w:t>
            </w:r>
          </w:p>
        </w:tc>
        <w:tc>
          <w:tcPr>
            <w:tcW w:w="1920" w:type="dxa"/>
          </w:tcPr>
          <w:p>
            <w:pPr>
              <w:jc w:val="center"/>
              <w:rPr>
                <w:rFonts w:hAnsi="宋体" w:cs="宋体"/>
                <w:szCs w:val="21"/>
                <w:highlight w:val="none"/>
              </w:rPr>
            </w:pPr>
          </w:p>
        </w:tc>
        <w:tc>
          <w:tcPr>
            <w:tcW w:w="3588" w:type="dxa"/>
          </w:tcPr>
          <w:p>
            <w:pPr>
              <w:rPr>
                <w:rFonts w:hAnsi="宋体" w:cs="宋体"/>
                <w:szCs w:val="21"/>
                <w:highlight w:val="none"/>
              </w:rPr>
            </w:pPr>
          </w:p>
        </w:tc>
        <w:tc>
          <w:tcPr>
            <w:tcW w:w="2115" w:type="dxa"/>
          </w:tcPr>
          <w:p>
            <w:pPr>
              <w:rPr>
                <w:rFonts w:hAnsi="宋体" w:cs="宋体"/>
                <w:szCs w:val="21"/>
                <w:highlight w:val="none"/>
              </w:rPr>
            </w:pPr>
          </w:p>
        </w:tc>
        <w:tc>
          <w:tcPr>
            <w:tcW w:w="1295" w:type="dxa"/>
          </w:tcPr>
          <w:p>
            <w:pPr>
              <w:rPr>
                <w:rFonts w:hAnsi="宋体" w:cs="宋体"/>
                <w:szCs w:val="21"/>
                <w:highlight w:val="none"/>
              </w:rPr>
            </w:pPr>
          </w:p>
        </w:tc>
      </w:tr>
    </w:tbl>
    <w:p>
      <w:pPr>
        <w:snapToGrid w:val="0"/>
        <w:spacing w:line="360" w:lineRule="auto"/>
        <w:ind w:left="420" w:hanging="420" w:hangingChars="200"/>
        <w:rPr>
          <w:rFonts w:hAnsi="宋体" w:cs="宋体"/>
          <w:szCs w:val="21"/>
          <w:highlight w:val="none"/>
        </w:rPr>
      </w:pPr>
      <w:r>
        <w:rPr>
          <w:rFonts w:hint="eastAsia" w:hAnsi="宋体" w:cs="宋体"/>
          <w:szCs w:val="21"/>
          <w:highlight w:val="none"/>
        </w:rPr>
        <w:t>注：1.投标人必须对应招标文件“第四篇用户需求书”的</w:t>
      </w:r>
      <w:r>
        <w:rPr>
          <w:rFonts w:hint="eastAsia" w:hAnsi="宋体" w:cs="宋体"/>
          <w:szCs w:val="21"/>
          <w:highlight w:val="none"/>
          <w:lang w:val="en-GB"/>
        </w:rPr>
        <w:t>“★” 项</w:t>
      </w:r>
      <w:r>
        <w:rPr>
          <w:rFonts w:hint="eastAsia" w:hAnsi="宋体" w:cs="宋体"/>
          <w:szCs w:val="21"/>
          <w:highlight w:val="none"/>
        </w:rPr>
        <w:t>内容逐条响应。如有缺漏，缺漏项视同不符合招标要求。</w:t>
      </w:r>
      <w:r>
        <w:rPr>
          <w:rFonts w:hint="eastAsia" w:hAnsi="宋体" w:cs="宋体"/>
          <w:szCs w:val="21"/>
          <w:highlight w:val="none"/>
          <w:lang w:val="en-GB"/>
        </w:rPr>
        <w:t>打</w:t>
      </w:r>
      <w:bookmarkStart w:id="47" w:name="_Hlk502600843"/>
      <w:r>
        <w:rPr>
          <w:rFonts w:hint="eastAsia" w:hAnsi="宋体" w:cs="宋体"/>
          <w:szCs w:val="21"/>
          <w:highlight w:val="none"/>
          <w:lang w:val="en-GB"/>
        </w:rPr>
        <w:t>“★”</w:t>
      </w:r>
      <w:bookmarkEnd w:id="47"/>
      <w:r>
        <w:rPr>
          <w:rFonts w:hint="eastAsia" w:hAnsi="宋体" w:cs="宋体"/>
          <w:szCs w:val="21"/>
          <w:highlight w:val="none"/>
          <w:lang w:val="en-GB"/>
        </w:rPr>
        <w:t xml:space="preserve"> 项为不可负偏离(劣于)的重要项。投标人如响应所有的“★”技术条款，也可在表格中以“招标文件用户需求书中的所有实质性响应技术条款（“★”项）均完全响应，无任何偏离”的表述方式表述。</w:t>
      </w:r>
    </w:p>
    <w:p>
      <w:pPr>
        <w:snapToGrid w:val="0"/>
        <w:spacing w:line="360" w:lineRule="auto"/>
        <w:ind w:left="420" w:leftChars="200"/>
        <w:rPr>
          <w:rFonts w:hAnsi="宋体" w:cs="宋体"/>
          <w:b/>
          <w:szCs w:val="21"/>
          <w:highlight w:val="none"/>
          <w:u w:val="single"/>
        </w:rPr>
      </w:pPr>
      <w:r>
        <w:rPr>
          <w:rFonts w:hint="eastAsia" w:hAnsi="宋体" w:cs="宋体"/>
          <w:b/>
          <w:szCs w:val="21"/>
          <w:highlight w:val="none"/>
          <w:u w:val="single"/>
          <w:lang w:val="en-GB"/>
        </w:rPr>
        <w:t>2.</w:t>
      </w:r>
      <w:r>
        <w:rPr>
          <w:rFonts w:hint="eastAsia" w:hAnsi="宋体" w:cs="宋体"/>
          <w:b/>
          <w:szCs w:val="21"/>
          <w:highlight w:val="none"/>
          <w:u w:val="single"/>
        </w:rPr>
        <w:t>投标人响应采购需求应具体、明确；含糊不清、不确切或伪造、变造证明材料的，按照不完全响应或者完全不响应处理。构成提供虚假材料的，移送监管部门查处。</w:t>
      </w:r>
    </w:p>
    <w:p>
      <w:pPr>
        <w:snapToGrid w:val="0"/>
        <w:spacing w:line="360" w:lineRule="auto"/>
        <w:ind w:firstLine="420" w:firstLineChars="200"/>
        <w:rPr>
          <w:rFonts w:hAnsi="宋体"/>
          <w:szCs w:val="21"/>
          <w:highlight w:val="none"/>
        </w:rPr>
      </w:pPr>
      <w:r>
        <w:rPr>
          <w:rFonts w:hint="eastAsia" w:hAnsi="宋体"/>
          <w:szCs w:val="21"/>
          <w:highlight w:val="none"/>
          <w:lang w:val="en-GB"/>
        </w:rPr>
        <w:t>3.本表内容按各自对应所投子包的内容自行更改。</w:t>
      </w:r>
    </w:p>
    <w:p>
      <w:pPr>
        <w:spacing w:line="360" w:lineRule="auto"/>
        <w:ind w:firstLine="420" w:firstLineChars="200"/>
        <w:rPr>
          <w:rFonts w:hAnsi="宋体" w:cs="宋体"/>
          <w:szCs w:val="21"/>
          <w:highlight w:val="none"/>
        </w:rPr>
      </w:pPr>
    </w:p>
    <w:p>
      <w:pPr>
        <w:snapToGrid w:val="0"/>
        <w:spacing w:line="300" w:lineRule="auto"/>
        <w:rPr>
          <w:rFonts w:hAnsi="宋体" w:cs="宋体"/>
          <w:szCs w:val="21"/>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日期：年 月 日</w:t>
      </w:r>
    </w:p>
    <w:p>
      <w:pPr>
        <w:pStyle w:val="4"/>
        <w:spacing w:after="120" w:line="480" w:lineRule="exact"/>
        <w:rPr>
          <w:rFonts w:hAnsi="宋体" w:cs="宋体"/>
          <w:b/>
          <w:bCs/>
          <w:szCs w:val="21"/>
          <w:highlight w:val="none"/>
        </w:rPr>
      </w:pPr>
      <w:r>
        <w:rPr>
          <w:rFonts w:hint="eastAsia" w:hAnsi="宋体" w:cs="宋体"/>
          <w:szCs w:val="21"/>
          <w:highlight w:val="none"/>
        </w:rPr>
        <w:br w:type="page"/>
      </w:r>
      <w:bookmarkStart w:id="48" w:name="_Hlk495873055"/>
      <w:r>
        <w:rPr>
          <w:rFonts w:hint="eastAsia" w:hAnsi="宋体" w:cs="宋体"/>
          <w:b/>
          <w:szCs w:val="20"/>
          <w:highlight w:val="none"/>
        </w:rPr>
        <w:t>（2）一般技术条款响应表格式</w:t>
      </w:r>
      <w:bookmarkEnd w:id="48"/>
    </w:p>
    <w:p>
      <w:pPr>
        <w:spacing w:line="360" w:lineRule="auto"/>
        <w:rPr>
          <w:rFonts w:hAnsi="宋体" w:cs="宋体"/>
          <w:szCs w:val="21"/>
          <w:highlight w:val="none"/>
        </w:rPr>
      </w:pPr>
    </w:p>
    <w:p>
      <w:pPr>
        <w:spacing w:line="360" w:lineRule="auto"/>
        <w:jc w:val="center"/>
        <w:rPr>
          <w:rFonts w:hAnsi="宋体" w:cs="宋体"/>
          <w:sz w:val="28"/>
          <w:szCs w:val="28"/>
          <w:highlight w:val="none"/>
        </w:rPr>
      </w:pPr>
      <w:r>
        <w:rPr>
          <w:rFonts w:hint="eastAsia" w:hAnsi="宋体" w:cs="宋体"/>
          <w:b/>
          <w:sz w:val="28"/>
          <w:szCs w:val="28"/>
          <w:highlight w:val="none"/>
        </w:rPr>
        <w:t>一般技术条款响应表</w:t>
      </w:r>
    </w:p>
    <w:p>
      <w:pPr>
        <w:spacing w:line="360" w:lineRule="auto"/>
        <w:rPr>
          <w:rFonts w:hAnsi="宋体" w:cs="宋体"/>
          <w:szCs w:val="21"/>
          <w:highlight w:val="none"/>
          <w:u w:val="single"/>
        </w:rPr>
      </w:pPr>
      <w:r>
        <w:rPr>
          <w:rFonts w:hint="eastAsia" w:hAnsi="宋体" w:cs="宋体"/>
          <w:szCs w:val="21"/>
          <w:highlight w:val="none"/>
        </w:rPr>
        <w:t>投标人名称：</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p>
      <w:pPr>
        <w:spacing w:line="360" w:lineRule="auto"/>
        <w:rPr>
          <w:rFonts w:hAnsi="宋体" w:cs="宋体"/>
          <w:szCs w:val="21"/>
          <w:highlight w:val="none"/>
        </w:rPr>
      </w:pPr>
      <w:r>
        <w:rPr>
          <w:rFonts w:hint="eastAsia" w:hAnsi="宋体" w:cs="宋体"/>
          <w:szCs w:val="21"/>
          <w:highlight w:val="none"/>
        </w:rPr>
        <w:t xml:space="preserve">采购编号：GDYD221545  </w:t>
      </w:r>
    </w:p>
    <w:tbl>
      <w:tblPr>
        <w:tblStyle w:val="49"/>
        <w:tblW w:w="9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920"/>
        <w:gridCol w:w="3588"/>
        <w:gridCol w:w="211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hAnsi="宋体" w:cs="宋体"/>
                <w:b/>
                <w:szCs w:val="21"/>
                <w:highlight w:val="none"/>
              </w:rPr>
            </w:pPr>
            <w:r>
              <w:rPr>
                <w:rFonts w:hint="eastAsia" w:hAnsi="宋体" w:cs="宋体"/>
                <w:b/>
                <w:szCs w:val="21"/>
                <w:highlight w:val="none"/>
              </w:rPr>
              <w:t>序号</w:t>
            </w:r>
          </w:p>
        </w:tc>
        <w:tc>
          <w:tcPr>
            <w:tcW w:w="1920" w:type="dxa"/>
            <w:vAlign w:val="center"/>
          </w:tcPr>
          <w:p>
            <w:pPr>
              <w:jc w:val="center"/>
              <w:rPr>
                <w:rFonts w:hAnsi="宋体" w:cs="宋体"/>
                <w:b/>
                <w:szCs w:val="21"/>
                <w:highlight w:val="none"/>
              </w:rPr>
            </w:pPr>
            <w:r>
              <w:rPr>
                <w:rFonts w:hint="eastAsia" w:hAnsi="宋体" w:cs="宋体"/>
                <w:b/>
                <w:szCs w:val="21"/>
                <w:highlight w:val="none"/>
              </w:rPr>
              <w:t>招标规格/要求</w:t>
            </w:r>
          </w:p>
        </w:tc>
        <w:tc>
          <w:tcPr>
            <w:tcW w:w="3588" w:type="dxa"/>
            <w:vAlign w:val="center"/>
          </w:tcPr>
          <w:p>
            <w:pPr>
              <w:jc w:val="center"/>
              <w:rPr>
                <w:rFonts w:hAnsi="宋体" w:cs="宋体"/>
                <w:b/>
                <w:szCs w:val="21"/>
                <w:highlight w:val="none"/>
              </w:rPr>
            </w:pPr>
            <w:r>
              <w:rPr>
                <w:rFonts w:hint="eastAsia" w:hAnsi="宋体" w:cs="宋体"/>
                <w:b/>
                <w:szCs w:val="21"/>
                <w:highlight w:val="none"/>
              </w:rPr>
              <w:t>投标实际参数</w:t>
            </w:r>
          </w:p>
          <w:p>
            <w:pPr>
              <w:jc w:val="center"/>
              <w:rPr>
                <w:rFonts w:hAnsi="宋体" w:cs="宋体"/>
                <w:b/>
                <w:szCs w:val="21"/>
                <w:highlight w:val="none"/>
              </w:rPr>
            </w:pPr>
            <w:r>
              <w:rPr>
                <w:rFonts w:hint="eastAsia" w:hAnsi="宋体" w:cs="宋体"/>
                <w:b/>
                <w:bCs/>
                <w:szCs w:val="21"/>
                <w:highlight w:val="none"/>
              </w:rPr>
              <w:t>(投标人应按投标服务实际数据填写，不能照抄招标要求)</w:t>
            </w:r>
          </w:p>
        </w:tc>
        <w:tc>
          <w:tcPr>
            <w:tcW w:w="2115" w:type="dxa"/>
            <w:vAlign w:val="center"/>
          </w:tcPr>
          <w:p>
            <w:pPr>
              <w:jc w:val="center"/>
              <w:rPr>
                <w:rFonts w:hAnsi="宋体" w:cs="宋体"/>
                <w:b/>
                <w:szCs w:val="21"/>
                <w:highlight w:val="none"/>
              </w:rPr>
            </w:pPr>
            <w:r>
              <w:rPr>
                <w:rFonts w:hint="eastAsia" w:hAnsi="宋体" w:cs="宋体"/>
                <w:b/>
                <w:szCs w:val="21"/>
                <w:highlight w:val="none"/>
              </w:rPr>
              <w:t>是否偏离（无偏离/正偏离/负偏离）</w:t>
            </w:r>
          </w:p>
        </w:tc>
        <w:tc>
          <w:tcPr>
            <w:tcW w:w="1295" w:type="dxa"/>
            <w:vAlign w:val="center"/>
          </w:tcPr>
          <w:p>
            <w:pPr>
              <w:jc w:val="center"/>
              <w:rPr>
                <w:rFonts w:hAnsi="宋体" w:cs="宋体"/>
                <w:b/>
                <w:szCs w:val="21"/>
                <w:highlight w:val="none"/>
              </w:rPr>
            </w:pPr>
            <w:r>
              <w:rPr>
                <w:rFonts w:hint="eastAsia" w:hAnsi="宋体" w:cs="宋体"/>
                <w:b/>
                <w:szCs w:val="21"/>
                <w:highlight w:val="none"/>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hAnsi="宋体" w:cs="宋体"/>
                <w:szCs w:val="21"/>
                <w:highlight w:val="none"/>
              </w:rPr>
            </w:pPr>
            <w:r>
              <w:rPr>
                <w:rFonts w:hint="eastAsia" w:hAnsi="宋体" w:cs="宋体"/>
                <w:szCs w:val="21"/>
                <w:highlight w:val="none"/>
              </w:rPr>
              <w:t>1</w:t>
            </w:r>
          </w:p>
        </w:tc>
        <w:tc>
          <w:tcPr>
            <w:tcW w:w="1920" w:type="dxa"/>
            <w:vAlign w:val="center"/>
          </w:tcPr>
          <w:p>
            <w:pPr>
              <w:widowControl/>
              <w:snapToGrid w:val="0"/>
              <w:spacing w:line="480" w:lineRule="auto"/>
              <w:jc w:val="center"/>
              <w:rPr>
                <w:rFonts w:hAnsi="宋体" w:cs="宋体"/>
                <w:szCs w:val="21"/>
                <w:highlight w:val="none"/>
              </w:rPr>
            </w:pPr>
          </w:p>
        </w:tc>
        <w:tc>
          <w:tcPr>
            <w:tcW w:w="3588" w:type="dxa"/>
            <w:vAlign w:val="center"/>
          </w:tcPr>
          <w:p>
            <w:pPr>
              <w:jc w:val="center"/>
              <w:rPr>
                <w:rFonts w:hAnsi="宋体" w:cs="宋体"/>
                <w:szCs w:val="21"/>
                <w:highlight w:val="none"/>
              </w:rPr>
            </w:pPr>
          </w:p>
        </w:tc>
        <w:tc>
          <w:tcPr>
            <w:tcW w:w="2115" w:type="dxa"/>
            <w:vAlign w:val="center"/>
          </w:tcPr>
          <w:p>
            <w:pPr>
              <w:jc w:val="center"/>
              <w:rPr>
                <w:rFonts w:hAnsi="宋体" w:cs="宋体"/>
                <w:szCs w:val="21"/>
                <w:highlight w:val="none"/>
              </w:rPr>
            </w:pPr>
          </w:p>
        </w:tc>
        <w:tc>
          <w:tcPr>
            <w:tcW w:w="1295"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hAnsi="宋体" w:cs="宋体"/>
                <w:szCs w:val="21"/>
                <w:highlight w:val="none"/>
              </w:rPr>
            </w:pPr>
            <w:r>
              <w:rPr>
                <w:rFonts w:hint="eastAsia" w:hAnsi="宋体" w:cs="宋体"/>
                <w:szCs w:val="21"/>
                <w:highlight w:val="none"/>
              </w:rPr>
              <w:t>2</w:t>
            </w:r>
          </w:p>
        </w:tc>
        <w:tc>
          <w:tcPr>
            <w:tcW w:w="1920" w:type="dxa"/>
            <w:vAlign w:val="center"/>
          </w:tcPr>
          <w:p>
            <w:pPr>
              <w:widowControl/>
              <w:snapToGrid w:val="0"/>
              <w:spacing w:line="480" w:lineRule="auto"/>
              <w:jc w:val="center"/>
              <w:rPr>
                <w:rFonts w:hAnsi="宋体" w:cs="宋体"/>
                <w:szCs w:val="21"/>
                <w:highlight w:val="none"/>
              </w:rPr>
            </w:pPr>
          </w:p>
        </w:tc>
        <w:tc>
          <w:tcPr>
            <w:tcW w:w="3588" w:type="dxa"/>
            <w:vAlign w:val="center"/>
          </w:tcPr>
          <w:p>
            <w:pPr>
              <w:jc w:val="center"/>
              <w:rPr>
                <w:rFonts w:hAnsi="宋体" w:cs="宋体"/>
                <w:szCs w:val="21"/>
                <w:highlight w:val="none"/>
              </w:rPr>
            </w:pPr>
          </w:p>
        </w:tc>
        <w:tc>
          <w:tcPr>
            <w:tcW w:w="2115" w:type="dxa"/>
            <w:vAlign w:val="center"/>
          </w:tcPr>
          <w:p>
            <w:pPr>
              <w:jc w:val="center"/>
              <w:rPr>
                <w:rFonts w:hAnsi="宋体" w:cs="宋体"/>
                <w:szCs w:val="21"/>
                <w:highlight w:val="none"/>
              </w:rPr>
            </w:pPr>
          </w:p>
        </w:tc>
        <w:tc>
          <w:tcPr>
            <w:tcW w:w="1295" w:type="dxa"/>
            <w:vAlign w:val="center"/>
          </w:tcPr>
          <w:p>
            <w:pPr>
              <w:jc w:val="center"/>
              <w:rPr>
                <w:rFonts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3" w:type="dxa"/>
            <w:vAlign w:val="center"/>
          </w:tcPr>
          <w:p>
            <w:pPr>
              <w:jc w:val="center"/>
              <w:rPr>
                <w:rFonts w:hAnsi="宋体" w:cs="宋体"/>
                <w:szCs w:val="21"/>
                <w:highlight w:val="none"/>
              </w:rPr>
            </w:pPr>
            <w:r>
              <w:rPr>
                <w:rFonts w:hint="eastAsia" w:hAnsi="宋体" w:cs="宋体"/>
                <w:szCs w:val="21"/>
                <w:highlight w:val="none"/>
              </w:rPr>
              <w:t>3</w:t>
            </w:r>
          </w:p>
        </w:tc>
        <w:tc>
          <w:tcPr>
            <w:tcW w:w="1920" w:type="dxa"/>
            <w:vAlign w:val="center"/>
          </w:tcPr>
          <w:p>
            <w:pPr>
              <w:jc w:val="center"/>
              <w:rPr>
                <w:rFonts w:hAnsi="宋体" w:cs="宋体"/>
                <w:szCs w:val="21"/>
                <w:highlight w:val="none"/>
              </w:rPr>
            </w:pPr>
            <w:r>
              <w:rPr>
                <w:rFonts w:hAnsi="宋体" w:cs="宋体"/>
                <w:szCs w:val="21"/>
                <w:highlight w:val="none"/>
              </w:rPr>
              <w:t>……</w:t>
            </w:r>
          </w:p>
        </w:tc>
        <w:tc>
          <w:tcPr>
            <w:tcW w:w="3588" w:type="dxa"/>
            <w:vAlign w:val="center"/>
          </w:tcPr>
          <w:p>
            <w:pPr>
              <w:jc w:val="center"/>
              <w:rPr>
                <w:rFonts w:hAnsi="宋体" w:cs="宋体"/>
                <w:szCs w:val="21"/>
                <w:highlight w:val="none"/>
              </w:rPr>
            </w:pPr>
          </w:p>
        </w:tc>
        <w:tc>
          <w:tcPr>
            <w:tcW w:w="2115" w:type="dxa"/>
            <w:vAlign w:val="center"/>
          </w:tcPr>
          <w:p>
            <w:pPr>
              <w:jc w:val="center"/>
              <w:rPr>
                <w:rFonts w:hAnsi="宋体" w:cs="宋体"/>
                <w:szCs w:val="21"/>
                <w:highlight w:val="none"/>
              </w:rPr>
            </w:pPr>
          </w:p>
        </w:tc>
        <w:tc>
          <w:tcPr>
            <w:tcW w:w="1295" w:type="dxa"/>
            <w:vAlign w:val="center"/>
          </w:tcPr>
          <w:p>
            <w:pPr>
              <w:jc w:val="center"/>
              <w:rPr>
                <w:rFonts w:hAnsi="宋体" w:cs="宋体"/>
                <w:szCs w:val="21"/>
                <w:highlight w:val="none"/>
              </w:rPr>
            </w:pPr>
          </w:p>
        </w:tc>
      </w:tr>
    </w:tbl>
    <w:p>
      <w:pPr>
        <w:snapToGrid w:val="0"/>
        <w:spacing w:line="360" w:lineRule="auto"/>
        <w:ind w:firstLine="420" w:firstLineChars="200"/>
        <w:rPr>
          <w:rFonts w:hAnsi="宋体" w:cs="宋体"/>
          <w:highlight w:val="none"/>
        </w:rPr>
      </w:pPr>
    </w:p>
    <w:p>
      <w:pPr>
        <w:snapToGrid w:val="0"/>
        <w:spacing w:line="360" w:lineRule="auto"/>
        <w:ind w:left="403" w:hanging="403" w:hangingChars="192"/>
        <w:rPr>
          <w:rFonts w:hAnsi="宋体" w:cs="宋体"/>
          <w:szCs w:val="21"/>
          <w:highlight w:val="none"/>
          <w:lang w:val="en-GB"/>
        </w:rPr>
      </w:pPr>
      <w:r>
        <w:rPr>
          <w:rFonts w:hint="eastAsia" w:hAnsi="宋体" w:cs="宋体"/>
          <w:szCs w:val="21"/>
          <w:highlight w:val="none"/>
        </w:rPr>
        <w:t>注：1.投标人必须对应招标文件“第四篇用户需求书”的内容逐条响应。如有缺漏，缺漏项有权视同不符合招标要求。</w:t>
      </w:r>
    </w:p>
    <w:p>
      <w:pPr>
        <w:snapToGrid w:val="0"/>
        <w:spacing w:line="360" w:lineRule="auto"/>
        <w:ind w:left="420" w:leftChars="200"/>
        <w:rPr>
          <w:rFonts w:hAnsi="宋体" w:cs="宋体"/>
          <w:b/>
          <w:szCs w:val="21"/>
          <w:highlight w:val="none"/>
          <w:u w:val="single"/>
        </w:rPr>
      </w:pPr>
      <w:r>
        <w:rPr>
          <w:rFonts w:hint="eastAsia" w:hAnsi="宋体" w:cs="宋体"/>
          <w:b/>
          <w:szCs w:val="21"/>
          <w:highlight w:val="none"/>
          <w:u w:val="single"/>
          <w:lang w:val="en-GB"/>
        </w:rPr>
        <w:t>2.</w:t>
      </w:r>
      <w:r>
        <w:rPr>
          <w:rFonts w:hint="eastAsia" w:hAnsi="宋体" w:cs="宋体"/>
          <w:b/>
          <w:szCs w:val="21"/>
          <w:highlight w:val="none"/>
          <w:u w:val="single"/>
        </w:rPr>
        <w:t>投标人响应采购需求应具体、明确；含糊不清、不确切或伪造、变造证明材料的，按照不完全响应或者完全不响应处理。构成提供虚假材料的，移送监管部门查处。</w:t>
      </w:r>
    </w:p>
    <w:p>
      <w:pPr>
        <w:snapToGrid w:val="0"/>
        <w:spacing w:line="360" w:lineRule="auto"/>
        <w:ind w:firstLine="420" w:firstLineChars="200"/>
        <w:rPr>
          <w:rFonts w:hAnsi="宋体"/>
          <w:szCs w:val="21"/>
          <w:highlight w:val="none"/>
        </w:rPr>
      </w:pPr>
      <w:r>
        <w:rPr>
          <w:rFonts w:hint="eastAsia" w:hAnsi="宋体"/>
          <w:szCs w:val="21"/>
          <w:highlight w:val="none"/>
          <w:lang w:val="en-GB"/>
        </w:rPr>
        <w:t>3.本表内容按各自对应所投子包的内容自行更改。</w:t>
      </w:r>
    </w:p>
    <w:p>
      <w:pPr>
        <w:spacing w:line="360" w:lineRule="auto"/>
        <w:rPr>
          <w:rFonts w:hAnsi="宋体" w:cs="宋体"/>
          <w:szCs w:val="21"/>
          <w:highlight w:val="none"/>
        </w:rPr>
      </w:pPr>
    </w:p>
    <w:p>
      <w:pPr>
        <w:snapToGrid w:val="0"/>
        <w:spacing w:line="300" w:lineRule="auto"/>
        <w:rPr>
          <w:rFonts w:hAnsi="宋体" w:cs="宋体"/>
          <w:szCs w:val="21"/>
          <w:highlight w:val="none"/>
        </w:rPr>
      </w:pPr>
    </w:p>
    <w:p>
      <w:pPr>
        <w:snapToGrid w:val="0"/>
        <w:spacing w:line="360" w:lineRule="auto"/>
        <w:rPr>
          <w:rFonts w:hAnsi="宋体" w:cs="宋体"/>
          <w:szCs w:val="21"/>
          <w:highlight w:val="none"/>
        </w:rPr>
      </w:pPr>
      <w:r>
        <w:rPr>
          <w:rFonts w:hint="eastAsia" w:hAnsi="宋体" w:cs="宋体"/>
          <w:szCs w:val="21"/>
          <w:highlight w:val="none"/>
        </w:rPr>
        <w:t>投标人法定代表人（或法定代表人授权代表）签字：</w:t>
      </w:r>
    </w:p>
    <w:p>
      <w:pPr>
        <w:snapToGrid w:val="0"/>
        <w:spacing w:line="360" w:lineRule="auto"/>
        <w:rPr>
          <w:rFonts w:hAnsi="宋体" w:cs="宋体"/>
          <w:szCs w:val="21"/>
          <w:highlight w:val="none"/>
          <w:u w:val="single"/>
        </w:rPr>
      </w:pPr>
      <w:r>
        <w:rPr>
          <w:rFonts w:hint="eastAsia" w:hAnsi="宋体" w:cs="宋体"/>
          <w:szCs w:val="21"/>
          <w:highlight w:val="none"/>
        </w:rPr>
        <w:t>投标人名称（加盖法人公章）：</w:t>
      </w:r>
    </w:p>
    <w:p>
      <w:pPr>
        <w:snapToGrid w:val="0"/>
        <w:spacing w:line="300" w:lineRule="auto"/>
        <w:rPr>
          <w:rFonts w:hAnsi="宋体" w:cs="宋体"/>
          <w:szCs w:val="21"/>
          <w:highlight w:val="none"/>
        </w:rPr>
      </w:pPr>
      <w:r>
        <w:rPr>
          <w:rFonts w:hint="eastAsia" w:hAnsi="宋体" w:cs="宋体"/>
          <w:szCs w:val="21"/>
          <w:highlight w:val="none"/>
        </w:rPr>
        <w:t>日期：年 月 日</w:t>
      </w:r>
    </w:p>
    <w:p>
      <w:pPr>
        <w:snapToGrid w:val="0"/>
        <w:spacing w:line="360" w:lineRule="auto"/>
        <w:rPr>
          <w:rFonts w:hAnsi="宋体" w:cs="宋体"/>
          <w:szCs w:val="21"/>
          <w:highlight w:val="none"/>
        </w:rPr>
      </w:pPr>
    </w:p>
    <w:p>
      <w:pPr>
        <w:snapToGrid w:val="0"/>
        <w:spacing w:line="360" w:lineRule="auto"/>
        <w:rPr>
          <w:rFonts w:hAnsi="宋体" w:cs="宋体"/>
          <w:szCs w:val="21"/>
          <w:highlight w:val="none"/>
        </w:rPr>
      </w:pPr>
    </w:p>
    <w:p>
      <w:pPr>
        <w:snapToGrid w:val="0"/>
        <w:spacing w:line="360" w:lineRule="auto"/>
        <w:rPr>
          <w:rFonts w:hAnsi="宋体" w:cs="宋体"/>
          <w:szCs w:val="21"/>
          <w:highlight w:val="none"/>
        </w:rPr>
      </w:pPr>
    </w:p>
    <w:p>
      <w:pPr>
        <w:snapToGrid w:val="0"/>
        <w:spacing w:line="360" w:lineRule="auto"/>
        <w:rPr>
          <w:rFonts w:hAnsi="宋体" w:cs="宋体"/>
          <w:szCs w:val="21"/>
          <w:highlight w:val="none"/>
        </w:rPr>
      </w:pPr>
    </w:p>
    <w:p>
      <w:pPr>
        <w:pStyle w:val="35"/>
        <w:rPr>
          <w:highlight w:val="none"/>
        </w:rPr>
      </w:pPr>
    </w:p>
    <w:p>
      <w:pPr>
        <w:rPr>
          <w:highlight w:val="none"/>
        </w:rPr>
      </w:pPr>
    </w:p>
    <w:p>
      <w:pPr>
        <w:pStyle w:val="35"/>
        <w:rPr>
          <w:highlight w:val="none"/>
        </w:rPr>
      </w:pPr>
    </w:p>
    <w:p>
      <w:pPr>
        <w:rPr>
          <w:highlight w:val="none"/>
        </w:rPr>
      </w:pPr>
    </w:p>
    <w:p>
      <w:pPr>
        <w:pStyle w:val="35"/>
        <w:rPr>
          <w:highlight w:val="none"/>
        </w:rPr>
      </w:pPr>
    </w:p>
    <w:p>
      <w:pPr>
        <w:rPr>
          <w:highlight w:val="none"/>
        </w:rPr>
      </w:pPr>
    </w:p>
    <w:p>
      <w:pPr>
        <w:pStyle w:val="35"/>
        <w:rPr>
          <w:highlight w:val="none"/>
        </w:rPr>
      </w:pPr>
    </w:p>
    <w:p>
      <w:pPr>
        <w:rPr>
          <w:highlight w:val="none"/>
        </w:rPr>
      </w:pPr>
    </w:p>
    <w:p>
      <w:pPr>
        <w:pStyle w:val="4"/>
        <w:spacing w:before="312" w:line="480" w:lineRule="exact"/>
        <w:jc w:val="center"/>
        <w:rPr>
          <w:rFonts w:hAnsi="宋体" w:cs="宋体"/>
          <w:b/>
          <w:sz w:val="32"/>
          <w:szCs w:val="32"/>
          <w:highlight w:val="none"/>
        </w:rPr>
      </w:pPr>
      <w:r>
        <w:rPr>
          <w:rFonts w:hint="eastAsia" w:hAnsi="宋体" w:cs="宋体"/>
          <w:b/>
          <w:sz w:val="32"/>
          <w:szCs w:val="32"/>
          <w:highlight w:val="none"/>
        </w:rPr>
        <w:t>四、经济</w:t>
      </w:r>
      <w:bookmarkStart w:id="49" w:name="_Hlt10456397"/>
      <w:bookmarkEnd w:id="49"/>
      <w:bookmarkStart w:id="50" w:name="_Hlt10519799"/>
      <w:bookmarkEnd w:id="50"/>
      <w:r>
        <w:rPr>
          <w:rFonts w:hint="eastAsia" w:hAnsi="宋体" w:cs="宋体"/>
          <w:b/>
          <w:sz w:val="32"/>
          <w:szCs w:val="32"/>
          <w:highlight w:val="none"/>
        </w:rPr>
        <w:t>部分文件</w:t>
      </w:r>
    </w:p>
    <w:p>
      <w:pPr>
        <w:pStyle w:val="4"/>
        <w:spacing w:after="120" w:line="480" w:lineRule="exact"/>
        <w:rPr>
          <w:rFonts w:hAnsi="宋体" w:cs="宋体"/>
          <w:b/>
          <w:szCs w:val="20"/>
          <w:highlight w:val="none"/>
        </w:rPr>
      </w:pPr>
      <w:r>
        <w:rPr>
          <w:rFonts w:hint="eastAsia" w:hAnsi="宋体" w:cs="宋体"/>
          <w:b/>
          <w:szCs w:val="20"/>
          <w:highlight w:val="none"/>
        </w:rPr>
        <w:t>附表4.1  投标报价总表格式</w:t>
      </w:r>
    </w:p>
    <w:p>
      <w:pPr>
        <w:pStyle w:val="2"/>
        <w:spacing w:line="480" w:lineRule="exact"/>
        <w:jc w:val="center"/>
        <w:rPr>
          <w:rFonts w:hAnsi="宋体" w:cs="宋体"/>
          <w:b/>
          <w:kern w:val="0"/>
          <w:sz w:val="32"/>
          <w:szCs w:val="32"/>
          <w:highlight w:val="none"/>
        </w:rPr>
      </w:pPr>
      <w:r>
        <w:rPr>
          <w:rFonts w:hint="eastAsia" w:hAnsi="宋体" w:cs="宋体"/>
          <w:b/>
          <w:kern w:val="0"/>
          <w:sz w:val="32"/>
          <w:szCs w:val="32"/>
          <w:highlight w:val="none"/>
        </w:rPr>
        <w:t>投标报价总表</w:t>
      </w:r>
    </w:p>
    <w:p>
      <w:pPr>
        <w:pStyle w:val="2"/>
        <w:spacing w:line="480" w:lineRule="exact"/>
        <w:jc w:val="center"/>
        <w:rPr>
          <w:rFonts w:hAnsi="宋体" w:cs="宋体"/>
          <w:sz w:val="24"/>
          <w:highlight w:val="none"/>
        </w:rPr>
      </w:pPr>
      <w:r>
        <w:rPr>
          <w:rFonts w:hint="eastAsia" w:hAnsi="宋体" w:cs="宋体"/>
          <w:highlight w:val="none"/>
        </w:rPr>
        <w:t>[货币单位：人民币元]</w:t>
      </w:r>
    </w:p>
    <w:p>
      <w:pPr>
        <w:pStyle w:val="2"/>
        <w:spacing w:line="360" w:lineRule="auto"/>
        <w:rPr>
          <w:rFonts w:hAnsi="宋体" w:cs="宋体"/>
          <w:highlight w:val="none"/>
        </w:rPr>
      </w:pPr>
      <w:r>
        <w:rPr>
          <w:rFonts w:hint="eastAsia" w:hAnsi="宋体" w:cs="宋体"/>
          <w:highlight w:val="none"/>
        </w:rPr>
        <w:t>投标人名称：</w:t>
      </w:r>
    </w:p>
    <w:p>
      <w:pPr>
        <w:spacing w:line="360" w:lineRule="auto"/>
        <w:rPr>
          <w:rFonts w:hAnsi="宋体" w:cs="宋体"/>
          <w:szCs w:val="21"/>
          <w:highlight w:val="none"/>
        </w:rPr>
      </w:pPr>
      <w:r>
        <w:rPr>
          <w:rFonts w:hint="eastAsia" w:hAnsi="宋体" w:cs="宋体"/>
          <w:szCs w:val="21"/>
          <w:highlight w:val="none"/>
        </w:rPr>
        <w:t xml:space="preserve">采购编号：GDYD221545        </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p>
      <w:pPr>
        <w:pStyle w:val="2"/>
        <w:rPr>
          <w:highlight w:val="none"/>
        </w:rPr>
      </w:pPr>
    </w:p>
    <w:tbl>
      <w:tblPr>
        <w:tblStyle w:val="49"/>
        <w:tblW w:w="9682"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0"/>
        <w:gridCol w:w="2269"/>
        <w:gridCol w:w="2694"/>
        <w:gridCol w:w="301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 w:hRule="atLeast"/>
        </w:trPr>
        <w:tc>
          <w:tcPr>
            <w:tcW w:w="3969" w:type="dxa"/>
            <w:gridSpan w:val="2"/>
          </w:tcPr>
          <w:p>
            <w:pPr>
              <w:pStyle w:val="99"/>
              <w:spacing w:before="149"/>
              <w:ind w:left="137" w:right="119"/>
              <w:jc w:val="center"/>
              <w:rPr>
                <w:b/>
                <w:sz w:val="21"/>
                <w:highlight w:val="none"/>
              </w:rPr>
            </w:pPr>
            <w:r>
              <w:rPr>
                <w:b/>
                <w:sz w:val="21"/>
                <w:highlight w:val="none"/>
              </w:rPr>
              <w:t>采购内容</w:t>
            </w:r>
          </w:p>
        </w:tc>
        <w:tc>
          <w:tcPr>
            <w:tcW w:w="2694" w:type="dxa"/>
          </w:tcPr>
          <w:p>
            <w:pPr>
              <w:pStyle w:val="99"/>
              <w:spacing w:before="149"/>
              <w:ind w:left="126" w:right="111"/>
              <w:jc w:val="center"/>
              <w:rPr>
                <w:b/>
                <w:sz w:val="21"/>
                <w:highlight w:val="none"/>
              </w:rPr>
            </w:pPr>
            <w:r>
              <w:rPr>
                <w:b/>
                <w:sz w:val="21"/>
                <w:highlight w:val="none"/>
              </w:rPr>
              <w:t>服务期限</w:t>
            </w:r>
          </w:p>
        </w:tc>
        <w:tc>
          <w:tcPr>
            <w:tcW w:w="3019" w:type="dxa"/>
          </w:tcPr>
          <w:p>
            <w:pPr>
              <w:pStyle w:val="99"/>
              <w:spacing w:before="149"/>
              <w:ind w:left="14"/>
              <w:jc w:val="center"/>
              <w:rPr>
                <w:b/>
                <w:sz w:val="21"/>
                <w:highlight w:val="none"/>
              </w:rPr>
            </w:pPr>
            <w:r>
              <w:rPr>
                <w:rFonts w:hint="eastAsia"/>
                <w:b/>
                <w:bCs/>
                <w:highlight w:val="none"/>
              </w:rPr>
              <w:t>单船成本费用总价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700" w:type="dxa"/>
            <w:vMerge w:val="restart"/>
            <w:vAlign w:val="center"/>
          </w:tcPr>
          <w:p>
            <w:pPr>
              <w:pStyle w:val="99"/>
              <w:tabs>
                <w:tab w:val="left" w:pos="1594"/>
              </w:tabs>
              <w:spacing w:before="183"/>
              <w:ind w:left="17"/>
              <w:jc w:val="center"/>
              <w:rPr>
                <w:sz w:val="21"/>
                <w:highlight w:val="none"/>
              </w:rPr>
            </w:pPr>
            <w:r>
              <w:rPr>
                <w:rFonts w:hint="eastAsia"/>
                <w:sz w:val="21"/>
                <w:highlight w:val="none"/>
              </w:rPr>
              <w:t>船员成本费用</w:t>
            </w:r>
          </w:p>
        </w:tc>
        <w:tc>
          <w:tcPr>
            <w:tcW w:w="2269" w:type="dxa"/>
            <w:vAlign w:val="center"/>
          </w:tcPr>
          <w:p>
            <w:pPr>
              <w:pStyle w:val="99"/>
              <w:tabs>
                <w:tab w:val="left" w:pos="1594"/>
              </w:tabs>
              <w:spacing w:before="183"/>
              <w:ind w:left="17"/>
              <w:jc w:val="center"/>
              <w:rPr>
                <w:sz w:val="21"/>
                <w:highlight w:val="none"/>
              </w:rPr>
            </w:pPr>
            <w:r>
              <w:rPr>
                <w:rFonts w:hint="eastAsia"/>
                <w:sz w:val="21"/>
                <w:highlight w:val="none"/>
                <w:lang w:val="en-US"/>
              </w:rPr>
              <w:t>500吨级以上调查船组</w:t>
            </w:r>
          </w:p>
        </w:tc>
        <w:tc>
          <w:tcPr>
            <w:tcW w:w="2694" w:type="dxa"/>
            <w:vMerge w:val="restart"/>
            <w:vAlign w:val="center"/>
          </w:tcPr>
          <w:p>
            <w:pPr>
              <w:spacing w:line="360" w:lineRule="auto"/>
              <w:ind w:firstLine="424" w:firstLineChars="202"/>
              <w:rPr>
                <w:highlight w:val="none"/>
              </w:rPr>
            </w:pPr>
          </w:p>
        </w:tc>
        <w:tc>
          <w:tcPr>
            <w:tcW w:w="3019" w:type="dxa"/>
          </w:tcPr>
          <w:p>
            <w:pPr>
              <w:pStyle w:val="99"/>
              <w:tabs>
                <w:tab w:val="left" w:pos="1594"/>
              </w:tabs>
              <w:spacing w:before="183"/>
              <w:ind w:left="17"/>
              <w:jc w:val="center"/>
              <w:rPr>
                <w:sz w:val="21"/>
                <w:highlight w:val="none"/>
              </w:rPr>
            </w:pPr>
            <w:r>
              <w:rPr>
                <w:sz w:val="21"/>
                <w:highlight w:val="none"/>
              </w:rPr>
              <w:t>人民</w:t>
            </w:r>
            <w:r>
              <w:rPr>
                <w:spacing w:val="-3"/>
                <w:sz w:val="21"/>
                <w:highlight w:val="none"/>
              </w:rPr>
              <w:t>币</w:t>
            </w:r>
            <w:r>
              <w:rPr>
                <w:spacing w:val="-3"/>
                <w:sz w:val="21"/>
                <w:highlight w:val="none"/>
                <w:u w:val="single"/>
              </w:rPr>
              <w:tab/>
            </w:r>
            <w:r>
              <w:rPr>
                <w:sz w:val="21"/>
                <w:highlight w:val="none"/>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700" w:type="dxa"/>
            <w:vMerge w:val="continue"/>
            <w:vAlign w:val="center"/>
          </w:tcPr>
          <w:p>
            <w:pPr>
              <w:pStyle w:val="99"/>
              <w:tabs>
                <w:tab w:val="left" w:pos="1594"/>
              </w:tabs>
              <w:spacing w:before="183"/>
              <w:ind w:left="17"/>
              <w:jc w:val="center"/>
              <w:rPr>
                <w:sz w:val="21"/>
                <w:highlight w:val="none"/>
              </w:rPr>
            </w:pPr>
          </w:p>
        </w:tc>
        <w:tc>
          <w:tcPr>
            <w:tcW w:w="2269" w:type="dxa"/>
            <w:vAlign w:val="center"/>
          </w:tcPr>
          <w:p>
            <w:pPr>
              <w:pStyle w:val="99"/>
              <w:tabs>
                <w:tab w:val="left" w:pos="1594"/>
              </w:tabs>
              <w:spacing w:before="183"/>
              <w:ind w:left="17"/>
              <w:jc w:val="center"/>
              <w:rPr>
                <w:sz w:val="21"/>
                <w:highlight w:val="none"/>
                <w:lang w:val="en-US"/>
              </w:rPr>
            </w:pPr>
            <w:r>
              <w:rPr>
                <w:rFonts w:hint="eastAsia"/>
                <w:sz w:val="21"/>
                <w:highlight w:val="none"/>
                <w:lang w:val="en-US"/>
              </w:rPr>
              <w:t>远洋调查船组</w:t>
            </w:r>
          </w:p>
        </w:tc>
        <w:tc>
          <w:tcPr>
            <w:tcW w:w="2694" w:type="dxa"/>
            <w:vMerge w:val="continue"/>
            <w:vAlign w:val="center"/>
          </w:tcPr>
          <w:p>
            <w:pPr>
              <w:spacing w:line="360" w:lineRule="auto"/>
              <w:ind w:firstLine="424" w:firstLineChars="202"/>
              <w:rPr>
                <w:highlight w:val="none"/>
              </w:rPr>
            </w:pPr>
          </w:p>
        </w:tc>
        <w:tc>
          <w:tcPr>
            <w:tcW w:w="3019" w:type="dxa"/>
          </w:tcPr>
          <w:p>
            <w:pPr>
              <w:pStyle w:val="99"/>
              <w:tabs>
                <w:tab w:val="left" w:pos="1594"/>
              </w:tabs>
              <w:spacing w:before="183"/>
              <w:ind w:left="17"/>
              <w:jc w:val="center"/>
              <w:rPr>
                <w:sz w:val="21"/>
                <w:highlight w:val="none"/>
              </w:rPr>
            </w:pPr>
            <w:r>
              <w:rPr>
                <w:sz w:val="21"/>
                <w:highlight w:val="none"/>
              </w:rPr>
              <w:t>人民</w:t>
            </w:r>
            <w:r>
              <w:rPr>
                <w:spacing w:val="-3"/>
                <w:sz w:val="21"/>
                <w:highlight w:val="none"/>
              </w:rPr>
              <w:t>币</w:t>
            </w:r>
            <w:r>
              <w:rPr>
                <w:spacing w:val="-3"/>
                <w:sz w:val="21"/>
                <w:highlight w:val="none"/>
                <w:u w:val="single"/>
              </w:rPr>
              <w:tab/>
            </w:r>
            <w:r>
              <w:rPr>
                <w:sz w:val="21"/>
                <w:highlight w:val="none"/>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700" w:type="dxa"/>
            <w:tcBorders>
              <w:bottom w:val="single" w:color="000000" w:sz="4" w:space="0"/>
            </w:tcBorders>
            <w:vAlign w:val="center"/>
          </w:tcPr>
          <w:p>
            <w:pPr>
              <w:pStyle w:val="99"/>
              <w:tabs>
                <w:tab w:val="left" w:pos="1594"/>
              </w:tabs>
              <w:spacing w:before="183"/>
              <w:ind w:left="17"/>
              <w:jc w:val="center"/>
              <w:rPr>
                <w:sz w:val="21"/>
                <w:highlight w:val="none"/>
              </w:rPr>
            </w:pPr>
            <w:r>
              <w:rPr>
                <w:rFonts w:hint="eastAsia"/>
                <w:sz w:val="21"/>
                <w:highlight w:val="none"/>
              </w:rPr>
              <w:t>管理费</w:t>
            </w:r>
          </w:p>
        </w:tc>
        <w:tc>
          <w:tcPr>
            <w:tcW w:w="2269" w:type="dxa"/>
            <w:tcBorders>
              <w:bottom w:val="single" w:color="000000" w:sz="4" w:space="0"/>
            </w:tcBorders>
            <w:vAlign w:val="center"/>
          </w:tcPr>
          <w:p>
            <w:pPr>
              <w:pStyle w:val="99"/>
              <w:tabs>
                <w:tab w:val="left" w:pos="1594"/>
              </w:tabs>
              <w:spacing w:before="183"/>
              <w:ind w:left="17" w:leftChars="8" w:firstLine="525" w:firstLineChars="250"/>
              <w:rPr>
                <w:sz w:val="21"/>
                <w:highlight w:val="none"/>
                <w:lang w:val="en-US"/>
              </w:rPr>
            </w:pPr>
            <w:r>
              <w:rPr>
                <w:rFonts w:hint="eastAsia"/>
                <w:sz w:val="21"/>
                <w:highlight w:val="none"/>
                <w:lang w:val="en-US"/>
              </w:rPr>
              <w:t>系数：</w:t>
            </w:r>
          </w:p>
        </w:tc>
        <w:tc>
          <w:tcPr>
            <w:tcW w:w="2694" w:type="dxa"/>
            <w:vMerge w:val="continue"/>
            <w:tcBorders>
              <w:bottom w:val="single" w:color="000000" w:sz="4" w:space="0"/>
            </w:tcBorders>
            <w:vAlign w:val="center"/>
          </w:tcPr>
          <w:p>
            <w:pPr>
              <w:pStyle w:val="99"/>
              <w:tabs>
                <w:tab w:val="left" w:pos="1594"/>
              </w:tabs>
              <w:spacing w:before="183"/>
              <w:ind w:left="17"/>
              <w:jc w:val="center"/>
              <w:rPr>
                <w:sz w:val="21"/>
                <w:highlight w:val="none"/>
              </w:rPr>
            </w:pPr>
          </w:p>
        </w:tc>
        <w:tc>
          <w:tcPr>
            <w:tcW w:w="3019" w:type="dxa"/>
            <w:tcBorders>
              <w:bottom w:val="single" w:color="000000" w:sz="4" w:space="0"/>
            </w:tcBorders>
          </w:tcPr>
          <w:p>
            <w:pPr>
              <w:pStyle w:val="99"/>
              <w:tabs>
                <w:tab w:val="left" w:pos="1594"/>
              </w:tabs>
              <w:spacing w:before="183"/>
              <w:ind w:left="17"/>
              <w:jc w:val="center"/>
              <w:rPr>
                <w:sz w:val="21"/>
                <w:highlight w:val="none"/>
              </w:rPr>
            </w:pPr>
            <w:r>
              <w:rPr>
                <w:rFonts w:hint="eastAsia"/>
                <w:sz w:val="21"/>
                <w:highlight w:val="none"/>
              </w:rPr>
              <w:t>/</w:t>
            </w:r>
          </w:p>
        </w:tc>
      </w:tr>
    </w:tbl>
    <w:p>
      <w:pPr>
        <w:spacing w:line="360" w:lineRule="exact"/>
        <w:rPr>
          <w:rFonts w:hAnsi="宋体" w:cs="宋体"/>
          <w:bCs/>
          <w:kern w:val="2"/>
          <w:szCs w:val="21"/>
          <w:highlight w:val="none"/>
        </w:rPr>
      </w:pPr>
    </w:p>
    <w:p>
      <w:pPr>
        <w:spacing w:line="360" w:lineRule="exact"/>
        <w:rPr>
          <w:rFonts w:hAnsi="宋体" w:cs="宋体"/>
          <w:bCs/>
          <w:kern w:val="2"/>
          <w:szCs w:val="21"/>
          <w:highlight w:val="none"/>
        </w:rPr>
      </w:pPr>
      <w:r>
        <w:rPr>
          <w:rFonts w:hint="eastAsia" w:hAnsi="宋体" w:cs="宋体"/>
          <w:bCs/>
          <w:kern w:val="2"/>
          <w:szCs w:val="21"/>
          <w:highlight w:val="none"/>
        </w:rPr>
        <w:t>注：</w:t>
      </w:r>
    </w:p>
    <w:p>
      <w:pPr>
        <w:spacing w:line="360" w:lineRule="exact"/>
        <w:rPr>
          <w:rFonts w:hAnsi="宋体" w:cs="宋体"/>
          <w:bCs/>
          <w:kern w:val="2"/>
          <w:szCs w:val="21"/>
          <w:highlight w:val="none"/>
        </w:rPr>
      </w:pPr>
      <w:r>
        <w:rPr>
          <w:rFonts w:hint="eastAsia" w:hAnsi="宋体" w:cs="宋体"/>
          <w:bCs/>
          <w:kern w:val="2"/>
          <w:szCs w:val="21"/>
          <w:highlight w:val="none"/>
        </w:rPr>
        <w:t>1.投标人须按要求填写所有信息，不得随意更改本表格式。</w:t>
      </w:r>
    </w:p>
    <w:p>
      <w:pPr>
        <w:spacing w:line="360" w:lineRule="exact"/>
        <w:rPr>
          <w:rFonts w:hAnsi="宋体" w:cs="宋体"/>
          <w:bCs/>
          <w:kern w:val="2"/>
          <w:szCs w:val="21"/>
          <w:highlight w:val="none"/>
        </w:rPr>
      </w:pPr>
      <w:r>
        <w:rPr>
          <w:rFonts w:hint="eastAsia" w:hAnsi="宋体" w:cs="宋体"/>
          <w:bCs/>
          <w:kern w:val="2"/>
          <w:szCs w:val="21"/>
          <w:highlight w:val="none"/>
        </w:rPr>
        <w:t>2.所有价格均应以人民币报价，金额单位为元。</w:t>
      </w:r>
    </w:p>
    <w:p>
      <w:pPr>
        <w:spacing w:line="360" w:lineRule="exact"/>
        <w:rPr>
          <w:rFonts w:hAnsi="宋体" w:cs="宋体"/>
          <w:bCs/>
          <w:kern w:val="2"/>
          <w:szCs w:val="21"/>
          <w:highlight w:val="none"/>
        </w:rPr>
      </w:pPr>
      <w:r>
        <w:rPr>
          <w:rFonts w:hint="eastAsia" w:hAnsi="宋体" w:cs="宋体"/>
          <w:bCs/>
          <w:kern w:val="2"/>
          <w:szCs w:val="21"/>
          <w:highlight w:val="none"/>
        </w:rPr>
        <w:t>3.此表是投标文件的必要文件，是投标文件的组成部分，还应另附一份并与优惠声明（若有）封装在一个信封中，作为唱标之用。</w:t>
      </w:r>
    </w:p>
    <w:p>
      <w:pPr>
        <w:pStyle w:val="2"/>
        <w:rPr>
          <w:b/>
          <w:highlight w:val="none"/>
          <w:u w:val="single"/>
        </w:rPr>
      </w:pPr>
      <w:r>
        <w:rPr>
          <w:rFonts w:hint="eastAsia" w:hAnsi="宋体" w:cs="宋体"/>
          <w:b/>
          <w:szCs w:val="21"/>
          <w:highlight w:val="none"/>
          <w:u w:val="single"/>
        </w:rPr>
        <w:t>4.投标人须同时写明每个岗位的单价在</w:t>
      </w:r>
      <w:r>
        <w:rPr>
          <w:rFonts w:hint="eastAsia" w:hAnsi="宋体" w:cs="宋体"/>
          <w:b/>
          <w:highlight w:val="none"/>
          <w:u w:val="single"/>
        </w:rPr>
        <w:t>分项报价明细中。</w:t>
      </w:r>
    </w:p>
    <w:p>
      <w:pPr>
        <w:snapToGrid w:val="0"/>
        <w:spacing w:line="300" w:lineRule="auto"/>
        <w:rPr>
          <w:rFonts w:hAnsi="宋体" w:cs="宋体"/>
          <w:bCs/>
          <w:kern w:val="2"/>
          <w:szCs w:val="21"/>
          <w:highlight w:val="none"/>
        </w:rPr>
      </w:pPr>
    </w:p>
    <w:p>
      <w:pPr>
        <w:snapToGrid w:val="0"/>
        <w:spacing w:line="300" w:lineRule="auto"/>
        <w:rPr>
          <w:rFonts w:hAnsi="宋体" w:cs="宋体"/>
          <w:bCs/>
          <w:kern w:val="2"/>
          <w:szCs w:val="21"/>
          <w:highlight w:val="none"/>
        </w:rPr>
      </w:pPr>
      <w:r>
        <w:rPr>
          <w:rFonts w:hint="eastAsia" w:hAnsi="宋体" w:cs="宋体"/>
          <w:bCs/>
          <w:kern w:val="2"/>
          <w:szCs w:val="21"/>
          <w:highlight w:val="none"/>
        </w:rPr>
        <w:t xml:space="preserve">投标人法定代表人（或法定代表人授权代表）亲笔签字：                   </w:t>
      </w:r>
    </w:p>
    <w:p>
      <w:pPr>
        <w:snapToGrid w:val="0"/>
        <w:spacing w:line="300" w:lineRule="auto"/>
        <w:rPr>
          <w:rFonts w:hAnsi="宋体" w:cs="宋体"/>
          <w:bCs/>
          <w:kern w:val="2"/>
          <w:szCs w:val="21"/>
          <w:highlight w:val="none"/>
        </w:rPr>
      </w:pPr>
      <w:r>
        <w:rPr>
          <w:rFonts w:hint="eastAsia" w:hAnsi="宋体" w:cs="宋体"/>
          <w:bCs/>
          <w:kern w:val="2"/>
          <w:szCs w:val="21"/>
          <w:highlight w:val="none"/>
        </w:rPr>
        <w:t xml:space="preserve">投标人名称（加盖法人公章）：                        </w:t>
      </w:r>
    </w:p>
    <w:p>
      <w:pPr>
        <w:pStyle w:val="2"/>
        <w:spacing w:line="480" w:lineRule="exact"/>
        <w:rPr>
          <w:rFonts w:hAnsi="宋体" w:cs="宋体"/>
          <w:szCs w:val="21"/>
          <w:highlight w:val="none"/>
        </w:rPr>
      </w:pPr>
      <w:r>
        <w:rPr>
          <w:rFonts w:hint="eastAsia" w:hAnsi="宋体" w:cs="宋体"/>
          <w:bCs/>
          <w:szCs w:val="21"/>
          <w:highlight w:val="none"/>
        </w:rPr>
        <w:t>日期：   年   月   日</w:t>
      </w: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jc w:val="center"/>
        <w:rPr>
          <w:rFonts w:hAnsi="宋体" w:cs="宋体"/>
          <w:b/>
          <w:kern w:val="0"/>
          <w:sz w:val="28"/>
          <w:szCs w:val="28"/>
          <w:highlight w:val="none"/>
        </w:rPr>
      </w:pPr>
    </w:p>
    <w:p>
      <w:pPr>
        <w:pStyle w:val="2"/>
        <w:spacing w:line="480" w:lineRule="exact"/>
        <w:rPr>
          <w:rFonts w:hAnsi="宋体" w:cs="宋体"/>
          <w:b/>
          <w:kern w:val="0"/>
          <w:sz w:val="28"/>
          <w:szCs w:val="28"/>
          <w:highlight w:val="none"/>
        </w:rPr>
      </w:pPr>
    </w:p>
    <w:p>
      <w:pPr>
        <w:pStyle w:val="4"/>
        <w:spacing w:after="120" w:line="480" w:lineRule="exact"/>
        <w:rPr>
          <w:rFonts w:hAnsi="宋体" w:cs="宋体"/>
          <w:b/>
          <w:szCs w:val="20"/>
          <w:highlight w:val="none"/>
        </w:rPr>
      </w:pPr>
      <w:r>
        <w:rPr>
          <w:rFonts w:hint="eastAsia" w:hAnsi="宋体" w:cs="宋体"/>
          <w:b/>
          <w:szCs w:val="20"/>
          <w:highlight w:val="none"/>
        </w:rPr>
        <w:t>附表4.2  分项报价明细表格式</w:t>
      </w:r>
    </w:p>
    <w:tbl>
      <w:tblPr>
        <w:tblStyle w:val="5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304"/>
        <w:gridCol w:w="850"/>
        <w:gridCol w:w="1104"/>
        <w:gridCol w:w="1983"/>
        <w:gridCol w:w="605"/>
        <w:gridCol w:w="1151"/>
        <w:gridCol w:w="129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855" w:type="dxa"/>
            <w:gridSpan w:val="9"/>
            <w:vAlign w:val="center"/>
          </w:tcPr>
          <w:p>
            <w:pPr>
              <w:pStyle w:val="3"/>
              <w:jc w:val="center"/>
              <w:rPr>
                <w:b/>
                <w:bCs/>
                <w:highlight w:val="none"/>
              </w:rPr>
            </w:pPr>
            <w:r>
              <w:rPr>
                <w:rFonts w:hint="eastAsia"/>
                <w:b/>
                <w:bCs/>
                <w:highlight w:val="none"/>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855" w:type="dxa"/>
            <w:gridSpan w:val="9"/>
            <w:vAlign w:val="center"/>
          </w:tcPr>
          <w:p>
            <w:pPr>
              <w:pStyle w:val="3"/>
              <w:rPr>
                <w:b/>
                <w:bCs/>
                <w:highlight w:val="none"/>
              </w:rPr>
            </w:pPr>
            <w:r>
              <w:rPr>
                <w:rFonts w:hint="eastAsia"/>
                <w:b/>
                <w:bCs/>
                <w:highlight w:val="none"/>
              </w:rPr>
              <w:t>一、船员成本费用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845" w:type="dxa"/>
            <w:gridSpan w:val="5"/>
            <w:vAlign w:val="center"/>
          </w:tcPr>
          <w:p>
            <w:pPr>
              <w:pStyle w:val="3"/>
              <w:jc w:val="center"/>
              <w:rPr>
                <w:b/>
                <w:bCs/>
                <w:highlight w:val="none"/>
              </w:rPr>
            </w:pPr>
            <w:r>
              <w:rPr>
                <w:rFonts w:hint="eastAsia"/>
                <w:b/>
                <w:bCs/>
                <w:highlight w:val="none"/>
              </w:rPr>
              <w:t>远洋调查船组</w:t>
            </w:r>
          </w:p>
        </w:tc>
        <w:tc>
          <w:tcPr>
            <w:tcW w:w="5010" w:type="dxa"/>
            <w:gridSpan w:val="4"/>
            <w:vAlign w:val="center"/>
          </w:tcPr>
          <w:p>
            <w:pPr>
              <w:pStyle w:val="3"/>
              <w:jc w:val="center"/>
              <w:rPr>
                <w:b/>
                <w:bCs/>
                <w:highlight w:val="none"/>
              </w:rPr>
            </w:pPr>
            <w:r>
              <w:rPr>
                <w:rFonts w:hint="eastAsia"/>
                <w:b/>
                <w:bCs/>
                <w:highlight w:val="none"/>
              </w:rPr>
              <w:t>500吨级以上调查船组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604" w:type="dxa"/>
            <w:vAlign w:val="center"/>
          </w:tcPr>
          <w:p>
            <w:pPr>
              <w:pStyle w:val="3"/>
              <w:jc w:val="center"/>
              <w:rPr>
                <w:b/>
                <w:bCs/>
                <w:highlight w:val="none"/>
              </w:rPr>
            </w:pPr>
            <w:r>
              <w:rPr>
                <w:rFonts w:hint="eastAsia"/>
                <w:b/>
                <w:bCs/>
                <w:highlight w:val="none"/>
              </w:rPr>
              <w:t>序号</w:t>
            </w:r>
          </w:p>
        </w:tc>
        <w:tc>
          <w:tcPr>
            <w:tcW w:w="1154" w:type="dxa"/>
            <w:gridSpan w:val="2"/>
            <w:vAlign w:val="center"/>
          </w:tcPr>
          <w:p>
            <w:pPr>
              <w:pStyle w:val="3"/>
              <w:jc w:val="center"/>
              <w:rPr>
                <w:b/>
                <w:bCs/>
                <w:highlight w:val="none"/>
              </w:rPr>
            </w:pPr>
            <w:r>
              <w:rPr>
                <w:rFonts w:hint="eastAsia"/>
                <w:b/>
                <w:bCs/>
                <w:highlight w:val="none"/>
              </w:rPr>
              <w:t>职务</w:t>
            </w:r>
          </w:p>
        </w:tc>
        <w:tc>
          <w:tcPr>
            <w:tcW w:w="1104" w:type="dxa"/>
            <w:vAlign w:val="center"/>
          </w:tcPr>
          <w:p>
            <w:pPr>
              <w:pStyle w:val="3"/>
              <w:jc w:val="center"/>
              <w:rPr>
                <w:b/>
                <w:bCs/>
                <w:highlight w:val="none"/>
              </w:rPr>
            </w:pPr>
            <w:r>
              <w:rPr>
                <w:rFonts w:hint="eastAsia"/>
                <w:b/>
                <w:bCs/>
                <w:highlight w:val="none"/>
              </w:rPr>
              <w:t>每船配员标准</w:t>
            </w:r>
          </w:p>
          <w:p>
            <w:pPr>
              <w:pStyle w:val="3"/>
              <w:jc w:val="center"/>
              <w:rPr>
                <w:b/>
                <w:bCs/>
                <w:highlight w:val="none"/>
              </w:rPr>
            </w:pPr>
            <w:r>
              <w:rPr>
                <w:rFonts w:hint="eastAsia"/>
                <w:b/>
                <w:bCs/>
                <w:highlight w:val="none"/>
              </w:rPr>
              <w:t>（人）</w:t>
            </w:r>
          </w:p>
        </w:tc>
        <w:tc>
          <w:tcPr>
            <w:tcW w:w="1983"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c>
          <w:tcPr>
            <w:tcW w:w="605" w:type="dxa"/>
            <w:vAlign w:val="center"/>
          </w:tcPr>
          <w:p>
            <w:pPr>
              <w:pStyle w:val="3"/>
              <w:jc w:val="center"/>
              <w:rPr>
                <w:b/>
                <w:bCs/>
                <w:highlight w:val="none"/>
              </w:rPr>
            </w:pPr>
            <w:r>
              <w:rPr>
                <w:rFonts w:hint="eastAsia"/>
                <w:b/>
                <w:bCs/>
                <w:highlight w:val="none"/>
              </w:rPr>
              <w:t>序号</w:t>
            </w:r>
          </w:p>
        </w:tc>
        <w:tc>
          <w:tcPr>
            <w:tcW w:w="1151" w:type="dxa"/>
            <w:vAlign w:val="center"/>
          </w:tcPr>
          <w:p>
            <w:pPr>
              <w:pStyle w:val="3"/>
              <w:jc w:val="center"/>
              <w:rPr>
                <w:b/>
                <w:bCs/>
                <w:highlight w:val="none"/>
              </w:rPr>
            </w:pPr>
            <w:r>
              <w:rPr>
                <w:rFonts w:hint="eastAsia"/>
                <w:b/>
                <w:bCs/>
                <w:highlight w:val="none"/>
              </w:rPr>
              <w:t>职务</w:t>
            </w:r>
          </w:p>
        </w:tc>
        <w:tc>
          <w:tcPr>
            <w:tcW w:w="1293" w:type="dxa"/>
            <w:vAlign w:val="center"/>
          </w:tcPr>
          <w:p>
            <w:pPr>
              <w:pStyle w:val="3"/>
              <w:jc w:val="center"/>
              <w:rPr>
                <w:b/>
                <w:bCs/>
                <w:highlight w:val="none"/>
              </w:rPr>
            </w:pPr>
            <w:r>
              <w:rPr>
                <w:rFonts w:hint="eastAsia"/>
                <w:b/>
                <w:bCs/>
                <w:highlight w:val="none"/>
              </w:rPr>
              <w:t>每船配员标准（人）</w:t>
            </w:r>
          </w:p>
        </w:tc>
        <w:tc>
          <w:tcPr>
            <w:tcW w:w="1961"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电机员</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水手</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10</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水手长</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10</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机工</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11</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11</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大厨</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12</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机工长</w:t>
            </w:r>
          </w:p>
        </w:tc>
        <w:tc>
          <w:tcPr>
            <w:tcW w:w="1104" w:type="dxa"/>
            <w:vAlign w:val="center"/>
          </w:tcPr>
          <w:p>
            <w:pPr>
              <w:jc w:val="center"/>
              <w:rPr>
                <w:rFonts w:ascii="仿宋_GB2312" w:hAnsi="仿宋_GB2312" w:eastAsia="仿宋_GB2312" w:cs="仿宋_GB2312"/>
                <w:iCs/>
                <w:sz w:val="24"/>
                <w:highlight w:val="none"/>
              </w:rPr>
            </w:pPr>
            <w:r>
              <w:rPr>
                <w:rFonts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12</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厨工</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3</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983" w:type="dxa"/>
            <w:vAlign w:val="center"/>
          </w:tcPr>
          <w:p>
            <w:pPr>
              <w:jc w:val="center"/>
              <w:rPr>
                <w:rFonts w:ascii="仿宋_GB2312" w:hAnsi="仿宋_GB2312" w:eastAsia="仿宋_GB2312" w:cs="仿宋_GB2312"/>
                <w:iCs/>
                <w:sz w:val="24"/>
                <w:highlight w:val="none"/>
              </w:rPr>
            </w:pPr>
          </w:p>
        </w:tc>
        <w:tc>
          <w:tcPr>
            <w:tcW w:w="60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13</w:t>
            </w:r>
          </w:p>
        </w:tc>
        <w:tc>
          <w:tcPr>
            <w:tcW w:w="1151"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服务员</w:t>
            </w:r>
          </w:p>
        </w:tc>
        <w:tc>
          <w:tcPr>
            <w:tcW w:w="129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ascii="仿宋_GB2312" w:hAnsi="仿宋_GB2312" w:eastAsia="仿宋_GB2312" w:cs="仿宋_GB2312"/>
                <w:iCs/>
                <w:sz w:val="24"/>
                <w:highlight w:val="none"/>
              </w:rPr>
              <w:t>14</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船医</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5010" w:type="dxa"/>
            <w:gridSpan w:val="4"/>
            <w:vMerge w:val="restart"/>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5</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大厨</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983" w:type="dxa"/>
            <w:vAlign w:val="center"/>
          </w:tcPr>
          <w:p>
            <w:pPr>
              <w:jc w:val="center"/>
              <w:rPr>
                <w:rFonts w:ascii="仿宋_GB2312" w:hAnsi="仿宋_GB2312" w:eastAsia="仿宋_GB2312" w:cs="仿宋_GB2312"/>
                <w:iCs/>
                <w:sz w:val="24"/>
                <w:highlight w:val="none"/>
              </w:rPr>
            </w:pPr>
          </w:p>
        </w:tc>
        <w:tc>
          <w:tcPr>
            <w:tcW w:w="5010" w:type="dxa"/>
            <w:gridSpan w:val="4"/>
            <w:vMerge w:val="continue"/>
            <w:tcBorders>
              <w:tl2br w:val="single" w:color="auto" w:sz="4" w:space="0"/>
            </w:tcBorders>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6</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厨工</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983" w:type="dxa"/>
            <w:vAlign w:val="center"/>
          </w:tcPr>
          <w:p>
            <w:pPr>
              <w:jc w:val="center"/>
              <w:rPr>
                <w:rFonts w:ascii="仿宋_GB2312" w:hAnsi="仿宋_GB2312" w:eastAsia="仿宋_GB2312" w:cs="仿宋_GB2312"/>
                <w:iCs/>
                <w:sz w:val="24"/>
                <w:highlight w:val="none"/>
              </w:rPr>
            </w:pPr>
          </w:p>
        </w:tc>
        <w:tc>
          <w:tcPr>
            <w:tcW w:w="5010"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7</w:t>
            </w:r>
          </w:p>
        </w:tc>
        <w:tc>
          <w:tcPr>
            <w:tcW w:w="1154"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服务员</w:t>
            </w:r>
          </w:p>
        </w:tc>
        <w:tc>
          <w:tcPr>
            <w:tcW w:w="110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983" w:type="dxa"/>
            <w:vAlign w:val="center"/>
          </w:tcPr>
          <w:p>
            <w:pPr>
              <w:jc w:val="center"/>
              <w:rPr>
                <w:rFonts w:ascii="仿宋_GB2312" w:hAnsi="仿宋_GB2312" w:eastAsia="仿宋_GB2312" w:cs="仿宋_GB2312"/>
                <w:iCs/>
                <w:sz w:val="24"/>
                <w:highlight w:val="none"/>
              </w:rPr>
            </w:pPr>
          </w:p>
        </w:tc>
        <w:tc>
          <w:tcPr>
            <w:tcW w:w="5010"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58" w:type="dxa"/>
            <w:gridSpan w:val="3"/>
            <w:vAlign w:val="center"/>
          </w:tcPr>
          <w:p>
            <w:pPr>
              <w:jc w:val="center"/>
              <w:rPr>
                <w:rFonts w:ascii="仿宋_GB2312" w:hAnsi="仿宋_GB2312" w:eastAsia="仿宋_GB2312" w:cs="仿宋_GB2312"/>
                <w:iCs/>
                <w:szCs w:val="21"/>
                <w:highlight w:val="none"/>
              </w:rPr>
            </w:pPr>
            <w:r>
              <w:rPr>
                <w:rFonts w:hint="eastAsia" w:ascii="仿宋_GB2312" w:hAnsi="仿宋_GB2312" w:eastAsia="仿宋_GB2312" w:cs="仿宋_GB2312"/>
                <w:iCs/>
                <w:szCs w:val="21"/>
                <w:highlight w:val="none"/>
              </w:rPr>
              <w:t>小计</w:t>
            </w:r>
          </w:p>
        </w:tc>
        <w:tc>
          <w:tcPr>
            <w:tcW w:w="1104" w:type="dxa"/>
            <w:vAlign w:val="center"/>
          </w:tcPr>
          <w:p>
            <w:pPr>
              <w:jc w:val="center"/>
              <w:rPr>
                <w:rFonts w:ascii="仿宋_GB2312" w:hAnsi="仿宋_GB2312" w:eastAsia="仿宋_GB2312" w:cs="仿宋_GB2312"/>
                <w:iCs/>
                <w:sz w:val="24"/>
                <w:highlight w:val="none"/>
              </w:rPr>
            </w:pPr>
          </w:p>
        </w:tc>
        <w:tc>
          <w:tcPr>
            <w:tcW w:w="1983" w:type="dxa"/>
            <w:vAlign w:val="center"/>
          </w:tcPr>
          <w:p>
            <w:pPr>
              <w:jc w:val="center"/>
              <w:rPr>
                <w:rFonts w:ascii="仿宋_GB2312" w:hAnsi="仿宋_GB2312" w:eastAsia="仿宋_GB2312" w:cs="仿宋_GB2312"/>
                <w:iCs/>
                <w:sz w:val="24"/>
                <w:highlight w:val="none"/>
              </w:rPr>
            </w:pPr>
          </w:p>
        </w:tc>
        <w:tc>
          <w:tcPr>
            <w:tcW w:w="175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小计</w:t>
            </w:r>
          </w:p>
        </w:tc>
        <w:tc>
          <w:tcPr>
            <w:tcW w:w="1293" w:type="dxa"/>
            <w:vAlign w:val="center"/>
          </w:tcPr>
          <w:p>
            <w:pPr>
              <w:jc w:val="center"/>
              <w:rPr>
                <w:rFonts w:ascii="仿宋_GB2312" w:hAnsi="仿宋_GB2312" w:eastAsia="仿宋_GB2312" w:cs="仿宋_GB2312"/>
                <w:iCs/>
                <w:sz w:val="24"/>
                <w:highlight w:val="none"/>
              </w:rPr>
            </w:pPr>
          </w:p>
        </w:tc>
        <w:tc>
          <w:tcPr>
            <w:tcW w:w="1961"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62" w:type="dxa"/>
            <w:gridSpan w:val="4"/>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合计</w:t>
            </w:r>
          </w:p>
        </w:tc>
        <w:tc>
          <w:tcPr>
            <w:tcW w:w="6993" w:type="dxa"/>
            <w:gridSpan w:val="5"/>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855" w:type="dxa"/>
            <w:gridSpan w:val="9"/>
            <w:vAlign w:val="center"/>
          </w:tcPr>
          <w:p>
            <w:pPr>
              <w:rPr>
                <w:rFonts w:ascii="仿宋_GB2312" w:hAnsi="仿宋_GB2312" w:eastAsia="仿宋_GB2312" w:cs="仿宋_GB2312"/>
                <w:iCs/>
                <w:sz w:val="24"/>
                <w:highlight w:val="none"/>
              </w:rPr>
            </w:pPr>
            <w:r>
              <w:rPr>
                <w:rFonts w:hint="eastAsia" w:ascii="仿宋" w:hAnsi="仿宋" w:eastAsia="仿宋" w:cs="仿宋"/>
                <w:b/>
                <w:sz w:val="24"/>
                <w:highlight w:val="none"/>
              </w:rPr>
              <w:t>二、管理费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845" w:type="dxa"/>
            <w:gridSpan w:val="5"/>
            <w:vAlign w:val="center"/>
          </w:tcPr>
          <w:p>
            <w:pPr>
              <w:jc w:val="center"/>
              <w:rPr>
                <w:rFonts w:ascii="仿宋_GB2312" w:hAnsi="仿宋_GB2312" w:eastAsia="仿宋_GB2312" w:cs="仿宋_GB2312"/>
                <w:iCs/>
                <w:sz w:val="24"/>
                <w:highlight w:val="none"/>
              </w:rPr>
            </w:pPr>
            <w:r>
              <w:rPr>
                <w:rFonts w:hint="eastAsia" w:ascii="仿宋" w:hAnsi="仿宋" w:eastAsia="仿宋" w:cs="仿宋"/>
                <w:b/>
                <w:sz w:val="24"/>
                <w:highlight w:val="none"/>
              </w:rPr>
              <w:t>管理费系数（%）</w:t>
            </w:r>
          </w:p>
        </w:tc>
        <w:tc>
          <w:tcPr>
            <w:tcW w:w="5010" w:type="dxa"/>
            <w:gridSpan w:val="4"/>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gridSpan w:val="2"/>
            <w:vAlign w:val="center"/>
          </w:tcPr>
          <w:p>
            <w:pPr>
              <w:spacing w:line="240" w:lineRule="atLeast"/>
              <w:jc w:val="center"/>
              <w:rPr>
                <w:rFonts w:ascii="仿宋_GB2312" w:hAnsi="仿宋_GB2312" w:eastAsia="仿宋_GB2312" w:cs="仿宋_GB2312"/>
                <w:iCs/>
                <w:sz w:val="24"/>
                <w:highlight w:val="none"/>
              </w:rPr>
            </w:pPr>
            <w:r>
              <w:rPr>
                <w:rFonts w:hint="eastAsia" w:ascii="仿宋" w:hAnsi="仿宋" w:eastAsia="仿宋" w:cs="仿宋"/>
                <w:b/>
                <w:sz w:val="24"/>
                <w:highlight w:val="none"/>
              </w:rPr>
              <w:t>说明</w:t>
            </w:r>
          </w:p>
        </w:tc>
        <w:tc>
          <w:tcPr>
            <w:tcW w:w="8947" w:type="dxa"/>
            <w:gridSpan w:val="7"/>
            <w:vAlign w:val="center"/>
          </w:tcPr>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1.</w:t>
            </w:r>
            <w:r>
              <w:rPr>
                <w:rFonts w:hint="eastAsia" w:ascii="仿宋" w:hAnsi="仿宋" w:eastAsia="仿宋" w:cs="仿宋"/>
                <w:b/>
                <w:bCs/>
                <w:sz w:val="24"/>
                <w:highlight w:val="none"/>
              </w:rPr>
              <w:t>本项目管理费报价不能高于实际发生船员成本费用总额的15%。</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2.</w:t>
            </w:r>
            <w:r>
              <w:rPr>
                <w:rFonts w:hint="eastAsia" w:ascii="仿宋" w:hAnsi="仿宋" w:eastAsia="仿宋" w:cs="仿宋"/>
                <w:b/>
                <w:bCs/>
                <w:sz w:val="24"/>
                <w:highlight w:val="none"/>
              </w:rPr>
              <w:t>管理费=实际发生的船员成本费用×管理费</w:t>
            </w:r>
            <w:r>
              <w:rPr>
                <w:rFonts w:hint="eastAsia" w:ascii="仿宋" w:hAnsi="仿宋" w:eastAsia="仿宋" w:cs="仿宋"/>
                <w:b/>
                <w:sz w:val="24"/>
                <w:highlight w:val="none"/>
              </w:rPr>
              <w:t>系数</w:t>
            </w:r>
            <w:r>
              <w:rPr>
                <w:rFonts w:hint="eastAsia" w:ascii="仿宋" w:hAnsi="仿宋" w:eastAsia="仿宋" w:cs="仿宋"/>
                <w:b/>
                <w:bCs/>
                <w:sz w:val="24"/>
                <w:highlight w:val="none"/>
              </w:rPr>
              <w:t>。</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3.</w:t>
            </w:r>
            <w:r>
              <w:rPr>
                <w:rFonts w:hint="eastAsia" w:ascii="仿宋" w:hAnsi="仿宋" w:eastAsia="仿宋" w:cs="仿宋"/>
                <w:b/>
                <w:bCs/>
                <w:sz w:val="24"/>
                <w:highlight w:val="none"/>
              </w:rPr>
              <w:t>本项目报价以船员成本费用单项报价及管理费</w:t>
            </w:r>
            <w:r>
              <w:rPr>
                <w:rFonts w:hint="eastAsia" w:ascii="仿宋" w:hAnsi="仿宋" w:eastAsia="仿宋" w:cs="仿宋"/>
                <w:b/>
                <w:sz w:val="24"/>
                <w:highlight w:val="none"/>
              </w:rPr>
              <w:t>系数</w:t>
            </w:r>
            <w:r>
              <w:rPr>
                <w:rFonts w:hint="eastAsia" w:ascii="仿宋" w:hAnsi="仿宋" w:eastAsia="仿宋" w:cs="仿宋"/>
                <w:b/>
                <w:bCs/>
                <w:sz w:val="24"/>
                <w:highlight w:val="none"/>
              </w:rPr>
              <w:t>计算为准，即本项目为单价包干项目。</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4.</w:t>
            </w:r>
            <w:r>
              <w:rPr>
                <w:rFonts w:hint="eastAsia" w:ascii="仿宋" w:hAnsi="仿宋" w:eastAsia="仿宋" w:cs="仿宋"/>
                <w:b/>
                <w:bCs/>
                <w:sz w:val="24"/>
                <w:highlight w:val="none"/>
              </w:rPr>
              <w:t>本项目执行总金额最高不超过最高限价，即人民币1623.97万元。</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5.</w:t>
            </w:r>
            <w:r>
              <w:rPr>
                <w:rFonts w:hint="eastAsia" w:ascii="仿宋" w:hAnsi="仿宋" w:eastAsia="仿宋" w:cs="仿宋"/>
                <w:b/>
                <w:bCs/>
                <w:sz w:val="24"/>
                <w:highlight w:val="none"/>
              </w:rPr>
              <w:t>本项目执行金额达到最高限价时，合同自动终止；或本项目执行时间到2023年12月31日时，无论执行金额是否达到最高限价，合同均自动终止。</w:t>
            </w:r>
          </w:p>
        </w:tc>
      </w:tr>
    </w:tbl>
    <w:p>
      <w:pPr>
        <w:pStyle w:val="4"/>
        <w:spacing w:after="120" w:line="480" w:lineRule="exact"/>
        <w:rPr>
          <w:rFonts w:hAnsi="宋体" w:cs="宋体"/>
          <w:b/>
          <w:sz w:val="28"/>
          <w:szCs w:val="28"/>
          <w:highlight w:val="none"/>
        </w:rPr>
      </w:pPr>
      <w:r>
        <w:rPr>
          <w:rFonts w:hint="eastAsia" w:hAnsi="宋体" w:cs="宋体"/>
          <w:b/>
          <w:sz w:val="28"/>
          <w:szCs w:val="28"/>
          <w:highlight w:val="none"/>
        </w:rPr>
        <w:br w:type="page"/>
      </w:r>
      <w:r>
        <w:rPr>
          <w:rFonts w:hint="eastAsia" w:hAnsi="宋体" w:cs="宋体"/>
          <w:b/>
          <w:sz w:val="28"/>
          <w:szCs w:val="28"/>
          <w:highlight w:val="none"/>
        </w:rPr>
        <w:t>附件一：评标工作大纲</w:t>
      </w:r>
    </w:p>
    <w:p>
      <w:pPr>
        <w:tabs>
          <w:tab w:val="left" w:pos="1287"/>
        </w:tabs>
        <w:snapToGrid w:val="0"/>
        <w:spacing w:line="360" w:lineRule="auto"/>
        <w:ind w:leftChars="-171" w:hanging="359" w:hangingChars="171"/>
        <w:rPr>
          <w:rFonts w:hAnsi="宋体" w:cs="宋体"/>
          <w:szCs w:val="21"/>
          <w:highlight w:val="none"/>
        </w:rPr>
      </w:pPr>
      <w:r>
        <w:rPr>
          <w:rFonts w:hint="eastAsia" w:hAnsi="宋体" w:cs="宋体"/>
          <w:szCs w:val="21"/>
          <w:highlight w:val="none"/>
        </w:rPr>
        <w:t>一、评标原则和目的</w:t>
      </w:r>
    </w:p>
    <w:p>
      <w:pPr>
        <w:numPr>
          <w:ilvl w:val="1"/>
          <w:numId w:val="19"/>
        </w:numPr>
        <w:autoSpaceDE/>
        <w:autoSpaceDN/>
        <w:adjustRightInd/>
        <w:spacing w:line="360" w:lineRule="auto"/>
        <w:jc w:val="both"/>
        <w:rPr>
          <w:rFonts w:hAnsi="宋体" w:cs="宋体"/>
          <w:szCs w:val="21"/>
          <w:highlight w:val="none"/>
        </w:rPr>
      </w:pPr>
      <w:r>
        <w:rPr>
          <w:rFonts w:hint="eastAsia" w:hAnsi="宋体" w:cs="宋体"/>
          <w:szCs w:val="21"/>
          <w:highlight w:val="none"/>
        </w:rPr>
        <w:t>“国家海洋局南海标准计量中心2023年船员服务采购项目”（采购编号：GDYD221545）的招标依照《中华人民共和国政府采购法》、《政府采购货物和服务招标投标管理办法》（财政部令第87号）及国家和地方政府关于采购的有关规定进行。评标必须遵循公开、公平、公正、诚实信用的原则。评标按照招标文件规定的内容进行，采取综合评标办法，避免纯技术或纯经济的倾向。</w:t>
      </w:r>
    </w:p>
    <w:p>
      <w:pPr>
        <w:numPr>
          <w:ilvl w:val="1"/>
          <w:numId w:val="19"/>
        </w:numPr>
        <w:autoSpaceDE/>
        <w:autoSpaceDN/>
        <w:adjustRightInd/>
        <w:spacing w:line="360" w:lineRule="auto"/>
        <w:jc w:val="both"/>
        <w:rPr>
          <w:rFonts w:hAnsi="宋体" w:cs="宋体"/>
          <w:szCs w:val="21"/>
          <w:highlight w:val="none"/>
        </w:rPr>
      </w:pPr>
      <w:r>
        <w:rPr>
          <w:rFonts w:hint="eastAsia" w:hAnsi="宋体" w:cs="宋体"/>
          <w:szCs w:val="21"/>
          <w:highlight w:val="none"/>
        </w:rPr>
        <w:t>本办法的评标对象是指投标人按照招标文件要求提供的有效投标文件，包括投标人应评标委员会要求对原投标文件作出的正式书面澄清文件。</w:t>
      </w:r>
    </w:p>
    <w:p>
      <w:pPr>
        <w:tabs>
          <w:tab w:val="left" w:pos="1287"/>
        </w:tabs>
        <w:snapToGrid w:val="0"/>
        <w:spacing w:line="360" w:lineRule="auto"/>
        <w:ind w:leftChars="-171" w:hanging="359" w:hangingChars="171"/>
        <w:rPr>
          <w:rFonts w:hAnsi="宋体" w:cs="宋体"/>
          <w:szCs w:val="21"/>
          <w:highlight w:val="none"/>
        </w:rPr>
      </w:pPr>
      <w:r>
        <w:rPr>
          <w:rFonts w:hint="eastAsia" w:hAnsi="宋体" w:cs="宋体"/>
          <w:szCs w:val="21"/>
          <w:highlight w:val="none"/>
        </w:rPr>
        <w:t>二、评标程序</w:t>
      </w:r>
    </w:p>
    <w:p>
      <w:pPr>
        <w:tabs>
          <w:tab w:val="left" w:pos="984"/>
        </w:tabs>
        <w:snapToGrid w:val="0"/>
        <w:spacing w:line="360" w:lineRule="auto"/>
        <w:ind w:left="-171" w:firstLine="210" w:firstLineChars="100"/>
        <w:rPr>
          <w:rFonts w:hAnsi="宋体" w:cs="宋体"/>
          <w:szCs w:val="21"/>
          <w:highlight w:val="none"/>
        </w:rPr>
      </w:pPr>
      <w:r>
        <w:rPr>
          <w:rFonts w:hint="eastAsia" w:hAnsi="宋体" w:cs="宋体"/>
          <w:szCs w:val="21"/>
          <w:highlight w:val="none"/>
        </w:rPr>
        <w:t>（一）对投标人的资格性检查（由招标代理机构负责）</w:t>
      </w:r>
    </w:p>
    <w:p>
      <w:pPr>
        <w:snapToGrid w:val="0"/>
        <w:spacing w:line="360" w:lineRule="auto"/>
        <w:ind w:left="-171" w:firstLine="576"/>
        <w:rPr>
          <w:rFonts w:hAnsi="宋体" w:cs="宋体"/>
          <w:szCs w:val="21"/>
          <w:highlight w:val="none"/>
        </w:rPr>
      </w:pPr>
      <w:r>
        <w:rPr>
          <w:rFonts w:hint="eastAsia" w:hAnsi="宋体" w:cs="宋体"/>
          <w:szCs w:val="21"/>
          <w:highlight w:val="none"/>
        </w:rPr>
        <w:t>评标过程应在开标后立即开始。依据法律法规和招标文件的规定，对投标文件中的资格证明等进行审查，以确定投标人是否具备投标资格</w:t>
      </w:r>
      <w:r>
        <w:rPr>
          <w:rFonts w:hint="eastAsia" w:hAnsi="宋体" w:cs="宋体"/>
          <w:szCs w:val="21"/>
          <w:highlight w:val="none"/>
          <w:lang w:val="zh-CN"/>
        </w:rPr>
        <w:t>。</w:t>
      </w:r>
      <w:r>
        <w:rPr>
          <w:rFonts w:hint="eastAsia" w:hAnsi="宋体" w:cs="宋体"/>
          <w:szCs w:val="21"/>
          <w:highlight w:val="none"/>
        </w:rPr>
        <w:t>应进行以下审核：</w:t>
      </w:r>
    </w:p>
    <w:p>
      <w:pPr>
        <w:pStyle w:val="124"/>
        <w:keepNext w:val="0"/>
        <w:numPr>
          <w:ilvl w:val="0"/>
          <w:numId w:val="20"/>
        </w:numPr>
        <w:tabs>
          <w:tab w:val="left" w:pos="960"/>
        </w:tabs>
        <w:spacing w:after="0" w:line="360" w:lineRule="auto"/>
        <w:ind w:left="960" w:hanging="480"/>
        <w:rPr>
          <w:rFonts w:ascii="宋体" w:hAnsi="宋体" w:cs="宋体"/>
          <w:bCs/>
          <w:szCs w:val="21"/>
          <w:highlight w:val="none"/>
        </w:rPr>
      </w:pPr>
      <w:r>
        <w:rPr>
          <w:rFonts w:hint="eastAsia" w:ascii="宋体" w:hAnsi="宋体" w:cs="宋体"/>
          <w:szCs w:val="21"/>
          <w:highlight w:val="none"/>
        </w:rPr>
        <w:t>法定代表人/负责人资格证明书及授权委托书</w:t>
      </w:r>
    </w:p>
    <w:p>
      <w:pPr>
        <w:pStyle w:val="124"/>
        <w:keepNext w:val="0"/>
        <w:numPr>
          <w:ilvl w:val="0"/>
          <w:numId w:val="20"/>
        </w:numPr>
        <w:tabs>
          <w:tab w:val="left" w:pos="960"/>
        </w:tabs>
        <w:spacing w:after="0" w:line="360" w:lineRule="auto"/>
        <w:ind w:left="960" w:hanging="480"/>
        <w:rPr>
          <w:rFonts w:ascii="宋体" w:hAnsi="宋体" w:cs="宋体"/>
          <w:bCs/>
          <w:szCs w:val="21"/>
          <w:highlight w:val="none"/>
        </w:rPr>
      </w:pPr>
      <w:r>
        <w:rPr>
          <w:rFonts w:hint="eastAsia" w:ascii="宋体" w:hAnsi="宋体" w:cs="宋体"/>
          <w:bCs/>
          <w:szCs w:val="21"/>
          <w:highlight w:val="none"/>
        </w:rPr>
        <w:t>营业执照副本复印件（加盖公章）</w:t>
      </w:r>
    </w:p>
    <w:p>
      <w:pPr>
        <w:pStyle w:val="124"/>
        <w:keepNext w:val="0"/>
        <w:numPr>
          <w:ilvl w:val="0"/>
          <w:numId w:val="20"/>
        </w:numPr>
        <w:tabs>
          <w:tab w:val="left" w:pos="960"/>
        </w:tabs>
        <w:spacing w:after="0" w:line="360" w:lineRule="auto"/>
        <w:ind w:left="960" w:hanging="480"/>
        <w:rPr>
          <w:rFonts w:ascii="宋体" w:hAnsi="宋体" w:cs="宋体"/>
          <w:bCs/>
          <w:szCs w:val="21"/>
          <w:highlight w:val="none"/>
        </w:rPr>
      </w:pPr>
      <w:r>
        <w:rPr>
          <w:rFonts w:hint="eastAsia" w:ascii="宋体" w:hAnsi="宋体" w:cs="宋体"/>
          <w:szCs w:val="21"/>
          <w:highlight w:val="none"/>
        </w:rPr>
        <w:t>在参与政府采购活动中未有违法违纪行为并受过处罚</w:t>
      </w:r>
    </w:p>
    <w:p>
      <w:pPr>
        <w:pStyle w:val="124"/>
        <w:keepNext w:val="0"/>
        <w:numPr>
          <w:ilvl w:val="0"/>
          <w:numId w:val="20"/>
        </w:numPr>
        <w:tabs>
          <w:tab w:val="left" w:pos="960"/>
        </w:tabs>
        <w:spacing w:after="0" w:line="360" w:lineRule="auto"/>
        <w:ind w:left="960" w:hanging="480"/>
        <w:rPr>
          <w:rFonts w:ascii="宋体" w:hAnsi="宋体" w:cs="宋体"/>
          <w:bCs/>
          <w:szCs w:val="21"/>
          <w:highlight w:val="none"/>
        </w:rPr>
      </w:pPr>
      <w:r>
        <w:rPr>
          <w:rFonts w:hint="eastAsia" w:ascii="宋体" w:hAnsi="宋体" w:cs="宋体"/>
          <w:bCs/>
          <w:szCs w:val="21"/>
          <w:highlight w:val="none"/>
        </w:rPr>
        <w:t>招标公告要求的资质资格证明复印件（加盖公章）</w:t>
      </w:r>
    </w:p>
    <w:p>
      <w:pPr>
        <w:pStyle w:val="45"/>
        <w:widowControl w:val="0"/>
        <w:spacing w:before="0" w:beforeAutospacing="0" w:after="0" w:afterAutospacing="0" w:line="360" w:lineRule="auto"/>
        <w:ind w:left="-178" w:leftChars="-85" w:firstLine="210" w:firstLineChars="100"/>
        <w:rPr>
          <w:rFonts w:cs="宋体"/>
          <w:kern w:val="2"/>
          <w:sz w:val="21"/>
          <w:szCs w:val="21"/>
          <w:highlight w:val="none"/>
        </w:rPr>
      </w:pPr>
      <w:r>
        <w:rPr>
          <w:rFonts w:hint="eastAsia" w:cs="宋体"/>
          <w:kern w:val="2"/>
          <w:sz w:val="21"/>
          <w:szCs w:val="21"/>
          <w:highlight w:val="none"/>
        </w:rPr>
        <w:t>（二）对投标人的符合性检查（由评审专家组负责）</w:t>
      </w:r>
    </w:p>
    <w:p>
      <w:pPr>
        <w:pStyle w:val="45"/>
        <w:widowControl w:val="0"/>
        <w:tabs>
          <w:tab w:val="left" w:pos="1080"/>
        </w:tabs>
        <w:spacing w:before="0" w:beforeAutospacing="0" w:after="0" w:afterAutospacing="0" w:line="360" w:lineRule="auto"/>
        <w:ind w:left="134" w:leftChars="64" w:firstLine="420" w:firstLineChars="200"/>
        <w:rPr>
          <w:rFonts w:cs="宋体"/>
          <w:kern w:val="2"/>
          <w:sz w:val="21"/>
          <w:szCs w:val="21"/>
          <w:highlight w:val="none"/>
        </w:rPr>
      </w:pPr>
      <w:r>
        <w:rPr>
          <w:rFonts w:hint="eastAsia" w:cs="宋体"/>
          <w:kern w:val="2"/>
          <w:sz w:val="21"/>
          <w:szCs w:val="21"/>
          <w:highlight w:val="none"/>
        </w:rPr>
        <w:t>符合性检查是依据招标文件的规定，从投标文件的有效性、完整性和对招标文件的响应程度进行审查，以确定是否对招标文件的实质性要求作出响应。</w:t>
      </w:r>
      <w:r>
        <w:rPr>
          <w:rFonts w:hint="eastAsia" w:cs="宋体"/>
          <w:sz w:val="21"/>
          <w:szCs w:val="21"/>
          <w:highlight w:val="none"/>
        </w:rPr>
        <w:t>应进行以下审核：</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bCs/>
          <w:szCs w:val="21"/>
          <w:highlight w:val="none"/>
        </w:rPr>
        <w:t>投标报价不超过最高限价</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szCs w:val="21"/>
          <w:highlight w:val="none"/>
        </w:rPr>
        <w:t>报价方案是唯一确定</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szCs w:val="21"/>
          <w:highlight w:val="none"/>
        </w:rPr>
        <w:t>实质性响应招标文件中“★”号参数的商务要求</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szCs w:val="21"/>
          <w:highlight w:val="none"/>
        </w:rPr>
        <w:t>实质性响应招标文件中“★”号参数的技术要求</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szCs w:val="21"/>
          <w:highlight w:val="none"/>
        </w:rPr>
        <w:t>服务期符合招标文件要求</w:t>
      </w:r>
    </w:p>
    <w:p>
      <w:pPr>
        <w:pStyle w:val="124"/>
        <w:keepNext w:val="0"/>
        <w:numPr>
          <w:ilvl w:val="0"/>
          <w:numId w:val="21"/>
        </w:numPr>
        <w:tabs>
          <w:tab w:val="left" w:pos="960"/>
        </w:tabs>
        <w:spacing w:after="0" w:line="360" w:lineRule="auto"/>
        <w:ind w:hanging="9"/>
        <w:rPr>
          <w:rFonts w:ascii="宋体" w:hAnsi="宋体" w:cs="宋体"/>
          <w:bCs/>
          <w:szCs w:val="21"/>
          <w:highlight w:val="none"/>
        </w:rPr>
      </w:pPr>
      <w:r>
        <w:rPr>
          <w:rFonts w:hint="eastAsia" w:ascii="宋体" w:hAnsi="宋体" w:cs="宋体"/>
          <w:bCs/>
          <w:szCs w:val="21"/>
          <w:highlight w:val="none"/>
        </w:rPr>
        <w:t>无招标文件规定的投标无效情况</w:t>
      </w:r>
    </w:p>
    <w:p>
      <w:pPr>
        <w:pStyle w:val="124"/>
        <w:keepNext w:val="0"/>
        <w:spacing w:after="0" w:line="360" w:lineRule="auto"/>
        <w:ind w:left="435"/>
        <w:rPr>
          <w:rFonts w:ascii="宋体" w:hAnsi="宋体" w:cs="宋体"/>
          <w:bCs/>
          <w:szCs w:val="21"/>
          <w:highlight w:val="none"/>
        </w:rPr>
      </w:pPr>
    </w:p>
    <w:p>
      <w:pPr>
        <w:pStyle w:val="124"/>
        <w:keepNext w:val="0"/>
        <w:spacing w:after="0" w:line="360" w:lineRule="auto"/>
        <w:ind w:firstLine="422" w:firstLineChars="200"/>
        <w:rPr>
          <w:rFonts w:ascii="宋体" w:hAnsi="宋体" w:cs="宋体"/>
          <w:b/>
          <w:szCs w:val="21"/>
          <w:highlight w:val="none"/>
        </w:rPr>
      </w:pPr>
      <w:r>
        <w:rPr>
          <w:rFonts w:hint="eastAsia" w:ascii="宋体" w:hAnsi="宋体" w:cs="宋体"/>
          <w:b/>
          <w:szCs w:val="21"/>
          <w:highlight w:val="none"/>
        </w:rPr>
        <w:t>有下列情况之一的，投标无效：</w:t>
      </w:r>
    </w:p>
    <w:p>
      <w:pPr>
        <w:pStyle w:val="45"/>
        <w:widowControl w:val="0"/>
        <w:spacing w:before="0" w:beforeAutospacing="0" w:after="0" w:afterAutospacing="0" w:line="360" w:lineRule="auto"/>
        <w:ind w:left="538" w:leftChars="-85" w:hanging="716" w:hangingChars="341"/>
        <w:rPr>
          <w:rFonts w:cs="宋体"/>
          <w:sz w:val="21"/>
          <w:szCs w:val="21"/>
          <w:highlight w:val="none"/>
        </w:rPr>
      </w:pPr>
      <w:r>
        <w:rPr>
          <w:rFonts w:hint="eastAsia" w:cs="宋体"/>
          <w:sz w:val="21"/>
          <w:szCs w:val="21"/>
          <w:highlight w:val="none"/>
        </w:rPr>
        <w:t>　　（1）投标文件未按招标文件要求签署、盖章的；</w:t>
      </w:r>
    </w:p>
    <w:p>
      <w:pPr>
        <w:pStyle w:val="45"/>
        <w:widowControl w:val="0"/>
        <w:spacing w:before="0" w:beforeAutospacing="0" w:after="0" w:afterAutospacing="0" w:line="360" w:lineRule="auto"/>
        <w:ind w:left="538" w:leftChars="-85" w:hanging="716" w:hangingChars="341"/>
        <w:rPr>
          <w:rFonts w:cs="宋体"/>
          <w:sz w:val="21"/>
          <w:szCs w:val="21"/>
          <w:highlight w:val="none"/>
        </w:rPr>
      </w:pPr>
      <w:r>
        <w:rPr>
          <w:rFonts w:hint="eastAsia" w:cs="宋体"/>
          <w:sz w:val="21"/>
          <w:szCs w:val="21"/>
          <w:highlight w:val="none"/>
        </w:rPr>
        <w:t>　　（2）不具备招标文件中规定的资格要求的；</w:t>
      </w:r>
    </w:p>
    <w:p>
      <w:pPr>
        <w:pStyle w:val="45"/>
        <w:widowControl w:val="0"/>
        <w:spacing w:before="0" w:beforeAutospacing="0" w:after="0" w:afterAutospacing="0" w:line="360" w:lineRule="auto"/>
        <w:ind w:left="538" w:leftChars="-85" w:hanging="716" w:hangingChars="341"/>
        <w:rPr>
          <w:rFonts w:cs="宋体"/>
          <w:sz w:val="21"/>
          <w:szCs w:val="21"/>
          <w:highlight w:val="none"/>
        </w:rPr>
      </w:pPr>
      <w:r>
        <w:rPr>
          <w:rFonts w:hint="eastAsia" w:cs="宋体"/>
          <w:sz w:val="21"/>
          <w:szCs w:val="21"/>
          <w:highlight w:val="none"/>
        </w:rPr>
        <w:t>　　（4）报价超过招标文件中规定的预算金额或者最高限价的；</w:t>
      </w:r>
    </w:p>
    <w:p>
      <w:pPr>
        <w:pStyle w:val="45"/>
        <w:widowControl w:val="0"/>
        <w:spacing w:before="0" w:beforeAutospacing="0" w:after="0" w:afterAutospacing="0" w:line="360" w:lineRule="auto"/>
        <w:ind w:left="538" w:leftChars="-85" w:hanging="716" w:hangingChars="341"/>
        <w:rPr>
          <w:rFonts w:cs="宋体"/>
          <w:sz w:val="21"/>
          <w:szCs w:val="21"/>
          <w:highlight w:val="none"/>
        </w:rPr>
      </w:pPr>
      <w:r>
        <w:rPr>
          <w:rFonts w:hint="eastAsia" w:cs="宋体"/>
          <w:sz w:val="21"/>
          <w:szCs w:val="21"/>
          <w:highlight w:val="none"/>
        </w:rPr>
        <w:t>　　（4）投标文件含有采购人不能接受的附加条件的;</w:t>
      </w:r>
    </w:p>
    <w:p>
      <w:pPr>
        <w:pStyle w:val="45"/>
        <w:widowControl w:val="0"/>
        <w:spacing w:before="0" w:beforeAutospacing="0" w:after="0" w:afterAutospacing="0" w:line="360" w:lineRule="auto"/>
        <w:ind w:left="533" w:leftChars="113" w:hanging="296" w:hangingChars="141"/>
        <w:rPr>
          <w:rFonts w:cs="宋体"/>
          <w:sz w:val="21"/>
          <w:szCs w:val="21"/>
          <w:highlight w:val="none"/>
        </w:rPr>
      </w:pPr>
      <w:r>
        <w:rPr>
          <w:rFonts w:hint="eastAsia" w:cs="宋体"/>
          <w:sz w:val="21"/>
          <w:szCs w:val="21"/>
          <w:highlight w:val="none"/>
        </w:rPr>
        <w:t>（5）法律、法规和招标文件规定的其他无效情形。</w:t>
      </w:r>
    </w:p>
    <w:p>
      <w:pPr>
        <w:pStyle w:val="45"/>
        <w:widowControl w:val="0"/>
        <w:spacing w:before="0" w:beforeAutospacing="0" w:after="0" w:afterAutospacing="0" w:line="360" w:lineRule="auto"/>
        <w:ind w:left="537" w:leftChars="15" w:hanging="506" w:hangingChars="241"/>
        <w:rPr>
          <w:rFonts w:cs="宋体"/>
          <w:sz w:val="21"/>
          <w:szCs w:val="21"/>
          <w:highlight w:val="none"/>
        </w:rPr>
      </w:pPr>
      <w:r>
        <w:rPr>
          <w:rFonts w:hint="eastAsia" w:cs="宋体"/>
          <w:sz w:val="21"/>
          <w:szCs w:val="21"/>
          <w:highlight w:val="none"/>
        </w:rPr>
        <w:t>（三） 以上资格性检查、符合性检查中带部分有不合格分项的投标文件，将作废标处理。经评标委员会确认的无效投标文件，采购人和采购代理机构将予以拒绝，并且不允许通过修正或撤消其不符合要求的差异，使之成为具有符合性的投标文件。</w:t>
      </w:r>
    </w:p>
    <w:p>
      <w:pPr>
        <w:pStyle w:val="45"/>
        <w:widowControl w:val="0"/>
        <w:spacing w:before="0" w:beforeAutospacing="0" w:after="0" w:afterAutospacing="0" w:line="360" w:lineRule="auto"/>
        <w:ind w:left="409" w:leftChars="15" w:hanging="378" w:hangingChars="180"/>
        <w:rPr>
          <w:rFonts w:cs="宋体"/>
          <w:sz w:val="21"/>
          <w:szCs w:val="21"/>
          <w:highlight w:val="none"/>
        </w:rPr>
      </w:pPr>
      <w:r>
        <w:rPr>
          <w:rFonts w:hint="eastAsia" w:cs="宋体"/>
          <w:sz w:val="21"/>
          <w:szCs w:val="21"/>
          <w:highlight w:val="none"/>
        </w:rPr>
        <w:t>（四）开标之后首先由采购代理机构工作人员就投标人的投标文件进行资格性检查，资格性检查通过的投标人将由负责评标委员会进行符合性检查，经评标委员会确认具有有效投标文件的投标人不足三家时将重新组织招标。</w:t>
      </w:r>
    </w:p>
    <w:p>
      <w:pPr>
        <w:pStyle w:val="45"/>
        <w:widowControl w:val="0"/>
        <w:spacing w:before="0" w:beforeAutospacing="0" w:after="0" w:afterAutospacing="0" w:line="360" w:lineRule="auto"/>
        <w:ind w:left="409" w:leftChars="15" w:hanging="378" w:hangingChars="180"/>
        <w:rPr>
          <w:rFonts w:cs="宋体"/>
          <w:sz w:val="21"/>
          <w:szCs w:val="21"/>
          <w:highlight w:val="none"/>
        </w:rPr>
      </w:pPr>
      <w:r>
        <w:rPr>
          <w:rFonts w:hint="eastAsia" w:cs="宋体"/>
          <w:sz w:val="21"/>
          <w:szCs w:val="21"/>
          <w:highlight w:val="none"/>
        </w:rPr>
        <w:t>（五）现场澄清：按招标文件第二篇。</w:t>
      </w:r>
    </w:p>
    <w:p>
      <w:pPr>
        <w:pStyle w:val="45"/>
        <w:widowControl w:val="0"/>
        <w:spacing w:before="0" w:beforeAutospacing="0" w:after="0" w:afterAutospacing="0" w:line="360" w:lineRule="auto"/>
        <w:ind w:left="409" w:leftChars="15" w:hanging="378" w:hangingChars="180"/>
        <w:rPr>
          <w:rFonts w:cs="宋体"/>
          <w:sz w:val="21"/>
          <w:szCs w:val="21"/>
          <w:highlight w:val="none"/>
        </w:rPr>
      </w:pPr>
      <w:r>
        <w:rPr>
          <w:rFonts w:hint="eastAsia" w:cs="宋体"/>
          <w:sz w:val="21"/>
          <w:szCs w:val="21"/>
          <w:highlight w:val="none"/>
        </w:rPr>
        <w:t>（六）细微偏差修正</w:t>
      </w:r>
    </w:p>
    <w:p>
      <w:pPr>
        <w:spacing w:line="360" w:lineRule="auto"/>
        <w:ind w:firstLine="420" w:firstLineChars="200"/>
        <w:rPr>
          <w:highlight w:val="none"/>
        </w:rPr>
      </w:pPr>
      <w:r>
        <w:rPr>
          <w:rFonts w:hint="eastAsia"/>
          <w:highlight w:val="none"/>
        </w:rPr>
        <w:t>1.投标文件中开标一览表（报价表）内容与投标文件中相应内容不一致的，以开标一览表（报价表）为准；</w:t>
      </w:r>
    </w:p>
    <w:p>
      <w:pPr>
        <w:spacing w:line="360" w:lineRule="auto"/>
        <w:ind w:firstLine="420" w:firstLineChars="200"/>
        <w:rPr>
          <w:highlight w:val="none"/>
        </w:rPr>
      </w:pPr>
      <w:r>
        <w:rPr>
          <w:rFonts w:hint="eastAsia"/>
          <w:highlight w:val="none"/>
        </w:rPr>
        <w:t>2.大写金额和小写金额不一致的，以大写金额为准；</w:t>
      </w:r>
    </w:p>
    <w:p>
      <w:pPr>
        <w:spacing w:line="360" w:lineRule="auto"/>
        <w:ind w:firstLine="420" w:firstLineChars="200"/>
        <w:rPr>
          <w:highlight w:val="none"/>
        </w:rPr>
      </w:pPr>
      <w:r>
        <w:rPr>
          <w:rFonts w:hint="eastAsia"/>
          <w:highlight w:val="none"/>
        </w:rPr>
        <w:t>3.单价金额小数点或者百分比有明显错位的，以开标一览表的总价为准，并修改单价；</w:t>
      </w:r>
    </w:p>
    <w:p>
      <w:pPr>
        <w:spacing w:line="360" w:lineRule="auto"/>
        <w:ind w:firstLine="420" w:firstLineChars="200"/>
        <w:rPr>
          <w:highlight w:val="none"/>
        </w:rPr>
      </w:pPr>
      <w:r>
        <w:rPr>
          <w:rFonts w:hint="eastAsia"/>
          <w:highlight w:val="none"/>
        </w:rPr>
        <w:t>4.总价金额与按单价汇总金额不一致的，以单价金额计算结果为准。</w:t>
      </w:r>
    </w:p>
    <w:p>
      <w:pPr>
        <w:pStyle w:val="45"/>
        <w:widowControl w:val="0"/>
        <w:spacing w:before="0" w:beforeAutospacing="0" w:after="0" w:afterAutospacing="0" w:line="360" w:lineRule="auto"/>
        <w:ind w:left="859" w:leftChars="257" w:hanging="319" w:hangingChars="152"/>
        <w:rPr>
          <w:rFonts w:cs="宋体"/>
          <w:sz w:val="21"/>
          <w:szCs w:val="21"/>
          <w:highlight w:val="none"/>
        </w:rPr>
      </w:pPr>
      <w:r>
        <w:rPr>
          <w:rFonts w:hint="eastAsia" w:cs="宋体"/>
          <w:sz w:val="21"/>
          <w:szCs w:val="21"/>
          <w:highlight w:val="none"/>
        </w:rPr>
        <w:t>　　同时出现两种以上不一致的，按照前款规定的顺序修正。修正后的报价按照《政府采购货物和服务招标投标管理办法》（财政部令第87号）第五十一条第二款的规定经投标人确认后产生约束力，投标人不确认的，其投标无效。</w:t>
      </w:r>
    </w:p>
    <w:p>
      <w:pPr>
        <w:snapToGrid w:val="0"/>
        <w:spacing w:line="360" w:lineRule="auto"/>
        <w:rPr>
          <w:rFonts w:hAnsi="宋体" w:cs="宋体"/>
          <w:szCs w:val="21"/>
          <w:highlight w:val="none"/>
        </w:rPr>
      </w:pPr>
      <w:r>
        <w:rPr>
          <w:rFonts w:hint="eastAsia" w:hAnsi="宋体" w:cs="宋体"/>
          <w:szCs w:val="21"/>
          <w:highlight w:val="none"/>
        </w:rPr>
        <w:t>（七）评标委员会根据《关于印发中小企业划型标准规定的通知》（工信部联企业[2011]300号）、《政府采购促进中小企业发展管理办法》(财库(2020)46号)、《关于政府采购支持监狱企业发展有关问题的通知》(财库〔2014〕68号)、《关于促进残疾人就业政府采购政策的通知》（财库〔2017〕141号)、《关于环境标志产品政府采购实施的意见》（财库〔2006〕90号、《节能产品政府采购实施意见》的通知（财库〔2004〕185号）的有关规定，对通过资格性检查和符合性检查的投标文件进行相对应的审核工作(如需要)。</w:t>
      </w:r>
    </w:p>
    <w:p>
      <w:pPr>
        <w:spacing w:line="360" w:lineRule="auto"/>
        <w:rPr>
          <w:rFonts w:hAnsi="宋体" w:cs="宋体"/>
          <w:szCs w:val="21"/>
          <w:highlight w:val="none"/>
        </w:rPr>
      </w:pPr>
      <w:r>
        <w:rPr>
          <w:rFonts w:hint="eastAsia" w:hAnsi="宋体" w:cs="宋体"/>
          <w:szCs w:val="21"/>
          <w:highlight w:val="none"/>
        </w:rPr>
        <w:t>（八）得分统计及推荐中标候选人名单</w:t>
      </w:r>
    </w:p>
    <w:p>
      <w:pPr>
        <w:spacing w:line="360" w:lineRule="auto"/>
        <w:ind w:left="554" w:leftChars="264" w:firstLine="525" w:firstLineChars="250"/>
        <w:rPr>
          <w:rFonts w:hAnsi="宋体" w:cs="宋体"/>
          <w:szCs w:val="21"/>
          <w:highlight w:val="none"/>
        </w:rPr>
      </w:pPr>
      <w:r>
        <w:rPr>
          <w:rFonts w:hint="eastAsia" w:hAnsi="宋体" w:cs="宋体"/>
          <w:szCs w:val="21"/>
          <w:highlight w:val="none"/>
        </w:rPr>
        <w:t>1.评标委员会按照采购文件确定的评审标准、程序和方法，对投标文件进行评审，提出书面评标报告。</w:t>
      </w:r>
    </w:p>
    <w:p>
      <w:pPr>
        <w:spacing w:line="360" w:lineRule="auto"/>
        <w:ind w:left="554" w:leftChars="264" w:firstLine="525" w:firstLineChars="250"/>
        <w:rPr>
          <w:rFonts w:hAnsi="宋体" w:cs="宋体"/>
          <w:szCs w:val="21"/>
          <w:highlight w:val="none"/>
        </w:rPr>
      </w:pPr>
      <w:r>
        <w:rPr>
          <w:rFonts w:hint="eastAsia" w:hAnsi="宋体" w:cs="宋体"/>
          <w:szCs w:val="21"/>
          <w:highlight w:val="none"/>
        </w:rPr>
        <w:t>2.采用综合评分法，按照评标程序、评分标准以及权重分配的规定，评标委员会各成员分别首先就各个投标人的技术状况、商务状况及其对招标文件要求的响应情况进行评议和比较，评出其商务评分和技术评分，所有评委各投标人的商务得分和技术得分应为各评委的评分相加，再除以评委人数，得出平均得分，将各投标人的商务得分、技术得分和价格得分相加得出其综合得分。</w:t>
      </w:r>
    </w:p>
    <w:p>
      <w:pPr>
        <w:spacing w:line="360" w:lineRule="auto"/>
        <w:ind w:left="554" w:leftChars="264" w:firstLine="525" w:firstLineChars="250"/>
        <w:rPr>
          <w:rFonts w:hAnsi="宋体" w:cs="宋体"/>
          <w:szCs w:val="21"/>
          <w:highlight w:val="none"/>
        </w:rPr>
      </w:pPr>
      <w:r>
        <w:rPr>
          <w:rFonts w:hint="eastAsia" w:hAnsi="宋体" w:cs="宋体"/>
          <w:szCs w:val="21"/>
          <w:highlight w:val="none"/>
        </w:rPr>
        <w:t>3.投标人的最终评标得分＝商务得分+技术得分+价格得分,评分统计的结果数据须经评委验算审核并签名确认。</w:t>
      </w:r>
    </w:p>
    <w:p>
      <w:pPr>
        <w:spacing w:line="360" w:lineRule="auto"/>
        <w:ind w:left="554" w:leftChars="264" w:firstLine="525" w:firstLineChars="250"/>
        <w:rPr>
          <w:rFonts w:hAnsi="宋体" w:cs="宋体"/>
          <w:szCs w:val="21"/>
          <w:highlight w:val="none"/>
        </w:rPr>
      </w:pPr>
      <w:r>
        <w:rPr>
          <w:rFonts w:hint="eastAsia" w:hAnsi="宋体" w:cs="宋体"/>
          <w:szCs w:val="21"/>
          <w:highlight w:val="none"/>
        </w:rPr>
        <w:t>4.评标委员会按评审后综合评分由高到低顺序排列。综合评分相同的投标人，如条件相等，则评标价格低的投标人排序优先。综合得分相同且评标价相同的，则技术部分评分得分高的优先。综合评分相同，名次由评委会投票决定。评委会按上述排列向采购人推荐综合总得分第一名为中标候选供应商，第二名为第二中标候选供应商。第二名报价高于第一名报价20％以上的，只推荐一名中标候选人。第一中标候选人不得随意放弃中标资格。</w:t>
      </w:r>
    </w:p>
    <w:p>
      <w:pPr>
        <w:spacing w:line="360" w:lineRule="auto"/>
        <w:rPr>
          <w:rFonts w:hAnsi="宋体" w:cs="宋体"/>
          <w:szCs w:val="21"/>
          <w:highlight w:val="none"/>
        </w:rPr>
      </w:pPr>
      <w:r>
        <w:rPr>
          <w:rFonts w:hint="eastAsia" w:hAnsi="宋体" w:cs="宋体"/>
          <w:szCs w:val="21"/>
          <w:highlight w:val="none"/>
        </w:rPr>
        <w:t>（九）编制评标报告。</w:t>
      </w:r>
    </w:p>
    <w:p>
      <w:pPr>
        <w:spacing w:line="360" w:lineRule="auto"/>
        <w:ind w:left="554" w:leftChars="264" w:firstLine="420" w:firstLineChars="200"/>
        <w:rPr>
          <w:rFonts w:hAnsi="宋体" w:cs="宋体"/>
          <w:szCs w:val="21"/>
          <w:highlight w:val="none"/>
        </w:rPr>
      </w:pPr>
      <w:r>
        <w:rPr>
          <w:rFonts w:hint="eastAsia" w:hAnsi="宋体" w:cs="宋体"/>
          <w:szCs w:val="21"/>
          <w:highlight w:val="none"/>
        </w:rPr>
        <w:t>评标委员会根据评标结果撰写评标报告。评标报告是评标委员会根据全体评标成员签字的原始评标记录和评标结果编写的报告，其主要内容包括：</w:t>
      </w:r>
    </w:p>
    <w:p>
      <w:pPr>
        <w:spacing w:line="360" w:lineRule="auto"/>
        <w:rPr>
          <w:rFonts w:hAnsi="宋体" w:cs="宋体"/>
          <w:szCs w:val="21"/>
          <w:highlight w:val="none"/>
        </w:rPr>
      </w:pPr>
      <w:r>
        <w:rPr>
          <w:rFonts w:hint="eastAsia" w:hAnsi="宋体" w:cs="宋体"/>
          <w:szCs w:val="21"/>
          <w:highlight w:val="none"/>
        </w:rPr>
        <w:t>　　  1.招标公告刊登的媒体名称、开标日期和地点；</w:t>
      </w:r>
    </w:p>
    <w:p>
      <w:pPr>
        <w:spacing w:line="360" w:lineRule="auto"/>
        <w:rPr>
          <w:rFonts w:hAnsi="宋体" w:cs="宋体"/>
          <w:szCs w:val="21"/>
          <w:highlight w:val="none"/>
        </w:rPr>
      </w:pPr>
      <w:r>
        <w:rPr>
          <w:rFonts w:hint="eastAsia" w:hAnsi="宋体" w:cs="宋体"/>
          <w:szCs w:val="21"/>
          <w:highlight w:val="none"/>
        </w:rPr>
        <w:t>　　  2.购买招标文件的投标人名单和评标委员会成员名单；</w:t>
      </w:r>
    </w:p>
    <w:p>
      <w:pPr>
        <w:spacing w:line="360" w:lineRule="auto"/>
        <w:rPr>
          <w:rFonts w:hAnsi="宋体" w:cs="宋体"/>
          <w:szCs w:val="21"/>
          <w:highlight w:val="none"/>
        </w:rPr>
      </w:pPr>
      <w:r>
        <w:rPr>
          <w:rFonts w:hint="eastAsia" w:hAnsi="宋体" w:cs="宋体"/>
          <w:szCs w:val="21"/>
          <w:highlight w:val="none"/>
        </w:rPr>
        <w:t>　　  3.评标方法和标准；</w:t>
      </w:r>
    </w:p>
    <w:p>
      <w:pPr>
        <w:spacing w:line="360" w:lineRule="auto"/>
        <w:rPr>
          <w:rFonts w:hAnsi="宋体" w:cs="宋体"/>
          <w:szCs w:val="21"/>
          <w:highlight w:val="none"/>
        </w:rPr>
      </w:pPr>
      <w:r>
        <w:rPr>
          <w:rFonts w:hint="eastAsia" w:hAnsi="宋体" w:cs="宋体"/>
          <w:szCs w:val="21"/>
          <w:highlight w:val="none"/>
        </w:rPr>
        <w:t>　　  4.开标记录和评标情况及说明，包括投标无效投标人名单及原因；</w:t>
      </w:r>
    </w:p>
    <w:p>
      <w:pPr>
        <w:spacing w:line="360" w:lineRule="auto"/>
        <w:rPr>
          <w:rFonts w:hAnsi="宋体" w:cs="宋体"/>
          <w:szCs w:val="21"/>
          <w:highlight w:val="none"/>
        </w:rPr>
      </w:pPr>
      <w:r>
        <w:rPr>
          <w:rFonts w:hint="eastAsia" w:hAnsi="宋体" w:cs="宋体"/>
          <w:szCs w:val="21"/>
          <w:highlight w:val="none"/>
        </w:rPr>
        <w:t>　　  5.评标结果和中标候选供应商排序表；</w:t>
      </w:r>
    </w:p>
    <w:p>
      <w:pPr>
        <w:pStyle w:val="2"/>
        <w:spacing w:line="360" w:lineRule="auto"/>
        <w:ind w:firstLine="630" w:firstLineChars="300"/>
        <w:rPr>
          <w:rFonts w:hAnsi="宋体" w:cs="宋体"/>
          <w:szCs w:val="21"/>
          <w:highlight w:val="none"/>
        </w:rPr>
        <w:sectPr>
          <w:headerReference r:id="rId6" w:type="first"/>
          <w:footerReference r:id="rId7" w:type="even"/>
          <w:pgSz w:w="11907" w:h="16840"/>
          <w:pgMar w:top="1304" w:right="1134" w:bottom="1247" w:left="1134" w:header="709" w:footer="697" w:gutter="0"/>
          <w:pgBorders>
            <w:top w:val="none" w:sz="0" w:space="0"/>
            <w:left w:val="none" w:sz="0" w:space="0"/>
            <w:bottom w:val="none" w:sz="0" w:space="0"/>
            <w:right w:val="none" w:sz="0" w:space="0"/>
          </w:pgBorders>
          <w:cols w:space="720" w:num="1"/>
          <w:docGrid w:linePitch="285" w:charSpace="0"/>
        </w:sectPr>
      </w:pPr>
      <w:r>
        <w:rPr>
          <w:rFonts w:hint="eastAsia" w:hAnsi="宋体" w:cs="宋体"/>
          <w:szCs w:val="21"/>
          <w:highlight w:val="none"/>
        </w:rPr>
        <w:t>6.评标委员会的授标建议。</w:t>
      </w:r>
    </w:p>
    <w:p>
      <w:pPr>
        <w:pStyle w:val="4"/>
        <w:spacing w:after="120" w:line="480" w:lineRule="exact"/>
        <w:rPr>
          <w:rFonts w:hAnsi="宋体" w:cs="宋体"/>
          <w:b/>
          <w:sz w:val="28"/>
          <w:szCs w:val="28"/>
          <w:highlight w:val="none"/>
        </w:rPr>
      </w:pPr>
      <w:r>
        <w:rPr>
          <w:rFonts w:hint="eastAsia" w:hAnsi="宋体" w:cs="宋体"/>
          <w:b/>
          <w:sz w:val="28"/>
          <w:szCs w:val="28"/>
          <w:highlight w:val="none"/>
        </w:rPr>
        <w:t>资格性检查表：</w:t>
      </w:r>
    </w:p>
    <w:p>
      <w:pPr>
        <w:rPr>
          <w:rFonts w:hAnsi="宋体" w:cs="宋体"/>
          <w:szCs w:val="21"/>
          <w:highlight w:val="none"/>
        </w:rPr>
      </w:pPr>
    </w:p>
    <w:p>
      <w:pPr>
        <w:spacing w:line="360" w:lineRule="auto"/>
        <w:rPr>
          <w:rFonts w:hAnsi="宋体" w:cs="宋体"/>
          <w:szCs w:val="21"/>
          <w:highlight w:val="none"/>
        </w:rPr>
      </w:pPr>
      <w:r>
        <w:rPr>
          <w:rFonts w:hint="eastAsia" w:hAnsi="宋体" w:cs="宋体"/>
          <w:szCs w:val="21"/>
          <w:highlight w:val="none"/>
        </w:rPr>
        <w:t xml:space="preserve">采购编号：GDYD221545                            </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tbl>
      <w:tblPr>
        <w:tblStyle w:val="49"/>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3937"/>
        <w:gridCol w:w="1115"/>
        <w:gridCol w:w="1115"/>
        <w:gridCol w:w="1115"/>
        <w:gridCol w:w="1115"/>
        <w:gridCol w:w="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27" w:type="dxa"/>
            <w:vAlign w:val="center"/>
          </w:tcPr>
          <w:p>
            <w:pPr>
              <w:pStyle w:val="14"/>
              <w:tabs>
                <w:tab w:val="left" w:pos="7740"/>
              </w:tabs>
              <w:snapToGrid w:val="0"/>
              <w:ind w:firstLine="0" w:firstLineChars="0"/>
              <w:rPr>
                <w:rFonts w:ascii="宋体" w:hAnsi="宋体" w:cs="宋体"/>
                <w:sz w:val="21"/>
                <w:szCs w:val="21"/>
                <w:highlight w:val="none"/>
              </w:rPr>
            </w:pPr>
          </w:p>
        </w:tc>
        <w:tc>
          <w:tcPr>
            <w:tcW w:w="3937" w:type="dxa"/>
            <w:tcBorders>
              <w:tl2br w:val="single" w:color="auto" w:sz="4" w:space="0"/>
            </w:tcBorders>
            <w:vAlign w:val="center"/>
          </w:tcPr>
          <w:p>
            <w:pPr>
              <w:pStyle w:val="14"/>
              <w:tabs>
                <w:tab w:val="left" w:pos="7740"/>
              </w:tabs>
              <w:snapToGrid w:val="0"/>
              <w:ind w:firstLine="0" w:firstLineChars="0"/>
              <w:rPr>
                <w:rFonts w:ascii="宋体" w:hAnsi="宋体" w:cs="宋体"/>
                <w:sz w:val="21"/>
                <w:szCs w:val="21"/>
                <w:highlight w:val="none"/>
              </w:rPr>
            </w:pPr>
            <w:r>
              <w:rPr>
                <w:rFonts w:hint="eastAsia" w:ascii="宋体" w:hAnsi="宋体" w:cs="宋体"/>
                <w:sz w:val="21"/>
                <w:szCs w:val="21"/>
                <w:highlight w:val="none"/>
              </w:rPr>
              <w:t>审查内容                                    投标人名称</w:t>
            </w:r>
          </w:p>
        </w:tc>
        <w:tc>
          <w:tcPr>
            <w:tcW w:w="1115" w:type="dxa"/>
            <w:vAlign w:val="center"/>
          </w:tcPr>
          <w:p>
            <w:pPr>
              <w:pStyle w:val="14"/>
              <w:tabs>
                <w:tab w:val="left" w:pos="7740"/>
              </w:tabs>
              <w:snapToGrid w:val="0"/>
              <w:ind w:firstLine="0" w:firstLineChars="0"/>
              <w:jc w:val="center"/>
              <w:rPr>
                <w:rFonts w:ascii="宋体" w:hAnsi="宋体" w:cs="宋体"/>
                <w:sz w:val="21"/>
                <w:szCs w:val="21"/>
                <w:highlight w:val="none"/>
                <w:lang w:val="hr-HR"/>
              </w:rPr>
            </w:pPr>
            <w:r>
              <w:rPr>
                <w:rFonts w:hint="eastAsia" w:ascii="宋体" w:hAnsi="宋体" w:cs="宋体"/>
                <w:sz w:val="21"/>
                <w:szCs w:val="21"/>
                <w:highlight w:val="none"/>
              </w:rPr>
              <w:t>投标人1</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投标人2</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投标人3</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投标人4</w:t>
            </w:r>
          </w:p>
        </w:tc>
        <w:tc>
          <w:tcPr>
            <w:tcW w:w="465" w:type="dxa"/>
            <w:vAlign w:val="center"/>
          </w:tcPr>
          <w:p>
            <w:pPr>
              <w:pStyle w:val="14"/>
              <w:tabs>
                <w:tab w:val="left" w:pos="7740"/>
              </w:tabs>
              <w:snapToGrid w:val="0"/>
              <w:ind w:firstLine="0" w:firstLineChars="0"/>
              <w:jc w:val="center"/>
              <w:rPr>
                <w:rFonts w:ascii="宋体" w:hAnsi="宋体" w:cs="宋体"/>
                <w:sz w:val="21"/>
                <w:szCs w:val="21"/>
                <w:highlight w:val="none"/>
                <w:lang w:val="hr-HR"/>
              </w:rPr>
            </w:pPr>
            <w:r>
              <w:rPr>
                <w:rFonts w:hint="eastAsia" w:ascii="宋体" w:hAnsi="宋体" w:cs="宋体"/>
                <w:sz w:val="21"/>
                <w:szCs w:val="21"/>
                <w:highlight w:val="none"/>
                <w:lang w:val="hr-H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restart"/>
            <w:vAlign w:val="center"/>
          </w:tcPr>
          <w:p>
            <w:pPr>
              <w:pStyle w:val="14"/>
              <w:tabs>
                <w:tab w:val="left" w:pos="7740"/>
              </w:tabs>
              <w:snapToGrid w:val="0"/>
              <w:ind w:firstLine="0" w:firstLineChars="0"/>
              <w:jc w:val="center"/>
              <w:rPr>
                <w:rFonts w:ascii="宋体" w:hAnsi="宋体" w:cs="宋体"/>
                <w:b/>
                <w:sz w:val="21"/>
                <w:szCs w:val="21"/>
                <w:highlight w:val="none"/>
              </w:rPr>
            </w:pPr>
            <w:r>
              <w:rPr>
                <w:rFonts w:hint="eastAsia" w:ascii="宋体" w:hAnsi="宋体" w:cs="宋体"/>
                <w:b/>
                <w:sz w:val="21"/>
                <w:szCs w:val="21"/>
                <w:highlight w:val="none"/>
              </w:rPr>
              <w:t>资</w:t>
            </w:r>
          </w:p>
          <w:p>
            <w:pPr>
              <w:pStyle w:val="14"/>
              <w:tabs>
                <w:tab w:val="left" w:pos="7740"/>
              </w:tabs>
              <w:snapToGrid w:val="0"/>
              <w:ind w:firstLine="0" w:firstLineChars="0"/>
              <w:jc w:val="center"/>
              <w:rPr>
                <w:rFonts w:ascii="宋体" w:hAnsi="宋体" w:cs="宋体"/>
                <w:b/>
                <w:sz w:val="21"/>
                <w:szCs w:val="21"/>
                <w:highlight w:val="none"/>
              </w:rPr>
            </w:pPr>
            <w:r>
              <w:rPr>
                <w:rFonts w:hint="eastAsia" w:ascii="宋体" w:hAnsi="宋体" w:cs="宋体"/>
                <w:b/>
                <w:sz w:val="21"/>
                <w:szCs w:val="21"/>
                <w:highlight w:val="none"/>
              </w:rPr>
              <w:t>格</w:t>
            </w:r>
          </w:p>
          <w:p>
            <w:pPr>
              <w:pStyle w:val="14"/>
              <w:tabs>
                <w:tab w:val="left" w:pos="7740"/>
              </w:tabs>
              <w:snapToGrid w:val="0"/>
              <w:ind w:firstLine="0" w:firstLineChars="0"/>
              <w:jc w:val="center"/>
              <w:rPr>
                <w:rFonts w:ascii="宋体" w:hAnsi="宋体" w:cs="宋体"/>
                <w:b/>
                <w:sz w:val="21"/>
                <w:szCs w:val="21"/>
                <w:highlight w:val="none"/>
              </w:rPr>
            </w:pPr>
            <w:r>
              <w:rPr>
                <w:rFonts w:hint="eastAsia" w:ascii="宋体" w:hAnsi="宋体" w:cs="宋体"/>
                <w:b/>
                <w:sz w:val="21"/>
                <w:szCs w:val="21"/>
                <w:highlight w:val="none"/>
              </w:rPr>
              <w:t>性</w:t>
            </w:r>
          </w:p>
          <w:p>
            <w:pPr>
              <w:pStyle w:val="14"/>
              <w:tabs>
                <w:tab w:val="left" w:pos="7740"/>
              </w:tabs>
              <w:snapToGrid w:val="0"/>
              <w:ind w:firstLine="0" w:firstLineChars="0"/>
              <w:jc w:val="center"/>
              <w:rPr>
                <w:rFonts w:ascii="宋体" w:hAnsi="宋体" w:cs="宋体"/>
                <w:b/>
                <w:sz w:val="21"/>
                <w:szCs w:val="21"/>
                <w:highlight w:val="none"/>
              </w:rPr>
            </w:pPr>
            <w:r>
              <w:rPr>
                <w:rFonts w:hint="eastAsia" w:ascii="宋体" w:hAnsi="宋体" w:cs="宋体"/>
                <w:b/>
                <w:sz w:val="21"/>
                <w:szCs w:val="21"/>
                <w:highlight w:val="none"/>
              </w:rPr>
              <w:t>检</w:t>
            </w:r>
          </w:p>
          <w:p>
            <w:pPr>
              <w:pStyle w:val="14"/>
              <w:tabs>
                <w:tab w:val="left" w:pos="7740"/>
              </w:tabs>
              <w:snapToGrid w:val="0"/>
              <w:ind w:firstLine="0" w:firstLineChars="0"/>
              <w:jc w:val="center"/>
              <w:rPr>
                <w:rFonts w:ascii="宋体" w:hAnsi="宋体" w:cs="宋体"/>
                <w:b/>
                <w:sz w:val="21"/>
                <w:szCs w:val="21"/>
                <w:highlight w:val="none"/>
              </w:rPr>
            </w:pPr>
            <w:r>
              <w:rPr>
                <w:rFonts w:hint="eastAsia" w:ascii="宋体" w:hAnsi="宋体" w:cs="宋体"/>
                <w:b/>
                <w:sz w:val="21"/>
                <w:szCs w:val="21"/>
                <w:highlight w:val="none"/>
              </w:rPr>
              <w:t>查</w:t>
            </w:r>
          </w:p>
        </w:tc>
        <w:tc>
          <w:tcPr>
            <w:tcW w:w="3937" w:type="dxa"/>
            <w:vAlign w:val="center"/>
          </w:tcPr>
          <w:p>
            <w:pPr>
              <w:pStyle w:val="14"/>
              <w:tabs>
                <w:tab w:val="left" w:pos="7740"/>
              </w:tabs>
              <w:snapToGrid w:val="0"/>
              <w:ind w:firstLine="0" w:firstLineChars="0"/>
              <w:jc w:val="both"/>
              <w:rPr>
                <w:rFonts w:ascii="宋体" w:hAnsi="宋体" w:cs="宋体"/>
                <w:sz w:val="21"/>
                <w:szCs w:val="21"/>
                <w:highlight w:val="none"/>
              </w:rPr>
            </w:pPr>
            <w:r>
              <w:rPr>
                <w:rFonts w:hint="eastAsia" w:ascii="宋体" w:hAnsi="宋体" w:cs="宋体"/>
                <w:sz w:val="21"/>
                <w:szCs w:val="21"/>
                <w:highlight w:val="none"/>
              </w:rPr>
              <w:t>法定代表人/负责人资格证明书及授权委托书</w:t>
            </w:r>
          </w:p>
        </w:tc>
        <w:tc>
          <w:tcPr>
            <w:tcW w:w="1115" w:type="dxa"/>
          </w:tcPr>
          <w:p>
            <w:pPr>
              <w:tabs>
                <w:tab w:val="left" w:pos="146"/>
              </w:tabs>
              <w:ind w:left="146" w:hanging="180"/>
              <w:jc w:val="both"/>
              <w:rPr>
                <w:rFonts w:hAnsi="宋体" w:cs="宋体"/>
                <w:b/>
                <w:bCs/>
                <w:szCs w:val="21"/>
                <w:highlight w:val="none"/>
              </w:rPr>
            </w:pPr>
          </w:p>
        </w:tc>
        <w:tc>
          <w:tcPr>
            <w:tcW w:w="1115" w:type="dxa"/>
          </w:tcPr>
          <w:p>
            <w:pPr>
              <w:tabs>
                <w:tab w:val="left" w:pos="0"/>
              </w:tabs>
              <w:jc w:val="both"/>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4"/>
              <w:tabs>
                <w:tab w:val="left" w:pos="7740"/>
              </w:tabs>
              <w:snapToGrid w:val="0"/>
              <w:ind w:firstLine="0" w:firstLineChars="0"/>
              <w:jc w:val="center"/>
              <w:rPr>
                <w:rFonts w:ascii="宋体" w:hAnsi="宋体" w:cs="宋体"/>
                <w:b/>
                <w:sz w:val="21"/>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r>
              <w:rPr>
                <w:rFonts w:ascii="宋体" w:eastAsia="宋体" w:cs="宋体"/>
                <w:bCs/>
                <w:szCs w:val="21"/>
                <w:highlight w:val="none"/>
              </w:rPr>
              <w:t>营业执照副本复印件（加盖公章）</w:t>
            </w:r>
          </w:p>
        </w:tc>
        <w:tc>
          <w:tcPr>
            <w:tcW w:w="1115" w:type="dxa"/>
          </w:tcPr>
          <w:p>
            <w:pPr>
              <w:tabs>
                <w:tab w:val="left" w:pos="146"/>
              </w:tabs>
              <w:ind w:left="146" w:hanging="180"/>
              <w:jc w:val="both"/>
              <w:rPr>
                <w:rFonts w:hAnsi="宋体" w:cs="宋体"/>
                <w:b/>
                <w:bCs/>
                <w:szCs w:val="21"/>
                <w:highlight w:val="none"/>
              </w:rPr>
            </w:pPr>
          </w:p>
        </w:tc>
        <w:tc>
          <w:tcPr>
            <w:tcW w:w="1115" w:type="dxa"/>
          </w:tcPr>
          <w:p>
            <w:pPr>
              <w:tabs>
                <w:tab w:val="left" w:pos="0"/>
              </w:tabs>
              <w:jc w:val="both"/>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4"/>
              <w:tabs>
                <w:tab w:val="left" w:pos="7740"/>
              </w:tabs>
              <w:snapToGrid w:val="0"/>
              <w:ind w:firstLine="0" w:firstLineChars="0"/>
              <w:jc w:val="center"/>
              <w:rPr>
                <w:rFonts w:ascii="宋体" w:hAnsi="宋体" w:cs="宋体"/>
                <w:b/>
                <w:sz w:val="21"/>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bCs/>
                <w:szCs w:val="21"/>
                <w:highlight w:val="none"/>
              </w:rPr>
            </w:pPr>
            <w:r>
              <w:rPr>
                <w:rFonts w:ascii="宋体" w:eastAsia="宋体" w:cs="宋体"/>
                <w:szCs w:val="21"/>
                <w:highlight w:val="none"/>
              </w:rPr>
              <w:t>在参与政府采购活动中未有违法违纪行为并受过处罚</w:t>
            </w:r>
          </w:p>
        </w:tc>
        <w:tc>
          <w:tcPr>
            <w:tcW w:w="1115" w:type="dxa"/>
          </w:tcPr>
          <w:p>
            <w:pPr>
              <w:tabs>
                <w:tab w:val="left" w:pos="146"/>
              </w:tabs>
              <w:ind w:left="146" w:hanging="180"/>
              <w:jc w:val="both"/>
              <w:rPr>
                <w:rFonts w:hAnsi="宋体" w:cs="宋体"/>
                <w:b/>
                <w:bCs/>
                <w:szCs w:val="21"/>
                <w:highlight w:val="none"/>
              </w:rPr>
            </w:pPr>
          </w:p>
        </w:tc>
        <w:tc>
          <w:tcPr>
            <w:tcW w:w="1115" w:type="dxa"/>
          </w:tcPr>
          <w:p>
            <w:pPr>
              <w:tabs>
                <w:tab w:val="left" w:pos="0"/>
              </w:tabs>
              <w:jc w:val="both"/>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vAlign w:val="center"/>
          </w:tcPr>
          <w:p>
            <w:pPr>
              <w:pStyle w:val="14"/>
              <w:tabs>
                <w:tab w:val="left" w:pos="7740"/>
              </w:tabs>
              <w:snapToGrid w:val="0"/>
              <w:ind w:firstLine="0" w:firstLineChars="0"/>
              <w:jc w:val="center"/>
              <w:rPr>
                <w:rFonts w:ascii="宋体" w:hAnsi="宋体" w:cs="宋体"/>
                <w:sz w:val="21"/>
                <w:szCs w:val="21"/>
                <w:highlight w:val="none"/>
              </w:rPr>
            </w:pPr>
          </w:p>
        </w:tc>
        <w:tc>
          <w:tcPr>
            <w:tcW w:w="3937" w:type="dxa"/>
            <w:vAlign w:val="center"/>
          </w:tcPr>
          <w:p>
            <w:pPr>
              <w:pStyle w:val="14"/>
              <w:tabs>
                <w:tab w:val="left" w:pos="7740"/>
              </w:tabs>
              <w:snapToGrid w:val="0"/>
              <w:ind w:firstLine="0" w:firstLineChars="0"/>
              <w:jc w:val="both"/>
              <w:rPr>
                <w:rFonts w:ascii="宋体" w:hAnsi="宋体" w:cs="宋体"/>
                <w:sz w:val="21"/>
                <w:szCs w:val="21"/>
                <w:highlight w:val="none"/>
              </w:rPr>
            </w:pPr>
            <w:r>
              <w:rPr>
                <w:rFonts w:hint="eastAsia" w:ascii="宋体" w:hAnsi="宋体" w:cs="宋体"/>
                <w:bCs/>
                <w:sz w:val="21"/>
                <w:szCs w:val="21"/>
                <w:highlight w:val="none"/>
              </w:rPr>
              <w:t>招标公告要求的资质资格证明复印件（加盖公章）</w:t>
            </w:r>
          </w:p>
        </w:tc>
        <w:tc>
          <w:tcPr>
            <w:tcW w:w="1115" w:type="dxa"/>
            <w:vAlign w:val="center"/>
          </w:tcPr>
          <w:p>
            <w:pPr>
              <w:pStyle w:val="14"/>
              <w:tabs>
                <w:tab w:val="left" w:pos="7740"/>
              </w:tabs>
              <w:snapToGrid w:val="0"/>
              <w:ind w:firstLine="0" w:firstLineChars="0"/>
              <w:rPr>
                <w:rFonts w:ascii="宋体" w:hAnsi="宋体" w:cs="宋体"/>
                <w:sz w:val="21"/>
                <w:szCs w:val="21"/>
                <w:highlight w:val="none"/>
              </w:rPr>
            </w:pPr>
          </w:p>
        </w:tc>
        <w:tc>
          <w:tcPr>
            <w:tcW w:w="1115" w:type="dxa"/>
            <w:vAlign w:val="center"/>
          </w:tcPr>
          <w:p>
            <w:pPr>
              <w:pStyle w:val="14"/>
              <w:tabs>
                <w:tab w:val="left" w:pos="7740"/>
              </w:tabs>
              <w:snapToGrid w:val="0"/>
              <w:ind w:firstLine="0" w:firstLineChars="0"/>
              <w:rPr>
                <w:rFonts w:ascii="宋体" w:hAnsi="宋体" w:cs="宋体"/>
                <w:sz w:val="21"/>
                <w:szCs w:val="21"/>
                <w:highlight w:val="none"/>
              </w:rPr>
            </w:pPr>
          </w:p>
        </w:tc>
        <w:tc>
          <w:tcPr>
            <w:tcW w:w="1115" w:type="dxa"/>
            <w:vAlign w:val="center"/>
          </w:tcPr>
          <w:p>
            <w:pPr>
              <w:pStyle w:val="14"/>
              <w:tabs>
                <w:tab w:val="left" w:pos="7740"/>
              </w:tabs>
              <w:snapToGrid w:val="0"/>
              <w:ind w:firstLine="0" w:firstLineChars="0"/>
              <w:jc w:val="both"/>
              <w:rPr>
                <w:rFonts w:ascii="宋体" w:hAnsi="宋体" w:cs="宋体"/>
                <w:sz w:val="21"/>
                <w:szCs w:val="21"/>
                <w:highlight w:val="none"/>
              </w:rPr>
            </w:pPr>
          </w:p>
        </w:tc>
        <w:tc>
          <w:tcPr>
            <w:tcW w:w="1115" w:type="dxa"/>
            <w:vAlign w:val="center"/>
          </w:tcPr>
          <w:p>
            <w:pPr>
              <w:pStyle w:val="14"/>
              <w:tabs>
                <w:tab w:val="left" w:pos="7740"/>
              </w:tabs>
              <w:snapToGrid w:val="0"/>
              <w:ind w:firstLine="0" w:firstLineChars="0"/>
              <w:jc w:val="both"/>
              <w:rPr>
                <w:rFonts w:ascii="宋体" w:hAnsi="宋体" w:cs="宋体"/>
                <w:sz w:val="21"/>
                <w:szCs w:val="21"/>
                <w:highlight w:val="none"/>
              </w:rPr>
            </w:pPr>
          </w:p>
        </w:tc>
        <w:tc>
          <w:tcPr>
            <w:tcW w:w="465" w:type="dxa"/>
            <w:vAlign w:val="center"/>
          </w:tcPr>
          <w:p>
            <w:pPr>
              <w:pStyle w:val="14"/>
              <w:tabs>
                <w:tab w:val="left" w:pos="7740"/>
              </w:tabs>
              <w:snapToGrid w:val="0"/>
              <w:ind w:firstLine="0" w:firstLineChars="0"/>
              <w:jc w:val="both"/>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9" w:type="dxa"/>
            <w:gridSpan w:val="7"/>
          </w:tcPr>
          <w:p>
            <w:pPr>
              <w:pStyle w:val="14"/>
              <w:tabs>
                <w:tab w:val="left" w:pos="7740"/>
              </w:tabs>
              <w:snapToGrid w:val="0"/>
              <w:ind w:firstLine="140" w:firstLineChars="67"/>
              <w:rPr>
                <w:rFonts w:ascii="宋体" w:hAnsi="宋体" w:cs="宋体"/>
                <w:sz w:val="21"/>
                <w:szCs w:val="21"/>
                <w:highlight w:val="none"/>
              </w:rPr>
            </w:pPr>
            <w:r>
              <w:rPr>
                <w:rFonts w:hint="eastAsia" w:ascii="宋体" w:hAnsi="宋体" w:cs="宋体"/>
                <w:sz w:val="21"/>
                <w:szCs w:val="21"/>
                <w:highlight w:val="none"/>
              </w:rPr>
              <w:t>注：符合要求的打“√”，不符合要求的打“×”</w:t>
            </w:r>
          </w:p>
        </w:tc>
      </w:tr>
    </w:tbl>
    <w:p>
      <w:pPr>
        <w:rPr>
          <w:rFonts w:hAnsi="宋体" w:cs="宋体"/>
          <w:szCs w:val="21"/>
          <w:highlight w:val="none"/>
        </w:rPr>
      </w:pPr>
    </w:p>
    <w:p>
      <w:pPr>
        <w:rPr>
          <w:rFonts w:hAnsi="宋体" w:cs="宋体"/>
          <w:szCs w:val="21"/>
          <w:highlight w:val="none"/>
        </w:rPr>
      </w:pPr>
      <w:r>
        <w:rPr>
          <w:rFonts w:hint="eastAsia" w:hAnsi="宋体" w:cs="宋体"/>
          <w:szCs w:val="21"/>
          <w:highlight w:val="none"/>
        </w:rPr>
        <w:t>采购代理机构工作人员签名：</w:t>
      </w:r>
    </w:p>
    <w:p>
      <w:pPr>
        <w:rPr>
          <w:rFonts w:hAnsi="宋体" w:cs="宋体"/>
          <w:szCs w:val="21"/>
          <w:highlight w:val="none"/>
        </w:rPr>
      </w:pPr>
      <w:r>
        <w:rPr>
          <w:rFonts w:hint="eastAsia" w:hAnsi="宋体" w:cs="宋体"/>
          <w:szCs w:val="21"/>
          <w:highlight w:val="none"/>
        </w:rPr>
        <w:t>采购代理机构监督员签名：</w:t>
      </w:r>
    </w:p>
    <w:p>
      <w:pPr>
        <w:rPr>
          <w:rFonts w:hAnsi="宋体" w:cs="宋体"/>
          <w:sz w:val="28"/>
          <w:szCs w:val="28"/>
          <w:highlight w:val="none"/>
        </w:rPr>
      </w:pPr>
      <w:r>
        <w:rPr>
          <w:rFonts w:hint="eastAsia" w:hAnsi="宋体" w:cs="宋体"/>
          <w:highlight w:val="none"/>
        </w:rPr>
        <w:t>日期：</w:t>
      </w:r>
    </w:p>
    <w:p>
      <w:pPr>
        <w:pStyle w:val="14"/>
        <w:tabs>
          <w:tab w:val="left" w:pos="7740"/>
        </w:tabs>
        <w:spacing w:line="300" w:lineRule="auto"/>
        <w:ind w:firstLine="0" w:firstLineChars="0"/>
        <w:rPr>
          <w:rFonts w:ascii="宋体" w:hAnsi="宋体" w:cs="宋体"/>
          <w:sz w:val="28"/>
          <w:szCs w:val="28"/>
          <w:highlight w:val="none"/>
        </w:rPr>
      </w:pPr>
    </w:p>
    <w:p>
      <w:pPr>
        <w:pStyle w:val="4"/>
        <w:spacing w:after="120" w:line="480" w:lineRule="exact"/>
        <w:rPr>
          <w:rFonts w:hAnsi="宋体" w:cs="宋体"/>
          <w:b/>
          <w:sz w:val="28"/>
          <w:szCs w:val="28"/>
          <w:highlight w:val="none"/>
        </w:rPr>
      </w:pPr>
      <w:r>
        <w:rPr>
          <w:rFonts w:hint="eastAsia" w:hAnsi="宋体" w:cs="宋体"/>
          <w:b/>
          <w:sz w:val="28"/>
          <w:szCs w:val="28"/>
          <w:highlight w:val="none"/>
        </w:rPr>
        <w:t>符合性检查表：</w:t>
      </w:r>
    </w:p>
    <w:p>
      <w:pPr>
        <w:rPr>
          <w:rFonts w:hAnsi="宋体" w:cs="宋体"/>
          <w:szCs w:val="21"/>
          <w:highlight w:val="none"/>
        </w:rPr>
      </w:pPr>
    </w:p>
    <w:p>
      <w:pPr>
        <w:spacing w:line="360" w:lineRule="auto"/>
        <w:rPr>
          <w:rFonts w:hAnsi="宋体" w:cs="宋体"/>
          <w:szCs w:val="21"/>
          <w:highlight w:val="none"/>
        </w:rPr>
      </w:pPr>
      <w:r>
        <w:rPr>
          <w:rFonts w:hint="eastAsia" w:hAnsi="宋体" w:cs="宋体"/>
          <w:szCs w:val="21"/>
          <w:highlight w:val="none"/>
        </w:rPr>
        <w:t xml:space="preserve">采购编号：GDYD221545                            </w:t>
      </w:r>
    </w:p>
    <w:p>
      <w:pPr>
        <w:spacing w:line="360" w:lineRule="auto"/>
        <w:rPr>
          <w:rFonts w:hAnsi="宋体" w:cs="宋体"/>
          <w:szCs w:val="21"/>
          <w:highlight w:val="none"/>
        </w:rPr>
      </w:pPr>
      <w:r>
        <w:rPr>
          <w:rFonts w:hint="eastAsia" w:hAnsi="宋体" w:cs="宋体"/>
          <w:szCs w:val="21"/>
          <w:highlight w:val="none"/>
        </w:rPr>
        <w:t>项目名称：国家海洋局南海标准计量中心2023年船员服务采购项目</w:t>
      </w:r>
    </w:p>
    <w:tbl>
      <w:tblPr>
        <w:tblStyle w:val="49"/>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3937"/>
        <w:gridCol w:w="1115"/>
        <w:gridCol w:w="1115"/>
        <w:gridCol w:w="1115"/>
        <w:gridCol w:w="1115"/>
        <w:gridCol w:w="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427" w:type="dxa"/>
            <w:vAlign w:val="center"/>
          </w:tcPr>
          <w:p>
            <w:pPr>
              <w:pStyle w:val="14"/>
              <w:tabs>
                <w:tab w:val="left" w:pos="7740"/>
              </w:tabs>
              <w:snapToGrid w:val="0"/>
              <w:ind w:firstLine="0" w:firstLineChars="0"/>
              <w:rPr>
                <w:rFonts w:ascii="宋体" w:hAnsi="宋体" w:cs="宋体"/>
                <w:sz w:val="21"/>
                <w:szCs w:val="21"/>
                <w:highlight w:val="none"/>
              </w:rPr>
            </w:pPr>
          </w:p>
        </w:tc>
        <w:tc>
          <w:tcPr>
            <w:tcW w:w="3937" w:type="dxa"/>
            <w:tcBorders>
              <w:tl2br w:val="single" w:color="auto" w:sz="4" w:space="0"/>
            </w:tcBorders>
            <w:vAlign w:val="center"/>
          </w:tcPr>
          <w:p>
            <w:pPr>
              <w:pStyle w:val="14"/>
              <w:tabs>
                <w:tab w:val="left" w:pos="7740"/>
              </w:tabs>
              <w:snapToGrid w:val="0"/>
              <w:ind w:firstLine="0" w:firstLineChars="0"/>
              <w:rPr>
                <w:rFonts w:ascii="宋体" w:hAnsi="宋体" w:cs="宋体"/>
                <w:sz w:val="21"/>
                <w:szCs w:val="21"/>
                <w:highlight w:val="none"/>
              </w:rPr>
            </w:pPr>
            <w:r>
              <w:rPr>
                <w:rFonts w:hint="eastAsia" w:ascii="宋体" w:hAnsi="宋体" w:cs="宋体"/>
                <w:sz w:val="21"/>
                <w:szCs w:val="21"/>
                <w:highlight w:val="none"/>
              </w:rPr>
              <w:t>审查内容                                    投标人名称</w:t>
            </w:r>
          </w:p>
        </w:tc>
        <w:tc>
          <w:tcPr>
            <w:tcW w:w="1115" w:type="dxa"/>
            <w:vAlign w:val="center"/>
          </w:tcPr>
          <w:p>
            <w:pPr>
              <w:pStyle w:val="14"/>
              <w:tabs>
                <w:tab w:val="left" w:pos="7740"/>
              </w:tabs>
              <w:snapToGrid w:val="0"/>
              <w:ind w:firstLine="0" w:firstLineChars="0"/>
              <w:jc w:val="center"/>
              <w:rPr>
                <w:rFonts w:ascii="宋体" w:hAnsi="宋体" w:cs="宋体"/>
                <w:sz w:val="21"/>
                <w:szCs w:val="21"/>
                <w:highlight w:val="none"/>
                <w:lang w:val="hr-HR"/>
              </w:rPr>
            </w:pPr>
            <w:r>
              <w:rPr>
                <w:rFonts w:hint="eastAsia" w:ascii="宋体" w:hAnsi="宋体" w:cs="宋体"/>
                <w:sz w:val="21"/>
                <w:szCs w:val="21"/>
                <w:highlight w:val="none"/>
              </w:rPr>
              <w:t>投标人1</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投标人2</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投标人3</w:t>
            </w:r>
          </w:p>
        </w:tc>
        <w:tc>
          <w:tcPr>
            <w:tcW w:w="1115" w:type="dxa"/>
            <w:vAlign w:val="center"/>
          </w:tcPr>
          <w:p>
            <w:pPr>
              <w:snapToGrid w:val="0"/>
              <w:jc w:val="center"/>
              <w:rPr>
                <w:rFonts w:hAnsi="宋体" w:cs="宋体"/>
                <w:szCs w:val="21"/>
                <w:highlight w:val="none"/>
              </w:rPr>
            </w:pPr>
            <w:r>
              <w:rPr>
                <w:rFonts w:hint="eastAsia" w:hAnsi="宋体" w:cs="宋体"/>
                <w:szCs w:val="21"/>
                <w:highlight w:val="none"/>
              </w:rPr>
              <w:t>投标人4</w:t>
            </w:r>
          </w:p>
        </w:tc>
        <w:tc>
          <w:tcPr>
            <w:tcW w:w="465" w:type="dxa"/>
            <w:vAlign w:val="center"/>
          </w:tcPr>
          <w:p>
            <w:pPr>
              <w:pStyle w:val="14"/>
              <w:tabs>
                <w:tab w:val="left" w:pos="7740"/>
              </w:tabs>
              <w:snapToGrid w:val="0"/>
              <w:ind w:firstLine="0" w:firstLineChars="0"/>
              <w:jc w:val="center"/>
              <w:rPr>
                <w:rFonts w:ascii="宋体" w:hAnsi="宋体" w:cs="宋体"/>
                <w:sz w:val="21"/>
                <w:szCs w:val="21"/>
                <w:highlight w:val="none"/>
                <w:lang w:val="hr-HR"/>
              </w:rPr>
            </w:pPr>
            <w:r>
              <w:rPr>
                <w:rFonts w:hint="eastAsia" w:ascii="宋体" w:hAnsi="宋体" w:cs="宋体"/>
                <w:sz w:val="21"/>
                <w:szCs w:val="21"/>
                <w:highlight w:val="none"/>
                <w:lang w:val="hr-H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restart"/>
            <w:vAlign w:val="center"/>
          </w:tcPr>
          <w:p>
            <w:pPr>
              <w:pStyle w:val="119"/>
              <w:tabs>
                <w:tab w:val="left" w:pos="7740"/>
              </w:tabs>
              <w:snapToGrid w:val="0"/>
              <w:spacing w:before="0" w:beforeAutospacing="0" w:after="0" w:afterAutospacing="0"/>
              <w:rPr>
                <w:rFonts w:hint="default" w:ascii="宋体" w:eastAsia="宋体" w:cs="宋体"/>
                <w:b/>
                <w:szCs w:val="21"/>
                <w:highlight w:val="none"/>
              </w:rPr>
            </w:pPr>
            <w:r>
              <w:rPr>
                <w:rFonts w:ascii="宋体" w:eastAsia="宋体" w:cs="宋体"/>
                <w:b/>
                <w:szCs w:val="21"/>
                <w:highlight w:val="none"/>
              </w:rPr>
              <w:t>符</w:t>
            </w:r>
          </w:p>
          <w:p>
            <w:pPr>
              <w:pStyle w:val="119"/>
              <w:tabs>
                <w:tab w:val="left" w:pos="7740"/>
              </w:tabs>
              <w:snapToGrid w:val="0"/>
              <w:spacing w:before="0" w:beforeAutospacing="0" w:after="0" w:afterAutospacing="0"/>
              <w:rPr>
                <w:rFonts w:hint="default" w:ascii="宋体" w:eastAsia="宋体" w:cs="宋体"/>
                <w:b/>
                <w:szCs w:val="21"/>
                <w:highlight w:val="none"/>
              </w:rPr>
            </w:pPr>
            <w:r>
              <w:rPr>
                <w:rFonts w:ascii="宋体" w:eastAsia="宋体" w:cs="宋体"/>
                <w:b/>
                <w:szCs w:val="21"/>
                <w:highlight w:val="none"/>
              </w:rPr>
              <w:t>合</w:t>
            </w:r>
          </w:p>
          <w:p>
            <w:pPr>
              <w:pStyle w:val="119"/>
              <w:tabs>
                <w:tab w:val="left" w:pos="7740"/>
              </w:tabs>
              <w:snapToGrid w:val="0"/>
              <w:spacing w:before="0" w:beforeAutospacing="0" w:after="0" w:afterAutospacing="0"/>
              <w:rPr>
                <w:rFonts w:hint="default" w:ascii="宋体" w:eastAsia="宋体" w:cs="宋体"/>
                <w:b/>
                <w:szCs w:val="21"/>
                <w:highlight w:val="none"/>
              </w:rPr>
            </w:pPr>
            <w:r>
              <w:rPr>
                <w:rFonts w:ascii="宋体" w:eastAsia="宋体" w:cs="宋体"/>
                <w:b/>
                <w:szCs w:val="21"/>
                <w:highlight w:val="none"/>
              </w:rPr>
              <w:t>性</w:t>
            </w:r>
          </w:p>
          <w:p>
            <w:pPr>
              <w:pStyle w:val="119"/>
              <w:tabs>
                <w:tab w:val="left" w:pos="7740"/>
              </w:tabs>
              <w:snapToGrid w:val="0"/>
              <w:spacing w:before="0" w:beforeAutospacing="0" w:after="0" w:afterAutospacing="0"/>
              <w:rPr>
                <w:rFonts w:hint="default" w:ascii="宋体" w:eastAsia="宋体" w:cs="宋体"/>
                <w:b/>
                <w:szCs w:val="21"/>
                <w:highlight w:val="none"/>
              </w:rPr>
            </w:pPr>
            <w:r>
              <w:rPr>
                <w:rFonts w:ascii="宋体" w:eastAsia="宋体" w:cs="宋体"/>
                <w:b/>
                <w:szCs w:val="21"/>
                <w:highlight w:val="none"/>
              </w:rPr>
              <w:t>检</w:t>
            </w:r>
          </w:p>
          <w:p>
            <w:pPr>
              <w:pStyle w:val="119"/>
              <w:tabs>
                <w:tab w:val="left" w:pos="7740"/>
              </w:tabs>
              <w:snapToGrid w:val="0"/>
              <w:spacing w:before="0" w:beforeAutospacing="0" w:after="0" w:afterAutospacing="0"/>
              <w:rPr>
                <w:rFonts w:hint="default" w:ascii="宋体" w:eastAsia="宋体" w:cs="宋体"/>
                <w:szCs w:val="21"/>
                <w:highlight w:val="none"/>
              </w:rPr>
            </w:pPr>
            <w:r>
              <w:rPr>
                <w:rFonts w:ascii="宋体" w:eastAsia="宋体" w:cs="宋体"/>
                <w:b/>
                <w:szCs w:val="21"/>
                <w:highlight w:val="none"/>
              </w:rPr>
              <w:t>查</w:t>
            </w: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r>
              <w:rPr>
                <w:rFonts w:ascii="宋体" w:eastAsia="宋体" w:cs="宋体"/>
                <w:bCs/>
                <w:szCs w:val="21"/>
                <w:highlight w:val="none"/>
              </w:rPr>
              <w:t>投标报价不超过最高限价</w:t>
            </w:r>
          </w:p>
        </w:tc>
        <w:tc>
          <w:tcPr>
            <w:tcW w:w="1115" w:type="dxa"/>
            <w:vAlign w:val="center"/>
          </w:tcPr>
          <w:p>
            <w:pPr>
              <w:rPr>
                <w:rFonts w:hAnsi="宋体" w:cs="宋体"/>
                <w:szCs w:val="21"/>
                <w:highlight w:val="none"/>
              </w:rPr>
            </w:pPr>
          </w:p>
        </w:tc>
        <w:tc>
          <w:tcPr>
            <w:tcW w:w="1115" w:type="dxa"/>
            <w:vAlign w:val="center"/>
          </w:tcPr>
          <w:p>
            <w:pPr>
              <w:tabs>
                <w:tab w:val="left" w:pos="0"/>
              </w:tabs>
              <w:rPr>
                <w:rFonts w:hAnsi="宋体" w:cs="宋体"/>
                <w:b/>
                <w:bCs/>
                <w:szCs w:val="21"/>
                <w:highlight w:val="none"/>
              </w:rPr>
            </w:pPr>
          </w:p>
        </w:tc>
        <w:tc>
          <w:tcPr>
            <w:tcW w:w="1115" w:type="dxa"/>
            <w:vAlign w:val="center"/>
          </w:tcPr>
          <w:p>
            <w:pPr>
              <w:pStyle w:val="109"/>
              <w:tabs>
                <w:tab w:val="left" w:pos="7740"/>
              </w:tabs>
              <w:snapToGrid w:val="0"/>
              <w:spacing w:before="0" w:beforeAutospacing="0" w:after="0" w:afterAutospacing="0"/>
              <w:jc w:val="both"/>
              <w:rPr>
                <w:sz w:val="21"/>
                <w:szCs w:val="21"/>
                <w:highlight w:val="none"/>
              </w:rPr>
            </w:pPr>
          </w:p>
        </w:tc>
        <w:tc>
          <w:tcPr>
            <w:tcW w:w="1115" w:type="dxa"/>
            <w:vAlign w:val="center"/>
          </w:tcPr>
          <w:p>
            <w:pPr>
              <w:pStyle w:val="109"/>
              <w:tabs>
                <w:tab w:val="left" w:pos="7740"/>
              </w:tabs>
              <w:snapToGrid w:val="0"/>
              <w:spacing w:before="0" w:beforeAutospacing="0" w:after="0" w:afterAutospacing="0"/>
              <w:jc w:val="both"/>
              <w:rPr>
                <w:sz w:val="21"/>
                <w:szCs w:val="21"/>
                <w:highlight w:val="none"/>
              </w:rPr>
            </w:pPr>
          </w:p>
        </w:tc>
        <w:tc>
          <w:tcPr>
            <w:tcW w:w="465" w:type="dxa"/>
            <w:vAlign w:val="center"/>
          </w:tcPr>
          <w:p>
            <w:pPr>
              <w:pStyle w:val="109"/>
              <w:tabs>
                <w:tab w:val="left" w:pos="7740"/>
              </w:tabs>
              <w:snapToGrid w:val="0"/>
              <w:spacing w:before="0" w:beforeAutospacing="0" w:after="0" w:afterAutospacing="0"/>
              <w:jc w:val="both"/>
              <w:rPr>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19"/>
              <w:tabs>
                <w:tab w:val="left" w:pos="7740"/>
              </w:tabs>
              <w:snapToGrid w:val="0"/>
              <w:spacing w:before="0" w:beforeAutospacing="0" w:after="0" w:afterAutospacing="0"/>
              <w:rPr>
                <w:rFonts w:hint="default" w:ascii="宋体" w:eastAsia="宋体" w:cs="宋体"/>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bCs/>
                <w:szCs w:val="21"/>
                <w:highlight w:val="none"/>
              </w:rPr>
            </w:pPr>
            <w:r>
              <w:rPr>
                <w:rFonts w:ascii="宋体" w:eastAsia="宋体" w:cs="宋体"/>
                <w:szCs w:val="21"/>
                <w:highlight w:val="none"/>
              </w:rPr>
              <w:t>报价方案是唯一确定</w:t>
            </w:r>
          </w:p>
        </w:tc>
        <w:tc>
          <w:tcPr>
            <w:tcW w:w="1115" w:type="dxa"/>
            <w:vAlign w:val="center"/>
          </w:tcPr>
          <w:p>
            <w:pPr>
              <w:tabs>
                <w:tab w:val="left" w:pos="146"/>
              </w:tabs>
              <w:ind w:left="146" w:hanging="180"/>
              <w:rPr>
                <w:rFonts w:hAnsi="宋体" w:cs="宋体"/>
                <w:b/>
                <w:bCs/>
                <w:szCs w:val="21"/>
                <w:highlight w:val="none"/>
              </w:rPr>
            </w:pPr>
          </w:p>
        </w:tc>
        <w:tc>
          <w:tcPr>
            <w:tcW w:w="1115" w:type="dxa"/>
            <w:vAlign w:val="center"/>
          </w:tcPr>
          <w:p>
            <w:pPr>
              <w:tabs>
                <w:tab w:val="left" w:pos="0"/>
              </w:tabs>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19"/>
              <w:tabs>
                <w:tab w:val="left" w:pos="7740"/>
              </w:tabs>
              <w:snapToGrid w:val="0"/>
              <w:spacing w:before="0" w:beforeAutospacing="0" w:after="0" w:afterAutospacing="0"/>
              <w:rPr>
                <w:rFonts w:hint="default" w:ascii="宋体" w:eastAsia="宋体" w:cs="宋体"/>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bCs/>
                <w:szCs w:val="21"/>
                <w:highlight w:val="none"/>
              </w:rPr>
            </w:pPr>
            <w:r>
              <w:rPr>
                <w:rFonts w:ascii="宋体" w:eastAsia="宋体" w:cs="宋体"/>
                <w:szCs w:val="21"/>
                <w:highlight w:val="none"/>
              </w:rPr>
              <w:t>实质性响应招标文件中“★”号参数的商务要求</w:t>
            </w:r>
          </w:p>
        </w:tc>
        <w:tc>
          <w:tcPr>
            <w:tcW w:w="1115" w:type="dxa"/>
            <w:vAlign w:val="center"/>
          </w:tcPr>
          <w:p>
            <w:pPr>
              <w:tabs>
                <w:tab w:val="left" w:pos="146"/>
              </w:tabs>
              <w:ind w:left="146" w:hanging="180"/>
              <w:rPr>
                <w:rFonts w:hAnsi="宋体" w:cs="宋体"/>
                <w:b/>
                <w:bCs/>
                <w:szCs w:val="21"/>
                <w:highlight w:val="none"/>
              </w:rPr>
            </w:pPr>
          </w:p>
        </w:tc>
        <w:tc>
          <w:tcPr>
            <w:tcW w:w="1115" w:type="dxa"/>
            <w:vAlign w:val="center"/>
          </w:tcPr>
          <w:p>
            <w:pPr>
              <w:tabs>
                <w:tab w:val="left" w:pos="0"/>
              </w:tabs>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19"/>
              <w:tabs>
                <w:tab w:val="left" w:pos="7740"/>
              </w:tabs>
              <w:snapToGrid w:val="0"/>
              <w:spacing w:before="0" w:beforeAutospacing="0" w:after="0" w:afterAutospacing="0"/>
              <w:rPr>
                <w:rFonts w:hint="default" w:ascii="宋体" w:eastAsia="宋体" w:cs="宋体"/>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r>
              <w:rPr>
                <w:rFonts w:ascii="宋体" w:eastAsia="宋体" w:cs="宋体"/>
                <w:szCs w:val="21"/>
                <w:highlight w:val="none"/>
              </w:rPr>
              <w:t>实质性响应招标文件中“★”号参数的技术要求</w:t>
            </w:r>
          </w:p>
        </w:tc>
        <w:tc>
          <w:tcPr>
            <w:tcW w:w="1115" w:type="dxa"/>
            <w:vAlign w:val="center"/>
          </w:tcPr>
          <w:p>
            <w:pPr>
              <w:tabs>
                <w:tab w:val="left" w:pos="146"/>
              </w:tabs>
              <w:ind w:left="146" w:hanging="180"/>
              <w:rPr>
                <w:rFonts w:hAnsi="宋体" w:cs="宋体"/>
                <w:b/>
                <w:bCs/>
                <w:szCs w:val="21"/>
                <w:highlight w:val="none"/>
              </w:rPr>
            </w:pPr>
          </w:p>
        </w:tc>
        <w:tc>
          <w:tcPr>
            <w:tcW w:w="1115" w:type="dxa"/>
            <w:vAlign w:val="center"/>
          </w:tcPr>
          <w:p>
            <w:pPr>
              <w:tabs>
                <w:tab w:val="left" w:pos="0"/>
              </w:tabs>
              <w:rPr>
                <w:rFonts w:hAnsi="宋体" w:cs="宋体"/>
                <w:b/>
                <w:bCs/>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19"/>
              <w:tabs>
                <w:tab w:val="left" w:pos="7740"/>
              </w:tabs>
              <w:snapToGrid w:val="0"/>
              <w:spacing w:before="0" w:beforeAutospacing="0" w:after="0" w:afterAutospacing="0"/>
              <w:rPr>
                <w:rFonts w:hint="default" w:ascii="宋体" w:eastAsia="宋体" w:cs="宋体"/>
                <w:szCs w:val="21"/>
                <w:highlight w:val="none"/>
              </w:rPr>
            </w:pPr>
          </w:p>
        </w:tc>
        <w:tc>
          <w:tcPr>
            <w:tcW w:w="3937"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r>
              <w:rPr>
                <w:rFonts w:ascii="宋体" w:eastAsia="宋体" w:cs="宋体"/>
                <w:szCs w:val="21"/>
                <w:highlight w:val="none"/>
              </w:rPr>
              <w:t>服务期符合招标文件的要求</w:t>
            </w:r>
          </w:p>
        </w:tc>
        <w:tc>
          <w:tcPr>
            <w:tcW w:w="1115" w:type="dxa"/>
            <w:vAlign w:val="center"/>
          </w:tcPr>
          <w:p>
            <w:pPr>
              <w:tabs>
                <w:tab w:val="left" w:pos="146"/>
              </w:tabs>
              <w:ind w:left="146" w:hanging="180"/>
              <w:rPr>
                <w:rFonts w:hAnsi="宋体" w:cs="宋体"/>
                <w:szCs w:val="21"/>
                <w:highlight w:val="none"/>
              </w:rPr>
            </w:pPr>
          </w:p>
        </w:tc>
        <w:tc>
          <w:tcPr>
            <w:tcW w:w="1115" w:type="dxa"/>
            <w:vAlign w:val="center"/>
          </w:tcPr>
          <w:p>
            <w:pPr>
              <w:tabs>
                <w:tab w:val="left" w:pos="0"/>
              </w:tabs>
              <w:rPr>
                <w:rFonts w:hAnsi="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111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c>
          <w:tcPr>
            <w:tcW w:w="465" w:type="dxa"/>
            <w:vAlign w:val="center"/>
          </w:tcPr>
          <w:p>
            <w:pPr>
              <w:pStyle w:val="119"/>
              <w:tabs>
                <w:tab w:val="left" w:pos="7740"/>
              </w:tabs>
              <w:snapToGrid w:val="0"/>
              <w:spacing w:before="0" w:beforeAutospacing="0" w:after="0" w:afterAutospacing="0"/>
              <w:jc w:val="both"/>
              <w:rPr>
                <w:rFonts w:hint="default" w:asci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7" w:type="dxa"/>
            <w:vMerge w:val="continue"/>
          </w:tcPr>
          <w:p>
            <w:pPr>
              <w:pStyle w:val="14"/>
              <w:tabs>
                <w:tab w:val="left" w:pos="7740"/>
              </w:tabs>
              <w:snapToGrid w:val="0"/>
              <w:ind w:firstLine="0" w:firstLineChars="0"/>
              <w:rPr>
                <w:rFonts w:ascii="宋体" w:hAnsi="宋体" w:cs="宋体"/>
                <w:sz w:val="21"/>
                <w:szCs w:val="21"/>
                <w:highlight w:val="none"/>
              </w:rPr>
            </w:pPr>
          </w:p>
        </w:tc>
        <w:tc>
          <w:tcPr>
            <w:tcW w:w="3937" w:type="dxa"/>
            <w:vAlign w:val="center"/>
          </w:tcPr>
          <w:p>
            <w:pPr>
              <w:pStyle w:val="14"/>
              <w:tabs>
                <w:tab w:val="left" w:pos="7740"/>
              </w:tabs>
              <w:snapToGrid w:val="0"/>
              <w:ind w:firstLine="0" w:firstLineChars="0"/>
              <w:jc w:val="both"/>
              <w:rPr>
                <w:rFonts w:ascii="宋体" w:hAnsi="宋体" w:cs="宋体"/>
                <w:sz w:val="21"/>
                <w:szCs w:val="21"/>
                <w:highlight w:val="none"/>
              </w:rPr>
            </w:pPr>
            <w:r>
              <w:rPr>
                <w:rFonts w:hint="eastAsia" w:ascii="宋体" w:hAnsi="宋体" w:cs="宋体"/>
                <w:bCs/>
                <w:sz w:val="21"/>
                <w:szCs w:val="21"/>
                <w:highlight w:val="none"/>
              </w:rPr>
              <w:t>无招标文件规定的投标无效情况</w:t>
            </w:r>
          </w:p>
        </w:tc>
        <w:tc>
          <w:tcPr>
            <w:tcW w:w="1115" w:type="dxa"/>
            <w:vAlign w:val="center"/>
          </w:tcPr>
          <w:p>
            <w:pPr>
              <w:pStyle w:val="14"/>
              <w:tabs>
                <w:tab w:val="left" w:pos="7740"/>
              </w:tabs>
              <w:snapToGrid w:val="0"/>
              <w:ind w:firstLine="0" w:firstLineChars="0"/>
              <w:rPr>
                <w:rFonts w:ascii="宋体" w:hAnsi="宋体" w:cs="宋体"/>
                <w:sz w:val="21"/>
                <w:szCs w:val="21"/>
                <w:highlight w:val="none"/>
              </w:rPr>
            </w:pPr>
          </w:p>
        </w:tc>
        <w:tc>
          <w:tcPr>
            <w:tcW w:w="1115" w:type="dxa"/>
            <w:vAlign w:val="center"/>
          </w:tcPr>
          <w:p>
            <w:pPr>
              <w:pStyle w:val="14"/>
              <w:tabs>
                <w:tab w:val="left" w:pos="7740"/>
              </w:tabs>
              <w:snapToGrid w:val="0"/>
              <w:ind w:firstLine="0" w:firstLineChars="0"/>
              <w:rPr>
                <w:rFonts w:ascii="宋体" w:hAnsi="宋体" w:cs="宋体"/>
                <w:sz w:val="21"/>
                <w:szCs w:val="21"/>
                <w:highlight w:val="none"/>
              </w:rPr>
            </w:pPr>
          </w:p>
        </w:tc>
        <w:tc>
          <w:tcPr>
            <w:tcW w:w="1115" w:type="dxa"/>
            <w:vAlign w:val="center"/>
          </w:tcPr>
          <w:p>
            <w:pPr>
              <w:pStyle w:val="14"/>
              <w:tabs>
                <w:tab w:val="left" w:pos="7740"/>
              </w:tabs>
              <w:snapToGrid w:val="0"/>
              <w:ind w:firstLine="0" w:firstLineChars="0"/>
              <w:jc w:val="both"/>
              <w:rPr>
                <w:rFonts w:ascii="宋体" w:hAnsi="宋体" w:cs="宋体"/>
                <w:sz w:val="21"/>
                <w:szCs w:val="21"/>
                <w:highlight w:val="none"/>
              </w:rPr>
            </w:pPr>
          </w:p>
        </w:tc>
        <w:tc>
          <w:tcPr>
            <w:tcW w:w="1115" w:type="dxa"/>
            <w:vAlign w:val="center"/>
          </w:tcPr>
          <w:p>
            <w:pPr>
              <w:pStyle w:val="14"/>
              <w:tabs>
                <w:tab w:val="left" w:pos="7740"/>
              </w:tabs>
              <w:snapToGrid w:val="0"/>
              <w:ind w:firstLine="0" w:firstLineChars="0"/>
              <w:jc w:val="both"/>
              <w:rPr>
                <w:rFonts w:ascii="宋体" w:hAnsi="宋体" w:cs="宋体"/>
                <w:sz w:val="21"/>
                <w:szCs w:val="21"/>
                <w:highlight w:val="none"/>
              </w:rPr>
            </w:pPr>
          </w:p>
        </w:tc>
        <w:tc>
          <w:tcPr>
            <w:tcW w:w="465" w:type="dxa"/>
            <w:vAlign w:val="center"/>
          </w:tcPr>
          <w:p>
            <w:pPr>
              <w:pStyle w:val="14"/>
              <w:tabs>
                <w:tab w:val="left" w:pos="7740"/>
              </w:tabs>
              <w:snapToGrid w:val="0"/>
              <w:ind w:firstLine="0" w:firstLineChars="0"/>
              <w:jc w:val="both"/>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89" w:type="dxa"/>
            <w:gridSpan w:val="7"/>
          </w:tcPr>
          <w:p>
            <w:pPr>
              <w:pStyle w:val="14"/>
              <w:tabs>
                <w:tab w:val="left" w:pos="7740"/>
              </w:tabs>
              <w:snapToGrid w:val="0"/>
              <w:ind w:firstLine="140" w:firstLineChars="67"/>
              <w:rPr>
                <w:rFonts w:ascii="宋体" w:hAnsi="宋体" w:cs="宋体"/>
                <w:sz w:val="21"/>
                <w:szCs w:val="21"/>
                <w:highlight w:val="none"/>
              </w:rPr>
            </w:pPr>
            <w:r>
              <w:rPr>
                <w:rFonts w:hint="eastAsia" w:ascii="宋体" w:hAnsi="宋体" w:cs="宋体"/>
                <w:sz w:val="21"/>
                <w:szCs w:val="21"/>
                <w:highlight w:val="none"/>
              </w:rPr>
              <w:t>注：符合要求的打“√”，不符合要求的打“×”</w:t>
            </w:r>
          </w:p>
        </w:tc>
      </w:tr>
    </w:tbl>
    <w:p>
      <w:pPr>
        <w:rPr>
          <w:rFonts w:hAnsi="宋体" w:cs="宋体"/>
          <w:szCs w:val="21"/>
          <w:highlight w:val="none"/>
        </w:rPr>
      </w:pPr>
    </w:p>
    <w:p>
      <w:pPr>
        <w:rPr>
          <w:rFonts w:hAnsi="宋体" w:cs="宋体"/>
          <w:szCs w:val="21"/>
          <w:highlight w:val="none"/>
        </w:rPr>
      </w:pPr>
      <w:r>
        <w:rPr>
          <w:rFonts w:hint="eastAsia" w:hAnsi="宋体" w:cs="宋体"/>
          <w:szCs w:val="21"/>
          <w:highlight w:val="none"/>
        </w:rPr>
        <w:t>评委签名：</w:t>
      </w:r>
    </w:p>
    <w:p>
      <w:pPr>
        <w:rPr>
          <w:rFonts w:hAnsi="宋体" w:cs="宋体"/>
          <w:sz w:val="28"/>
          <w:szCs w:val="28"/>
          <w:highlight w:val="none"/>
        </w:rPr>
        <w:sectPr>
          <w:headerReference r:id="rId8" w:type="default"/>
          <w:type w:val="nextColumn"/>
          <w:pgSz w:w="11906" w:h="16838"/>
          <w:pgMar w:top="1440" w:right="1418" w:bottom="1440" w:left="1411" w:header="851" w:footer="868" w:gutter="0"/>
          <w:pgBorders>
            <w:top w:val="none" w:sz="0" w:space="0"/>
            <w:left w:val="none" w:sz="0" w:space="0"/>
            <w:bottom w:val="none" w:sz="0" w:space="0"/>
            <w:right w:val="none" w:sz="0" w:space="0"/>
          </w:pgBorders>
          <w:cols w:space="720" w:num="1"/>
          <w:docGrid w:type="linesAndChars" w:linePitch="312" w:charSpace="0"/>
        </w:sectPr>
      </w:pPr>
      <w:r>
        <w:rPr>
          <w:rFonts w:hint="eastAsia" w:hAnsi="宋体" w:cs="宋体"/>
          <w:highlight w:val="none"/>
        </w:rPr>
        <w:t>日期：</w:t>
      </w:r>
    </w:p>
    <w:p>
      <w:pPr>
        <w:autoSpaceDE/>
        <w:autoSpaceDN/>
        <w:adjustRightInd/>
        <w:spacing w:line="400" w:lineRule="atLeast"/>
        <w:jc w:val="both"/>
        <w:outlineLvl w:val="1"/>
        <w:rPr>
          <w:rFonts w:hAnsi="宋体" w:cs="宋体"/>
          <w:b/>
          <w:bCs/>
          <w:szCs w:val="21"/>
          <w:highlight w:val="none"/>
        </w:rPr>
      </w:pPr>
      <w:r>
        <w:rPr>
          <w:rFonts w:hint="eastAsia" w:hAnsi="宋体" w:cs="宋体"/>
          <w:b/>
          <w:bCs/>
          <w:szCs w:val="21"/>
          <w:highlight w:val="none"/>
        </w:rPr>
        <w:t>附件1.1 《评分标准和细则》</w:t>
      </w:r>
    </w:p>
    <w:p>
      <w:pPr>
        <w:pStyle w:val="2"/>
        <w:rPr>
          <w:rFonts w:hAnsi="宋体" w:cs="宋体"/>
          <w:b/>
          <w:bCs/>
          <w:szCs w:val="21"/>
          <w:highlight w:val="none"/>
        </w:rPr>
      </w:pPr>
    </w:p>
    <w:p>
      <w:pPr>
        <w:tabs>
          <w:tab w:val="left" w:pos="480"/>
          <w:tab w:val="left" w:pos="720"/>
        </w:tabs>
        <w:autoSpaceDE/>
        <w:autoSpaceDN/>
        <w:adjustRightInd/>
        <w:spacing w:line="360" w:lineRule="auto"/>
        <w:jc w:val="both"/>
        <w:rPr>
          <w:rFonts w:hAnsi="宋体" w:cs="宋体"/>
          <w:b/>
          <w:bCs/>
          <w:szCs w:val="21"/>
          <w:highlight w:val="none"/>
        </w:rPr>
      </w:pPr>
      <w:r>
        <w:rPr>
          <w:rFonts w:hint="eastAsia" w:hAnsi="宋体" w:cs="宋体"/>
          <w:b/>
          <w:bCs/>
          <w:szCs w:val="21"/>
          <w:highlight w:val="none"/>
        </w:rPr>
        <w:t>一、分因素及分值</w:t>
      </w:r>
    </w:p>
    <w:p>
      <w:pPr>
        <w:numPr>
          <w:ilvl w:val="0"/>
          <w:numId w:val="22"/>
        </w:numPr>
        <w:tabs>
          <w:tab w:val="left" w:pos="660"/>
        </w:tabs>
        <w:autoSpaceDE/>
        <w:autoSpaceDN/>
        <w:adjustRightInd/>
        <w:spacing w:line="360" w:lineRule="auto"/>
        <w:ind w:left="480" w:hanging="480"/>
        <w:jc w:val="both"/>
        <w:rPr>
          <w:rFonts w:hAnsi="宋体" w:cs="宋体"/>
          <w:szCs w:val="21"/>
          <w:highlight w:val="none"/>
        </w:rPr>
      </w:pPr>
      <w:r>
        <w:rPr>
          <w:rFonts w:hint="eastAsia" w:hAnsi="宋体" w:cs="宋体"/>
          <w:szCs w:val="21"/>
          <w:highlight w:val="none"/>
        </w:rPr>
        <w:t>评委考核打分的评分因素及分值:总分100分</w:t>
      </w:r>
    </w:p>
    <w:tbl>
      <w:tblPr>
        <w:tblStyle w:val="49"/>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168"/>
        <w:gridCol w:w="4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7" w:type="dxa"/>
            <w:tcBorders>
              <w:righ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序号</w:t>
            </w:r>
          </w:p>
        </w:tc>
        <w:tc>
          <w:tcPr>
            <w:tcW w:w="3168" w:type="dxa"/>
            <w:tcBorders>
              <w:lef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评分因素</w:t>
            </w:r>
          </w:p>
        </w:tc>
        <w:tc>
          <w:tcPr>
            <w:tcW w:w="4580" w:type="dxa"/>
            <w:vAlign w:val="center"/>
          </w:tcPr>
          <w:p>
            <w:pPr>
              <w:spacing w:line="360" w:lineRule="auto"/>
              <w:jc w:val="center"/>
              <w:rPr>
                <w:rFonts w:hAnsi="宋体" w:cs="宋体"/>
                <w:szCs w:val="21"/>
                <w:highlight w:val="none"/>
              </w:rPr>
            </w:pPr>
            <w:r>
              <w:rPr>
                <w:rFonts w:hint="eastAsia" w:hAnsi="宋体" w:cs="宋体"/>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7" w:type="dxa"/>
            <w:tcBorders>
              <w:righ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1</w:t>
            </w:r>
          </w:p>
        </w:tc>
        <w:tc>
          <w:tcPr>
            <w:tcW w:w="3168" w:type="dxa"/>
            <w:tcBorders>
              <w:lef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商务</w:t>
            </w:r>
          </w:p>
        </w:tc>
        <w:tc>
          <w:tcPr>
            <w:tcW w:w="4580" w:type="dxa"/>
            <w:vAlign w:val="center"/>
          </w:tcPr>
          <w:p>
            <w:pPr>
              <w:spacing w:line="360" w:lineRule="auto"/>
              <w:jc w:val="center"/>
              <w:rPr>
                <w:rFonts w:hAnsi="宋体" w:cs="宋体"/>
                <w:szCs w:val="21"/>
                <w:highlight w:val="none"/>
              </w:rPr>
            </w:pPr>
            <w:r>
              <w:rPr>
                <w:rFonts w:hint="eastAsia" w:hAnsi="宋体" w:cs="宋体"/>
                <w:szCs w:val="21"/>
                <w:highlight w:val="none"/>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7" w:type="dxa"/>
            <w:tcBorders>
              <w:righ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2</w:t>
            </w:r>
          </w:p>
        </w:tc>
        <w:tc>
          <w:tcPr>
            <w:tcW w:w="3168" w:type="dxa"/>
            <w:tcBorders>
              <w:lef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技术</w:t>
            </w:r>
          </w:p>
        </w:tc>
        <w:tc>
          <w:tcPr>
            <w:tcW w:w="4580" w:type="dxa"/>
            <w:vAlign w:val="center"/>
          </w:tcPr>
          <w:p>
            <w:pPr>
              <w:spacing w:line="360" w:lineRule="auto"/>
              <w:jc w:val="center"/>
              <w:rPr>
                <w:rFonts w:hAnsi="宋体" w:cs="宋体"/>
                <w:szCs w:val="21"/>
                <w:highlight w:val="none"/>
              </w:rPr>
            </w:pPr>
            <w:r>
              <w:rPr>
                <w:rFonts w:hAnsi="宋体" w:cs="宋体"/>
                <w:szCs w:val="21"/>
                <w:highlight w:val="none"/>
              </w:rPr>
              <w:t>4</w:t>
            </w:r>
            <w:r>
              <w:rPr>
                <w:rFonts w:hint="eastAsia" w:hAnsi="宋体" w:cs="宋体"/>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7" w:type="dxa"/>
            <w:tcBorders>
              <w:righ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3</w:t>
            </w:r>
          </w:p>
        </w:tc>
        <w:tc>
          <w:tcPr>
            <w:tcW w:w="3168" w:type="dxa"/>
            <w:tcBorders>
              <w:left w:val="single" w:color="auto" w:sz="6" w:space="0"/>
            </w:tcBorders>
            <w:vAlign w:val="center"/>
          </w:tcPr>
          <w:p>
            <w:pPr>
              <w:spacing w:line="360" w:lineRule="auto"/>
              <w:jc w:val="center"/>
              <w:rPr>
                <w:rFonts w:hAnsi="宋体" w:cs="宋体"/>
                <w:szCs w:val="21"/>
                <w:highlight w:val="none"/>
              </w:rPr>
            </w:pPr>
            <w:r>
              <w:rPr>
                <w:rFonts w:hint="eastAsia" w:hAnsi="宋体" w:cs="宋体"/>
                <w:szCs w:val="21"/>
                <w:highlight w:val="none"/>
              </w:rPr>
              <w:t>价格</w:t>
            </w:r>
          </w:p>
        </w:tc>
        <w:tc>
          <w:tcPr>
            <w:tcW w:w="4580" w:type="dxa"/>
            <w:vAlign w:val="center"/>
          </w:tcPr>
          <w:p>
            <w:pPr>
              <w:spacing w:line="360" w:lineRule="auto"/>
              <w:jc w:val="center"/>
              <w:rPr>
                <w:rFonts w:hAnsi="宋体" w:cs="宋体"/>
                <w:szCs w:val="21"/>
                <w:highlight w:val="none"/>
              </w:rPr>
            </w:pPr>
            <w:r>
              <w:rPr>
                <w:rFonts w:hint="eastAsia" w:hAnsi="宋体" w:cs="宋体"/>
                <w:szCs w:val="21"/>
                <w:highlight w:val="none"/>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805" w:type="dxa"/>
            <w:gridSpan w:val="2"/>
            <w:vAlign w:val="center"/>
          </w:tcPr>
          <w:p>
            <w:pPr>
              <w:spacing w:line="360" w:lineRule="auto"/>
              <w:jc w:val="center"/>
              <w:rPr>
                <w:rFonts w:hAnsi="宋体" w:cs="宋体"/>
                <w:szCs w:val="21"/>
                <w:highlight w:val="none"/>
              </w:rPr>
            </w:pPr>
            <w:r>
              <w:rPr>
                <w:rFonts w:hint="eastAsia" w:hAnsi="宋体" w:cs="宋体"/>
                <w:szCs w:val="21"/>
                <w:highlight w:val="none"/>
              </w:rPr>
              <w:t>总  分</w:t>
            </w:r>
          </w:p>
        </w:tc>
        <w:tc>
          <w:tcPr>
            <w:tcW w:w="4580" w:type="dxa"/>
            <w:vAlign w:val="center"/>
          </w:tcPr>
          <w:p>
            <w:pPr>
              <w:spacing w:line="360" w:lineRule="auto"/>
              <w:jc w:val="center"/>
              <w:rPr>
                <w:rFonts w:hAnsi="宋体" w:cs="宋体"/>
                <w:szCs w:val="21"/>
                <w:highlight w:val="none"/>
              </w:rPr>
            </w:pPr>
            <w:r>
              <w:rPr>
                <w:rFonts w:hint="eastAsia" w:hAnsi="宋体" w:cs="宋体"/>
                <w:szCs w:val="21"/>
                <w:highlight w:val="none"/>
              </w:rPr>
              <w:t>100分</w:t>
            </w:r>
          </w:p>
        </w:tc>
      </w:tr>
    </w:tbl>
    <w:p>
      <w:pPr>
        <w:jc w:val="both"/>
        <w:rPr>
          <w:b/>
          <w:bCs/>
          <w:highlight w:val="none"/>
        </w:rPr>
      </w:pPr>
    </w:p>
    <w:p>
      <w:pPr>
        <w:numPr>
          <w:ilvl w:val="0"/>
          <w:numId w:val="23"/>
        </w:numPr>
        <w:tabs>
          <w:tab w:val="left" w:pos="480"/>
          <w:tab w:val="left" w:pos="720"/>
        </w:tabs>
        <w:autoSpaceDE/>
        <w:autoSpaceDN/>
        <w:adjustRightInd/>
        <w:spacing w:line="360" w:lineRule="auto"/>
        <w:jc w:val="both"/>
        <w:rPr>
          <w:rFonts w:hAnsi="宋体" w:cs="宋体"/>
          <w:b/>
          <w:bCs/>
          <w:szCs w:val="21"/>
          <w:highlight w:val="none"/>
        </w:rPr>
      </w:pPr>
      <w:r>
        <w:rPr>
          <w:rFonts w:hint="eastAsia" w:hAnsi="宋体" w:cs="宋体"/>
          <w:b/>
          <w:bCs/>
          <w:szCs w:val="21"/>
          <w:highlight w:val="none"/>
        </w:rPr>
        <w:t>评分因素分值的具体分配：</w:t>
      </w:r>
    </w:p>
    <w:p>
      <w:pPr>
        <w:pStyle w:val="124"/>
        <w:keepNext w:val="0"/>
        <w:tabs>
          <w:tab w:val="left" w:pos="0"/>
        </w:tabs>
        <w:spacing w:after="0" w:line="360" w:lineRule="auto"/>
        <w:outlineLvl w:val="2"/>
        <w:rPr>
          <w:szCs w:val="21"/>
          <w:highlight w:val="none"/>
        </w:rPr>
      </w:pPr>
      <w:r>
        <w:rPr>
          <w:rFonts w:hint="eastAsia" w:ascii="宋体" w:hAnsi="宋体" w:cs="宋体"/>
          <w:b/>
          <w:szCs w:val="21"/>
          <w:highlight w:val="none"/>
        </w:rPr>
        <w:t>1.商务评分标准：（总分：30分）</w:t>
      </w:r>
    </w:p>
    <w:tbl>
      <w:tblPr>
        <w:tblStyle w:val="49"/>
        <w:tblW w:w="88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7"/>
        <w:gridCol w:w="1743"/>
        <w:gridCol w:w="642"/>
        <w:gridCol w:w="59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8862" w:type="dxa"/>
            <w:gridSpan w:val="4"/>
            <w:vAlign w:val="center"/>
          </w:tcPr>
          <w:p>
            <w:pPr>
              <w:autoSpaceDE/>
              <w:autoSpaceDN/>
              <w:adjustRightInd/>
              <w:spacing w:line="360" w:lineRule="auto"/>
              <w:jc w:val="center"/>
              <w:rPr>
                <w:rFonts w:hAnsi="宋体" w:cs="仿宋_GB2312"/>
                <w:b/>
                <w:bCs/>
                <w:szCs w:val="21"/>
                <w:highlight w:val="none"/>
              </w:rPr>
            </w:pPr>
            <w:r>
              <w:rPr>
                <w:rFonts w:hint="eastAsia" w:hAnsi="宋体" w:cs="仿宋_GB2312"/>
                <w:b/>
                <w:bCs/>
                <w:szCs w:val="21"/>
                <w:highlight w:val="none"/>
              </w:rPr>
              <w:t>商务评分（30分）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6"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1</w:t>
            </w:r>
          </w:p>
        </w:tc>
        <w:tc>
          <w:tcPr>
            <w:tcW w:w="1743" w:type="dxa"/>
            <w:vAlign w:val="center"/>
          </w:tcPr>
          <w:p>
            <w:pPr>
              <w:snapToGrid w:val="0"/>
              <w:spacing w:line="288" w:lineRule="auto"/>
              <w:jc w:val="center"/>
              <w:rPr>
                <w:rFonts w:hAnsi="宋体"/>
                <w:b/>
                <w:bCs/>
                <w:szCs w:val="21"/>
                <w:highlight w:val="none"/>
              </w:rPr>
            </w:pPr>
            <w:r>
              <w:rPr>
                <w:szCs w:val="21"/>
                <w:highlight w:val="none"/>
              </w:rPr>
              <w:t>投标人资质</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2</w:t>
            </w:r>
          </w:p>
        </w:tc>
        <w:tc>
          <w:tcPr>
            <w:tcW w:w="5960" w:type="dxa"/>
            <w:vAlign w:val="center"/>
          </w:tcPr>
          <w:p>
            <w:pPr>
              <w:snapToGrid w:val="0"/>
              <w:rPr>
                <w:szCs w:val="21"/>
                <w:highlight w:val="none"/>
              </w:rPr>
            </w:pPr>
            <w:r>
              <w:rPr>
                <w:rFonts w:hint="eastAsia"/>
                <w:szCs w:val="21"/>
                <w:highlight w:val="none"/>
              </w:rPr>
              <w:t>1.具有ISM资质认证证书（提供证书复印件），得1分；</w:t>
            </w:r>
          </w:p>
          <w:p>
            <w:pPr>
              <w:snapToGrid w:val="0"/>
              <w:rPr>
                <w:szCs w:val="21"/>
                <w:highlight w:val="none"/>
              </w:rPr>
            </w:pPr>
            <w:r>
              <w:rPr>
                <w:rFonts w:hint="eastAsia"/>
                <w:szCs w:val="21"/>
                <w:highlight w:val="none"/>
              </w:rPr>
              <w:t>2.具有科考船安全管理体系且已经在船实施的，得1分。</w:t>
            </w:r>
          </w:p>
          <w:p>
            <w:pPr>
              <w:snapToGrid w:val="0"/>
              <w:spacing w:line="288" w:lineRule="auto"/>
              <w:rPr>
                <w:szCs w:val="21"/>
                <w:highlight w:val="none"/>
              </w:rPr>
            </w:pPr>
            <w:r>
              <w:rPr>
                <w:rFonts w:hint="eastAsia"/>
                <w:szCs w:val="21"/>
                <w:highlight w:val="none"/>
              </w:rPr>
              <w:t>无或其他，得0分。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2</w:t>
            </w:r>
          </w:p>
        </w:tc>
        <w:tc>
          <w:tcPr>
            <w:tcW w:w="1743" w:type="dxa"/>
            <w:vAlign w:val="center"/>
          </w:tcPr>
          <w:p>
            <w:pPr>
              <w:snapToGrid w:val="0"/>
              <w:spacing w:line="288" w:lineRule="auto"/>
              <w:jc w:val="center"/>
              <w:rPr>
                <w:rFonts w:hAnsi="宋体"/>
                <w:szCs w:val="21"/>
                <w:highlight w:val="none"/>
              </w:rPr>
            </w:pPr>
            <w:r>
              <w:rPr>
                <w:rFonts w:hint="eastAsia"/>
                <w:spacing w:val="-15"/>
                <w:szCs w:val="21"/>
                <w:highlight w:val="none"/>
              </w:rPr>
              <w:t>ISO管理体系认证</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7</w:t>
            </w:r>
          </w:p>
        </w:tc>
        <w:tc>
          <w:tcPr>
            <w:tcW w:w="5960" w:type="dxa"/>
            <w:vAlign w:val="center"/>
          </w:tcPr>
          <w:p>
            <w:pPr>
              <w:pStyle w:val="99"/>
              <w:ind w:left="0"/>
              <w:rPr>
                <w:szCs w:val="21"/>
                <w:highlight w:val="none"/>
                <w:lang w:bidi="zh-CN"/>
              </w:rPr>
            </w:pPr>
            <w:r>
              <w:rPr>
                <w:rFonts w:hint="eastAsia"/>
                <w:szCs w:val="21"/>
                <w:highlight w:val="none"/>
                <w:lang w:bidi="zh-CN"/>
              </w:rPr>
              <w:t xml:space="preserve">投标人具有有效期内的 </w:t>
            </w:r>
          </w:p>
          <w:p>
            <w:pPr>
              <w:pStyle w:val="99"/>
              <w:numPr>
                <w:ilvl w:val="0"/>
                <w:numId w:val="24"/>
              </w:numPr>
              <w:rPr>
                <w:szCs w:val="21"/>
                <w:highlight w:val="none"/>
                <w:lang w:val="en-US"/>
              </w:rPr>
            </w:pPr>
            <w:r>
              <w:rPr>
                <w:rFonts w:hint="eastAsia"/>
                <w:szCs w:val="21"/>
                <w:highlight w:val="none"/>
                <w:lang w:bidi="zh-CN"/>
              </w:rPr>
              <w:t>质量管理体系认证证书，</w:t>
            </w:r>
            <w:r>
              <w:rPr>
                <w:rFonts w:hint="eastAsia"/>
                <w:szCs w:val="21"/>
                <w:highlight w:val="none"/>
                <w:lang w:val="en-US"/>
              </w:rPr>
              <w:t>有得1分，无或不符合则不得分；</w:t>
            </w:r>
          </w:p>
          <w:p>
            <w:pPr>
              <w:pStyle w:val="99"/>
              <w:numPr>
                <w:ilvl w:val="0"/>
                <w:numId w:val="24"/>
              </w:numPr>
              <w:rPr>
                <w:szCs w:val="21"/>
                <w:highlight w:val="none"/>
                <w:lang w:val="en-US"/>
              </w:rPr>
            </w:pPr>
            <w:r>
              <w:rPr>
                <w:rFonts w:hint="eastAsia"/>
                <w:szCs w:val="21"/>
                <w:highlight w:val="none"/>
                <w:lang w:bidi="zh-CN"/>
              </w:rPr>
              <w:t>环境管理体系认证证书，</w:t>
            </w:r>
            <w:r>
              <w:rPr>
                <w:rFonts w:hint="eastAsia"/>
                <w:szCs w:val="21"/>
                <w:highlight w:val="none"/>
                <w:lang w:val="en-US"/>
              </w:rPr>
              <w:t>有得1分，无或不符合则不得分；</w:t>
            </w:r>
          </w:p>
          <w:p>
            <w:pPr>
              <w:pStyle w:val="99"/>
              <w:numPr>
                <w:ilvl w:val="0"/>
                <w:numId w:val="24"/>
              </w:numPr>
              <w:rPr>
                <w:szCs w:val="21"/>
                <w:highlight w:val="none"/>
                <w:lang w:bidi="zh-CN"/>
              </w:rPr>
            </w:pPr>
            <w:r>
              <w:rPr>
                <w:rFonts w:hint="eastAsia"/>
                <w:szCs w:val="21"/>
                <w:highlight w:val="none"/>
                <w:lang w:bidi="zh-CN"/>
              </w:rPr>
              <w:t>职业健康安全管理体系认证证书。</w:t>
            </w:r>
            <w:r>
              <w:rPr>
                <w:rFonts w:hint="eastAsia"/>
                <w:szCs w:val="21"/>
                <w:highlight w:val="none"/>
                <w:lang w:val="en-US"/>
              </w:rPr>
              <w:t>有得1分，无或不符合则不得分；，</w:t>
            </w:r>
          </w:p>
          <w:p>
            <w:pPr>
              <w:pStyle w:val="99"/>
              <w:numPr>
                <w:ilvl w:val="0"/>
                <w:numId w:val="24"/>
              </w:numPr>
              <w:rPr>
                <w:szCs w:val="21"/>
                <w:highlight w:val="none"/>
                <w:lang w:bidi="zh-CN"/>
              </w:rPr>
            </w:pPr>
            <w:r>
              <w:rPr>
                <w:rFonts w:hint="eastAsia"/>
                <w:szCs w:val="21"/>
                <w:highlight w:val="none"/>
                <w:lang w:bidi="zh-CN"/>
              </w:rPr>
              <w:t>投标人所管理的科考船持有SMC（国际船舶安全营运和防止污染管理规则内要求的船舶安全管理证书）的，每提供一个得2分，最高得4分，须提供有效期内的认证证书复印件并加盖公章。</w:t>
            </w:r>
          </w:p>
          <w:p>
            <w:pPr>
              <w:pStyle w:val="99"/>
              <w:ind w:left="0"/>
              <w:rPr>
                <w:rFonts w:cs="仿宋_GB2312"/>
                <w:sz w:val="21"/>
                <w:szCs w:val="21"/>
                <w:highlight w:val="none"/>
              </w:rPr>
            </w:pPr>
            <w:r>
              <w:rPr>
                <w:rFonts w:hint="eastAsia" w:hAnsi="Times New Roman" w:cs="Times New Roman"/>
                <w:sz w:val="21"/>
                <w:szCs w:val="21"/>
                <w:highlight w:val="none"/>
              </w:rPr>
              <w:t>注：以上证书提供复印件并加盖公章。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517" w:type="dxa"/>
            <w:vMerge w:val="restart"/>
            <w:vAlign w:val="center"/>
          </w:tcPr>
          <w:p>
            <w:pPr>
              <w:snapToGrid w:val="0"/>
              <w:spacing w:line="288" w:lineRule="auto"/>
              <w:jc w:val="center"/>
              <w:rPr>
                <w:rFonts w:hAnsi="宋体"/>
                <w:szCs w:val="21"/>
                <w:highlight w:val="none"/>
              </w:rPr>
            </w:pPr>
            <w:r>
              <w:rPr>
                <w:rFonts w:hint="eastAsia" w:hAnsi="宋体"/>
                <w:szCs w:val="21"/>
                <w:highlight w:val="none"/>
              </w:rPr>
              <w:t>3</w:t>
            </w:r>
          </w:p>
        </w:tc>
        <w:tc>
          <w:tcPr>
            <w:tcW w:w="1743" w:type="dxa"/>
            <w:vMerge w:val="restart"/>
            <w:vAlign w:val="center"/>
          </w:tcPr>
          <w:p>
            <w:pPr>
              <w:snapToGrid w:val="0"/>
              <w:spacing w:line="288" w:lineRule="auto"/>
              <w:rPr>
                <w:spacing w:val="-15"/>
                <w:szCs w:val="21"/>
                <w:highlight w:val="none"/>
              </w:rPr>
            </w:pPr>
            <w:r>
              <w:rPr>
                <w:rFonts w:hint="eastAsia"/>
                <w:szCs w:val="21"/>
                <w:highlight w:val="none"/>
              </w:rPr>
              <w:t>投标人2020年至今完成的同类项目情况</w:t>
            </w:r>
          </w:p>
        </w:tc>
        <w:tc>
          <w:tcPr>
            <w:tcW w:w="642" w:type="dxa"/>
            <w:vAlign w:val="center"/>
          </w:tcPr>
          <w:p>
            <w:pPr>
              <w:snapToGrid w:val="0"/>
              <w:spacing w:line="288" w:lineRule="auto"/>
              <w:jc w:val="center"/>
              <w:rPr>
                <w:rFonts w:hAnsi="宋体"/>
                <w:szCs w:val="21"/>
                <w:highlight w:val="none"/>
              </w:rPr>
            </w:pPr>
            <w:r>
              <w:rPr>
                <w:rFonts w:hAnsi="宋体"/>
                <w:szCs w:val="21"/>
                <w:highlight w:val="none"/>
              </w:rPr>
              <w:t>8</w:t>
            </w:r>
          </w:p>
        </w:tc>
        <w:tc>
          <w:tcPr>
            <w:tcW w:w="5960" w:type="dxa"/>
            <w:vAlign w:val="center"/>
          </w:tcPr>
          <w:p>
            <w:pPr>
              <w:autoSpaceDE/>
              <w:autoSpaceDN/>
              <w:adjustRightInd/>
              <w:snapToGrid w:val="0"/>
              <w:spacing w:line="288" w:lineRule="auto"/>
              <w:jc w:val="both"/>
              <w:rPr>
                <w:highlight w:val="none"/>
                <w:lang w:val="zh-CN"/>
              </w:rPr>
            </w:pPr>
            <w:r>
              <w:rPr>
                <w:rFonts w:hint="eastAsia"/>
                <w:highlight w:val="none"/>
              </w:rPr>
              <w:t>投标人从2020年1月1日起至今，</w:t>
            </w:r>
            <w:r>
              <w:rPr>
                <w:rFonts w:hint="eastAsia"/>
                <w:highlight w:val="none"/>
                <w:lang w:val="zh-CN"/>
              </w:rPr>
              <w:t>每提供一份同类</w:t>
            </w:r>
            <w:r>
              <w:rPr>
                <w:rFonts w:hint="eastAsia"/>
                <w:highlight w:val="none"/>
              </w:rPr>
              <w:t>科考船</w:t>
            </w:r>
            <w:r>
              <w:rPr>
                <w:rFonts w:hint="eastAsia"/>
                <w:highlight w:val="none"/>
                <w:lang w:val="zh-CN"/>
              </w:rPr>
              <w:t>船员服务相关项目业绩得</w:t>
            </w:r>
            <w:r>
              <w:rPr>
                <w:rFonts w:hint="eastAsia"/>
                <w:highlight w:val="none"/>
              </w:rPr>
              <w:t>1</w:t>
            </w:r>
            <w:r>
              <w:rPr>
                <w:rFonts w:hint="eastAsia"/>
                <w:highlight w:val="none"/>
                <w:lang w:val="zh-CN"/>
              </w:rPr>
              <w:t>分，最高得</w:t>
            </w:r>
            <w:r>
              <w:rPr>
                <w:highlight w:val="none"/>
              </w:rPr>
              <w:t>8</w:t>
            </w:r>
            <w:r>
              <w:rPr>
                <w:rFonts w:hint="eastAsia"/>
                <w:highlight w:val="none"/>
                <w:lang w:val="zh-CN"/>
              </w:rPr>
              <w:t xml:space="preserve">分。  </w:t>
            </w:r>
          </w:p>
          <w:p>
            <w:pPr>
              <w:snapToGrid w:val="0"/>
              <w:spacing w:line="288" w:lineRule="auto"/>
              <w:rPr>
                <w:szCs w:val="21"/>
                <w:highlight w:val="none"/>
              </w:rPr>
            </w:pPr>
            <w:r>
              <w:rPr>
                <w:rFonts w:hint="eastAsia"/>
                <w:szCs w:val="21"/>
                <w:highlight w:val="none"/>
                <w:lang w:val="zh-CN"/>
              </w:rPr>
              <w:t>注：须提供合同/协议关键页（含签订合同双方的单位名称、合同项目名称、签订合同双方的落款盖章、签订日期的关键页） 复印件。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517" w:type="dxa"/>
            <w:vMerge w:val="continue"/>
            <w:vAlign w:val="center"/>
          </w:tcPr>
          <w:p>
            <w:pPr>
              <w:snapToGrid w:val="0"/>
              <w:spacing w:line="288" w:lineRule="auto"/>
              <w:jc w:val="center"/>
              <w:rPr>
                <w:rFonts w:hAnsi="宋体"/>
                <w:szCs w:val="21"/>
                <w:highlight w:val="none"/>
              </w:rPr>
            </w:pPr>
          </w:p>
        </w:tc>
        <w:tc>
          <w:tcPr>
            <w:tcW w:w="1743" w:type="dxa"/>
            <w:vMerge w:val="continue"/>
            <w:vAlign w:val="center"/>
          </w:tcPr>
          <w:p>
            <w:pPr>
              <w:snapToGrid w:val="0"/>
              <w:spacing w:line="288" w:lineRule="auto"/>
              <w:rPr>
                <w:szCs w:val="21"/>
                <w:highlight w:val="none"/>
              </w:rPr>
            </w:pPr>
          </w:p>
        </w:tc>
        <w:tc>
          <w:tcPr>
            <w:tcW w:w="642" w:type="dxa"/>
            <w:vAlign w:val="center"/>
          </w:tcPr>
          <w:p>
            <w:pPr>
              <w:snapToGrid w:val="0"/>
              <w:spacing w:line="288" w:lineRule="auto"/>
              <w:jc w:val="center"/>
              <w:rPr>
                <w:rFonts w:hAnsi="宋体"/>
                <w:szCs w:val="21"/>
                <w:highlight w:val="none"/>
              </w:rPr>
            </w:pPr>
            <w:r>
              <w:rPr>
                <w:rFonts w:hAnsi="宋体"/>
                <w:szCs w:val="21"/>
                <w:highlight w:val="none"/>
              </w:rPr>
              <w:t>4</w:t>
            </w:r>
          </w:p>
        </w:tc>
        <w:tc>
          <w:tcPr>
            <w:tcW w:w="5960" w:type="dxa"/>
            <w:vAlign w:val="center"/>
          </w:tcPr>
          <w:p>
            <w:pPr>
              <w:snapToGrid w:val="0"/>
              <w:spacing w:line="288" w:lineRule="auto"/>
              <w:rPr>
                <w:szCs w:val="21"/>
                <w:highlight w:val="none"/>
                <w:lang w:val="zh-CN"/>
              </w:rPr>
            </w:pPr>
            <w:r>
              <w:rPr>
                <w:rFonts w:hint="eastAsia"/>
                <w:szCs w:val="21"/>
                <w:highlight w:val="none"/>
                <w:lang w:val="zh-CN"/>
              </w:rPr>
              <w:t>“同类船员服务相关项目”的客户服务满意评价情况，每提供一个客户评价为良好或以上（含同等意义的评价，如80分或以上、满意或以上等）的证明材料，得</w:t>
            </w:r>
            <w:r>
              <w:rPr>
                <w:szCs w:val="21"/>
                <w:highlight w:val="none"/>
              </w:rPr>
              <w:t>1</w:t>
            </w:r>
            <w:r>
              <w:rPr>
                <w:rFonts w:hint="eastAsia"/>
                <w:szCs w:val="21"/>
                <w:highlight w:val="none"/>
                <w:lang w:val="zh-CN"/>
              </w:rPr>
              <w:t>分，最多得</w:t>
            </w:r>
            <w:r>
              <w:rPr>
                <w:szCs w:val="21"/>
                <w:highlight w:val="none"/>
              </w:rPr>
              <w:t>4</w:t>
            </w:r>
            <w:r>
              <w:rPr>
                <w:rFonts w:hint="eastAsia"/>
                <w:szCs w:val="21"/>
                <w:highlight w:val="none"/>
                <w:lang w:val="zh-CN"/>
              </w:rPr>
              <w:t>分。</w:t>
            </w:r>
          </w:p>
          <w:p>
            <w:pPr>
              <w:snapToGrid w:val="0"/>
              <w:spacing w:line="288" w:lineRule="auto"/>
              <w:rPr>
                <w:szCs w:val="21"/>
                <w:highlight w:val="none"/>
                <w:lang w:val="zh-CN"/>
              </w:rPr>
            </w:pPr>
            <w:r>
              <w:rPr>
                <w:rFonts w:hint="eastAsia"/>
                <w:szCs w:val="21"/>
                <w:highlight w:val="none"/>
                <w:lang w:val="zh-CN"/>
              </w:rPr>
              <w:t>注：须提供真实客户服务满意评价情况证明资料复印件作为证明资料。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4</w:t>
            </w:r>
          </w:p>
        </w:tc>
        <w:tc>
          <w:tcPr>
            <w:tcW w:w="1743" w:type="dxa"/>
            <w:vAlign w:val="center"/>
          </w:tcPr>
          <w:p>
            <w:pPr>
              <w:snapToGrid w:val="0"/>
              <w:jc w:val="center"/>
              <w:rPr>
                <w:rFonts w:hAnsi="宋体"/>
                <w:szCs w:val="21"/>
                <w:highlight w:val="none"/>
              </w:rPr>
            </w:pPr>
            <w:r>
              <w:rPr>
                <w:rFonts w:hint="eastAsia"/>
                <w:szCs w:val="21"/>
                <w:highlight w:val="none"/>
              </w:rPr>
              <w:t>投标人拟服务于本项目的人员情况</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5</w:t>
            </w:r>
          </w:p>
        </w:tc>
        <w:tc>
          <w:tcPr>
            <w:tcW w:w="5960" w:type="dxa"/>
            <w:vAlign w:val="center"/>
          </w:tcPr>
          <w:p>
            <w:pPr>
              <w:numPr>
                <w:ilvl w:val="0"/>
                <w:numId w:val="25"/>
              </w:numPr>
              <w:snapToGrid w:val="0"/>
              <w:spacing w:line="288" w:lineRule="auto"/>
              <w:rPr>
                <w:szCs w:val="21"/>
                <w:highlight w:val="none"/>
              </w:rPr>
            </w:pPr>
            <w:r>
              <w:rPr>
                <w:rFonts w:hint="eastAsia"/>
                <w:szCs w:val="21"/>
                <w:highlight w:val="none"/>
              </w:rPr>
              <w:t xml:space="preserve">招标文件需求的人员类别投标人均有储备且数量满足招标需求、人员资质齐全，均已签订劳动合同，得5分；            </w:t>
            </w:r>
          </w:p>
          <w:p>
            <w:pPr>
              <w:snapToGrid w:val="0"/>
              <w:spacing w:line="288" w:lineRule="auto"/>
              <w:rPr>
                <w:szCs w:val="21"/>
                <w:highlight w:val="none"/>
              </w:rPr>
            </w:pPr>
            <w:r>
              <w:rPr>
                <w:rFonts w:hint="eastAsia"/>
                <w:szCs w:val="21"/>
                <w:highlight w:val="none"/>
              </w:rPr>
              <w:t>2.招标文件需求的人员类别投标人均有储备、人员资质齐全， 均已签订劳动合同，得3分；</w:t>
            </w:r>
          </w:p>
          <w:p>
            <w:pPr>
              <w:snapToGrid w:val="0"/>
              <w:spacing w:line="288" w:lineRule="auto"/>
              <w:rPr>
                <w:rFonts w:hAnsi="宋体" w:cs="仿宋_GB2312"/>
                <w:szCs w:val="21"/>
                <w:highlight w:val="none"/>
              </w:rPr>
            </w:pPr>
            <w:r>
              <w:rPr>
                <w:rFonts w:hint="eastAsia"/>
                <w:szCs w:val="21"/>
                <w:highlight w:val="none"/>
              </w:rPr>
              <w:t>3.有储备2个或以上招标文件需求的人员类别、人员资质较为</w:t>
            </w:r>
            <w:r>
              <w:rPr>
                <w:rFonts w:hint="eastAsia" w:hAnsi="宋体" w:cs="仿宋_GB2312"/>
                <w:szCs w:val="21"/>
                <w:highlight w:val="none"/>
              </w:rPr>
              <w:t>齐全，均已签订劳动合同，得1分；</w:t>
            </w:r>
          </w:p>
          <w:p>
            <w:pPr>
              <w:snapToGrid w:val="0"/>
              <w:spacing w:line="288" w:lineRule="auto"/>
              <w:rPr>
                <w:rFonts w:hAnsi="宋体" w:cs="仿宋_GB2312"/>
                <w:szCs w:val="21"/>
                <w:highlight w:val="none"/>
              </w:rPr>
            </w:pPr>
            <w:r>
              <w:rPr>
                <w:rFonts w:hint="eastAsia" w:hAnsi="宋体" w:cs="仿宋_GB2312"/>
                <w:szCs w:val="21"/>
                <w:highlight w:val="none"/>
              </w:rPr>
              <w:t>4.没有储备人才、须要再组织招募的，得0分。</w:t>
            </w:r>
          </w:p>
          <w:p>
            <w:pPr>
              <w:snapToGrid w:val="0"/>
              <w:spacing w:line="288" w:lineRule="auto"/>
              <w:rPr>
                <w:szCs w:val="21"/>
                <w:highlight w:val="none"/>
              </w:rPr>
            </w:pPr>
            <w:r>
              <w:rPr>
                <w:rFonts w:hint="eastAsia" w:hAnsi="宋体" w:cs="仿宋_GB2312"/>
                <w:szCs w:val="21"/>
                <w:highlight w:val="none"/>
              </w:rPr>
              <w:t>注：人员资质须达到用户需求书中的“服务人员基本要求”和“执证要求”，须提供投标人与服务人员签订的合同/协议以及人员学历、从业资格证书复印件。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5</w:t>
            </w:r>
          </w:p>
        </w:tc>
        <w:tc>
          <w:tcPr>
            <w:tcW w:w="1743" w:type="dxa"/>
            <w:vAlign w:val="center"/>
          </w:tcPr>
          <w:p>
            <w:pPr>
              <w:snapToGrid w:val="0"/>
              <w:spacing w:line="288" w:lineRule="auto"/>
              <w:jc w:val="center"/>
              <w:rPr>
                <w:rFonts w:hAnsi="宋体"/>
                <w:szCs w:val="21"/>
                <w:highlight w:val="none"/>
              </w:rPr>
            </w:pPr>
            <w:r>
              <w:rPr>
                <w:rFonts w:hint="eastAsia"/>
                <w:szCs w:val="21"/>
                <w:highlight w:val="none"/>
              </w:rPr>
              <w:t>项目管理团队资格情况</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4</w:t>
            </w:r>
          </w:p>
        </w:tc>
        <w:tc>
          <w:tcPr>
            <w:tcW w:w="5960" w:type="dxa"/>
            <w:vAlign w:val="center"/>
          </w:tcPr>
          <w:p>
            <w:pPr>
              <w:snapToGrid w:val="0"/>
              <w:spacing w:line="288" w:lineRule="auto"/>
              <w:rPr>
                <w:rFonts w:hAnsi="宋体" w:cs="仿宋_GB2312"/>
                <w:szCs w:val="21"/>
                <w:highlight w:val="none"/>
              </w:rPr>
            </w:pPr>
            <w:r>
              <w:rPr>
                <w:rFonts w:hint="eastAsia" w:hAnsi="宋体" w:cs="仿宋_GB2312"/>
                <w:szCs w:val="21"/>
                <w:highlight w:val="none"/>
              </w:rPr>
              <w:t>投标人管理团队中的船长、轮机长，持有无限航区高级船长/高级轮机长资质证书，或者持有国家级、省级人才认定证书的，每提供一个人资质证书得1分，最高得4分。需提供高级船长/轮机长职称认定证书扫描件加盖公章，或国家级、省级人才认定证书扫描件加盖公章，以及人员在本单位缴纳近6个月的社保证明加盖公章。（若一人满足多项，按一项计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2260" w:type="dxa"/>
            <w:gridSpan w:val="2"/>
            <w:vAlign w:val="center"/>
          </w:tcPr>
          <w:p>
            <w:pPr>
              <w:snapToGrid w:val="0"/>
              <w:spacing w:line="288" w:lineRule="auto"/>
              <w:jc w:val="center"/>
              <w:rPr>
                <w:rFonts w:cs="宋体"/>
                <w:szCs w:val="21"/>
                <w:highlight w:val="none"/>
              </w:rPr>
            </w:pPr>
            <w:r>
              <w:rPr>
                <w:rFonts w:hint="eastAsia" w:cs="宋体"/>
                <w:szCs w:val="21"/>
                <w:highlight w:val="none"/>
              </w:rPr>
              <w:t>总分</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30</w:t>
            </w:r>
          </w:p>
        </w:tc>
        <w:tc>
          <w:tcPr>
            <w:tcW w:w="5960" w:type="dxa"/>
            <w:vAlign w:val="center"/>
          </w:tcPr>
          <w:p>
            <w:pPr>
              <w:snapToGrid w:val="0"/>
              <w:spacing w:line="288" w:lineRule="auto"/>
              <w:rPr>
                <w:rFonts w:hAnsi="宋体" w:cs="仿宋_GB2312"/>
                <w:szCs w:val="21"/>
                <w:highlight w:val="none"/>
              </w:rPr>
            </w:pPr>
          </w:p>
        </w:tc>
      </w:tr>
    </w:tbl>
    <w:p>
      <w:pPr>
        <w:pStyle w:val="2"/>
        <w:rPr>
          <w:highlight w:val="none"/>
        </w:rPr>
      </w:pPr>
    </w:p>
    <w:p>
      <w:pPr>
        <w:pStyle w:val="124"/>
        <w:keepNext w:val="0"/>
        <w:tabs>
          <w:tab w:val="left" w:pos="0"/>
        </w:tabs>
        <w:spacing w:after="0" w:line="360" w:lineRule="auto"/>
        <w:outlineLvl w:val="2"/>
        <w:rPr>
          <w:rFonts w:ascii="宋体" w:hAnsi="宋体" w:cs="宋体"/>
          <w:b/>
          <w:szCs w:val="21"/>
          <w:highlight w:val="none"/>
        </w:rPr>
      </w:pPr>
      <w:r>
        <w:rPr>
          <w:rFonts w:hint="eastAsia" w:ascii="宋体" w:hAnsi="宋体" w:cs="宋体"/>
          <w:b/>
          <w:szCs w:val="21"/>
          <w:highlight w:val="none"/>
        </w:rPr>
        <w:t>2.技术评分标准：（总分：40分）</w:t>
      </w:r>
    </w:p>
    <w:tbl>
      <w:tblPr>
        <w:tblStyle w:val="49"/>
        <w:tblW w:w="88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7"/>
        <w:gridCol w:w="1743"/>
        <w:gridCol w:w="642"/>
        <w:gridCol w:w="59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862" w:type="dxa"/>
            <w:gridSpan w:val="4"/>
            <w:vAlign w:val="center"/>
          </w:tcPr>
          <w:p>
            <w:pPr>
              <w:snapToGrid w:val="0"/>
              <w:spacing w:line="288" w:lineRule="auto"/>
              <w:jc w:val="center"/>
              <w:rPr>
                <w:rFonts w:hAnsi="宋体" w:cs="仿宋_GB2312"/>
                <w:szCs w:val="21"/>
                <w:highlight w:val="none"/>
              </w:rPr>
            </w:pPr>
            <w:r>
              <w:rPr>
                <w:rFonts w:hint="eastAsia" w:hAnsi="宋体" w:cs="仿宋_GB2312"/>
                <w:b/>
                <w:bCs/>
                <w:szCs w:val="21"/>
                <w:highlight w:val="none"/>
              </w:rPr>
              <w:t>技术评分（40分）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Merge w:val="restart"/>
            <w:vAlign w:val="center"/>
          </w:tcPr>
          <w:p>
            <w:pPr>
              <w:snapToGrid w:val="0"/>
              <w:spacing w:line="288" w:lineRule="auto"/>
              <w:jc w:val="center"/>
              <w:rPr>
                <w:rFonts w:hAnsi="宋体"/>
                <w:szCs w:val="21"/>
                <w:highlight w:val="none"/>
              </w:rPr>
            </w:pPr>
            <w:r>
              <w:rPr>
                <w:rFonts w:hint="eastAsia" w:hAnsi="宋体"/>
                <w:szCs w:val="21"/>
                <w:highlight w:val="none"/>
              </w:rPr>
              <w:t>1</w:t>
            </w:r>
          </w:p>
        </w:tc>
        <w:tc>
          <w:tcPr>
            <w:tcW w:w="1743" w:type="dxa"/>
            <w:vMerge w:val="restart"/>
            <w:vAlign w:val="center"/>
          </w:tcPr>
          <w:p>
            <w:pPr>
              <w:snapToGrid w:val="0"/>
              <w:spacing w:line="288" w:lineRule="auto"/>
              <w:jc w:val="center"/>
              <w:rPr>
                <w:rFonts w:hAnsi="宋体"/>
                <w:szCs w:val="21"/>
                <w:highlight w:val="none"/>
              </w:rPr>
            </w:pPr>
            <w:r>
              <w:rPr>
                <w:highlight w:val="none"/>
              </w:rPr>
              <w:t>服务总体方案</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5</w:t>
            </w:r>
          </w:p>
        </w:tc>
        <w:tc>
          <w:tcPr>
            <w:tcW w:w="5960" w:type="dxa"/>
            <w:vAlign w:val="center"/>
          </w:tcPr>
          <w:p>
            <w:pPr>
              <w:snapToGrid w:val="0"/>
              <w:spacing w:line="288" w:lineRule="auto"/>
              <w:rPr>
                <w:spacing w:val="-3"/>
                <w:highlight w:val="none"/>
              </w:rPr>
            </w:pPr>
            <w:r>
              <w:rPr>
                <w:rFonts w:hint="eastAsia"/>
                <w:spacing w:val="-3"/>
                <w:highlight w:val="none"/>
              </w:rPr>
              <w:t xml:space="preserve">根据各投标人提供的服务内容、服务流程、管理服务架构、方法及招聘、人员档案、薪资管理等方案进行综合评价：  </w:t>
            </w:r>
          </w:p>
          <w:p>
            <w:pPr>
              <w:snapToGrid w:val="0"/>
              <w:spacing w:line="288" w:lineRule="auto"/>
              <w:rPr>
                <w:spacing w:val="-3"/>
                <w:highlight w:val="none"/>
              </w:rPr>
            </w:pPr>
            <w:r>
              <w:rPr>
                <w:rFonts w:hint="eastAsia"/>
                <w:spacing w:val="-3"/>
                <w:highlight w:val="none"/>
              </w:rPr>
              <w:t>1.服务内容全面、服务流程完善、管理服务架构合理、管理方法较为先进、有自有的招聘平台、人员档案管理制度全面合理、薪资管理合理，建立多套ISO体系并有效实施,熟练运用ISO体系管理规则，得5分；</w:t>
            </w:r>
          </w:p>
          <w:p>
            <w:pPr>
              <w:snapToGrid w:val="0"/>
              <w:spacing w:line="288" w:lineRule="auto"/>
              <w:rPr>
                <w:spacing w:val="-3"/>
                <w:highlight w:val="none"/>
              </w:rPr>
            </w:pPr>
            <w:r>
              <w:rPr>
                <w:rFonts w:hint="eastAsia"/>
                <w:spacing w:val="-3"/>
                <w:highlight w:val="none"/>
              </w:rPr>
              <w:t>2.服务内容较为全面、服务流程较为完善、管理服务架构较为合理、管理方法欠合理、有稳定合作的招聘渠道、人员档案管理制度合理、薪资管理合理，具有建立ISO体系的能力，熟悉ISO体系管理规则，得4分；</w:t>
            </w:r>
          </w:p>
          <w:p>
            <w:pPr>
              <w:snapToGrid w:val="0"/>
              <w:spacing w:line="288" w:lineRule="auto"/>
              <w:rPr>
                <w:spacing w:val="-3"/>
                <w:highlight w:val="none"/>
              </w:rPr>
            </w:pPr>
            <w:r>
              <w:rPr>
                <w:rFonts w:hint="eastAsia"/>
                <w:spacing w:val="-3"/>
                <w:highlight w:val="none"/>
              </w:rPr>
              <w:t>3.服务内容不全面、服务流程欠完善、管理服务架构欠合理、管理方法保守、有承诺为项目开设招聘渠道、人员档案管理制度一般、薪资管理欠合理，知晓ISO体系管理规则，得2分；</w:t>
            </w:r>
          </w:p>
          <w:p>
            <w:pPr>
              <w:snapToGrid w:val="0"/>
              <w:spacing w:line="288" w:lineRule="auto"/>
              <w:rPr>
                <w:rFonts w:cs="宋体"/>
                <w:szCs w:val="21"/>
                <w:highlight w:val="none"/>
              </w:rPr>
            </w:pPr>
            <w:r>
              <w:rPr>
                <w:rFonts w:hint="eastAsia"/>
                <w:spacing w:val="-3"/>
                <w:highlight w:val="none"/>
              </w:rPr>
              <w:t>4.服务内容及服务流程简单、管理服务架构不合理、管理方法落后、没有招聘渠道、人员档案管理制度不合理、薪资管理不合理，或者均为通用说明、不具有针对性的，无ISO体系管理经验的得1分。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Merge w:val="continue"/>
            <w:vAlign w:val="center"/>
          </w:tcPr>
          <w:p>
            <w:pPr>
              <w:snapToGrid w:val="0"/>
              <w:spacing w:line="288" w:lineRule="auto"/>
              <w:jc w:val="center"/>
              <w:rPr>
                <w:rFonts w:hAnsi="宋体"/>
                <w:szCs w:val="21"/>
                <w:highlight w:val="none"/>
              </w:rPr>
            </w:pPr>
          </w:p>
        </w:tc>
        <w:tc>
          <w:tcPr>
            <w:tcW w:w="1743" w:type="dxa"/>
            <w:vMerge w:val="continue"/>
            <w:vAlign w:val="center"/>
          </w:tcPr>
          <w:p>
            <w:pPr>
              <w:snapToGrid w:val="0"/>
              <w:spacing w:line="288" w:lineRule="auto"/>
              <w:jc w:val="center"/>
              <w:rPr>
                <w:highlight w:val="none"/>
              </w:rPr>
            </w:pP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4</w:t>
            </w:r>
          </w:p>
        </w:tc>
        <w:tc>
          <w:tcPr>
            <w:tcW w:w="5960" w:type="dxa"/>
            <w:vAlign w:val="center"/>
          </w:tcPr>
          <w:p>
            <w:pPr>
              <w:snapToGrid w:val="0"/>
              <w:spacing w:line="288" w:lineRule="auto"/>
              <w:rPr>
                <w:spacing w:val="-3"/>
                <w:highlight w:val="none"/>
              </w:rPr>
            </w:pPr>
            <w:r>
              <w:rPr>
                <w:rFonts w:hint="eastAsia"/>
                <w:spacing w:val="-3"/>
                <w:highlight w:val="none"/>
              </w:rPr>
              <w:t xml:space="preserve">客户服务及关系维护方案（含风险防范、增值服务等）： </w:t>
            </w:r>
          </w:p>
          <w:p>
            <w:pPr>
              <w:snapToGrid w:val="0"/>
              <w:spacing w:line="288" w:lineRule="auto"/>
              <w:rPr>
                <w:spacing w:val="-3"/>
                <w:highlight w:val="none"/>
              </w:rPr>
            </w:pPr>
            <w:r>
              <w:rPr>
                <w:rFonts w:hint="eastAsia"/>
                <w:spacing w:val="-3"/>
                <w:highlight w:val="none"/>
              </w:rPr>
              <w:t>1.风险防范全面、且均有合理的应对措施，提供的增值服务有利于项目实施，得4分；</w:t>
            </w:r>
          </w:p>
          <w:p>
            <w:pPr>
              <w:snapToGrid w:val="0"/>
              <w:spacing w:line="288" w:lineRule="auto"/>
              <w:rPr>
                <w:spacing w:val="-3"/>
                <w:highlight w:val="none"/>
              </w:rPr>
            </w:pPr>
            <w:r>
              <w:rPr>
                <w:rFonts w:hint="eastAsia"/>
                <w:spacing w:val="-3"/>
                <w:highlight w:val="none"/>
              </w:rPr>
              <w:t>2.风险防范较为全面、且均有应对措施，提供的增值服务较为利于项目实施，得3分；</w:t>
            </w:r>
          </w:p>
          <w:p>
            <w:pPr>
              <w:snapToGrid w:val="0"/>
              <w:spacing w:line="288" w:lineRule="auto"/>
              <w:rPr>
                <w:spacing w:val="-3"/>
                <w:highlight w:val="none"/>
              </w:rPr>
            </w:pPr>
            <w:r>
              <w:rPr>
                <w:rFonts w:hint="eastAsia"/>
                <w:spacing w:val="-3"/>
                <w:highlight w:val="none"/>
              </w:rPr>
              <w:t>3.风险防范不全面、没有应对措施，提供的增值服务对项目实施并无益，得2分；</w:t>
            </w:r>
          </w:p>
          <w:p>
            <w:pPr>
              <w:snapToGrid w:val="0"/>
              <w:spacing w:line="288" w:lineRule="auto"/>
              <w:rPr>
                <w:spacing w:val="-3"/>
                <w:highlight w:val="none"/>
              </w:rPr>
            </w:pPr>
            <w:r>
              <w:rPr>
                <w:rFonts w:hint="eastAsia"/>
                <w:spacing w:val="-3"/>
                <w:highlight w:val="none"/>
              </w:rPr>
              <w:t>4.风险防范较为不全面、没有应对措施，没有增值服务，或者均为通用说明，不具有针对性的，得1分。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2</w:t>
            </w:r>
          </w:p>
        </w:tc>
        <w:tc>
          <w:tcPr>
            <w:tcW w:w="1743" w:type="dxa"/>
            <w:vAlign w:val="center"/>
          </w:tcPr>
          <w:p>
            <w:pPr>
              <w:snapToGrid w:val="0"/>
              <w:spacing w:line="288" w:lineRule="auto"/>
              <w:jc w:val="center"/>
              <w:rPr>
                <w:rFonts w:hAnsi="宋体"/>
                <w:szCs w:val="21"/>
                <w:highlight w:val="none"/>
              </w:rPr>
            </w:pPr>
            <w:r>
              <w:rPr>
                <w:highlight w:val="none"/>
              </w:rPr>
              <w:t>临时突击性工作及突发事件应急保障措施</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6</w:t>
            </w:r>
          </w:p>
        </w:tc>
        <w:tc>
          <w:tcPr>
            <w:tcW w:w="5960" w:type="dxa"/>
            <w:vAlign w:val="center"/>
          </w:tcPr>
          <w:p>
            <w:pPr>
              <w:snapToGrid w:val="0"/>
              <w:spacing w:line="288" w:lineRule="auto"/>
              <w:rPr>
                <w:rFonts w:hAnsi="宋体" w:cs="仿宋_GB2312"/>
                <w:szCs w:val="21"/>
                <w:highlight w:val="none"/>
              </w:rPr>
            </w:pPr>
            <w:r>
              <w:rPr>
                <w:rFonts w:hint="eastAsia" w:hAnsi="宋体" w:cs="仿宋_GB2312"/>
                <w:szCs w:val="21"/>
                <w:highlight w:val="none"/>
              </w:rPr>
              <w:t>根据各投标人提供的临时突击性工作及突发事件应急保障措施（含人员补给、调配方案、应急预案、应急规章制度和职责、应急技能培训和演练及相应的条件和流程等）进行综合评价：</w:t>
            </w:r>
          </w:p>
          <w:p>
            <w:pPr>
              <w:snapToGrid w:val="0"/>
              <w:spacing w:line="288" w:lineRule="auto"/>
              <w:rPr>
                <w:rFonts w:hAnsi="宋体" w:cs="仿宋_GB2312"/>
                <w:szCs w:val="21"/>
                <w:highlight w:val="none"/>
              </w:rPr>
            </w:pPr>
            <w:r>
              <w:rPr>
                <w:rFonts w:hint="eastAsia" w:hAnsi="宋体" w:cs="仿宋_GB2312"/>
                <w:szCs w:val="21"/>
                <w:highlight w:val="none"/>
              </w:rPr>
              <w:t>1.方案合理全面，可实施性强，得6分；</w:t>
            </w:r>
          </w:p>
          <w:p>
            <w:pPr>
              <w:snapToGrid w:val="0"/>
              <w:spacing w:line="288" w:lineRule="auto"/>
              <w:rPr>
                <w:rFonts w:hAnsi="宋体" w:cs="仿宋_GB2312"/>
                <w:szCs w:val="21"/>
                <w:highlight w:val="none"/>
              </w:rPr>
            </w:pPr>
            <w:r>
              <w:rPr>
                <w:rFonts w:hint="eastAsia" w:hAnsi="宋体" w:cs="仿宋_GB2312"/>
                <w:szCs w:val="21"/>
                <w:highlight w:val="none"/>
              </w:rPr>
              <w:t>2.方案较合理，可实践实施，得4分；</w:t>
            </w:r>
          </w:p>
          <w:p>
            <w:pPr>
              <w:snapToGrid w:val="0"/>
              <w:spacing w:line="288" w:lineRule="auto"/>
              <w:rPr>
                <w:rFonts w:hAnsi="宋体" w:cs="仿宋_GB2312"/>
                <w:szCs w:val="21"/>
                <w:highlight w:val="none"/>
              </w:rPr>
            </w:pPr>
            <w:r>
              <w:rPr>
                <w:rFonts w:hint="eastAsia" w:hAnsi="宋体" w:cs="仿宋_GB2312"/>
                <w:szCs w:val="21"/>
                <w:highlight w:val="none"/>
              </w:rPr>
              <w:t>3.方案一般，具有一定的可实践实施性，得2分；</w:t>
            </w:r>
          </w:p>
          <w:p>
            <w:pPr>
              <w:snapToGrid w:val="0"/>
              <w:spacing w:line="288" w:lineRule="auto"/>
              <w:rPr>
                <w:rFonts w:cs="宋体"/>
                <w:szCs w:val="21"/>
                <w:highlight w:val="none"/>
              </w:rPr>
            </w:pPr>
            <w:r>
              <w:rPr>
                <w:rFonts w:hint="eastAsia" w:hAnsi="宋体" w:cs="仿宋_GB2312"/>
                <w:szCs w:val="21"/>
                <w:highlight w:val="none"/>
              </w:rPr>
              <w:t>4.方案较差、均为通用性的说明、不具有实践实施性，得1分。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3</w:t>
            </w:r>
          </w:p>
        </w:tc>
        <w:tc>
          <w:tcPr>
            <w:tcW w:w="1743" w:type="dxa"/>
            <w:vAlign w:val="center"/>
          </w:tcPr>
          <w:p>
            <w:pPr>
              <w:snapToGrid w:val="0"/>
              <w:spacing w:line="288" w:lineRule="auto"/>
              <w:jc w:val="center"/>
              <w:rPr>
                <w:rFonts w:hAnsi="宋体"/>
                <w:szCs w:val="21"/>
                <w:highlight w:val="none"/>
              </w:rPr>
            </w:pPr>
            <w:r>
              <w:rPr>
                <w:rFonts w:hint="eastAsia"/>
                <w:highlight w:val="none"/>
              </w:rPr>
              <w:t>船员培训和考核</w:t>
            </w:r>
            <w:r>
              <w:rPr>
                <w:highlight w:val="none"/>
              </w:rPr>
              <w:t>保障措施</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10</w:t>
            </w:r>
          </w:p>
        </w:tc>
        <w:tc>
          <w:tcPr>
            <w:tcW w:w="5960" w:type="dxa"/>
            <w:vAlign w:val="center"/>
          </w:tcPr>
          <w:p>
            <w:pPr>
              <w:snapToGrid w:val="0"/>
              <w:spacing w:line="288" w:lineRule="auto"/>
              <w:rPr>
                <w:rFonts w:hAnsi="宋体" w:cs="仿宋_GB2312"/>
                <w:szCs w:val="21"/>
                <w:highlight w:val="none"/>
              </w:rPr>
            </w:pPr>
            <w:r>
              <w:rPr>
                <w:rFonts w:hint="eastAsia" w:hAnsi="宋体" w:cs="仿宋_GB2312"/>
                <w:szCs w:val="21"/>
                <w:highlight w:val="none"/>
              </w:rPr>
              <w:t>根据各投标人提供的船员培训和考核保障措施进行综合评分：</w:t>
            </w:r>
          </w:p>
          <w:p>
            <w:pPr>
              <w:snapToGrid w:val="0"/>
              <w:spacing w:line="288" w:lineRule="auto"/>
              <w:rPr>
                <w:rFonts w:hAnsi="宋体" w:cs="仿宋_GB2312"/>
                <w:szCs w:val="21"/>
                <w:highlight w:val="none"/>
              </w:rPr>
            </w:pPr>
            <w:r>
              <w:rPr>
                <w:rFonts w:hint="eastAsia" w:hAnsi="宋体" w:cs="仿宋_GB2312"/>
                <w:szCs w:val="21"/>
                <w:highlight w:val="none"/>
              </w:rPr>
              <w:t>1.具有适用科学考察船的船员培训、考核措施和制度，制度成熟实用； 管理团队配置有专业能力的培训人员和管理人员，培训经验丰富，考核制度有效运行，得10分；</w:t>
            </w:r>
          </w:p>
          <w:p>
            <w:pPr>
              <w:snapToGrid w:val="0"/>
              <w:spacing w:line="288" w:lineRule="auto"/>
              <w:rPr>
                <w:rFonts w:hAnsi="宋体" w:cs="仿宋_GB2312"/>
                <w:szCs w:val="21"/>
                <w:highlight w:val="none"/>
              </w:rPr>
            </w:pPr>
            <w:r>
              <w:rPr>
                <w:rFonts w:hint="eastAsia" w:hAnsi="宋体" w:cs="仿宋_GB2312"/>
                <w:szCs w:val="21"/>
                <w:highlight w:val="none"/>
              </w:rPr>
              <w:t>2.具有适用科学考察船的船员培训、考核措施和制度，制度较为实用；管理团队配置有专业能力的培训人员和管理人员，培训经验较为丰富，考核制度可实践实施，得5分；</w:t>
            </w:r>
          </w:p>
          <w:p>
            <w:pPr>
              <w:snapToGrid w:val="0"/>
              <w:spacing w:line="288" w:lineRule="auto"/>
              <w:rPr>
                <w:rFonts w:hAnsi="宋体" w:cs="仿宋_GB2312"/>
                <w:szCs w:val="21"/>
                <w:highlight w:val="none"/>
              </w:rPr>
            </w:pPr>
            <w:r>
              <w:rPr>
                <w:rFonts w:hint="eastAsia" w:hAnsi="宋体" w:cs="仿宋_GB2312"/>
                <w:szCs w:val="21"/>
                <w:highlight w:val="none"/>
              </w:rPr>
              <w:t>3.具有适用科学考察船的船员培训、考核措施和制度，制度可操作；管理团队配置有专业能力的培训人员，培训经验一般，考核制度可操作性不强，得1分；</w:t>
            </w:r>
          </w:p>
          <w:p>
            <w:pPr>
              <w:snapToGrid w:val="0"/>
              <w:spacing w:line="288" w:lineRule="auto"/>
              <w:rPr>
                <w:rFonts w:hAnsi="宋体" w:cs="仿宋_GB2312"/>
                <w:szCs w:val="21"/>
                <w:highlight w:val="none"/>
              </w:rPr>
            </w:pPr>
            <w:r>
              <w:rPr>
                <w:rFonts w:hint="eastAsia" w:hAnsi="宋体" w:cs="仿宋_GB2312"/>
                <w:szCs w:val="21"/>
                <w:highlight w:val="none"/>
              </w:rPr>
              <w:t>4.没有适用科学考察船的船员培训、考核措施和制度，得0分。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4</w:t>
            </w:r>
          </w:p>
        </w:tc>
        <w:tc>
          <w:tcPr>
            <w:tcW w:w="1743" w:type="dxa"/>
            <w:vAlign w:val="center"/>
          </w:tcPr>
          <w:p>
            <w:pPr>
              <w:snapToGrid w:val="0"/>
              <w:spacing w:line="288" w:lineRule="auto"/>
              <w:jc w:val="center"/>
              <w:rPr>
                <w:rFonts w:hAnsi="宋体"/>
                <w:szCs w:val="21"/>
                <w:highlight w:val="none"/>
              </w:rPr>
            </w:pPr>
            <w:r>
              <w:rPr>
                <w:rFonts w:hint="eastAsia"/>
                <w:highlight w:val="none"/>
              </w:rPr>
              <w:t>人文关怀和激励</w:t>
            </w:r>
            <w:r>
              <w:rPr>
                <w:highlight w:val="none"/>
              </w:rPr>
              <w:t>保障措施</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10</w:t>
            </w:r>
          </w:p>
        </w:tc>
        <w:tc>
          <w:tcPr>
            <w:tcW w:w="5960" w:type="dxa"/>
            <w:vAlign w:val="center"/>
          </w:tcPr>
          <w:p>
            <w:pPr>
              <w:snapToGrid w:val="0"/>
              <w:spacing w:line="288" w:lineRule="auto"/>
              <w:rPr>
                <w:rFonts w:hAnsi="宋体" w:cs="仿宋_GB2312"/>
                <w:szCs w:val="21"/>
                <w:highlight w:val="none"/>
              </w:rPr>
            </w:pPr>
            <w:r>
              <w:rPr>
                <w:rFonts w:hint="eastAsia" w:hAnsi="宋体" w:cs="仿宋_GB2312"/>
                <w:szCs w:val="21"/>
                <w:highlight w:val="none"/>
              </w:rPr>
              <w:t xml:space="preserve">根据各投标人提供的船员人文关怀和激励保障措施进行综合评分： </w:t>
            </w:r>
          </w:p>
          <w:p>
            <w:pPr>
              <w:snapToGrid w:val="0"/>
              <w:spacing w:line="288" w:lineRule="auto"/>
              <w:rPr>
                <w:rFonts w:hAnsi="宋体" w:cs="仿宋_GB2312"/>
                <w:szCs w:val="21"/>
                <w:highlight w:val="none"/>
              </w:rPr>
            </w:pPr>
            <w:r>
              <w:rPr>
                <w:rFonts w:hint="eastAsia" w:hAnsi="宋体" w:cs="仿宋_GB2312"/>
                <w:szCs w:val="21"/>
                <w:highlight w:val="none"/>
              </w:rPr>
              <w:t>1.具有船员人文关怀、激励措施和制度，制度成熟实用； 具有丰富人文关怀活动实例，得10分；</w:t>
            </w:r>
          </w:p>
          <w:p>
            <w:pPr>
              <w:snapToGrid w:val="0"/>
              <w:spacing w:line="288" w:lineRule="auto"/>
              <w:rPr>
                <w:rFonts w:hAnsi="宋体" w:cs="仿宋_GB2312"/>
                <w:szCs w:val="21"/>
                <w:highlight w:val="none"/>
              </w:rPr>
            </w:pPr>
            <w:r>
              <w:rPr>
                <w:rFonts w:hint="eastAsia" w:hAnsi="宋体" w:cs="仿宋_GB2312"/>
                <w:szCs w:val="21"/>
                <w:highlight w:val="none"/>
              </w:rPr>
              <w:t>2.具有船员人文关怀、激励措施和制度，制度较为实用； 具有一定的人文关怀活动实例，得6分；</w:t>
            </w:r>
          </w:p>
          <w:p>
            <w:pPr>
              <w:snapToGrid w:val="0"/>
              <w:spacing w:line="288" w:lineRule="auto"/>
              <w:rPr>
                <w:rFonts w:hAnsi="宋体" w:cs="仿宋_GB2312"/>
                <w:szCs w:val="21"/>
                <w:highlight w:val="none"/>
              </w:rPr>
            </w:pPr>
            <w:r>
              <w:rPr>
                <w:rFonts w:hint="eastAsia" w:hAnsi="宋体" w:cs="仿宋_GB2312"/>
                <w:szCs w:val="21"/>
                <w:highlight w:val="none"/>
              </w:rPr>
              <w:t>3.具有船员人文关怀、激励措施和制度，制度具有一定的可实践实施性，无人文关怀活动实例，得2分。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517" w:type="dxa"/>
            <w:vAlign w:val="center"/>
          </w:tcPr>
          <w:p>
            <w:pPr>
              <w:snapToGrid w:val="0"/>
              <w:spacing w:line="288" w:lineRule="auto"/>
              <w:jc w:val="center"/>
              <w:rPr>
                <w:rFonts w:hAnsi="宋体"/>
                <w:szCs w:val="21"/>
                <w:highlight w:val="none"/>
              </w:rPr>
            </w:pPr>
            <w:r>
              <w:rPr>
                <w:rFonts w:hint="eastAsia" w:hAnsi="宋体"/>
                <w:szCs w:val="21"/>
                <w:highlight w:val="none"/>
              </w:rPr>
              <w:t>5</w:t>
            </w:r>
          </w:p>
        </w:tc>
        <w:tc>
          <w:tcPr>
            <w:tcW w:w="1743" w:type="dxa"/>
            <w:vAlign w:val="center"/>
          </w:tcPr>
          <w:p>
            <w:pPr>
              <w:snapToGrid w:val="0"/>
              <w:spacing w:line="288" w:lineRule="auto"/>
              <w:jc w:val="center"/>
              <w:rPr>
                <w:rFonts w:hAnsi="宋体"/>
                <w:szCs w:val="21"/>
                <w:highlight w:val="none"/>
              </w:rPr>
            </w:pPr>
            <w:r>
              <w:rPr>
                <w:highlight w:val="none"/>
              </w:rPr>
              <w:t>船员待遇保障水平</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5</w:t>
            </w:r>
          </w:p>
        </w:tc>
        <w:tc>
          <w:tcPr>
            <w:tcW w:w="5960" w:type="dxa"/>
            <w:vAlign w:val="center"/>
          </w:tcPr>
          <w:p>
            <w:pPr>
              <w:snapToGrid w:val="0"/>
              <w:spacing w:line="288" w:lineRule="auto"/>
              <w:rPr>
                <w:rFonts w:cs="宋体"/>
                <w:szCs w:val="21"/>
                <w:highlight w:val="none"/>
              </w:rPr>
            </w:pPr>
            <w:r>
              <w:rPr>
                <w:rFonts w:hint="eastAsia" w:cs="宋体"/>
                <w:szCs w:val="21"/>
                <w:highlight w:val="none"/>
              </w:rPr>
              <w:t>根据投标单位在不低于国家相关薪酬待遇的最低标准上所提供针对船员薪酬待遇保障方案进行评审，保障方案全面合理，条款有全面针对性的得5分，保障方案较好，条款有一定针对性的得3分，保障方案一般，条款无针对性的得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2260" w:type="dxa"/>
            <w:gridSpan w:val="2"/>
            <w:vAlign w:val="center"/>
          </w:tcPr>
          <w:p>
            <w:pPr>
              <w:snapToGrid w:val="0"/>
              <w:spacing w:line="288" w:lineRule="auto"/>
              <w:jc w:val="center"/>
              <w:rPr>
                <w:rFonts w:hAnsi="宋体"/>
                <w:szCs w:val="21"/>
                <w:highlight w:val="none"/>
              </w:rPr>
            </w:pPr>
            <w:r>
              <w:rPr>
                <w:rFonts w:hint="eastAsia" w:hAnsi="宋体"/>
                <w:szCs w:val="21"/>
                <w:highlight w:val="none"/>
              </w:rPr>
              <w:t>总分</w:t>
            </w:r>
          </w:p>
        </w:tc>
        <w:tc>
          <w:tcPr>
            <w:tcW w:w="642" w:type="dxa"/>
            <w:vAlign w:val="center"/>
          </w:tcPr>
          <w:p>
            <w:pPr>
              <w:snapToGrid w:val="0"/>
              <w:spacing w:line="288" w:lineRule="auto"/>
              <w:jc w:val="center"/>
              <w:rPr>
                <w:rFonts w:hAnsi="宋体"/>
                <w:szCs w:val="21"/>
                <w:highlight w:val="none"/>
              </w:rPr>
            </w:pPr>
            <w:r>
              <w:rPr>
                <w:rFonts w:hint="eastAsia" w:hAnsi="宋体"/>
                <w:szCs w:val="21"/>
                <w:highlight w:val="none"/>
              </w:rPr>
              <w:t>40</w:t>
            </w:r>
          </w:p>
        </w:tc>
        <w:tc>
          <w:tcPr>
            <w:tcW w:w="5960" w:type="dxa"/>
            <w:vAlign w:val="center"/>
          </w:tcPr>
          <w:p>
            <w:pPr>
              <w:snapToGrid w:val="0"/>
              <w:spacing w:line="288" w:lineRule="auto"/>
              <w:rPr>
                <w:rFonts w:hAnsi="宋体" w:cs="宋体"/>
                <w:szCs w:val="21"/>
                <w:highlight w:val="none"/>
              </w:rPr>
            </w:pPr>
          </w:p>
        </w:tc>
      </w:tr>
    </w:tbl>
    <w:p>
      <w:pPr>
        <w:pStyle w:val="2"/>
        <w:rPr>
          <w:highlight w:val="none"/>
        </w:rPr>
      </w:pPr>
    </w:p>
    <w:p>
      <w:pPr>
        <w:spacing w:line="360" w:lineRule="auto"/>
        <w:rPr>
          <w:rFonts w:hAnsi="宋体" w:cs="宋体"/>
          <w:b/>
          <w:szCs w:val="21"/>
          <w:highlight w:val="none"/>
        </w:rPr>
      </w:pPr>
    </w:p>
    <w:p>
      <w:pPr>
        <w:pStyle w:val="2"/>
        <w:rPr>
          <w:highlight w:val="none"/>
        </w:rPr>
      </w:pPr>
    </w:p>
    <w:p>
      <w:pPr>
        <w:pStyle w:val="3"/>
        <w:rPr>
          <w:highlight w:val="none"/>
        </w:rPr>
      </w:pPr>
    </w:p>
    <w:p>
      <w:pPr>
        <w:spacing w:line="360" w:lineRule="auto"/>
        <w:rPr>
          <w:rFonts w:hAnsi="宋体" w:cs="宋体"/>
          <w:b/>
          <w:szCs w:val="21"/>
          <w:highlight w:val="none"/>
        </w:rPr>
      </w:pPr>
      <w:r>
        <w:rPr>
          <w:rFonts w:hint="eastAsia" w:hAnsi="宋体" w:cs="宋体"/>
          <w:b/>
          <w:szCs w:val="21"/>
          <w:highlight w:val="none"/>
        </w:rPr>
        <w:t>2.价格分值：30分</w:t>
      </w:r>
    </w:p>
    <w:p>
      <w:pPr>
        <w:spacing w:line="360" w:lineRule="auto"/>
        <w:rPr>
          <w:rFonts w:hAnsi="宋体" w:cs="宋体"/>
          <w:szCs w:val="21"/>
          <w:highlight w:val="none"/>
        </w:rPr>
      </w:pPr>
      <w:r>
        <w:rPr>
          <w:rFonts w:hint="eastAsia" w:hAnsi="宋体" w:cs="宋体"/>
          <w:szCs w:val="21"/>
          <w:highlight w:val="none"/>
        </w:rPr>
        <w:t>投标报价得分=船员成本费用报价得分 + 管理费报价得分</w:t>
      </w:r>
    </w:p>
    <w:p>
      <w:pPr>
        <w:spacing w:line="360" w:lineRule="auto"/>
        <w:rPr>
          <w:rFonts w:hAnsi="宋体" w:cs="宋体"/>
          <w:szCs w:val="21"/>
          <w:highlight w:val="none"/>
        </w:rPr>
      </w:pPr>
      <w:r>
        <w:rPr>
          <w:rFonts w:hint="eastAsia" w:hAnsi="宋体" w:cs="宋体"/>
          <w:szCs w:val="21"/>
          <w:highlight w:val="none"/>
        </w:rPr>
        <w:t>本项目的价格分采用低价优先法计算，按以下标准计算：</w:t>
      </w:r>
    </w:p>
    <w:p>
      <w:pPr>
        <w:numPr>
          <w:ilvl w:val="0"/>
          <w:numId w:val="26"/>
        </w:numPr>
        <w:spacing w:line="360" w:lineRule="auto"/>
        <w:rPr>
          <w:rFonts w:hAnsi="宋体" w:cs="宋体"/>
          <w:b/>
          <w:szCs w:val="21"/>
          <w:highlight w:val="none"/>
        </w:rPr>
      </w:pPr>
      <w:r>
        <w:rPr>
          <w:rFonts w:hint="eastAsia" w:hAnsi="宋体" w:cs="宋体"/>
          <w:b/>
          <w:bCs/>
          <w:szCs w:val="21"/>
          <w:highlight w:val="none"/>
        </w:rPr>
        <w:t>船员成本费用投标报价得分：</w:t>
      </w:r>
      <w:r>
        <w:rPr>
          <w:rFonts w:hint="eastAsia" w:hAnsi="宋体" w:cs="宋体"/>
          <w:szCs w:val="21"/>
          <w:highlight w:val="none"/>
        </w:rPr>
        <w:t>根据通过本项目资格性检查与符合性检查且最后报船</w:t>
      </w:r>
      <w:r>
        <w:rPr>
          <w:rFonts w:hint="eastAsia" w:hAnsi="宋体" w:cs="宋体"/>
          <w:bCs/>
          <w:szCs w:val="21"/>
          <w:highlight w:val="none"/>
        </w:rPr>
        <w:t>员成本费用最低</w:t>
      </w:r>
      <w:r>
        <w:rPr>
          <w:rFonts w:hint="eastAsia" w:hAnsi="宋体" w:cs="宋体"/>
          <w:szCs w:val="21"/>
          <w:highlight w:val="none"/>
        </w:rPr>
        <w:t>的投标报价为评标基准价，其</w:t>
      </w:r>
      <w:r>
        <w:rPr>
          <w:rFonts w:hint="eastAsia" w:hAnsi="宋体" w:cs="宋体"/>
          <w:b/>
          <w:bCs/>
          <w:szCs w:val="21"/>
          <w:highlight w:val="none"/>
        </w:rPr>
        <w:t>船员成本费用投标报价</w:t>
      </w:r>
      <w:r>
        <w:rPr>
          <w:rFonts w:hint="eastAsia" w:hAnsi="宋体" w:cs="宋体"/>
          <w:szCs w:val="21"/>
          <w:highlight w:val="none"/>
        </w:rPr>
        <w:t>价格分满分为</w:t>
      </w:r>
      <w:r>
        <w:rPr>
          <w:rFonts w:hAnsi="宋体" w:cs="宋体"/>
          <w:szCs w:val="21"/>
          <w:highlight w:val="none"/>
        </w:rPr>
        <w:t>20</w:t>
      </w:r>
      <w:r>
        <w:rPr>
          <w:rFonts w:hint="eastAsia" w:hAnsi="宋体" w:cs="宋体"/>
          <w:szCs w:val="21"/>
          <w:highlight w:val="none"/>
        </w:rPr>
        <w:t>分，计算公式为：</w:t>
      </w:r>
      <w:r>
        <w:rPr>
          <w:rFonts w:hint="eastAsia" w:hAnsi="宋体" w:cs="宋体"/>
          <w:b/>
          <w:bCs/>
          <w:szCs w:val="21"/>
          <w:highlight w:val="none"/>
        </w:rPr>
        <w:t>船员成本费用投标报价得分=(</w:t>
      </w:r>
      <w:r>
        <w:rPr>
          <w:rFonts w:hint="eastAsia" w:hAnsi="宋体" w:cs="宋体"/>
          <w:b/>
          <w:szCs w:val="21"/>
          <w:highlight w:val="none"/>
        </w:rPr>
        <w:t>评标基准价／投标报价)×</w:t>
      </w:r>
      <w:r>
        <w:rPr>
          <w:rFonts w:hAnsi="宋体" w:cs="宋体"/>
          <w:b/>
          <w:szCs w:val="21"/>
          <w:highlight w:val="none"/>
        </w:rPr>
        <w:t>20</w:t>
      </w:r>
      <w:r>
        <w:rPr>
          <w:rFonts w:hint="eastAsia" w:hAnsi="宋体" w:cs="宋体"/>
          <w:b/>
          <w:szCs w:val="21"/>
          <w:highlight w:val="none"/>
        </w:rPr>
        <w:t>。</w:t>
      </w:r>
    </w:p>
    <w:p>
      <w:pPr>
        <w:numPr>
          <w:ilvl w:val="0"/>
          <w:numId w:val="26"/>
        </w:numPr>
        <w:spacing w:line="360" w:lineRule="auto"/>
        <w:rPr>
          <w:rFonts w:hAnsi="宋体" w:cs="宋体"/>
          <w:szCs w:val="21"/>
          <w:highlight w:val="none"/>
        </w:rPr>
      </w:pPr>
      <w:r>
        <w:rPr>
          <w:rFonts w:hint="eastAsia" w:hAnsi="宋体" w:cs="宋体"/>
          <w:b/>
          <w:szCs w:val="21"/>
          <w:highlight w:val="none"/>
        </w:rPr>
        <w:t>管理费</w:t>
      </w:r>
      <w:r>
        <w:rPr>
          <w:rFonts w:hint="eastAsia" w:hAnsi="宋体" w:cs="宋体"/>
          <w:b/>
          <w:bCs/>
          <w:szCs w:val="21"/>
          <w:highlight w:val="none"/>
        </w:rPr>
        <w:t>投标报价得分</w:t>
      </w:r>
      <w:r>
        <w:rPr>
          <w:rFonts w:hint="eastAsia" w:hAnsi="宋体" w:cs="宋体"/>
          <w:b/>
          <w:szCs w:val="21"/>
          <w:highlight w:val="none"/>
        </w:rPr>
        <w:t>：</w:t>
      </w:r>
      <w:r>
        <w:rPr>
          <w:rFonts w:hint="eastAsia" w:hAnsi="宋体" w:cs="宋体"/>
          <w:bCs/>
          <w:szCs w:val="21"/>
          <w:highlight w:val="none"/>
        </w:rPr>
        <w:t>根据</w:t>
      </w:r>
      <w:r>
        <w:rPr>
          <w:rFonts w:hint="eastAsia" w:hAnsi="宋体" w:cs="宋体"/>
          <w:szCs w:val="21"/>
          <w:highlight w:val="none"/>
        </w:rPr>
        <w:t>通过本项目资格性检查与符合性检查且</w:t>
      </w:r>
      <w:r>
        <w:rPr>
          <w:rFonts w:hint="eastAsia" w:hAnsi="宋体" w:cs="宋体"/>
          <w:b/>
          <w:szCs w:val="21"/>
          <w:highlight w:val="none"/>
        </w:rPr>
        <w:t>管理费系数最低</w:t>
      </w:r>
      <w:r>
        <w:rPr>
          <w:rFonts w:hint="eastAsia" w:hAnsi="宋体" w:cs="宋体"/>
          <w:szCs w:val="21"/>
          <w:highlight w:val="none"/>
        </w:rPr>
        <w:t>的投标报价为评标基准价，其</w:t>
      </w:r>
      <w:r>
        <w:rPr>
          <w:rFonts w:hint="eastAsia" w:hAnsi="宋体" w:cs="宋体"/>
          <w:b/>
          <w:szCs w:val="21"/>
          <w:highlight w:val="none"/>
        </w:rPr>
        <w:t>管理费</w:t>
      </w:r>
      <w:r>
        <w:rPr>
          <w:rFonts w:hint="eastAsia" w:hAnsi="宋体" w:cs="宋体"/>
          <w:b/>
          <w:bCs/>
          <w:szCs w:val="21"/>
          <w:highlight w:val="none"/>
        </w:rPr>
        <w:t>投标报价</w:t>
      </w:r>
      <w:r>
        <w:rPr>
          <w:rFonts w:hint="eastAsia" w:hAnsi="宋体" w:cs="宋体"/>
          <w:szCs w:val="21"/>
          <w:highlight w:val="none"/>
        </w:rPr>
        <w:t>价格分满分为1</w:t>
      </w:r>
      <w:r>
        <w:rPr>
          <w:rFonts w:hAnsi="宋体" w:cs="宋体"/>
          <w:szCs w:val="21"/>
          <w:highlight w:val="none"/>
        </w:rPr>
        <w:t>0</w:t>
      </w:r>
      <w:r>
        <w:rPr>
          <w:rFonts w:hint="eastAsia" w:hAnsi="宋体" w:cs="宋体"/>
          <w:szCs w:val="21"/>
          <w:highlight w:val="none"/>
        </w:rPr>
        <w:t>分，其他投标人的价格分统一按照下列公式计算：</w:t>
      </w:r>
      <w:r>
        <w:rPr>
          <w:rFonts w:hint="eastAsia" w:hAnsi="宋体" w:cs="宋体"/>
          <w:b/>
          <w:szCs w:val="21"/>
          <w:highlight w:val="none"/>
        </w:rPr>
        <w:t>管理费</w:t>
      </w:r>
      <w:r>
        <w:rPr>
          <w:rFonts w:hint="eastAsia" w:hAnsi="宋体" w:cs="宋体"/>
          <w:b/>
          <w:bCs/>
          <w:szCs w:val="21"/>
          <w:highlight w:val="none"/>
        </w:rPr>
        <w:t>投标报价</w:t>
      </w:r>
      <w:r>
        <w:rPr>
          <w:rFonts w:hint="eastAsia" w:hAnsi="宋体" w:cs="宋体"/>
          <w:b/>
          <w:szCs w:val="21"/>
          <w:highlight w:val="none"/>
        </w:rPr>
        <w:t>得分=(评标基准价／管理费投标报价)×1</w:t>
      </w:r>
      <w:r>
        <w:rPr>
          <w:rFonts w:hAnsi="宋体" w:cs="宋体"/>
          <w:b/>
          <w:szCs w:val="21"/>
          <w:highlight w:val="none"/>
        </w:rPr>
        <w:t>0</w:t>
      </w:r>
      <w:r>
        <w:rPr>
          <w:rFonts w:hint="eastAsia" w:hAnsi="宋体" w:cs="宋体"/>
          <w:szCs w:val="21"/>
          <w:highlight w:val="none"/>
        </w:rPr>
        <w:t>。</w:t>
      </w:r>
    </w:p>
    <w:p>
      <w:pPr>
        <w:pStyle w:val="45"/>
        <w:widowControl w:val="0"/>
        <w:spacing w:before="0" w:beforeAutospacing="0" w:after="0" w:afterAutospacing="0" w:line="360" w:lineRule="auto"/>
        <w:ind w:firstLine="420" w:firstLineChars="200"/>
        <w:rPr>
          <w:rFonts w:cs="宋体"/>
          <w:sz w:val="21"/>
          <w:szCs w:val="21"/>
          <w:highlight w:val="none"/>
        </w:rPr>
      </w:pPr>
    </w:p>
    <w:p>
      <w:pPr>
        <w:pStyle w:val="45"/>
        <w:widowControl w:val="0"/>
        <w:spacing w:before="0" w:beforeAutospacing="0" w:after="0" w:afterAutospacing="0" w:line="360" w:lineRule="auto"/>
        <w:ind w:firstLine="420" w:firstLineChars="200"/>
        <w:rPr>
          <w:rFonts w:cs="宋体"/>
          <w:sz w:val="21"/>
          <w:szCs w:val="21"/>
          <w:highlight w:val="none"/>
        </w:rPr>
      </w:pPr>
      <w:r>
        <w:rPr>
          <w:rFonts w:hint="eastAsia" w:cs="宋体"/>
          <w:sz w:val="21"/>
          <w:szCs w:val="21"/>
          <w:highlight w:val="none"/>
        </w:rPr>
        <w:t>备注：</w:t>
      </w:r>
    </w:p>
    <w:p>
      <w:pPr>
        <w:pStyle w:val="45"/>
        <w:widowControl w:val="0"/>
        <w:spacing w:before="0" w:beforeAutospacing="0" w:after="0" w:afterAutospacing="0" w:line="360" w:lineRule="auto"/>
        <w:ind w:firstLine="420" w:firstLineChars="200"/>
        <w:rPr>
          <w:rFonts w:cs="宋体"/>
          <w:sz w:val="21"/>
          <w:szCs w:val="21"/>
          <w:highlight w:val="none"/>
        </w:rPr>
      </w:pPr>
      <w:r>
        <w:rPr>
          <w:rFonts w:hint="eastAsia" w:cs="宋体"/>
          <w:sz w:val="21"/>
          <w:szCs w:val="21"/>
          <w:highlight w:val="none"/>
        </w:rPr>
        <w:t>1）价格修正：投标人的投标报价中经评标委员会确定为供货范围（包括货物、工程和服务）缺漏项，而进行调整的，调整价为该项目在其他有效投标中的最高报价。</w:t>
      </w:r>
    </w:p>
    <w:p>
      <w:pPr>
        <w:pStyle w:val="45"/>
        <w:widowControl w:val="0"/>
        <w:spacing w:before="0" w:beforeAutospacing="0" w:after="0" w:afterAutospacing="0" w:line="360" w:lineRule="auto"/>
        <w:ind w:firstLine="420" w:firstLineChars="200"/>
        <w:rPr>
          <w:rFonts w:cs="宋体"/>
          <w:sz w:val="21"/>
          <w:szCs w:val="21"/>
          <w:highlight w:val="none"/>
        </w:rPr>
      </w:pPr>
      <w:r>
        <w:rPr>
          <w:rFonts w:hint="eastAsia" w:cs="宋体"/>
          <w:sz w:val="21"/>
          <w:szCs w:val="21"/>
          <w:highlight w:val="none"/>
        </w:rPr>
        <w:t>2）评标委员会将按照上述修正错误的方法调整该投标人的投标文件中的投标报价，调整后的价格对投标人具有约束力。如果投标人不接受修正后的投标价格，则其投标将被拒绝。</w:t>
      </w:r>
    </w:p>
    <w:p>
      <w:pPr>
        <w:pStyle w:val="2"/>
        <w:rPr>
          <w:highlight w:val="none"/>
        </w:rPr>
      </w:pPr>
    </w:p>
    <w:p>
      <w:pPr>
        <w:pStyle w:val="3"/>
        <w:rPr>
          <w:highlight w:val="none"/>
        </w:rPr>
      </w:pPr>
    </w:p>
    <w:p>
      <w:pPr>
        <w:widowControl/>
        <w:autoSpaceDE/>
        <w:autoSpaceDN/>
        <w:adjustRightInd/>
        <w:rPr>
          <w:rFonts w:cs="宋体"/>
          <w:color w:val="000000"/>
          <w:sz w:val="24"/>
          <w:highlight w:val="none"/>
        </w:rPr>
      </w:pPr>
      <w:r>
        <w:rPr>
          <w:highlight w:val="none"/>
        </w:rPr>
        <w:br w:type="page"/>
      </w:r>
    </w:p>
    <w:p>
      <w:pPr>
        <w:pStyle w:val="3"/>
        <w:rPr>
          <w:highlight w:val="none"/>
        </w:rPr>
      </w:pPr>
    </w:p>
    <w:p>
      <w:pPr>
        <w:pStyle w:val="3"/>
        <w:rPr>
          <w:highlight w:val="none"/>
        </w:rPr>
      </w:pPr>
    </w:p>
    <w:tbl>
      <w:tblPr>
        <w:tblStyle w:val="4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017"/>
        <w:gridCol w:w="866"/>
        <w:gridCol w:w="1775"/>
        <w:gridCol w:w="552"/>
        <w:gridCol w:w="1081"/>
        <w:gridCol w:w="65"/>
        <w:gridCol w:w="849"/>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519" w:type="dxa"/>
            <w:gridSpan w:val="9"/>
            <w:vAlign w:val="center"/>
          </w:tcPr>
          <w:p>
            <w:pPr>
              <w:pStyle w:val="3"/>
              <w:spacing w:line="480" w:lineRule="exact"/>
              <w:jc w:val="center"/>
              <w:rPr>
                <w:rFonts w:hAnsi="Courier New"/>
                <w:b/>
                <w:bCs/>
                <w:kern w:val="2"/>
                <w:sz w:val="21"/>
                <w:szCs w:val="21"/>
                <w:highlight w:val="none"/>
              </w:rPr>
            </w:pPr>
            <w:r>
              <w:rPr>
                <w:rFonts w:hint="eastAsia" w:hAnsi="Courier New"/>
                <w:b/>
                <w:bCs/>
                <w:kern w:val="2"/>
                <w:highlight w:val="none"/>
              </w:rPr>
              <w:t>船员配员标准及单船成本费用最高限额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236" w:type="dxa"/>
            <w:gridSpan w:val="4"/>
            <w:vAlign w:val="center"/>
          </w:tcPr>
          <w:p>
            <w:pPr>
              <w:pStyle w:val="3"/>
              <w:spacing w:line="480" w:lineRule="exact"/>
              <w:jc w:val="center"/>
              <w:rPr>
                <w:rFonts w:hAnsi="Courier New"/>
                <w:b/>
                <w:bCs/>
                <w:kern w:val="2"/>
                <w:sz w:val="21"/>
                <w:szCs w:val="21"/>
                <w:highlight w:val="none"/>
              </w:rPr>
            </w:pPr>
            <w:r>
              <w:rPr>
                <w:rFonts w:hint="eastAsia" w:hAnsi="Courier New"/>
                <w:b/>
                <w:bCs/>
                <w:kern w:val="2"/>
                <w:sz w:val="21"/>
                <w:szCs w:val="21"/>
                <w:highlight w:val="none"/>
              </w:rPr>
              <w:t>远洋调查船组</w:t>
            </w:r>
          </w:p>
        </w:tc>
        <w:tc>
          <w:tcPr>
            <w:tcW w:w="4283" w:type="dxa"/>
            <w:gridSpan w:val="5"/>
            <w:vAlign w:val="center"/>
          </w:tcPr>
          <w:p>
            <w:pPr>
              <w:pStyle w:val="3"/>
              <w:spacing w:line="480" w:lineRule="exact"/>
              <w:jc w:val="center"/>
              <w:rPr>
                <w:rFonts w:hAnsi="Courier New"/>
                <w:b/>
                <w:bCs/>
                <w:kern w:val="2"/>
                <w:sz w:val="21"/>
                <w:szCs w:val="21"/>
                <w:highlight w:val="none"/>
              </w:rPr>
            </w:pPr>
            <w:r>
              <w:rPr>
                <w:rFonts w:hint="eastAsia" w:hAnsi="Courier New"/>
                <w:b/>
                <w:bCs/>
                <w:kern w:val="2"/>
                <w:sz w:val="21"/>
                <w:szCs w:val="21"/>
                <w:highlight w:val="none"/>
              </w:rPr>
              <w:t>500吨级以上调查船组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578"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序号</w:t>
            </w:r>
          </w:p>
        </w:tc>
        <w:tc>
          <w:tcPr>
            <w:tcW w:w="1017"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职务</w:t>
            </w:r>
          </w:p>
        </w:tc>
        <w:tc>
          <w:tcPr>
            <w:tcW w:w="866" w:type="dxa"/>
            <w:vAlign w:val="center"/>
          </w:tcPr>
          <w:p>
            <w:pPr>
              <w:pStyle w:val="3"/>
              <w:jc w:val="center"/>
              <w:rPr>
                <w:rFonts w:hAnsi="Courier New"/>
                <w:b/>
                <w:bCs/>
                <w:kern w:val="2"/>
                <w:sz w:val="21"/>
                <w:szCs w:val="21"/>
                <w:highlight w:val="none"/>
              </w:rPr>
            </w:pPr>
            <w:r>
              <w:rPr>
                <w:rFonts w:hint="eastAsia" w:hAnsi="Courier New"/>
                <w:b/>
                <w:bCs/>
                <w:kern w:val="2"/>
                <w:highlight w:val="none"/>
              </w:rPr>
              <w:t>每船配员标准（人）</w:t>
            </w:r>
          </w:p>
        </w:tc>
        <w:tc>
          <w:tcPr>
            <w:tcW w:w="1775"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船员成本费用</w:t>
            </w:r>
          </w:p>
          <w:p>
            <w:pPr>
              <w:pStyle w:val="3"/>
              <w:jc w:val="center"/>
              <w:rPr>
                <w:rFonts w:hAnsi="Courier New"/>
                <w:b/>
                <w:bCs/>
                <w:kern w:val="2"/>
                <w:sz w:val="21"/>
                <w:szCs w:val="21"/>
                <w:highlight w:val="none"/>
              </w:rPr>
            </w:pPr>
            <w:r>
              <w:rPr>
                <w:rFonts w:hint="eastAsia" w:hAnsi="Courier New"/>
                <w:b/>
                <w:bCs/>
                <w:kern w:val="2"/>
                <w:sz w:val="21"/>
                <w:szCs w:val="21"/>
                <w:highlight w:val="none"/>
              </w:rPr>
              <w:t>单项报价</w:t>
            </w:r>
          </w:p>
          <w:p>
            <w:pPr>
              <w:pStyle w:val="3"/>
              <w:jc w:val="center"/>
              <w:rPr>
                <w:rFonts w:hAnsi="Courier New"/>
                <w:b/>
                <w:bCs/>
                <w:kern w:val="2"/>
                <w:sz w:val="21"/>
                <w:szCs w:val="21"/>
                <w:highlight w:val="none"/>
              </w:rPr>
            </w:pPr>
            <w:r>
              <w:rPr>
                <w:rFonts w:hint="eastAsia" w:hAnsi="Courier New"/>
                <w:b/>
                <w:bCs/>
                <w:kern w:val="2"/>
                <w:sz w:val="21"/>
                <w:szCs w:val="21"/>
                <w:highlight w:val="none"/>
              </w:rPr>
              <w:t>（元/每船月）</w:t>
            </w:r>
          </w:p>
        </w:tc>
        <w:tc>
          <w:tcPr>
            <w:tcW w:w="552"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序号</w:t>
            </w:r>
          </w:p>
        </w:tc>
        <w:tc>
          <w:tcPr>
            <w:tcW w:w="1081"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职务</w:t>
            </w:r>
          </w:p>
        </w:tc>
        <w:tc>
          <w:tcPr>
            <w:tcW w:w="914" w:type="dxa"/>
            <w:gridSpan w:val="2"/>
            <w:vAlign w:val="center"/>
          </w:tcPr>
          <w:p>
            <w:pPr>
              <w:pStyle w:val="3"/>
              <w:jc w:val="center"/>
              <w:rPr>
                <w:rFonts w:hAnsi="Courier New"/>
                <w:b/>
                <w:bCs/>
                <w:kern w:val="2"/>
                <w:sz w:val="21"/>
                <w:szCs w:val="21"/>
                <w:highlight w:val="none"/>
              </w:rPr>
            </w:pPr>
            <w:r>
              <w:rPr>
                <w:rFonts w:hint="eastAsia" w:hAnsi="Courier New"/>
                <w:b/>
                <w:bCs/>
                <w:kern w:val="2"/>
                <w:highlight w:val="none"/>
              </w:rPr>
              <w:t>每船配员标准（人）</w:t>
            </w:r>
          </w:p>
        </w:tc>
        <w:tc>
          <w:tcPr>
            <w:tcW w:w="1736" w:type="dxa"/>
            <w:vAlign w:val="center"/>
          </w:tcPr>
          <w:p>
            <w:pPr>
              <w:pStyle w:val="3"/>
              <w:jc w:val="center"/>
              <w:rPr>
                <w:rFonts w:hAnsi="Courier New"/>
                <w:b/>
                <w:bCs/>
                <w:kern w:val="2"/>
                <w:sz w:val="21"/>
                <w:szCs w:val="21"/>
                <w:highlight w:val="none"/>
              </w:rPr>
            </w:pPr>
            <w:r>
              <w:rPr>
                <w:rFonts w:hint="eastAsia" w:hAnsi="Courier New"/>
                <w:b/>
                <w:bCs/>
                <w:kern w:val="2"/>
                <w:sz w:val="21"/>
                <w:szCs w:val="21"/>
                <w:highlight w:val="none"/>
              </w:rPr>
              <w:t>船员成本费用</w:t>
            </w:r>
          </w:p>
          <w:p>
            <w:pPr>
              <w:pStyle w:val="3"/>
              <w:jc w:val="center"/>
              <w:rPr>
                <w:rFonts w:hAnsi="Courier New"/>
                <w:b/>
                <w:bCs/>
                <w:kern w:val="2"/>
                <w:sz w:val="21"/>
                <w:szCs w:val="21"/>
                <w:highlight w:val="none"/>
              </w:rPr>
            </w:pPr>
            <w:r>
              <w:rPr>
                <w:rFonts w:hint="eastAsia" w:hAnsi="Courier New"/>
                <w:b/>
                <w:bCs/>
                <w:kern w:val="2"/>
                <w:sz w:val="21"/>
                <w:szCs w:val="21"/>
                <w:highlight w:val="none"/>
              </w:rPr>
              <w:t>单项报价</w:t>
            </w:r>
          </w:p>
          <w:p>
            <w:pPr>
              <w:pStyle w:val="3"/>
              <w:jc w:val="center"/>
              <w:rPr>
                <w:rFonts w:hAnsi="Courier New"/>
                <w:b/>
                <w:bCs/>
                <w:kern w:val="2"/>
                <w:sz w:val="21"/>
                <w:szCs w:val="21"/>
                <w:highlight w:val="none"/>
              </w:rPr>
            </w:pPr>
            <w:r>
              <w:rPr>
                <w:rFonts w:hint="eastAsia" w:hAnsi="Courier New"/>
                <w:b/>
                <w:bCs/>
                <w:kern w:val="2"/>
                <w:sz w:val="21"/>
                <w:szCs w:val="21"/>
                <w:highlight w:val="none"/>
              </w:rPr>
              <w:t>（元/每船月）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船长</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restart"/>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37</w:t>
            </w:r>
            <w:r>
              <w:rPr>
                <w:rFonts w:ascii="仿宋_GB2312" w:hAnsi="仿宋_GB2312" w:eastAsia="仿宋_GB2312" w:cs="仿宋_GB2312"/>
                <w:iCs/>
                <w:kern w:val="2"/>
                <w:sz w:val="24"/>
                <w:highlight w:val="none"/>
              </w:rPr>
              <w:t>0</w:t>
            </w:r>
            <w:r>
              <w:rPr>
                <w:rFonts w:hint="eastAsia" w:ascii="仿宋_GB2312" w:hAnsi="仿宋_GB2312" w:eastAsia="仿宋_GB2312" w:cs="仿宋_GB2312"/>
                <w:iCs/>
                <w:kern w:val="2"/>
                <w:sz w:val="24"/>
                <w:highlight w:val="none"/>
              </w:rPr>
              <w:t>,</w:t>
            </w:r>
            <w:r>
              <w:rPr>
                <w:rFonts w:ascii="仿宋_GB2312" w:hAnsi="仿宋_GB2312" w:eastAsia="仿宋_GB2312" w:cs="仿宋_GB2312"/>
                <w:iCs/>
                <w:kern w:val="2"/>
                <w:sz w:val="24"/>
                <w:highlight w:val="none"/>
              </w:rPr>
              <w:t>000</w:t>
            </w:r>
            <w:r>
              <w:rPr>
                <w:rFonts w:hint="eastAsia" w:ascii="仿宋_GB2312" w:hAnsi="仿宋_GB2312" w:eastAsia="仿宋_GB2312" w:cs="仿宋_GB2312"/>
                <w:iCs/>
                <w:kern w:val="2"/>
                <w:sz w:val="24"/>
                <w:highlight w:val="none"/>
              </w:rPr>
              <w:t>.00</w:t>
            </w: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船长</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restart"/>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2</w:t>
            </w:r>
            <w:r>
              <w:rPr>
                <w:rFonts w:ascii="仿宋_GB2312" w:hAnsi="仿宋_GB2312" w:eastAsia="仿宋_GB2312" w:cs="仿宋_GB2312"/>
                <w:iCs/>
                <w:kern w:val="2"/>
                <w:sz w:val="24"/>
                <w:highlight w:val="none"/>
              </w:rPr>
              <w:t>4</w:t>
            </w:r>
            <w:r>
              <w:rPr>
                <w:rFonts w:hint="eastAsia" w:ascii="仿宋_GB2312" w:hAnsi="仿宋_GB2312" w:eastAsia="仿宋_GB2312" w:cs="仿宋_GB2312"/>
                <w:iCs/>
                <w:kern w:val="2"/>
                <w:sz w:val="24"/>
                <w:highlight w:val="none"/>
              </w:rPr>
              <w:t>5,</w:t>
            </w:r>
            <w:r>
              <w:rPr>
                <w:rFonts w:ascii="仿宋_GB2312" w:hAnsi="仿宋_GB2312" w:eastAsia="仿宋_GB2312" w:cs="仿宋_GB2312"/>
                <w:iCs/>
                <w:kern w:val="2"/>
                <w:sz w:val="24"/>
                <w:highlight w:val="none"/>
              </w:rPr>
              <w:t>00</w:t>
            </w:r>
            <w:r>
              <w:rPr>
                <w:rFonts w:hint="eastAsia" w:ascii="仿宋_GB2312" w:hAnsi="仿宋_GB2312" w:eastAsia="仿宋_GB2312" w:cs="仿宋_GB2312"/>
                <w:iCs/>
                <w:kern w:val="2"/>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2</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大副</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2</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大副</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3</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二副</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3</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二副</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4</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三副</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4</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三副</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5</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轮机长</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5</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轮机长</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6</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大管轮</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6</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大管轮</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7</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二管轮</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7</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二管轮</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8</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三管轮</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8</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三管轮</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9</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电机员</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9</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水手</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3</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10</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水手长</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10</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机工</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3</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11</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水手</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4</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11</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大厨</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12</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机工长</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12</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厨工</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r>
              <w:rPr>
                <w:rFonts w:ascii="仿宋_GB2312" w:hAnsi="仿宋_GB2312" w:eastAsia="仿宋_GB2312" w:cs="仿宋_GB2312"/>
                <w:iCs/>
                <w:kern w:val="2"/>
                <w:szCs w:val="21"/>
                <w:highlight w:val="none"/>
              </w:rPr>
              <w:t>3</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机工</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4</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552"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13</w:t>
            </w:r>
          </w:p>
        </w:tc>
        <w:tc>
          <w:tcPr>
            <w:tcW w:w="1081"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服务员</w:t>
            </w:r>
          </w:p>
        </w:tc>
        <w:tc>
          <w:tcPr>
            <w:tcW w:w="914" w:type="dxa"/>
            <w:gridSpan w:val="2"/>
            <w:vAlign w:val="center"/>
          </w:tcPr>
          <w:p>
            <w:pPr>
              <w:widowControl/>
              <w:jc w:val="center"/>
              <w:textAlignment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36" w:type="dxa"/>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r>
              <w:rPr>
                <w:rFonts w:ascii="仿宋_GB2312" w:hAnsi="仿宋_GB2312" w:eastAsia="仿宋_GB2312" w:cs="仿宋_GB2312"/>
                <w:iCs/>
                <w:kern w:val="2"/>
                <w:szCs w:val="21"/>
                <w:highlight w:val="none"/>
              </w:rPr>
              <w:t>4</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船医</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4283" w:type="dxa"/>
            <w:gridSpan w:val="5"/>
            <w:vMerge w:val="restart"/>
            <w:tcBorders>
              <w:tl2br w:val="single" w:color="auto" w:sz="4" w:space="0"/>
            </w:tcBorders>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r>
              <w:rPr>
                <w:rFonts w:ascii="仿宋_GB2312" w:hAnsi="仿宋_GB2312" w:eastAsia="仿宋_GB2312" w:cs="仿宋_GB2312"/>
                <w:iCs/>
                <w:kern w:val="2"/>
                <w:szCs w:val="21"/>
                <w:highlight w:val="none"/>
              </w:rPr>
              <w:t>5</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大厨</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1</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4283" w:type="dxa"/>
            <w:gridSpan w:val="5"/>
            <w:vMerge w:val="continue"/>
            <w:tcBorders>
              <w:tl2br w:val="single" w:color="auto" w:sz="4" w:space="0"/>
            </w:tcBorders>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r>
              <w:rPr>
                <w:rFonts w:ascii="仿宋_GB2312" w:hAnsi="仿宋_GB2312" w:eastAsia="仿宋_GB2312" w:cs="仿宋_GB2312"/>
                <w:iCs/>
                <w:kern w:val="2"/>
                <w:szCs w:val="21"/>
                <w:highlight w:val="none"/>
              </w:rPr>
              <w:t>6</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厨工</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2</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4283" w:type="dxa"/>
            <w:gridSpan w:val="5"/>
            <w:vMerge w:val="continue"/>
            <w:tcBorders>
              <w:tl2br w:val="single" w:color="auto" w:sz="4" w:space="0"/>
            </w:tcBorders>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8"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w:t>
            </w:r>
            <w:r>
              <w:rPr>
                <w:rFonts w:ascii="仿宋_GB2312" w:hAnsi="仿宋_GB2312" w:eastAsia="仿宋_GB2312" w:cs="仿宋_GB2312"/>
                <w:iCs/>
                <w:kern w:val="2"/>
                <w:szCs w:val="21"/>
                <w:highlight w:val="none"/>
              </w:rPr>
              <w:t>7</w:t>
            </w:r>
          </w:p>
        </w:tc>
        <w:tc>
          <w:tcPr>
            <w:tcW w:w="1017"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服务员</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2</w:t>
            </w:r>
          </w:p>
        </w:tc>
        <w:tc>
          <w:tcPr>
            <w:tcW w:w="1775" w:type="dxa"/>
            <w:vMerge w:val="continue"/>
            <w:vAlign w:val="center"/>
          </w:tcPr>
          <w:p>
            <w:pPr>
              <w:spacing w:line="480" w:lineRule="exact"/>
              <w:jc w:val="center"/>
              <w:rPr>
                <w:rFonts w:ascii="仿宋_GB2312" w:hAnsi="仿宋_GB2312" w:eastAsia="仿宋_GB2312" w:cs="仿宋_GB2312"/>
                <w:iCs/>
                <w:kern w:val="2"/>
                <w:szCs w:val="21"/>
                <w:highlight w:val="none"/>
              </w:rPr>
            </w:pPr>
          </w:p>
        </w:tc>
        <w:tc>
          <w:tcPr>
            <w:tcW w:w="4283" w:type="dxa"/>
            <w:gridSpan w:val="5"/>
            <w:vMerge w:val="continue"/>
            <w:vAlign w:val="center"/>
          </w:tcPr>
          <w:p>
            <w:pPr>
              <w:spacing w:line="480" w:lineRule="exact"/>
              <w:jc w:val="center"/>
              <w:rPr>
                <w:rFonts w:ascii="仿宋_GB2312" w:hAnsi="仿宋_GB2312" w:eastAsia="仿宋_GB2312" w:cs="仿宋_GB2312"/>
                <w:iCs/>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5" w:type="dxa"/>
            <w:gridSpan w:val="2"/>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小计</w:t>
            </w:r>
          </w:p>
        </w:tc>
        <w:tc>
          <w:tcPr>
            <w:tcW w:w="86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2</w:t>
            </w:r>
            <w:r>
              <w:rPr>
                <w:rFonts w:ascii="仿宋_GB2312" w:hAnsi="仿宋_GB2312" w:eastAsia="仿宋_GB2312" w:cs="仿宋_GB2312"/>
                <w:iCs/>
                <w:kern w:val="2"/>
                <w:szCs w:val="21"/>
                <w:highlight w:val="none"/>
              </w:rPr>
              <w:t>5</w:t>
            </w:r>
          </w:p>
        </w:tc>
        <w:tc>
          <w:tcPr>
            <w:tcW w:w="1775"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37</w:t>
            </w:r>
            <w:r>
              <w:rPr>
                <w:rFonts w:ascii="仿宋_GB2312" w:hAnsi="仿宋_GB2312" w:eastAsia="仿宋_GB2312" w:cs="仿宋_GB2312"/>
                <w:iCs/>
                <w:kern w:val="2"/>
                <w:sz w:val="24"/>
                <w:highlight w:val="none"/>
              </w:rPr>
              <w:t>0</w:t>
            </w:r>
            <w:r>
              <w:rPr>
                <w:rFonts w:hint="eastAsia" w:ascii="仿宋_GB2312" w:hAnsi="仿宋_GB2312" w:eastAsia="仿宋_GB2312" w:cs="仿宋_GB2312"/>
                <w:iCs/>
                <w:kern w:val="2"/>
                <w:sz w:val="24"/>
                <w:highlight w:val="none"/>
              </w:rPr>
              <w:t>,</w:t>
            </w:r>
            <w:r>
              <w:rPr>
                <w:rFonts w:ascii="仿宋_GB2312" w:hAnsi="仿宋_GB2312" w:eastAsia="仿宋_GB2312" w:cs="仿宋_GB2312"/>
                <w:iCs/>
                <w:kern w:val="2"/>
                <w:sz w:val="24"/>
                <w:highlight w:val="none"/>
              </w:rPr>
              <w:t>000</w:t>
            </w:r>
            <w:r>
              <w:rPr>
                <w:rFonts w:hint="eastAsia" w:ascii="仿宋_GB2312" w:hAnsi="仿宋_GB2312" w:eastAsia="仿宋_GB2312" w:cs="仿宋_GB2312"/>
                <w:iCs/>
                <w:kern w:val="2"/>
                <w:sz w:val="24"/>
                <w:highlight w:val="none"/>
              </w:rPr>
              <w:t>.00</w:t>
            </w:r>
          </w:p>
        </w:tc>
        <w:tc>
          <w:tcPr>
            <w:tcW w:w="1698" w:type="dxa"/>
            <w:gridSpan w:val="3"/>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小计</w:t>
            </w:r>
          </w:p>
        </w:tc>
        <w:tc>
          <w:tcPr>
            <w:tcW w:w="849"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Cs w:val="21"/>
                <w:highlight w:val="none"/>
              </w:rPr>
              <w:t>17</w:t>
            </w:r>
          </w:p>
        </w:tc>
        <w:tc>
          <w:tcPr>
            <w:tcW w:w="1736" w:type="dxa"/>
            <w:vAlign w:val="center"/>
          </w:tcPr>
          <w:p>
            <w:pPr>
              <w:spacing w:line="480" w:lineRule="exact"/>
              <w:jc w:val="center"/>
              <w:rPr>
                <w:rFonts w:ascii="仿宋_GB2312" w:hAnsi="仿宋_GB2312" w:eastAsia="仿宋_GB2312" w:cs="仿宋_GB2312"/>
                <w:iCs/>
                <w:kern w:val="2"/>
                <w:szCs w:val="21"/>
                <w:highlight w:val="none"/>
              </w:rPr>
            </w:pPr>
            <w:r>
              <w:rPr>
                <w:rFonts w:hint="eastAsia" w:ascii="仿宋_GB2312" w:hAnsi="仿宋_GB2312" w:eastAsia="仿宋_GB2312" w:cs="仿宋_GB2312"/>
                <w:iCs/>
                <w:kern w:val="2"/>
                <w:sz w:val="24"/>
                <w:highlight w:val="none"/>
              </w:rPr>
              <w:t>2</w:t>
            </w:r>
            <w:r>
              <w:rPr>
                <w:rFonts w:ascii="仿宋_GB2312" w:hAnsi="仿宋_GB2312" w:eastAsia="仿宋_GB2312" w:cs="仿宋_GB2312"/>
                <w:iCs/>
                <w:kern w:val="2"/>
                <w:sz w:val="24"/>
                <w:highlight w:val="none"/>
              </w:rPr>
              <w:t>4</w:t>
            </w:r>
            <w:r>
              <w:rPr>
                <w:rFonts w:hint="eastAsia" w:ascii="仿宋_GB2312" w:hAnsi="仿宋_GB2312" w:eastAsia="仿宋_GB2312" w:cs="仿宋_GB2312"/>
                <w:iCs/>
                <w:kern w:val="2"/>
                <w:sz w:val="24"/>
                <w:highlight w:val="none"/>
              </w:rPr>
              <w:t>5,</w:t>
            </w:r>
            <w:r>
              <w:rPr>
                <w:rFonts w:ascii="仿宋_GB2312" w:hAnsi="仿宋_GB2312" w:eastAsia="仿宋_GB2312" w:cs="仿宋_GB2312"/>
                <w:iCs/>
                <w:kern w:val="2"/>
                <w:sz w:val="24"/>
                <w:highlight w:val="none"/>
              </w:rPr>
              <w:t>00</w:t>
            </w:r>
            <w:r>
              <w:rPr>
                <w:rFonts w:hint="eastAsia" w:ascii="仿宋_GB2312" w:hAnsi="仿宋_GB2312" w:eastAsia="仿宋_GB2312" w:cs="仿宋_GB2312"/>
                <w:iCs/>
                <w:kern w:val="2"/>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6" w:type="dxa"/>
            <w:gridSpan w:val="4"/>
            <w:vAlign w:val="center"/>
          </w:tcPr>
          <w:p>
            <w:pPr>
              <w:spacing w:line="480" w:lineRule="exact"/>
              <w:jc w:val="center"/>
              <w:rPr>
                <w:rFonts w:ascii="仿宋_GB2312" w:hAnsi="仿宋_GB2312" w:eastAsia="仿宋_GB2312" w:cs="仿宋_GB2312"/>
                <w:iCs/>
                <w:kern w:val="2"/>
                <w:sz w:val="24"/>
                <w:highlight w:val="none"/>
              </w:rPr>
            </w:pPr>
            <w:r>
              <w:rPr>
                <w:rFonts w:hint="eastAsia" w:ascii="仿宋_GB2312" w:hAnsi="仿宋_GB2312" w:eastAsia="仿宋_GB2312" w:cs="仿宋_GB2312"/>
                <w:iCs/>
                <w:kern w:val="2"/>
                <w:szCs w:val="21"/>
                <w:highlight w:val="none"/>
              </w:rPr>
              <w:t>合计</w:t>
            </w:r>
          </w:p>
        </w:tc>
        <w:tc>
          <w:tcPr>
            <w:tcW w:w="4283" w:type="dxa"/>
            <w:gridSpan w:val="5"/>
            <w:vAlign w:val="center"/>
          </w:tcPr>
          <w:p>
            <w:pPr>
              <w:spacing w:line="480" w:lineRule="exact"/>
              <w:jc w:val="center"/>
              <w:rPr>
                <w:rFonts w:ascii="仿宋_GB2312" w:hAnsi="仿宋_GB2312" w:eastAsia="仿宋_GB2312" w:cs="仿宋_GB2312"/>
                <w:iCs/>
                <w:kern w:val="2"/>
                <w:sz w:val="24"/>
                <w:highlight w:val="none"/>
              </w:rPr>
            </w:pPr>
            <w:r>
              <w:rPr>
                <w:rFonts w:ascii="仿宋_GB2312" w:hAnsi="仿宋_GB2312" w:eastAsia="仿宋_GB2312" w:cs="仿宋_GB2312"/>
                <w:iCs/>
                <w:kern w:val="2"/>
                <w:sz w:val="24"/>
                <w:highlight w:val="none"/>
              </w:rPr>
              <w:t>615,000</w:t>
            </w:r>
            <w:r>
              <w:rPr>
                <w:rFonts w:hint="eastAsia" w:ascii="仿宋_GB2312" w:hAnsi="仿宋_GB2312" w:eastAsia="仿宋_GB2312" w:cs="仿宋_GB2312"/>
                <w:iCs/>
                <w:kern w:val="2"/>
                <w:sz w:val="24"/>
                <w:highlight w:val="none"/>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9"/>
            <w:vAlign w:val="center"/>
          </w:tcPr>
          <w:p>
            <w:pPr>
              <w:spacing w:line="480" w:lineRule="exact"/>
              <w:rPr>
                <w:rFonts w:hAnsi="Courier New"/>
                <w:b/>
                <w:bCs/>
                <w:kern w:val="2"/>
                <w:highlight w:val="none"/>
              </w:rPr>
            </w:pPr>
            <w:r>
              <w:rPr>
                <w:rFonts w:hint="eastAsia" w:hAnsi="Courier New"/>
                <w:b/>
                <w:bCs/>
                <w:kern w:val="2"/>
                <w:highlight w:val="none"/>
              </w:rPr>
              <w:t>船员成本费用单船报价超过最高限额视为无效报价。</w:t>
            </w:r>
          </w:p>
          <w:p>
            <w:pPr>
              <w:spacing w:line="480" w:lineRule="exact"/>
              <w:rPr>
                <w:rFonts w:hAnsi="Courier New"/>
                <w:b/>
                <w:bCs/>
                <w:kern w:val="2"/>
                <w:highlight w:val="none"/>
              </w:rPr>
            </w:pPr>
          </w:p>
        </w:tc>
      </w:tr>
    </w:tbl>
    <w:p>
      <w:pPr>
        <w:pStyle w:val="2"/>
        <w:rPr>
          <w:highlight w:val="none"/>
        </w:rPr>
      </w:pPr>
    </w:p>
    <w:p>
      <w:pPr>
        <w:widowControl/>
        <w:autoSpaceDE/>
        <w:autoSpaceDN/>
        <w:adjustRightInd/>
        <w:rPr>
          <w:rFonts w:cs="宋体"/>
          <w:sz w:val="24"/>
          <w:highlight w:val="none"/>
        </w:rPr>
      </w:pPr>
      <w:r>
        <w:rPr>
          <w:highlight w:val="none"/>
        </w:rPr>
        <w:br w:type="page"/>
      </w:r>
    </w:p>
    <w:tbl>
      <w:tblPr>
        <w:tblStyle w:val="5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61"/>
        <w:gridCol w:w="735"/>
        <w:gridCol w:w="954"/>
        <w:gridCol w:w="1714"/>
        <w:gridCol w:w="523"/>
        <w:gridCol w:w="995"/>
        <w:gridCol w:w="1118"/>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3" w:type="dxa"/>
            <w:gridSpan w:val="9"/>
            <w:vAlign w:val="center"/>
          </w:tcPr>
          <w:p>
            <w:pPr>
              <w:pStyle w:val="3"/>
              <w:jc w:val="center"/>
              <w:rPr>
                <w:b/>
                <w:bCs/>
                <w:highlight w:val="none"/>
              </w:rPr>
            </w:pPr>
            <w:r>
              <w:rPr>
                <w:rFonts w:hint="eastAsia"/>
                <w:b/>
                <w:bCs/>
                <w:highlight w:val="none"/>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3" w:type="dxa"/>
            <w:gridSpan w:val="9"/>
            <w:vAlign w:val="center"/>
          </w:tcPr>
          <w:p>
            <w:pPr>
              <w:pStyle w:val="3"/>
              <w:rPr>
                <w:b/>
                <w:bCs/>
                <w:highlight w:val="none"/>
              </w:rPr>
            </w:pPr>
            <w:r>
              <w:rPr>
                <w:rFonts w:hint="eastAsia"/>
                <w:b/>
                <w:bCs/>
                <w:highlight w:val="none"/>
              </w:rPr>
              <w:t>一、船员成本费用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88" w:type="dxa"/>
            <w:gridSpan w:val="5"/>
            <w:vAlign w:val="center"/>
          </w:tcPr>
          <w:p>
            <w:pPr>
              <w:pStyle w:val="3"/>
              <w:jc w:val="center"/>
              <w:rPr>
                <w:b/>
                <w:bCs/>
                <w:highlight w:val="none"/>
              </w:rPr>
            </w:pPr>
            <w:r>
              <w:rPr>
                <w:rFonts w:hint="eastAsia"/>
                <w:b/>
                <w:bCs/>
                <w:highlight w:val="none"/>
              </w:rPr>
              <w:t>远洋调查船组</w:t>
            </w:r>
          </w:p>
        </w:tc>
        <w:tc>
          <w:tcPr>
            <w:tcW w:w="4335" w:type="dxa"/>
            <w:gridSpan w:val="4"/>
            <w:vAlign w:val="center"/>
          </w:tcPr>
          <w:p>
            <w:pPr>
              <w:pStyle w:val="3"/>
              <w:jc w:val="center"/>
              <w:rPr>
                <w:b/>
                <w:bCs/>
                <w:highlight w:val="none"/>
              </w:rPr>
            </w:pPr>
            <w:r>
              <w:rPr>
                <w:rFonts w:hint="eastAsia"/>
                <w:b/>
                <w:bCs/>
                <w:highlight w:val="none"/>
              </w:rPr>
              <w:t>500吨级以上调查船组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24" w:type="dxa"/>
            <w:vAlign w:val="center"/>
          </w:tcPr>
          <w:p>
            <w:pPr>
              <w:pStyle w:val="3"/>
              <w:jc w:val="center"/>
              <w:rPr>
                <w:b/>
                <w:bCs/>
                <w:highlight w:val="none"/>
              </w:rPr>
            </w:pPr>
            <w:r>
              <w:rPr>
                <w:rFonts w:hint="eastAsia"/>
                <w:b/>
                <w:bCs/>
                <w:highlight w:val="none"/>
              </w:rPr>
              <w:t>序号</w:t>
            </w:r>
          </w:p>
        </w:tc>
        <w:tc>
          <w:tcPr>
            <w:tcW w:w="996" w:type="dxa"/>
            <w:gridSpan w:val="2"/>
            <w:vAlign w:val="center"/>
          </w:tcPr>
          <w:p>
            <w:pPr>
              <w:pStyle w:val="3"/>
              <w:jc w:val="center"/>
              <w:rPr>
                <w:b/>
                <w:bCs/>
                <w:highlight w:val="none"/>
              </w:rPr>
            </w:pPr>
            <w:r>
              <w:rPr>
                <w:rFonts w:hint="eastAsia"/>
                <w:b/>
                <w:bCs/>
                <w:highlight w:val="none"/>
              </w:rPr>
              <w:t>职务</w:t>
            </w:r>
          </w:p>
        </w:tc>
        <w:tc>
          <w:tcPr>
            <w:tcW w:w="954" w:type="dxa"/>
            <w:vAlign w:val="center"/>
          </w:tcPr>
          <w:p>
            <w:pPr>
              <w:pStyle w:val="3"/>
              <w:jc w:val="center"/>
              <w:rPr>
                <w:b/>
                <w:bCs/>
                <w:highlight w:val="none"/>
              </w:rPr>
            </w:pPr>
            <w:r>
              <w:rPr>
                <w:rFonts w:hint="eastAsia"/>
                <w:b/>
                <w:bCs/>
                <w:highlight w:val="none"/>
              </w:rPr>
              <w:t>每船配员标准</w:t>
            </w:r>
          </w:p>
          <w:p>
            <w:pPr>
              <w:pStyle w:val="3"/>
              <w:jc w:val="center"/>
              <w:rPr>
                <w:b/>
                <w:bCs/>
                <w:highlight w:val="none"/>
              </w:rPr>
            </w:pPr>
            <w:r>
              <w:rPr>
                <w:rFonts w:hint="eastAsia"/>
                <w:b/>
                <w:bCs/>
                <w:highlight w:val="none"/>
              </w:rPr>
              <w:t>（人）</w:t>
            </w:r>
          </w:p>
        </w:tc>
        <w:tc>
          <w:tcPr>
            <w:tcW w:w="1714"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c>
          <w:tcPr>
            <w:tcW w:w="523" w:type="dxa"/>
            <w:vAlign w:val="center"/>
          </w:tcPr>
          <w:p>
            <w:pPr>
              <w:pStyle w:val="3"/>
              <w:jc w:val="center"/>
              <w:rPr>
                <w:b/>
                <w:bCs/>
                <w:highlight w:val="none"/>
              </w:rPr>
            </w:pPr>
            <w:r>
              <w:rPr>
                <w:rFonts w:hint="eastAsia"/>
                <w:b/>
                <w:bCs/>
                <w:highlight w:val="none"/>
              </w:rPr>
              <w:t>序号</w:t>
            </w:r>
          </w:p>
        </w:tc>
        <w:tc>
          <w:tcPr>
            <w:tcW w:w="995" w:type="dxa"/>
            <w:vAlign w:val="center"/>
          </w:tcPr>
          <w:p>
            <w:pPr>
              <w:pStyle w:val="3"/>
              <w:jc w:val="center"/>
              <w:rPr>
                <w:b/>
                <w:bCs/>
                <w:highlight w:val="none"/>
              </w:rPr>
            </w:pPr>
            <w:r>
              <w:rPr>
                <w:rFonts w:hint="eastAsia"/>
                <w:b/>
                <w:bCs/>
                <w:highlight w:val="none"/>
              </w:rPr>
              <w:t>职务</w:t>
            </w:r>
          </w:p>
        </w:tc>
        <w:tc>
          <w:tcPr>
            <w:tcW w:w="1118" w:type="dxa"/>
            <w:vAlign w:val="center"/>
          </w:tcPr>
          <w:p>
            <w:pPr>
              <w:pStyle w:val="3"/>
              <w:jc w:val="center"/>
              <w:rPr>
                <w:b/>
                <w:bCs/>
                <w:highlight w:val="none"/>
              </w:rPr>
            </w:pPr>
            <w:r>
              <w:rPr>
                <w:rFonts w:hint="eastAsia"/>
                <w:b/>
                <w:bCs/>
                <w:highlight w:val="none"/>
              </w:rPr>
              <w:t>每船配员标准（人）</w:t>
            </w:r>
          </w:p>
        </w:tc>
        <w:tc>
          <w:tcPr>
            <w:tcW w:w="1699" w:type="dxa"/>
            <w:vAlign w:val="center"/>
          </w:tcPr>
          <w:p>
            <w:pPr>
              <w:pStyle w:val="3"/>
              <w:jc w:val="center"/>
              <w:rPr>
                <w:b/>
                <w:bCs/>
                <w:highlight w:val="none"/>
              </w:rPr>
            </w:pPr>
            <w:r>
              <w:rPr>
                <w:rFonts w:hint="eastAsia"/>
                <w:b/>
                <w:bCs/>
                <w:highlight w:val="none"/>
              </w:rPr>
              <w:t>船员成本费用</w:t>
            </w:r>
          </w:p>
          <w:p>
            <w:pPr>
              <w:pStyle w:val="3"/>
              <w:jc w:val="center"/>
              <w:rPr>
                <w:b/>
                <w:bCs/>
                <w:highlight w:val="none"/>
              </w:rPr>
            </w:pPr>
            <w:r>
              <w:rPr>
                <w:rFonts w:hint="eastAsia"/>
                <w:b/>
                <w:bCs/>
                <w:highlight w:val="none"/>
              </w:rPr>
              <w:t>单项报价</w:t>
            </w:r>
          </w:p>
          <w:p>
            <w:pPr>
              <w:pStyle w:val="3"/>
              <w:jc w:val="center"/>
              <w:rPr>
                <w:b/>
                <w:bCs/>
                <w:highlight w:val="none"/>
              </w:rPr>
            </w:pPr>
            <w:r>
              <w:rPr>
                <w:rFonts w:hint="eastAsia"/>
                <w:b/>
                <w:bCs/>
                <w:highlight w:val="none"/>
              </w:rPr>
              <w:t>（元/每人月）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船长</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大副</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二副</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三副</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5</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轮机长</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6</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大管轮</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7</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二管轮</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8</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三管轮</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电机员</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9</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水手</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10</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水手长</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10</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机工</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3</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11</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水手</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11</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大厨</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12</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机工长</w:t>
            </w:r>
          </w:p>
        </w:tc>
        <w:tc>
          <w:tcPr>
            <w:tcW w:w="954" w:type="dxa"/>
            <w:vAlign w:val="center"/>
          </w:tcPr>
          <w:p>
            <w:pPr>
              <w:jc w:val="center"/>
              <w:rPr>
                <w:rFonts w:ascii="仿宋_GB2312" w:hAnsi="仿宋_GB2312" w:eastAsia="仿宋_GB2312" w:cs="仿宋_GB2312"/>
                <w:iCs/>
                <w:sz w:val="24"/>
                <w:highlight w:val="none"/>
              </w:rPr>
            </w:pPr>
            <w:r>
              <w:rPr>
                <w:rFonts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12</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厨工</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3</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机工</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4</w:t>
            </w:r>
          </w:p>
        </w:tc>
        <w:tc>
          <w:tcPr>
            <w:tcW w:w="1714" w:type="dxa"/>
            <w:vAlign w:val="center"/>
          </w:tcPr>
          <w:p>
            <w:pPr>
              <w:jc w:val="center"/>
              <w:rPr>
                <w:rFonts w:ascii="仿宋_GB2312" w:hAnsi="仿宋_GB2312" w:eastAsia="仿宋_GB2312" w:cs="仿宋_GB2312"/>
                <w:iCs/>
                <w:sz w:val="24"/>
                <w:highlight w:val="none"/>
              </w:rPr>
            </w:pPr>
          </w:p>
        </w:tc>
        <w:tc>
          <w:tcPr>
            <w:tcW w:w="523"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13</w:t>
            </w:r>
          </w:p>
        </w:tc>
        <w:tc>
          <w:tcPr>
            <w:tcW w:w="995"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服务员</w:t>
            </w:r>
          </w:p>
        </w:tc>
        <w:tc>
          <w:tcPr>
            <w:tcW w:w="1118"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4</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船医</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4335" w:type="dxa"/>
            <w:gridSpan w:val="4"/>
            <w:vMerge w:val="restart"/>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5</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大厨</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1</w:t>
            </w:r>
          </w:p>
        </w:tc>
        <w:tc>
          <w:tcPr>
            <w:tcW w:w="1714" w:type="dxa"/>
            <w:vAlign w:val="center"/>
          </w:tcPr>
          <w:p>
            <w:pPr>
              <w:jc w:val="center"/>
              <w:rPr>
                <w:rFonts w:ascii="仿宋_GB2312" w:hAnsi="仿宋_GB2312" w:eastAsia="仿宋_GB2312" w:cs="仿宋_GB2312"/>
                <w:iCs/>
                <w:sz w:val="24"/>
                <w:highlight w:val="none"/>
              </w:rPr>
            </w:pPr>
          </w:p>
        </w:tc>
        <w:tc>
          <w:tcPr>
            <w:tcW w:w="4335" w:type="dxa"/>
            <w:gridSpan w:val="4"/>
            <w:vMerge w:val="continue"/>
            <w:tcBorders>
              <w:tl2br w:val="single" w:color="auto" w:sz="4" w:space="0"/>
            </w:tcBorders>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6</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厨工</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714" w:type="dxa"/>
            <w:vAlign w:val="center"/>
          </w:tcPr>
          <w:p>
            <w:pPr>
              <w:jc w:val="center"/>
              <w:rPr>
                <w:rFonts w:ascii="仿宋_GB2312" w:hAnsi="仿宋_GB2312" w:eastAsia="仿宋_GB2312" w:cs="仿宋_GB2312"/>
                <w:iCs/>
                <w:sz w:val="24"/>
                <w:highlight w:val="none"/>
              </w:rPr>
            </w:pPr>
          </w:p>
        </w:tc>
        <w:tc>
          <w:tcPr>
            <w:tcW w:w="4335"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2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1</w:t>
            </w:r>
            <w:r>
              <w:rPr>
                <w:rFonts w:ascii="仿宋_GB2312" w:hAnsi="仿宋_GB2312" w:eastAsia="仿宋_GB2312" w:cs="仿宋_GB2312"/>
                <w:iCs/>
                <w:szCs w:val="21"/>
                <w:highlight w:val="none"/>
              </w:rPr>
              <w:t>7</w:t>
            </w:r>
          </w:p>
        </w:tc>
        <w:tc>
          <w:tcPr>
            <w:tcW w:w="996"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服务员</w:t>
            </w:r>
          </w:p>
        </w:tc>
        <w:tc>
          <w:tcPr>
            <w:tcW w:w="954" w:type="dxa"/>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2</w:t>
            </w:r>
          </w:p>
        </w:tc>
        <w:tc>
          <w:tcPr>
            <w:tcW w:w="1714" w:type="dxa"/>
            <w:vAlign w:val="center"/>
          </w:tcPr>
          <w:p>
            <w:pPr>
              <w:jc w:val="center"/>
              <w:rPr>
                <w:rFonts w:ascii="仿宋_GB2312" w:hAnsi="仿宋_GB2312" w:eastAsia="仿宋_GB2312" w:cs="仿宋_GB2312"/>
                <w:iCs/>
                <w:sz w:val="24"/>
                <w:highlight w:val="none"/>
              </w:rPr>
            </w:pPr>
          </w:p>
        </w:tc>
        <w:tc>
          <w:tcPr>
            <w:tcW w:w="4335" w:type="dxa"/>
            <w:gridSpan w:val="4"/>
            <w:vMerge w:val="continue"/>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20" w:type="dxa"/>
            <w:gridSpan w:val="3"/>
            <w:vAlign w:val="center"/>
          </w:tcPr>
          <w:p>
            <w:pPr>
              <w:jc w:val="center"/>
              <w:rPr>
                <w:rFonts w:ascii="仿宋_GB2312" w:hAnsi="仿宋_GB2312" w:eastAsia="仿宋_GB2312" w:cs="仿宋_GB2312"/>
                <w:iCs/>
                <w:szCs w:val="21"/>
                <w:highlight w:val="none"/>
              </w:rPr>
            </w:pPr>
            <w:r>
              <w:rPr>
                <w:rFonts w:hint="eastAsia" w:ascii="仿宋_GB2312" w:hAnsi="仿宋_GB2312" w:eastAsia="仿宋_GB2312" w:cs="仿宋_GB2312"/>
                <w:iCs/>
                <w:szCs w:val="21"/>
                <w:highlight w:val="none"/>
              </w:rPr>
              <w:t>小计</w:t>
            </w:r>
          </w:p>
        </w:tc>
        <w:tc>
          <w:tcPr>
            <w:tcW w:w="954" w:type="dxa"/>
            <w:vAlign w:val="center"/>
          </w:tcPr>
          <w:p>
            <w:pPr>
              <w:jc w:val="center"/>
              <w:rPr>
                <w:rFonts w:ascii="仿宋_GB2312" w:hAnsi="仿宋_GB2312" w:eastAsia="仿宋_GB2312" w:cs="仿宋_GB2312"/>
                <w:iCs/>
                <w:sz w:val="24"/>
                <w:highlight w:val="none"/>
              </w:rPr>
            </w:pPr>
          </w:p>
        </w:tc>
        <w:tc>
          <w:tcPr>
            <w:tcW w:w="1714" w:type="dxa"/>
            <w:vAlign w:val="center"/>
          </w:tcPr>
          <w:p>
            <w:pPr>
              <w:jc w:val="center"/>
              <w:rPr>
                <w:rFonts w:ascii="仿宋_GB2312" w:hAnsi="仿宋_GB2312" w:eastAsia="仿宋_GB2312" w:cs="仿宋_GB2312"/>
                <w:iCs/>
                <w:sz w:val="24"/>
                <w:highlight w:val="none"/>
              </w:rPr>
            </w:pPr>
          </w:p>
        </w:tc>
        <w:tc>
          <w:tcPr>
            <w:tcW w:w="1518" w:type="dxa"/>
            <w:gridSpan w:val="2"/>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 w:val="24"/>
                <w:highlight w:val="none"/>
              </w:rPr>
              <w:t>小计</w:t>
            </w:r>
          </w:p>
        </w:tc>
        <w:tc>
          <w:tcPr>
            <w:tcW w:w="1118" w:type="dxa"/>
            <w:vAlign w:val="center"/>
          </w:tcPr>
          <w:p>
            <w:pPr>
              <w:jc w:val="center"/>
              <w:rPr>
                <w:rFonts w:ascii="仿宋_GB2312" w:hAnsi="仿宋_GB2312" w:eastAsia="仿宋_GB2312" w:cs="仿宋_GB2312"/>
                <w:iCs/>
                <w:sz w:val="24"/>
                <w:highlight w:val="none"/>
              </w:rPr>
            </w:pPr>
          </w:p>
        </w:tc>
        <w:tc>
          <w:tcPr>
            <w:tcW w:w="1699" w:type="dxa"/>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474" w:type="dxa"/>
            <w:gridSpan w:val="4"/>
            <w:vAlign w:val="center"/>
          </w:tcPr>
          <w:p>
            <w:pPr>
              <w:jc w:val="center"/>
              <w:rPr>
                <w:rFonts w:ascii="仿宋_GB2312" w:hAnsi="仿宋_GB2312" w:eastAsia="仿宋_GB2312" w:cs="仿宋_GB2312"/>
                <w:iCs/>
                <w:sz w:val="24"/>
                <w:highlight w:val="none"/>
              </w:rPr>
            </w:pPr>
            <w:r>
              <w:rPr>
                <w:rFonts w:hint="eastAsia" w:ascii="仿宋_GB2312" w:hAnsi="仿宋_GB2312" w:eastAsia="仿宋_GB2312" w:cs="仿宋_GB2312"/>
                <w:iCs/>
                <w:szCs w:val="21"/>
                <w:highlight w:val="none"/>
              </w:rPr>
              <w:t>合计</w:t>
            </w:r>
          </w:p>
        </w:tc>
        <w:tc>
          <w:tcPr>
            <w:tcW w:w="6049" w:type="dxa"/>
            <w:gridSpan w:val="5"/>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3" w:type="dxa"/>
            <w:gridSpan w:val="9"/>
            <w:vAlign w:val="center"/>
          </w:tcPr>
          <w:p>
            <w:pPr>
              <w:rPr>
                <w:rFonts w:ascii="仿宋_GB2312" w:hAnsi="仿宋_GB2312" w:eastAsia="仿宋_GB2312" w:cs="仿宋_GB2312"/>
                <w:iCs/>
                <w:sz w:val="24"/>
                <w:highlight w:val="none"/>
              </w:rPr>
            </w:pPr>
            <w:r>
              <w:rPr>
                <w:rFonts w:hint="eastAsia" w:ascii="仿宋" w:hAnsi="仿宋" w:eastAsia="仿宋" w:cs="仿宋"/>
                <w:b/>
                <w:sz w:val="24"/>
                <w:highlight w:val="none"/>
              </w:rPr>
              <w:t>二、管理费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88" w:type="dxa"/>
            <w:gridSpan w:val="5"/>
            <w:vAlign w:val="center"/>
          </w:tcPr>
          <w:p>
            <w:pPr>
              <w:jc w:val="center"/>
              <w:rPr>
                <w:rFonts w:ascii="仿宋_GB2312" w:hAnsi="仿宋_GB2312" w:eastAsia="仿宋_GB2312" w:cs="仿宋_GB2312"/>
                <w:iCs/>
                <w:sz w:val="24"/>
                <w:highlight w:val="none"/>
              </w:rPr>
            </w:pPr>
            <w:r>
              <w:rPr>
                <w:rFonts w:hint="eastAsia" w:ascii="仿宋" w:hAnsi="仿宋" w:eastAsia="仿宋" w:cs="仿宋"/>
                <w:b/>
                <w:sz w:val="24"/>
                <w:highlight w:val="none"/>
              </w:rPr>
              <w:t>管理费系数（%）</w:t>
            </w:r>
          </w:p>
        </w:tc>
        <w:tc>
          <w:tcPr>
            <w:tcW w:w="4335" w:type="dxa"/>
            <w:gridSpan w:val="4"/>
            <w:vAlign w:val="center"/>
          </w:tcPr>
          <w:p>
            <w:pPr>
              <w:jc w:val="center"/>
              <w:rPr>
                <w:rFonts w:ascii="仿宋_GB2312" w:hAnsi="仿宋_GB2312" w:eastAsia="仿宋_GB2312" w:cs="仿宋_GB2312"/>
                <w:i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gridSpan w:val="2"/>
            <w:vAlign w:val="center"/>
          </w:tcPr>
          <w:p>
            <w:pPr>
              <w:spacing w:line="240" w:lineRule="atLeast"/>
              <w:jc w:val="center"/>
              <w:rPr>
                <w:rFonts w:ascii="仿宋_GB2312" w:hAnsi="仿宋_GB2312" w:eastAsia="仿宋_GB2312" w:cs="仿宋_GB2312"/>
                <w:iCs/>
                <w:sz w:val="24"/>
                <w:highlight w:val="none"/>
              </w:rPr>
            </w:pPr>
            <w:r>
              <w:rPr>
                <w:rFonts w:hint="eastAsia" w:ascii="仿宋" w:hAnsi="仿宋" w:eastAsia="仿宋" w:cs="仿宋"/>
                <w:b/>
                <w:sz w:val="24"/>
                <w:highlight w:val="none"/>
              </w:rPr>
              <w:t>说明</w:t>
            </w:r>
          </w:p>
        </w:tc>
        <w:tc>
          <w:tcPr>
            <w:tcW w:w="7738" w:type="dxa"/>
            <w:gridSpan w:val="7"/>
            <w:vAlign w:val="center"/>
          </w:tcPr>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1.</w:t>
            </w:r>
            <w:r>
              <w:rPr>
                <w:rFonts w:hint="eastAsia" w:ascii="仿宋" w:hAnsi="仿宋" w:eastAsia="仿宋" w:cs="仿宋"/>
                <w:b/>
                <w:bCs/>
                <w:sz w:val="24"/>
                <w:highlight w:val="none"/>
              </w:rPr>
              <w:t>本项目管理费报价不能高于实际发生船员成本费用总额的15%。</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2.</w:t>
            </w:r>
            <w:r>
              <w:rPr>
                <w:rFonts w:hint="eastAsia" w:ascii="仿宋" w:hAnsi="仿宋" w:eastAsia="仿宋" w:cs="仿宋"/>
                <w:b/>
                <w:bCs/>
                <w:sz w:val="24"/>
                <w:highlight w:val="none"/>
              </w:rPr>
              <w:t>管理费=实际发生的船员成本费用×管理费</w:t>
            </w:r>
            <w:r>
              <w:rPr>
                <w:rFonts w:hint="eastAsia" w:ascii="仿宋" w:hAnsi="仿宋" w:eastAsia="仿宋" w:cs="仿宋"/>
                <w:b/>
                <w:sz w:val="24"/>
                <w:highlight w:val="none"/>
              </w:rPr>
              <w:t>系数</w:t>
            </w:r>
            <w:r>
              <w:rPr>
                <w:rFonts w:hint="eastAsia" w:ascii="仿宋" w:hAnsi="仿宋" w:eastAsia="仿宋" w:cs="仿宋"/>
                <w:b/>
                <w:bCs/>
                <w:sz w:val="24"/>
                <w:highlight w:val="none"/>
              </w:rPr>
              <w:t>。</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3.</w:t>
            </w:r>
            <w:r>
              <w:rPr>
                <w:rFonts w:hint="eastAsia" w:ascii="仿宋" w:hAnsi="仿宋" w:eastAsia="仿宋" w:cs="仿宋"/>
                <w:b/>
                <w:bCs/>
                <w:sz w:val="24"/>
                <w:highlight w:val="none"/>
              </w:rPr>
              <w:t>本项目报价以船员成本费用单项报价及管理费</w:t>
            </w:r>
            <w:r>
              <w:rPr>
                <w:rFonts w:hint="eastAsia" w:ascii="仿宋" w:hAnsi="仿宋" w:eastAsia="仿宋" w:cs="仿宋"/>
                <w:b/>
                <w:sz w:val="24"/>
                <w:highlight w:val="none"/>
              </w:rPr>
              <w:t>系数</w:t>
            </w:r>
            <w:r>
              <w:rPr>
                <w:rFonts w:hint="eastAsia" w:ascii="仿宋" w:hAnsi="仿宋" w:eastAsia="仿宋" w:cs="仿宋"/>
                <w:b/>
                <w:bCs/>
                <w:sz w:val="24"/>
                <w:highlight w:val="none"/>
              </w:rPr>
              <w:t>计算为准，即本项目为单价包干项目。</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4.</w:t>
            </w:r>
            <w:r>
              <w:rPr>
                <w:rFonts w:hint="eastAsia" w:ascii="仿宋" w:hAnsi="仿宋" w:eastAsia="仿宋" w:cs="仿宋"/>
                <w:b/>
                <w:bCs/>
                <w:sz w:val="24"/>
                <w:highlight w:val="none"/>
              </w:rPr>
              <w:t>本项目执行总金额最高不超过最高限价，即人民币1623.97万元。</w:t>
            </w:r>
          </w:p>
          <w:p>
            <w:pPr>
              <w:numPr>
                <w:ilvl w:val="-1"/>
                <w:numId w:val="0"/>
              </w:numPr>
              <w:autoSpaceDE/>
              <w:autoSpaceDN/>
              <w:adjustRightInd/>
              <w:spacing w:line="240" w:lineRule="atLeast"/>
              <w:rPr>
                <w:rFonts w:ascii="仿宋" w:hAnsi="仿宋" w:eastAsia="仿宋" w:cs="仿宋"/>
                <w:b/>
                <w:bCs/>
                <w:sz w:val="24"/>
                <w:highlight w:val="none"/>
              </w:rPr>
            </w:pPr>
            <w:r>
              <w:rPr>
                <w:rFonts w:hint="eastAsia" w:ascii="仿宋" w:hAnsi="仿宋" w:eastAsia="仿宋" w:cs="仿宋"/>
                <w:b/>
                <w:bCs/>
                <w:sz w:val="24"/>
                <w:highlight w:val="none"/>
                <w:lang w:val="en-US" w:eastAsia="zh-CN"/>
              </w:rPr>
              <w:t>5.</w:t>
            </w:r>
            <w:r>
              <w:rPr>
                <w:rFonts w:hint="eastAsia" w:ascii="仿宋" w:hAnsi="仿宋" w:eastAsia="仿宋" w:cs="仿宋"/>
                <w:b/>
                <w:bCs/>
                <w:sz w:val="24"/>
                <w:highlight w:val="none"/>
              </w:rPr>
              <w:t>本项目执行金额达到最高限价时，合同自动终止；或本项目执行时间到2023年12月31日时，无论执行金额是否达到最高限价，合同均自动终止。</w:t>
            </w:r>
          </w:p>
        </w:tc>
      </w:tr>
    </w:tbl>
    <w:p>
      <w:pPr>
        <w:rPr>
          <w:highlight w:val="none"/>
        </w:rPr>
      </w:pPr>
    </w:p>
    <w:sectPr>
      <w:headerReference r:id="rId9" w:type="default"/>
      <w:pgSz w:w="11907" w:h="16840"/>
      <w:pgMar w:top="1247" w:right="1843" w:bottom="1247" w:left="1418"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453" w:h="237" w:hRule="exact" w:wrap="around" w:vAnchor="text" w:hAnchor="margin" w:xAlign="center" w:y="3"/>
      <w:rPr>
        <w:rStyle w:val="54"/>
      </w:rPr>
    </w:pPr>
    <w:r>
      <w:fldChar w:fldCharType="begin"/>
    </w:r>
    <w:r>
      <w:rPr>
        <w:rStyle w:val="54"/>
      </w:rPr>
      <w:instrText xml:space="preserve">PAGE  </w:instrText>
    </w:r>
    <w:r>
      <w:fldChar w:fldCharType="separate"/>
    </w:r>
    <w:r>
      <w:rPr>
        <w:rStyle w:val="54"/>
      </w:rPr>
      <w:t>28</w:t>
    </w:r>
    <w:r>
      <w:fldChar w:fldCharType="end"/>
    </w:r>
  </w:p>
  <w:p>
    <w:pPr>
      <w:pStyle w:val="33"/>
      <w:pBdr>
        <w:top w:val="single" w:color="auto" w:sz="6" w:space="1"/>
      </w:pBdr>
      <w:ind w:right="720"/>
      <w:jc w:val="right"/>
    </w:pPr>
    <w:r>
      <w:drawing>
        <wp:anchor distT="0" distB="0" distL="114300" distR="114300" simplePos="0" relativeHeight="251664384" behindDoc="0" locked="0" layoutInCell="1" allowOverlap="1">
          <wp:simplePos x="0" y="0"/>
          <wp:positionH relativeFrom="column">
            <wp:posOffset>109855</wp:posOffset>
          </wp:positionH>
          <wp:positionV relativeFrom="paragraph">
            <wp:posOffset>19685</wp:posOffset>
          </wp:positionV>
          <wp:extent cx="428625" cy="400050"/>
          <wp:effectExtent l="1905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428625" cy="400050"/>
                  </a:xfrm>
                  <a:prstGeom prst="rect">
                    <a:avLst/>
                  </a:prstGeom>
                  <a:noFill/>
                  <a:ln w="9525">
                    <a:noFill/>
                    <a:miter lim="800000"/>
                    <a:headEnd/>
                    <a:tailEnd/>
                  </a:ln>
                </pic:spPr>
              </pic:pic>
            </a:graphicData>
          </a:graphic>
        </wp:anchor>
      </w:drawing>
    </w:r>
    <w:r>
      <w:rPr>
        <w:rFonts w:hint="eastAsia"/>
      </w:rPr>
      <w:t>广东远东招标代理有限公司 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4"/>
      </w:rPr>
    </w:pPr>
    <w:r>
      <w:fldChar w:fldCharType="begin"/>
    </w:r>
    <w:r>
      <w:rPr>
        <w:rStyle w:val="54"/>
      </w:rPr>
      <w:instrText xml:space="preserve">PAGE  </w:instrText>
    </w:r>
    <w:r>
      <w:fldChar w:fldCharType="end"/>
    </w:r>
  </w:p>
  <w:p>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54"/>
      </w:rPr>
    </w:pPr>
    <w:r>
      <w:fldChar w:fldCharType="begin"/>
    </w:r>
    <w:r>
      <w:rPr>
        <w:rStyle w:val="54"/>
      </w:rPr>
      <w:instrText xml:space="preserve">PAGE  </w:instrText>
    </w:r>
    <w:r>
      <w:fldChar w:fldCharType="end"/>
    </w:r>
  </w:p>
  <w:p>
    <w:pPr>
      <w:pStyle w:val="3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Bdr>
        <w:bottom w:val="single" w:color="auto" w:sz="6" w:space="6"/>
      </w:pBdr>
      <w:tabs>
        <w:tab w:val="left" w:pos="0"/>
      </w:tabs>
      <w:rPr>
        <w:sz w:val="15"/>
        <w:szCs w:val="15"/>
      </w:rPr>
    </w:pPr>
    <w:r>
      <w:rPr>
        <w:rFonts w:hint="eastAsia"/>
        <w:sz w:val="15"/>
        <w:szCs w:val="15"/>
      </w:rPr>
      <w:t>采购编号：GDYD221545                     项目名称：国家海洋局南海标准计量中心2023年船员服务采购项目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lef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Bdr>
        <w:bottom w:val="single" w:color="auto" w:sz="6" w:space="6"/>
      </w:pBdr>
      <w:tabs>
        <w:tab w:val="left" w:pos="0"/>
      </w:tabs>
      <w:jc w:val="left"/>
      <w:rPr>
        <w:sz w:val="15"/>
        <w:szCs w:val="15"/>
      </w:rPr>
    </w:pPr>
    <w:r>
      <w:rPr>
        <w:rFonts w:hint="eastAsia"/>
        <w:sz w:val="15"/>
        <w:szCs w:val="15"/>
      </w:rPr>
      <w:t>采购编号：GDYD221545                                            项目名称：国家海洋局南海标准计量中心2023年船员服务采购项目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szCs w:val="15"/>
      </w:rPr>
    </w:pPr>
    <w:r>
      <w:rPr>
        <w:rFonts w:hint="eastAsia"/>
        <w:sz w:val="15"/>
        <w:szCs w:val="15"/>
      </w:rPr>
      <w:t>采购编号：GDYD221545                     项目名称：国家海洋局南海标准计量中心2023年船员服务采购项目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B71A56"/>
    <w:multiLevelType w:val="singleLevel"/>
    <w:tmpl w:val="B3B71A56"/>
    <w:lvl w:ilvl="0" w:tentative="0">
      <w:start w:val="4"/>
      <w:numFmt w:val="chineseCounting"/>
      <w:suff w:val="space"/>
      <w:lvlText w:val="第%1篇"/>
      <w:lvlJc w:val="left"/>
      <w:rPr>
        <w:rFonts w:hint="eastAsia"/>
      </w:rPr>
    </w:lvl>
  </w:abstractNum>
  <w:abstractNum w:abstractNumId="1">
    <w:nsid w:val="CA19B691"/>
    <w:multiLevelType w:val="singleLevel"/>
    <w:tmpl w:val="CA19B691"/>
    <w:lvl w:ilvl="0" w:tentative="0">
      <w:start w:val="1"/>
      <w:numFmt w:val="decimal"/>
      <w:suff w:val="space"/>
      <w:lvlText w:val="（%1）"/>
      <w:lvlJc w:val="left"/>
    </w:lvl>
  </w:abstractNum>
  <w:abstractNum w:abstractNumId="2">
    <w:nsid w:val="E5457BDF"/>
    <w:multiLevelType w:val="singleLevel"/>
    <w:tmpl w:val="E5457BDF"/>
    <w:lvl w:ilvl="0" w:tentative="0">
      <w:start w:val="1"/>
      <w:numFmt w:val="decimalEnclosedCircleChinese"/>
      <w:suff w:val="nothing"/>
      <w:lvlText w:val="%1　"/>
      <w:lvlJc w:val="left"/>
      <w:pPr>
        <w:ind w:left="0" w:firstLine="400"/>
      </w:pPr>
      <w:rPr>
        <w:rFonts w:hint="eastAsia"/>
      </w:rPr>
    </w:lvl>
  </w:abstractNum>
  <w:abstractNum w:abstractNumId="3">
    <w:nsid w:val="00000010"/>
    <w:multiLevelType w:val="multilevel"/>
    <w:tmpl w:val="00000010"/>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4">
    <w:nsid w:val="00000012"/>
    <w:multiLevelType w:val="multilevel"/>
    <w:tmpl w:val="00000012"/>
    <w:lvl w:ilvl="0" w:tentative="0">
      <w:start w:val="1"/>
      <w:numFmt w:val="decimal"/>
      <w:pStyle w:val="16"/>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1"/>
      <w:lvlJc w:val="left"/>
      <w:pPr>
        <w:tabs>
          <w:tab w:val="left" w:pos="425"/>
        </w:tabs>
        <w:ind w:left="425" w:hanging="425"/>
      </w:pPr>
    </w:lvl>
    <w:lvl w:ilvl="1" w:tentative="0">
      <w:start w:val="1"/>
      <w:numFmt w:val="decimal"/>
      <w:pStyle w:val="121"/>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0000015"/>
    <w:multiLevelType w:val="multilevel"/>
    <w:tmpl w:val="00000015"/>
    <w:lvl w:ilvl="0" w:tentative="0">
      <w:start w:val="1"/>
      <w:numFmt w:val="chineseCountingThousand"/>
      <w:lvlText w:val="%1、"/>
      <w:lvlJc w:val="left"/>
      <w:pPr>
        <w:tabs>
          <w:tab w:val="left" w:pos="1146"/>
        </w:tabs>
        <w:ind w:left="1146" w:hanging="720"/>
      </w:pPr>
      <w:rPr>
        <w:rFonts w:hint="eastAsia" w:ascii="宋体"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D"/>
    <w:multiLevelType w:val="multilevel"/>
    <w:tmpl w:val="0000001D"/>
    <w:lvl w:ilvl="0" w:tentative="0">
      <w:start w:val="1"/>
      <w:numFmt w:val="decimal"/>
      <w:lvlText w:val="%1"/>
      <w:lvlJc w:val="left"/>
      <w:pPr>
        <w:tabs>
          <w:tab w:val="left" w:pos="615"/>
        </w:tabs>
        <w:ind w:left="615" w:hanging="615"/>
      </w:pPr>
      <w:rPr>
        <w:rFonts w:hint="default"/>
      </w:rPr>
    </w:lvl>
    <w:lvl w:ilvl="1" w:tentative="0">
      <w:start w:val="1"/>
      <w:numFmt w:val="decimal"/>
      <w:lvlText w:val="%1.%2"/>
      <w:lvlJc w:val="left"/>
      <w:pPr>
        <w:tabs>
          <w:tab w:val="left" w:pos="567"/>
        </w:tabs>
        <w:ind w:left="567" w:hanging="567"/>
      </w:pPr>
      <w:rPr>
        <w:rFonts w:hint="eastAsia" w:ascii="宋体" w:hAnsi="Times New Roman" w:eastAsia="宋体"/>
        <w:b w:val="0"/>
        <w:i w:val="0"/>
      </w:rPr>
    </w:lvl>
    <w:lvl w:ilvl="2" w:tentative="0">
      <w:start w:val="1"/>
      <w:numFmt w:val="decimal"/>
      <w:lvlText w:val="%1.%2.%3"/>
      <w:lvlJc w:val="left"/>
      <w:pPr>
        <w:tabs>
          <w:tab w:val="left" w:pos="615"/>
        </w:tabs>
        <w:ind w:left="615" w:hanging="615"/>
      </w:pPr>
      <w:rPr>
        <w:rFonts w:hint="default"/>
      </w:rPr>
    </w:lvl>
    <w:lvl w:ilvl="3" w:tentative="0">
      <w:start w:val="1"/>
      <w:numFmt w:val="decimal"/>
      <w:lvlText w:val="%1.%2.%3.%4"/>
      <w:lvlJc w:val="left"/>
      <w:pPr>
        <w:tabs>
          <w:tab w:val="left" w:pos="615"/>
        </w:tabs>
        <w:ind w:left="615" w:hanging="615"/>
      </w:pPr>
      <w:rPr>
        <w:rFonts w:hint="default"/>
      </w:rPr>
    </w:lvl>
    <w:lvl w:ilvl="4" w:tentative="0">
      <w:start w:val="1"/>
      <w:numFmt w:val="decimal"/>
      <w:lvlText w:val="%1.%2.%3.%4.%5"/>
      <w:lvlJc w:val="left"/>
      <w:pPr>
        <w:tabs>
          <w:tab w:val="left" w:pos="615"/>
        </w:tabs>
        <w:ind w:left="615" w:hanging="615"/>
      </w:pPr>
      <w:rPr>
        <w:rFonts w:hint="default"/>
      </w:rPr>
    </w:lvl>
    <w:lvl w:ilvl="5" w:tentative="0">
      <w:start w:val="1"/>
      <w:numFmt w:val="decimal"/>
      <w:lvlText w:val="%1.%2.%3.%4.%5.%6"/>
      <w:lvlJc w:val="left"/>
      <w:pPr>
        <w:tabs>
          <w:tab w:val="left" w:pos="615"/>
        </w:tabs>
        <w:ind w:left="615" w:hanging="615"/>
      </w:pPr>
      <w:rPr>
        <w:rFonts w:hint="default"/>
      </w:rPr>
    </w:lvl>
    <w:lvl w:ilvl="6" w:tentative="0">
      <w:start w:val="1"/>
      <w:numFmt w:val="decimal"/>
      <w:lvlText w:val="%1.%2.%3.%4.%5.%6.%7"/>
      <w:lvlJc w:val="left"/>
      <w:pPr>
        <w:tabs>
          <w:tab w:val="left" w:pos="615"/>
        </w:tabs>
        <w:ind w:left="615" w:hanging="615"/>
      </w:pPr>
      <w:rPr>
        <w:rFonts w:hint="default"/>
      </w:rPr>
    </w:lvl>
    <w:lvl w:ilvl="7" w:tentative="0">
      <w:start w:val="1"/>
      <w:numFmt w:val="decimal"/>
      <w:lvlText w:val="%1.%2.%3.%4.%5.%6.%7.%8"/>
      <w:lvlJc w:val="left"/>
      <w:pPr>
        <w:tabs>
          <w:tab w:val="left" w:pos="615"/>
        </w:tabs>
        <w:ind w:left="615" w:hanging="615"/>
      </w:pPr>
      <w:rPr>
        <w:rFonts w:hint="default"/>
      </w:rPr>
    </w:lvl>
    <w:lvl w:ilvl="8" w:tentative="0">
      <w:start w:val="1"/>
      <w:numFmt w:val="decimal"/>
      <w:lvlText w:val="%1.%2.%3.%4.%5.%6.%7.%8.%9"/>
      <w:lvlJc w:val="left"/>
      <w:pPr>
        <w:tabs>
          <w:tab w:val="left" w:pos="615"/>
        </w:tabs>
        <w:ind w:left="615" w:hanging="615"/>
      </w:pPr>
      <w:rPr>
        <w:rFonts w:hint="default"/>
      </w:rPr>
    </w:lvl>
  </w:abstractNum>
  <w:abstractNum w:abstractNumId="8">
    <w:nsid w:val="00000021"/>
    <w:multiLevelType w:val="multilevel"/>
    <w:tmpl w:val="00000021"/>
    <w:lvl w:ilvl="0" w:tentative="0">
      <w:start w:val="1"/>
      <w:numFmt w:val="bullet"/>
      <w:pStyle w:val="11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26"/>
    <w:multiLevelType w:val="multilevel"/>
    <w:tmpl w:val="00000026"/>
    <w:lvl w:ilvl="0" w:tentative="0">
      <w:start w:val="1"/>
      <w:numFmt w:val="decimal"/>
      <w:lvlText w:val="%1."/>
      <w:lvlJc w:val="left"/>
      <w:pPr>
        <w:tabs>
          <w:tab w:val="left" w:pos="435"/>
        </w:tabs>
        <w:ind w:left="435" w:hanging="435"/>
      </w:pPr>
      <w:rPr>
        <w:rFonts w:hint="default" w:ascii="Times New Roman" w:hAnsi="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2C"/>
    <w:multiLevelType w:val="multilevel"/>
    <w:tmpl w:val="0000002C"/>
    <w:lvl w:ilvl="0" w:tentative="0">
      <w:start w:val="1"/>
      <w:numFmt w:val="decimal"/>
      <w:pStyle w:val="17"/>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1">
    <w:nsid w:val="00000030"/>
    <w:multiLevelType w:val="multilevel"/>
    <w:tmpl w:val="00000030"/>
    <w:lvl w:ilvl="0" w:tentative="0">
      <w:start w:val="1"/>
      <w:numFmt w:val="bullet"/>
      <w:pStyle w:val="10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31"/>
    <w:multiLevelType w:val="multilevel"/>
    <w:tmpl w:val="0000003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33"/>
    <w:multiLevelType w:val="multilevel"/>
    <w:tmpl w:val="00000033"/>
    <w:lvl w:ilvl="0" w:tentative="0">
      <w:start w:val="1"/>
      <w:numFmt w:val="decimal"/>
      <w:lvlText w:val="%1"/>
      <w:lvlJc w:val="left"/>
      <w:pPr>
        <w:tabs>
          <w:tab w:val="left" w:pos="527"/>
        </w:tabs>
        <w:ind w:left="567" w:hanging="454"/>
      </w:pPr>
      <w:rPr>
        <w:rFonts w:hint="eastAsia"/>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34"/>
    <w:multiLevelType w:val="multilevel"/>
    <w:tmpl w:val="00000034"/>
    <w:lvl w:ilvl="0" w:tentative="0">
      <w:start w:val="1"/>
      <w:numFmt w:val="decimal"/>
      <w:lvlText w:val="%1."/>
      <w:lvlJc w:val="left"/>
      <w:pPr>
        <w:tabs>
          <w:tab w:val="left" w:pos="435"/>
        </w:tabs>
        <w:ind w:left="435" w:hanging="435"/>
      </w:pPr>
      <w:rPr>
        <w:rFonts w:hint="default" w:ascii="Times New Roman" w:hAnsi="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36"/>
    <w:multiLevelType w:val="multilevel"/>
    <w:tmpl w:val="00000036"/>
    <w:lvl w:ilvl="0" w:tentative="0">
      <w:start w:val="1"/>
      <w:numFmt w:val="bullet"/>
      <w:pStyle w:val="46"/>
      <w:lvlText w:val=""/>
      <w:lvlJc w:val="left"/>
      <w:pPr>
        <w:tabs>
          <w:tab w:val="left" w:pos="2121"/>
        </w:tabs>
        <w:ind w:left="2121" w:hanging="420"/>
      </w:pPr>
      <w:rPr>
        <w:rFonts w:hint="default" w:ascii="Wingdings" w:hAnsi="Wingdings"/>
      </w:rPr>
    </w:lvl>
    <w:lvl w:ilvl="1" w:tentative="0">
      <w:start w:val="1"/>
      <w:numFmt w:val="bullet"/>
      <w:lvlText w:val=""/>
      <w:lvlJc w:val="left"/>
      <w:pPr>
        <w:tabs>
          <w:tab w:val="left" w:pos="2541"/>
        </w:tabs>
        <w:ind w:left="2541" w:hanging="420"/>
      </w:pPr>
      <w:rPr>
        <w:rFonts w:hint="default" w:ascii="Wingdings" w:hAnsi="Wingdings"/>
      </w:rPr>
    </w:lvl>
    <w:lvl w:ilvl="2" w:tentative="0">
      <w:start w:val="1"/>
      <w:numFmt w:val="bullet"/>
      <w:lvlText w:val=""/>
      <w:lvlJc w:val="left"/>
      <w:pPr>
        <w:tabs>
          <w:tab w:val="left" w:pos="2961"/>
        </w:tabs>
        <w:ind w:left="2961" w:hanging="420"/>
      </w:pPr>
      <w:rPr>
        <w:rFonts w:hint="default" w:ascii="Wingdings" w:hAnsi="Wingdings"/>
      </w:rPr>
    </w:lvl>
    <w:lvl w:ilvl="3" w:tentative="0">
      <w:start w:val="1"/>
      <w:numFmt w:val="bullet"/>
      <w:lvlText w:val=""/>
      <w:lvlJc w:val="left"/>
      <w:pPr>
        <w:tabs>
          <w:tab w:val="left" w:pos="3381"/>
        </w:tabs>
        <w:ind w:left="3381" w:hanging="420"/>
      </w:pPr>
      <w:rPr>
        <w:rFonts w:hint="default" w:ascii="Wingdings" w:hAnsi="Wingdings"/>
      </w:rPr>
    </w:lvl>
    <w:lvl w:ilvl="4" w:tentative="0">
      <w:start w:val="1"/>
      <w:numFmt w:val="bullet"/>
      <w:lvlText w:val=""/>
      <w:lvlJc w:val="left"/>
      <w:pPr>
        <w:tabs>
          <w:tab w:val="left" w:pos="3801"/>
        </w:tabs>
        <w:ind w:left="3801" w:hanging="420"/>
      </w:pPr>
      <w:rPr>
        <w:rFonts w:hint="default" w:ascii="Wingdings" w:hAnsi="Wingdings"/>
      </w:rPr>
    </w:lvl>
    <w:lvl w:ilvl="5" w:tentative="0">
      <w:start w:val="1"/>
      <w:numFmt w:val="bullet"/>
      <w:lvlText w:val=""/>
      <w:lvlJc w:val="left"/>
      <w:pPr>
        <w:tabs>
          <w:tab w:val="left" w:pos="4221"/>
        </w:tabs>
        <w:ind w:left="4221" w:hanging="420"/>
      </w:pPr>
      <w:rPr>
        <w:rFonts w:hint="default" w:ascii="Wingdings" w:hAnsi="Wingdings"/>
      </w:rPr>
    </w:lvl>
    <w:lvl w:ilvl="6" w:tentative="0">
      <w:start w:val="1"/>
      <w:numFmt w:val="bullet"/>
      <w:lvlText w:val=""/>
      <w:lvlJc w:val="left"/>
      <w:pPr>
        <w:tabs>
          <w:tab w:val="left" w:pos="4641"/>
        </w:tabs>
        <w:ind w:left="4641" w:hanging="420"/>
      </w:pPr>
      <w:rPr>
        <w:rFonts w:hint="default" w:ascii="Wingdings" w:hAnsi="Wingdings"/>
      </w:rPr>
    </w:lvl>
    <w:lvl w:ilvl="7" w:tentative="0">
      <w:start w:val="1"/>
      <w:numFmt w:val="bullet"/>
      <w:lvlText w:val=""/>
      <w:lvlJc w:val="left"/>
      <w:pPr>
        <w:tabs>
          <w:tab w:val="left" w:pos="5061"/>
        </w:tabs>
        <w:ind w:left="5061" w:hanging="420"/>
      </w:pPr>
      <w:rPr>
        <w:rFonts w:hint="default" w:ascii="Wingdings" w:hAnsi="Wingdings"/>
      </w:rPr>
    </w:lvl>
    <w:lvl w:ilvl="8" w:tentative="0">
      <w:start w:val="1"/>
      <w:numFmt w:val="bullet"/>
      <w:lvlText w:val=""/>
      <w:lvlJc w:val="left"/>
      <w:pPr>
        <w:tabs>
          <w:tab w:val="left" w:pos="5481"/>
        </w:tabs>
        <w:ind w:left="5481" w:hanging="420"/>
      </w:pPr>
      <w:rPr>
        <w:rFonts w:hint="default" w:ascii="Wingdings" w:hAnsi="Wingdings"/>
      </w:rPr>
    </w:lvl>
  </w:abstractNum>
  <w:abstractNum w:abstractNumId="16">
    <w:nsid w:val="0079F16C"/>
    <w:multiLevelType w:val="singleLevel"/>
    <w:tmpl w:val="0079F16C"/>
    <w:lvl w:ilvl="0" w:tentative="0">
      <w:start w:val="2"/>
      <w:numFmt w:val="chineseCounting"/>
      <w:suff w:val="nothing"/>
      <w:lvlText w:val="%1、"/>
      <w:lvlJc w:val="left"/>
      <w:rPr>
        <w:rFonts w:hint="eastAsia"/>
      </w:rPr>
    </w:lvl>
  </w:abstractNum>
  <w:abstractNum w:abstractNumId="17">
    <w:nsid w:val="01D59D49"/>
    <w:multiLevelType w:val="singleLevel"/>
    <w:tmpl w:val="01D59D49"/>
    <w:lvl w:ilvl="0" w:tentative="0">
      <w:start w:val="1"/>
      <w:numFmt w:val="decimal"/>
      <w:suff w:val="space"/>
      <w:lvlText w:val="（%1）"/>
      <w:lvlJc w:val="left"/>
    </w:lvl>
  </w:abstractNum>
  <w:abstractNum w:abstractNumId="18">
    <w:nsid w:val="1C79A4EC"/>
    <w:multiLevelType w:val="singleLevel"/>
    <w:tmpl w:val="1C79A4EC"/>
    <w:lvl w:ilvl="0" w:tentative="0">
      <w:start w:val="1"/>
      <w:numFmt w:val="decimal"/>
      <w:lvlText w:val="%1."/>
      <w:lvlJc w:val="left"/>
      <w:pPr>
        <w:tabs>
          <w:tab w:val="left" w:pos="312"/>
        </w:tabs>
      </w:pPr>
    </w:lvl>
  </w:abstractNum>
  <w:abstractNum w:abstractNumId="19">
    <w:nsid w:val="44FAE6CE"/>
    <w:multiLevelType w:val="singleLevel"/>
    <w:tmpl w:val="44FAE6CE"/>
    <w:lvl w:ilvl="0" w:tentative="0">
      <w:start w:val="1"/>
      <w:numFmt w:val="decimal"/>
      <w:suff w:val="space"/>
      <w:lvlText w:val="（%1）"/>
      <w:lvlJc w:val="left"/>
    </w:lvl>
  </w:abstractNum>
  <w:abstractNum w:abstractNumId="20">
    <w:nsid w:val="4528D73A"/>
    <w:multiLevelType w:val="singleLevel"/>
    <w:tmpl w:val="4528D73A"/>
    <w:lvl w:ilvl="0" w:tentative="0">
      <w:start w:val="1"/>
      <w:numFmt w:val="decimal"/>
      <w:suff w:val="space"/>
      <w:lvlText w:val="（%1）"/>
      <w:lvlJc w:val="left"/>
    </w:lvl>
  </w:abstractNum>
  <w:abstractNum w:abstractNumId="21">
    <w:nsid w:val="4D3B2083"/>
    <w:multiLevelType w:val="singleLevel"/>
    <w:tmpl w:val="4D3B2083"/>
    <w:lvl w:ilvl="0" w:tentative="0">
      <w:start w:val="1"/>
      <w:numFmt w:val="decimal"/>
      <w:suff w:val="space"/>
      <w:lvlText w:val="（%1）"/>
      <w:lvlJc w:val="left"/>
    </w:lvl>
  </w:abstractNum>
  <w:abstractNum w:abstractNumId="22">
    <w:nsid w:val="564C069D"/>
    <w:multiLevelType w:val="singleLevel"/>
    <w:tmpl w:val="564C069D"/>
    <w:lvl w:ilvl="0" w:tentative="0">
      <w:start w:val="1"/>
      <w:numFmt w:val="decimal"/>
      <w:suff w:val="space"/>
      <w:lvlText w:val="（%1）"/>
      <w:lvlJc w:val="left"/>
    </w:lvl>
  </w:abstractNum>
  <w:abstractNum w:abstractNumId="23">
    <w:nsid w:val="63887940"/>
    <w:multiLevelType w:val="singleLevel"/>
    <w:tmpl w:val="63887940"/>
    <w:lvl w:ilvl="0" w:tentative="0">
      <w:start w:val="1"/>
      <w:numFmt w:val="decimal"/>
      <w:suff w:val="nothing"/>
      <w:lvlText w:val="%1."/>
      <w:lvlJc w:val="left"/>
    </w:lvl>
  </w:abstractNum>
  <w:abstractNum w:abstractNumId="24">
    <w:nsid w:val="63896D18"/>
    <w:multiLevelType w:val="singleLevel"/>
    <w:tmpl w:val="63896D18"/>
    <w:lvl w:ilvl="0" w:tentative="0">
      <w:start w:val="1"/>
      <w:numFmt w:val="decimal"/>
      <w:suff w:val="nothing"/>
      <w:lvlText w:val="（%1）"/>
      <w:lvlJc w:val="left"/>
    </w:lvl>
  </w:abstractNum>
  <w:abstractNum w:abstractNumId="25">
    <w:nsid w:val="67A14B61"/>
    <w:multiLevelType w:val="multilevel"/>
    <w:tmpl w:val="67A14B6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0"/>
  </w:num>
  <w:num w:numId="3">
    <w:abstractNumId w:val="15"/>
  </w:num>
  <w:num w:numId="4">
    <w:abstractNumId w:val="11"/>
  </w:num>
  <w:num w:numId="5">
    <w:abstractNumId w:val="8"/>
  </w:num>
  <w:num w:numId="6">
    <w:abstractNumId w:val="5"/>
  </w:num>
  <w:num w:numId="7">
    <w:abstractNumId w:val="6"/>
  </w:num>
  <w:num w:numId="8">
    <w:abstractNumId w:val="3"/>
  </w:num>
  <w:num w:numId="9">
    <w:abstractNumId w:val="0"/>
  </w:num>
  <w:num w:numId="10">
    <w:abstractNumId w:val="1"/>
  </w:num>
  <w:num w:numId="11">
    <w:abstractNumId w:val="20"/>
  </w:num>
  <w:num w:numId="12">
    <w:abstractNumId w:val="17"/>
  </w:num>
  <w:num w:numId="13">
    <w:abstractNumId w:val="21"/>
  </w:num>
  <w:num w:numId="14">
    <w:abstractNumId w:val="22"/>
  </w:num>
  <w:num w:numId="15">
    <w:abstractNumId w:val="19"/>
  </w:num>
  <w:num w:numId="16">
    <w:abstractNumId w:val="25"/>
  </w:num>
  <w:num w:numId="17">
    <w:abstractNumId w:val="23"/>
  </w:num>
  <w:num w:numId="18">
    <w:abstractNumId w:val="13"/>
  </w:num>
  <w:num w:numId="19">
    <w:abstractNumId w:val="7"/>
  </w:num>
  <w:num w:numId="20">
    <w:abstractNumId w:val="9"/>
  </w:num>
  <w:num w:numId="21">
    <w:abstractNumId w:val="14"/>
  </w:num>
  <w:num w:numId="22">
    <w:abstractNumId w:val="12"/>
  </w:num>
  <w:num w:numId="23">
    <w:abstractNumId w:val="16"/>
  </w:num>
  <w:num w:numId="24">
    <w:abstractNumId w:val="2"/>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revisionView w:markup="0"/>
  <w:trackRevisions w:val="1"/>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172A27"/>
    <w:rsid w:val="000008D0"/>
    <w:rsid w:val="00000A20"/>
    <w:rsid w:val="0000153B"/>
    <w:rsid w:val="00002474"/>
    <w:rsid w:val="000059CE"/>
    <w:rsid w:val="00006860"/>
    <w:rsid w:val="0000765C"/>
    <w:rsid w:val="0001396D"/>
    <w:rsid w:val="00013EA6"/>
    <w:rsid w:val="0001464E"/>
    <w:rsid w:val="000149CD"/>
    <w:rsid w:val="00015414"/>
    <w:rsid w:val="00016B55"/>
    <w:rsid w:val="00016F27"/>
    <w:rsid w:val="00017E81"/>
    <w:rsid w:val="000212F8"/>
    <w:rsid w:val="000214FB"/>
    <w:rsid w:val="00022AF1"/>
    <w:rsid w:val="00023B7A"/>
    <w:rsid w:val="00026714"/>
    <w:rsid w:val="00030FFC"/>
    <w:rsid w:val="000310D4"/>
    <w:rsid w:val="000311E5"/>
    <w:rsid w:val="00032D69"/>
    <w:rsid w:val="00034293"/>
    <w:rsid w:val="00034390"/>
    <w:rsid w:val="00034B6E"/>
    <w:rsid w:val="00036220"/>
    <w:rsid w:val="00037C24"/>
    <w:rsid w:val="0004125E"/>
    <w:rsid w:val="00042226"/>
    <w:rsid w:val="00042559"/>
    <w:rsid w:val="00042F74"/>
    <w:rsid w:val="00044E1D"/>
    <w:rsid w:val="00044F65"/>
    <w:rsid w:val="00045330"/>
    <w:rsid w:val="00045612"/>
    <w:rsid w:val="00045E56"/>
    <w:rsid w:val="00045FDB"/>
    <w:rsid w:val="00046A08"/>
    <w:rsid w:val="000474C2"/>
    <w:rsid w:val="000500D8"/>
    <w:rsid w:val="00051096"/>
    <w:rsid w:val="0005214D"/>
    <w:rsid w:val="0005341A"/>
    <w:rsid w:val="00054D17"/>
    <w:rsid w:val="00055444"/>
    <w:rsid w:val="0005553C"/>
    <w:rsid w:val="0005591D"/>
    <w:rsid w:val="00060995"/>
    <w:rsid w:val="00060AD7"/>
    <w:rsid w:val="0006153D"/>
    <w:rsid w:val="000627C2"/>
    <w:rsid w:val="000630F5"/>
    <w:rsid w:val="0006360A"/>
    <w:rsid w:val="00064850"/>
    <w:rsid w:val="0006497D"/>
    <w:rsid w:val="0006501B"/>
    <w:rsid w:val="00065074"/>
    <w:rsid w:val="0006662F"/>
    <w:rsid w:val="000666F0"/>
    <w:rsid w:val="00066C71"/>
    <w:rsid w:val="00067B15"/>
    <w:rsid w:val="00073215"/>
    <w:rsid w:val="00074348"/>
    <w:rsid w:val="00074385"/>
    <w:rsid w:val="00074CAB"/>
    <w:rsid w:val="00074E48"/>
    <w:rsid w:val="00075EB0"/>
    <w:rsid w:val="00076231"/>
    <w:rsid w:val="000762E6"/>
    <w:rsid w:val="0007787D"/>
    <w:rsid w:val="000802FF"/>
    <w:rsid w:val="0008160A"/>
    <w:rsid w:val="00083081"/>
    <w:rsid w:val="000837DF"/>
    <w:rsid w:val="00084843"/>
    <w:rsid w:val="00084865"/>
    <w:rsid w:val="00085176"/>
    <w:rsid w:val="0008579B"/>
    <w:rsid w:val="00085F5F"/>
    <w:rsid w:val="00086444"/>
    <w:rsid w:val="000869C4"/>
    <w:rsid w:val="00087862"/>
    <w:rsid w:val="000900E3"/>
    <w:rsid w:val="000911EF"/>
    <w:rsid w:val="00091335"/>
    <w:rsid w:val="00091C22"/>
    <w:rsid w:val="0009309C"/>
    <w:rsid w:val="00093978"/>
    <w:rsid w:val="000947A0"/>
    <w:rsid w:val="00094C69"/>
    <w:rsid w:val="00095488"/>
    <w:rsid w:val="000957BE"/>
    <w:rsid w:val="00095C9C"/>
    <w:rsid w:val="00096575"/>
    <w:rsid w:val="00096AA4"/>
    <w:rsid w:val="00096F82"/>
    <w:rsid w:val="000971F5"/>
    <w:rsid w:val="0009752A"/>
    <w:rsid w:val="00097B65"/>
    <w:rsid w:val="000A0B49"/>
    <w:rsid w:val="000A1423"/>
    <w:rsid w:val="000A1522"/>
    <w:rsid w:val="000A2536"/>
    <w:rsid w:val="000A29CD"/>
    <w:rsid w:val="000A2B12"/>
    <w:rsid w:val="000A31A0"/>
    <w:rsid w:val="000A361E"/>
    <w:rsid w:val="000A4C38"/>
    <w:rsid w:val="000A5568"/>
    <w:rsid w:val="000A6AFD"/>
    <w:rsid w:val="000A7418"/>
    <w:rsid w:val="000B2E56"/>
    <w:rsid w:val="000B2F59"/>
    <w:rsid w:val="000B33CA"/>
    <w:rsid w:val="000B53AD"/>
    <w:rsid w:val="000B58F4"/>
    <w:rsid w:val="000B6F84"/>
    <w:rsid w:val="000B75BF"/>
    <w:rsid w:val="000C2954"/>
    <w:rsid w:val="000C3D7F"/>
    <w:rsid w:val="000C4070"/>
    <w:rsid w:val="000C4B84"/>
    <w:rsid w:val="000C6D01"/>
    <w:rsid w:val="000C7B52"/>
    <w:rsid w:val="000C7FB8"/>
    <w:rsid w:val="000D0362"/>
    <w:rsid w:val="000D18A7"/>
    <w:rsid w:val="000D26EC"/>
    <w:rsid w:val="000D2A7B"/>
    <w:rsid w:val="000D3646"/>
    <w:rsid w:val="000D4E32"/>
    <w:rsid w:val="000D5106"/>
    <w:rsid w:val="000D66B0"/>
    <w:rsid w:val="000D7A81"/>
    <w:rsid w:val="000E14B1"/>
    <w:rsid w:val="000E1CD7"/>
    <w:rsid w:val="000E20B1"/>
    <w:rsid w:val="000E2947"/>
    <w:rsid w:val="000E3887"/>
    <w:rsid w:val="000E4223"/>
    <w:rsid w:val="000E4E6A"/>
    <w:rsid w:val="000E5DDE"/>
    <w:rsid w:val="000F01E3"/>
    <w:rsid w:val="000F1142"/>
    <w:rsid w:val="000F2B74"/>
    <w:rsid w:val="000F30B8"/>
    <w:rsid w:val="000F329C"/>
    <w:rsid w:val="000F3310"/>
    <w:rsid w:val="000F39F3"/>
    <w:rsid w:val="000F5C94"/>
    <w:rsid w:val="000F7667"/>
    <w:rsid w:val="00100318"/>
    <w:rsid w:val="00101D1E"/>
    <w:rsid w:val="00102287"/>
    <w:rsid w:val="0010302A"/>
    <w:rsid w:val="00103E68"/>
    <w:rsid w:val="001046DA"/>
    <w:rsid w:val="001052C0"/>
    <w:rsid w:val="0010598D"/>
    <w:rsid w:val="00106F00"/>
    <w:rsid w:val="001130D2"/>
    <w:rsid w:val="00113A43"/>
    <w:rsid w:val="001142E1"/>
    <w:rsid w:val="00114DAD"/>
    <w:rsid w:val="001158B2"/>
    <w:rsid w:val="001202EF"/>
    <w:rsid w:val="001204A9"/>
    <w:rsid w:val="00121166"/>
    <w:rsid w:val="00121883"/>
    <w:rsid w:val="00122FF8"/>
    <w:rsid w:val="00124B1D"/>
    <w:rsid w:val="00125687"/>
    <w:rsid w:val="00126CC2"/>
    <w:rsid w:val="0013186B"/>
    <w:rsid w:val="00131D89"/>
    <w:rsid w:val="001330C8"/>
    <w:rsid w:val="00133B6C"/>
    <w:rsid w:val="00134D38"/>
    <w:rsid w:val="001352BB"/>
    <w:rsid w:val="00136724"/>
    <w:rsid w:val="00136F1F"/>
    <w:rsid w:val="00140206"/>
    <w:rsid w:val="00140663"/>
    <w:rsid w:val="00141555"/>
    <w:rsid w:val="00141573"/>
    <w:rsid w:val="0014160C"/>
    <w:rsid w:val="0014172A"/>
    <w:rsid w:val="001427DC"/>
    <w:rsid w:val="0014314E"/>
    <w:rsid w:val="00144962"/>
    <w:rsid w:val="00144B55"/>
    <w:rsid w:val="0014502D"/>
    <w:rsid w:val="001463E9"/>
    <w:rsid w:val="001479BE"/>
    <w:rsid w:val="00147B99"/>
    <w:rsid w:val="001510A0"/>
    <w:rsid w:val="001510E0"/>
    <w:rsid w:val="0015217D"/>
    <w:rsid w:val="00154A36"/>
    <w:rsid w:val="00154CB2"/>
    <w:rsid w:val="00155106"/>
    <w:rsid w:val="00155AD9"/>
    <w:rsid w:val="00156DE8"/>
    <w:rsid w:val="00157785"/>
    <w:rsid w:val="00161B43"/>
    <w:rsid w:val="00162B64"/>
    <w:rsid w:val="00163515"/>
    <w:rsid w:val="001637F2"/>
    <w:rsid w:val="001638A2"/>
    <w:rsid w:val="00163B95"/>
    <w:rsid w:val="00165A24"/>
    <w:rsid w:val="00166ECA"/>
    <w:rsid w:val="00171C36"/>
    <w:rsid w:val="00172398"/>
    <w:rsid w:val="00172A27"/>
    <w:rsid w:val="00173F51"/>
    <w:rsid w:val="001745F0"/>
    <w:rsid w:val="00174C59"/>
    <w:rsid w:val="001759DB"/>
    <w:rsid w:val="0017680C"/>
    <w:rsid w:val="00177A18"/>
    <w:rsid w:val="00180FA2"/>
    <w:rsid w:val="0018249C"/>
    <w:rsid w:val="00182592"/>
    <w:rsid w:val="00182871"/>
    <w:rsid w:val="00185DDD"/>
    <w:rsid w:val="00186314"/>
    <w:rsid w:val="00186920"/>
    <w:rsid w:val="00190A19"/>
    <w:rsid w:val="00190BFF"/>
    <w:rsid w:val="00190E1A"/>
    <w:rsid w:val="00191133"/>
    <w:rsid w:val="00193FC5"/>
    <w:rsid w:val="0019475D"/>
    <w:rsid w:val="00194A73"/>
    <w:rsid w:val="00196878"/>
    <w:rsid w:val="00197C92"/>
    <w:rsid w:val="001A0BBB"/>
    <w:rsid w:val="001A21E2"/>
    <w:rsid w:val="001A2BA5"/>
    <w:rsid w:val="001A33FC"/>
    <w:rsid w:val="001A347A"/>
    <w:rsid w:val="001A51C3"/>
    <w:rsid w:val="001A7B2A"/>
    <w:rsid w:val="001B11C6"/>
    <w:rsid w:val="001B157D"/>
    <w:rsid w:val="001B1F48"/>
    <w:rsid w:val="001B251F"/>
    <w:rsid w:val="001B290B"/>
    <w:rsid w:val="001B354A"/>
    <w:rsid w:val="001B46D4"/>
    <w:rsid w:val="001B487B"/>
    <w:rsid w:val="001C0237"/>
    <w:rsid w:val="001C027E"/>
    <w:rsid w:val="001C02F1"/>
    <w:rsid w:val="001C168C"/>
    <w:rsid w:val="001C3C35"/>
    <w:rsid w:val="001C54DB"/>
    <w:rsid w:val="001C7DEB"/>
    <w:rsid w:val="001D056B"/>
    <w:rsid w:val="001D0D9C"/>
    <w:rsid w:val="001D1985"/>
    <w:rsid w:val="001D214E"/>
    <w:rsid w:val="001D30DF"/>
    <w:rsid w:val="001D4AB3"/>
    <w:rsid w:val="001D4FE8"/>
    <w:rsid w:val="001D519F"/>
    <w:rsid w:val="001D5AF2"/>
    <w:rsid w:val="001D61BF"/>
    <w:rsid w:val="001D6399"/>
    <w:rsid w:val="001D6FB1"/>
    <w:rsid w:val="001D709A"/>
    <w:rsid w:val="001E058C"/>
    <w:rsid w:val="001E105F"/>
    <w:rsid w:val="001E13F3"/>
    <w:rsid w:val="001E14AA"/>
    <w:rsid w:val="001E2717"/>
    <w:rsid w:val="001E2BC0"/>
    <w:rsid w:val="001E33DB"/>
    <w:rsid w:val="001E385F"/>
    <w:rsid w:val="001E3D83"/>
    <w:rsid w:val="001E51C8"/>
    <w:rsid w:val="001E608B"/>
    <w:rsid w:val="001E65B3"/>
    <w:rsid w:val="001E6BE4"/>
    <w:rsid w:val="001F02BF"/>
    <w:rsid w:val="001F0F20"/>
    <w:rsid w:val="001F0F4E"/>
    <w:rsid w:val="001F3368"/>
    <w:rsid w:val="001F33EB"/>
    <w:rsid w:val="001F381F"/>
    <w:rsid w:val="001F53AC"/>
    <w:rsid w:val="001F6E44"/>
    <w:rsid w:val="002009DA"/>
    <w:rsid w:val="00204E0B"/>
    <w:rsid w:val="0020691E"/>
    <w:rsid w:val="002108B6"/>
    <w:rsid w:val="00211D6C"/>
    <w:rsid w:val="00212139"/>
    <w:rsid w:val="00212335"/>
    <w:rsid w:val="0021298C"/>
    <w:rsid w:val="00212C67"/>
    <w:rsid w:val="00212CC9"/>
    <w:rsid w:val="00212FED"/>
    <w:rsid w:val="0021313A"/>
    <w:rsid w:val="00213B69"/>
    <w:rsid w:val="00214548"/>
    <w:rsid w:val="00214CB3"/>
    <w:rsid w:val="00215F3A"/>
    <w:rsid w:val="00216EF9"/>
    <w:rsid w:val="00217CCE"/>
    <w:rsid w:val="00223ED2"/>
    <w:rsid w:val="00224A64"/>
    <w:rsid w:val="00224B71"/>
    <w:rsid w:val="002251E7"/>
    <w:rsid w:val="00225634"/>
    <w:rsid w:val="00225A8C"/>
    <w:rsid w:val="00226631"/>
    <w:rsid w:val="00226BF5"/>
    <w:rsid w:val="00226D8E"/>
    <w:rsid w:val="002279D2"/>
    <w:rsid w:val="00227AEE"/>
    <w:rsid w:val="00227B1E"/>
    <w:rsid w:val="0023053F"/>
    <w:rsid w:val="00230547"/>
    <w:rsid w:val="0023234F"/>
    <w:rsid w:val="002333BF"/>
    <w:rsid w:val="00233CE9"/>
    <w:rsid w:val="00234740"/>
    <w:rsid w:val="00235442"/>
    <w:rsid w:val="00235641"/>
    <w:rsid w:val="0023660C"/>
    <w:rsid w:val="0023687D"/>
    <w:rsid w:val="00237E5B"/>
    <w:rsid w:val="002401FD"/>
    <w:rsid w:val="00240911"/>
    <w:rsid w:val="00240C6F"/>
    <w:rsid w:val="00242AFB"/>
    <w:rsid w:val="002438AC"/>
    <w:rsid w:val="002446AF"/>
    <w:rsid w:val="00244E7A"/>
    <w:rsid w:val="00246069"/>
    <w:rsid w:val="002466CC"/>
    <w:rsid w:val="00246DB5"/>
    <w:rsid w:val="002474A5"/>
    <w:rsid w:val="00251C80"/>
    <w:rsid w:val="002534F3"/>
    <w:rsid w:val="00253527"/>
    <w:rsid w:val="002539CA"/>
    <w:rsid w:val="0025621F"/>
    <w:rsid w:val="00256C99"/>
    <w:rsid w:val="002577C1"/>
    <w:rsid w:val="00260F7F"/>
    <w:rsid w:val="00261627"/>
    <w:rsid w:val="002629D8"/>
    <w:rsid w:val="00262B61"/>
    <w:rsid w:val="00262F1E"/>
    <w:rsid w:val="00263A27"/>
    <w:rsid w:val="002658AB"/>
    <w:rsid w:val="00266A86"/>
    <w:rsid w:val="00267066"/>
    <w:rsid w:val="0027029C"/>
    <w:rsid w:val="00271043"/>
    <w:rsid w:val="0027166D"/>
    <w:rsid w:val="00271862"/>
    <w:rsid w:val="00271EF9"/>
    <w:rsid w:val="0027234A"/>
    <w:rsid w:val="00272D8C"/>
    <w:rsid w:val="002734BD"/>
    <w:rsid w:val="00273C6B"/>
    <w:rsid w:val="00274406"/>
    <w:rsid w:val="0027490E"/>
    <w:rsid w:val="002777D1"/>
    <w:rsid w:val="0028173D"/>
    <w:rsid w:val="00282425"/>
    <w:rsid w:val="0028279E"/>
    <w:rsid w:val="002839D2"/>
    <w:rsid w:val="0028428A"/>
    <w:rsid w:val="002856A6"/>
    <w:rsid w:val="0028651A"/>
    <w:rsid w:val="00287140"/>
    <w:rsid w:val="0028757E"/>
    <w:rsid w:val="00290148"/>
    <w:rsid w:val="00290207"/>
    <w:rsid w:val="0029043E"/>
    <w:rsid w:val="00292B08"/>
    <w:rsid w:val="002932B0"/>
    <w:rsid w:val="00294255"/>
    <w:rsid w:val="002950DE"/>
    <w:rsid w:val="0029744B"/>
    <w:rsid w:val="002A05E0"/>
    <w:rsid w:val="002A2C8B"/>
    <w:rsid w:val="002A3848"/>
    <w:rsid w:val="002A5514"/>
    <w:rsid w:val="002A5DA2"/>
    <w:rsid w:val="002A7EBD"/>
    <w:rsid w:val="002B051B"/>
    <w:rsid w:val="002B28EF"/>
    <w:rsid w:val="002B2E1A"/>
    <w:rsid w:val="002B35D7"/>
    <w:rsid w:val="002B70E7"/>
    <w:rsid w:val="002C0CD4"/>
    <w:rsid w:val="002C0D8B"/>
    <w:rsid w:val="002C11B6"/>
    <w:rsid w:val="002C284F"/>
    <w:rsid w:val="002C2BA1"/>
    <w:rsid w:val="002C334D"/>
    <w:rsid w:val="002C426C"/>
    <w:rsid w:val="002C465C"/>
    <w:rsid w:val="002C5A8F"/>
    <w:rsid w:val="002C6A08"/>
    <w:rsid w:val="002D03DA"/>
    <w:rsid w:val="002D3117"/>
    <w:rsid w:val="002D387D"/>
    <w:rsid w:val="002D39B7"/>
    <w:rsid w:val="002D3D89"/>
    <w:rsid w:val="002D4ABA"/>
    <w:rsid w:val="002D4EF6"/>
    <w:rsid w:val="002D4F00"/>
    <w:rsid w:val="002D5308"/>
    <w:rsid w:val="002D6E5C"/>
    <w:rsid w:val="002E0C2F"/>
    <w:rsid w:val="002E202D"/>
    <w:rsid w:val="002E2FB5"/>
    <w:rsid w:val="002E504E"/>
    <w:rsid w:val="002F0646"/>
    <w:rsid w:val="002F087B"/>
    <w:rsid w:val="002F132E"/>
    <w:rsid w:val="002F160F"/>
    <w:rsid w:val="002F1CE7"/>
    <w:rsid w:val="002F313B"/>
    <w:rsid w:val="002F40FD"/>
    <w:rsid w:val="002F5851"/>
    <w:rsid w:val="002F5E07"/>
    <w:rsid w:val="002F6AD7"/>
    <w:rsid w:val="002F74D1"/>
    <w:rsid w:val="002F7D0F"/>
    <w:rsid w:val="00300BFA"/>
    <w:rsid w:val="00301AE8"/>
    <w:rsid w:val="003026E7"/>
    <w:rsid w:val="00302F95"/>
    <w:rsid w:val="00304885"/>
    <w:rsid w:val="00304BBB"/>
    <w:rsid w:val="00305072"/>
    <w:rsid w:val="00305C83"/>
    <w:rsid w:val="00306A39"/>
    <w:rsid w:val="00307CB1"/>
    <w:rsid w:val="00310588"/>
    <w:rsid w:val="00311054"/>
    <w:rsid w:val="003113C6"/>
    <w:rsid w:val="00312A5F"/>
    <w:rsid w:val="00314D70"/>
    <w:rsid w:val="00315C5B"/>
    <w:rsid w:val="00316079"/>
    <w:rsid w:val="003169BB"/>
    <w:rsid w:val="00317012"/>
    <w:rsid w:val="003173AC"/>
    <w:rsid w:val="0032238F"/>
    <w:rsid w:val="00322D03"/>
    <w:rsid w:val="00322DD9"/>
    <w:rsid w:val="0032351B"/>
    <w:rsid w:val="0032707B"/>
    <w:rsid w:val="00327626"/>
    <w:rsid w:val="00327823"/>
    <w:rsid w:val="00327B50"/>
    <w:rsid w:val="00332298"/>
    <w:rsid w:val="003325FE"/>
    <w:rsid w:val="00333D94"/>
    <w:rsid w:val="00334190"/>
    <w:rsid w:val="0033613B"/>
    <w:rsid w:val="003369C7"/>
    <w:rsid w:val="00337E16"/>
    <w:rsid w:val="003400CF"/>
    <w:rsid w:val="003429B2"/>
    <w:rsid w:val="00342A43"/>
    <w:rsid w:val="00342A4C"/>
    <w:rsid w:val="003432BC"/>
    <w:rsid w:val="00344456"/>
    <w:rsid w:val="003468BD"/>
    <w:rsid w:val="00347030"/>
    <w:rsid w:val="00347782"/>
    <w:rsid w:val="00347ACD"/>
    <w:rsid w:val="00347B08"/>
    <w:rsid w:val="00350E21"/>
    <w:rsid w:val="00352888"/>
    <w:rsid w:val="00352BF2"/>
    <w:rsid w:val="003534A0"/>
    <w:rsid w:val="00353A1A"/>
    <w:rsid w:val="00353BF9"/>
    <w:rsid w:val="00354F35"/>
    <w:rsid w:val="003564AB"/>
    <w:rsid w:val="003579BD"/>
    <w:rsid w:val="00360B2C"/>
    <w:rsid w:val="00362867"/>
    <w:rsid w:val="00362D39"/>
    <w:rsid w:val="003640B4"/>
    <w:rsid w:val="0036499A"/>
    <w:rsid w:val="00366347"/>
    <w:rsid w:val="00366C8B"/>
    <w:rsid w:val="00367743"/>
    <w:rsid w:val="00367C3A"/>
    <w:rsid w:val="00367EB7"/>
    <w:rsid w:val="0037270C"/>
    <w:rsid w:val="00373E38"/>
    <w:rsid w:val="00374A20"/>
    <w:rsid w:val="00375484"/>
    <w:rsid w:val="00375889"/>
    <w:rsid w:val="00376125"/>
    <w:rsid w:val="003762AD"/>
    <w:rsid w:val="00376BFF"/>
    <w:rsid w:val="00377520"/>
    <w:rsid w:val="00381392"/>
    <w:rsid w:val="00381426"/>
    <w:rsid w:val="0038207E"/>
    <w:rsid w:val="00384D3A"/>
    <w:rsid w:val="00385031"/>
    <w:rsid w:val="00386B47"/>
    <w:rsid w:val="003914A6"/>
    <w:rsid w:val="003925BD"/>
    <w:rsid w:val="00396555"/>
    <w:rsid w:val="0039660F"/>
    <w:rsid w:val="00396AA8"/>
    <w:rsid w:val="003971CF"/>
    <w:rsid w:val="003A06AA"/>
    <w:rsid w:val="003A10D2"/>
    <w:rsid w:val="003A1C85"/>
    <w:rsid w:val="003A1E07"/>
    <w:rsid w:val="003A2464"/>
    <w:rsid w:val="003A517A"/>
    <w:rsid w:val="003A669B"/>
    <w:rsid w:val="003A7D9A"/>
    <w:rsid w:val="003A7F5B"/>
    <w:rsid w:val="003B226F"/>
    <w:rsid w:val="003B2767"/>
    <w:rsid w:val="003B5912"/>
    <w:rsid w:val="003B5AC0"/>
    <w:rsid w:val="003B63B0"/>
    <w:rsid w:val="003C0751"/>
    <w:rsid w:val="003C0CAD"/>
    <w:rsid w:val="003C3319"/>
    <w:rsid w:val="003C4D44"/>
    <w:rsid w:val="003C7A3C"/>
    <w:rsid w:val="003D0115"/>
    <w:rsid w:val="003D0419"/>
    <w:rsid w:val="003D1FF2"/>
    <w:rsid w:val="003D2B13"/>
    <w:rsid w:val="003D473D"/>
    <w:rsid w:val="003D4921"/>
    <w:rsid w:val="003D4B77"/>
    <w:rsid w:val="003D4F69"/>
    <w:rsid w:val="003D5B27"/>
    <w:rsid w:val="003D6140"/>
    <w:rsid w:val="003D630E"/>
    <w:rsid w:val="003D6BD5"/>
    <w:rsid w:val="003D6D97"/>
    <w:rsid w:val="003D7B2E"/>
    <w:rsid w:val="003E0133"/>
    <w:rsid w:val="003E1B8F"/>
    <w:rsid w:val="003E2480"/>
    <w:rsid w:val="003E372D"/>
    <w:rsid w:val="003E4108"/>
    <w:rsid w:val="003E4139"/>
    <w:rsid w:val="003E4493"/>
    <w:rsid w:val="003E51FB"/>
    <w:rsid w:val="003E57DB"/>
    <w:rsid w:val="003E5FF6"/>
    <w:rsid w:val="003E6192"/>
    <w:rsid w:val="003E75E8"/>
    <w:rsid w:val="003F011B"/>
    <w:rsid w:val="003F01EE"/>
    <w:rsid w:val="003F057E"/>
    <w:rsid w:val="003F1CE6"/>
    <w:rsid w:val="003F1D56"/>
    <w:rsid w:val="003F3649"/>
    <w:rsid w:val="003F398C"/>
    <w:rsid w:val="003F41F4"/>
    <w:rsid w:val="003F4CA6"/>
    <w:rsid w:val="003F5232"/>
    <w:rsid w:val="003F68C6"/>
    <w:rsid w:val="00400417"/>
    <w:rsid w:val="00400BE6"/>
    <w:rsid w:val="00402454"/>
    <w:rsid w:val="00402E81"/>
    <w:rsid w:val="004033D8"/>
    <w:rsid w:val="0040346F"/>
    <w:rsid w:val="0040535D"/>
    <w:rsid w:val="00406601"/>
    <w:rsid w:val="004075DD"/>
    <w:rsid w:val="00407B89"/>
    <w:rsid w:val="00410BB6"/>
    <w:rsid w:val="004116E5"/>
    <w:rsid w:val="00411F39"/>
    <w:rsid w:val="004123A0"/>
    <w:rsid w:val="004131C5"/>
    <w:rsid w:val="004139F5"/>
    <w:rsid w:val="0041428D"/>
    <w:rsid w:val="00414859"/>
    <w:rsid w:val="004148F6"/>
    <w:rsid w:val="0041501D"/>
    <w:rsid w:val="00415548"/>
    <w:rsid w:val="00417CB7"/>
    <w:rsid w:val="00417EC3"/>
    <w:rsid w:val="0042040E"/>
    <w:rsid w:val="00420EDE"/>
    <w:rsid w:val="00420F03"/>
    <w:rsid w:val="00421E5C"/>
    <w:rsid w:val="00422744"/>
    <w:rsid w:val="00423E03"/>
    <w:rsid w:val="00424292"/>
    <w:rsid w:val="0042513E"/>
    <w:rsid w:val="00426421"/>
    <w:rsid w:val="00426EDC"/>
    <w:rsid w:val="00430B57"/>
    <w:rsid w:val="00431840"/>
    <w:rsid w:val="004320EB"/>
    <w:rsid w:val="00432339"/>
    <w:rsid w:val="00432829"/>
    <w:rsid w:val="00432FB4"/>
    <w:rsid w:val="00433994"/>
    <w:rsid w:val="00433EB7"/>
    <w:rsid w:val="004341C5"/>
    <w:rsid w:val="004357C2"/>
    <w:rsid w:val="00435C41"/>
    <w:rsid w:val="004378A2"/>
    <w:rsid w:val="004378B5"/>
    <w:rsid w:val="0043798C"/>
    <w:rsid w:val="004401BD"/>
    <w:rsid w:val="00440F88"/>
    <w:rsid w:val="00441977"/>
    <w:rsid w:val="00442E93"/>
    <w:rsid w:val="00443285"/>
    <w:rsid w:val="00443F81"/>
    <w:rsid w:val="00444BAC"/>
    <w:rsid w:val="00447CA6"/>
    <w:rsid w:val="00451033"/>
    <w:rsid w:val="004515EF"/>
    <w:rsid w:val="00451712"/>
    <w:rsid w:val="00452B23"/>
    <w:rsid w:val="004530BC"/>
    <w:rsid w:val="00453631"/>
    <w:rsid w:val="00454438"/>
    <w:rsid w:val="00454AB4"/>
    <w:rsid w:val="00454FBF"/>
    <w:rsid w:val="0045590B"/>
    <w:rsid w:val="00455942"/>
    <w:rsid w:val="00455952"/>
    <w:rsid w:val="00455994"/>
    <w:rsid w:val="00455B78"/>
    <w:rsid w:val="004564E8"/>
    <w:rsid w:val="0046051F"/>
    <w:rsid w:val="00460866"/>
    <w:rsid w:val="00460AE7"/>
    <w:rsid w:val="00460FA0"/>
    <w:rsid w:val="00461C2D"/>
    <w:rsid w:val="00461FED"/>
    <w:rsid w:val="0046208E"/>
    <w:rsid w:val="0046291D"/>
    <w:rsid w:val="004630F4"/>
    <w:rsid w:val="004633B5"/>
    <w:rsid w:val="0046428F"/>
    <w:rsid w:val="004652EF"/>
    <w:rsid w:val="0046586B"/>
    <w:rsid w:val="0046647C"/>
    <w:rsid w:val="00466E39"/>
    <w:rsid w:val="00470885"/>
    <w:rsid w:val="004727FD"/>
    <w:rsid w:val="00472EFB"/>
    <w:rsid w:val="00472F45"/>
    <w:rsid w:val="00473D76"/>
    <w:rsid w:val="00474029"/>
    <w:rsid w:val="00474F4B"/>
    <w:rsid w:val="00475252"/>
    <w:rsid w:val="004763DF"/>
    <w:rsid w:val="0047740A"/>
    <w:rsid w:val="004779F3"/>
    <w:rsid w:val="00477A37"/>
    <w:rsid w:val="00480B6F"/>
    <w:rsid w:val="00481D4A"/>
    <w:rsid w:val="00483EBD"/>
    <w:rsid w:val="004844F9"/>
    <w:rsid w:val="004872B1"/>
    <w:rsid w:val="004906A7"/>
    <w:rsid w:val="004924FB"/>
    <w:rsid w:val="00492BE8"/>
    <w:rsid w:val="00494E2B"/>
    <w:rsid w:val="00495431"/>
    <w:rsid w:val="00495720"/>
    <w:rsid w:val="004964C8"/>
    <w:rsid w:val="00497033"/>
    <w:rsid w:val="004971EE"/>
    <w:rsid w:val="004A038C"/>
    <w:rsid w:val="004A197C"/>
    <w:rsid w:val="004A2414"/>
    <w:rsid w:val="004A2E4E"/>
    <w:rsid w:val="004A42CC"/>
    <w:rsid w:val="004A4F0F"/>
    <w:rsid w:val="004A5D6F"/>
    <w:rsid w:val="004A757B"/>
    <w:rsid w:val="004B0067"/>
    <w:rsid w:val="004B053F"/>
    <w:rsid w:val="004B0C11"/>
    <w:rsid w:val="004B11CB"/>
    <w:rsid w:val="004B5403"/>
    <w:rsid w:val="004B5813"/>
    <w:rsid w:val="004B6312"/>
    <w:rsid w:val="004B724A"/>
    <w:rsid w:val="004B7380"/>
    <w:rsid w:val="004C0592"/>
    <w:rsid w:val="004C1CB4"/>
    <w:rsid w:val="004C3989"/>
    <w:rsid w:val="004C4D0E"/>
    <w:rsid w:val="004C5A75"/>
    <w:rsid w:val="004C6286"/>
    <w:rsid w:val="004C6B66"/>
    <w:rsid w:val="004D0E69"/>
    <w:rsid w:val="004D2C1F"/>
    <w:rsid w:val="004D2D89"/>
    <w:rsid w:val="004D3510"/>
    <w:rsid w:val="004D3590"/>
    <w:rsid w:val="004D46AE"/>
    <w:rsid w:val="004D4736"/>
    <w:rsid w:val="004D5321"/>
    <w:rsid w:val="004D5337"/>
    <w:rsid w:val="004D5F0E"/>
    <w:rsid w:val="004E0A53"/>
    <w:rsid w:val="004E0E0E"/>
    <w:rsid w:val="004E103C"/>
    <w:rsid w:val="004E2215"/>
    <w:rsid w:val="004E265A"/>
    <w:rsid w:val="004E2F4B"/>
    <w:rsid w:val="004E3B4D"/>
    <w:rsid w:val="004E707B"/>
    <w:rsid w:val="004E746D"/>
    <w:rsid w:val="004E74F3"/>
    <w:rsid w:val="004E7E4D"/>
    <w:rsid w:val="004F15B6"/>
    <w:rsid w:val="004F2EC7"/>
    <w:rsid w:val="004F2FDB"/>
    <w:rsid w:val="004F38EA"/>
    <w:rsid w:val="004F42D1"/>
    <w:rsid w:val="004F598B"/>
    <w:rsid w:val="004F6102"/>
    <w:rsid w:val="004F6B61"/>
    <w:rsid w:val="0050054F"/>
    <w:rsid w:val="005006BC"/>
    <w:rsid w:val="0050395D"/>
    <w:rsid w:val="0050486C"/>
    <w:rsid w:val="0050510B"/>
    <w:rsid w:val="00506548"/>
    <w:rsid w:val="00511EB1"/>
    <w:rsid w:val="005120C7"/>
    <w:rsid w:val="005127CA"/>
    <w:rsid w:val="005143CA"/>
    <w:rsid w:val="00516AE3"/>
    <w:rsid w:val="00521389"/>
    <w:rsid w:val="00521EB4"/>
    <w:rsid w:val="005229C9"/>
    <w:rsid w:val="0052707C"/>
    <w:rsid w:val="00527B45"/>
    <w:rsid w:val="00531075"/>
    <w:rsid w:val="0053171C"/>
    <w:rsid w:val="00531E39"/>
    <w:rsid w:val="00533E70"/>
    <w:rsid w:val="00535627"/>
    <w:rsid w:val="00535943"/>
    <w:rsid w:val="0053779B"/>
    <w:rsid w:val="005378A4"/>
    <w:rsid w:val="005412CF"/>
    <w:rsid w:val="005412E3"/>
    <w:rsid w:val="005417B1"/>
    <w:rsid w:val="005449C4"/>
    <w:rsid w:val="00545617"/>
    <w:rsid w:val="0054658C"/>
    <w:rsid w:val="00546656"/>
    <w:rsid w:val="00546CBC"/>
    <w:rsid w:val="0054703F"/>
    <w:rsid w:val="00547511"/>
    <w:rsid w:val="00551869"/>
    <w:rsid w:val="0055282E"/>
    <w:rsid w:val="00553822"/>
    <w:rsid w:val="005557DF"/>
    <w:rsid w:val="0055601C"/>
    <w:rsid w:val="005612EF"/>
    <w:rsid w:val="00562D71"/>
    <w:rsid w:val="005633DB"/>
    <w:rsid w:val="005636B7"/>
    <w:rsid w:val="00563F34"/>
    <w:rsid w:val="005656AC"/>
    <w:rsid w:val="00565703"/>
    <w:rsid w:val="00565A87"/>
    <w:rsid w:val="00567785"/>
    <w:rsid w:val="005706F0"/>
    <w:rsid w:val="00572D32"/>
    <w:rsid w:val="00576E23"/>
    <w:rsid w:val="00577390"/>
    <w:rsid w:val="00577CF3"/>
    <w:rsid w:val="0058052A"/>
    <w:rsid w:val="00580DDC"/>
    <w:rsid w:val="0058178D"/>
    <w:rsid w:val="00582BA0"/>
    <w:rsid w:val="00584ECF"/>
    <w:rsid w:val="00586834"/>
    <w:rsid w:val="00590453"/>
    <w:rsid w:val="005918E0"/>
    <w:rsid w:val="00592962"/>
    <w:rsid w:val="00593B1A"/>
    <w:rsid w:val="005944F0"/>
    <w:rsid w:val="00595DC2"/>
    <w:rsid w:val="005A021E"/>
    <w:rsid w:val="005A058B"/>
    <w:rsid w:val="005A0628"/>
    <w:rsid w:val="005A3581"/>
    <w:rsid w:val="005A361F"/>
    <w:rsid w:val="005A3854"/>
    <w:rsid w:val="005A4C22"/>
    <w:rsid w:val="005A5D99"/>
    <w:rsid w:val="005A69B8"/>
    <w:rsid w:val="005A796E"/>
    <w:rsid w:val="005A7D4A"/>
    <w:rsid w:val="005A7DA2"/>
    <w:rsid w:val="005A7DC5"/>
    <w:rsid w:val="005A7F23"/>
    <w:rsid w:val="005B0912"/>
    <w:rsid w:val="005B1938"/>
    <w:rsid w:val="005B22F2"/>
    <w:rsid w:val="005B2469"/>
    <w:rsid w:val="005B2D15"/>
    <w:rsid w:val="005B2E04"/>
    <w:rsid w:val="005B33FA"/>
    <w:rsid w:val="005B37C6"/>
    <w:rsid w:val="005B45CF"/>
    <w:rsid w:val="005B6012"/>
    <w:rsid w:val="005B7341"/>
    <w:rsid w:val="005C26EF"/>
    <w:rsid w:val="005C2FD2"/>
    <w:rsid w:val="005C4408"/>
    <w:rsid w:val="005C4CEA"/>
    <w:rsid w:val="005C53E3"/>
    <w:rsid w:val="005C57E2"/>
    <w:rsid w:val="005C5C5C"/>
    <w:rsid w:val="005C736D"/>
    <w:rsid w:val="005C7FA2"/>
    <w:rsid w:val="005D018B"/>
    <w:rsid w:val="005D1606"/>
    <w:rsid w:val="005D1FB1"/>
    <w:rsid w:val="005D2062"/>
    <w:rsid w:val="005D2896"/>
    <w:rsid w:val="005D2BA1"/>
    <w:rsid w:val="005D2C3F"/>
    <w:rsid w:val="005D3730"/>
    <w:rsid w:val="005D37A7"/>
    <w:rsid w:val="005D55FD"/>
    <w:rsid w:val="005D5EF2"/>
    <w:rsid w:val="005D7714"/>
    <w:rsid w:val="005E10EF"/>
    <w:rsid w:val="005E1A52"/>
    <w:rsid w:val="005E200D"/>
    <w:rsid w:val="005E23BD"/>
    <w:rsid w:val="005E25AA"/>
    <w:rsid w:val="005E37E0"/>
    <w:rsid w:val="005E3B0B"/>
    <w:rsid w:val="005E69BD"/>
    <w:rsid w:val="005E743C"/>
    <w:rsid w:val="005E7ABA"/>
    <w:rsid w:val="005F0BC8"/>
    <w:rsid w:val="005F1C98"/>
    <w:rsid w:val="005F209E"/>
    <w:rsid w:val="005F3918"/>
    <w:rsid w:val="005F403A"/>
    <w:rsid w:val="005F4212"/>
    <w:rsid w:val="005F44CF"/>
    <w:rsid w:val="005F45C6"/>
    <w:rsid w:val="005F4E39"/>
    <w:rsid w:val="005F5A93"/>
    <w:rsid w:val="005F5E91"/>
    <w:rsid w:val="005F6C1F"/>
    <w:rsid w:val="006004F6"/>
    <w:rsid w:val="00600C27"/>
    <w:rsid w:val="00601788"/>
    <w:rsid w:val="0060178C"/>
    <w:rsid w:val="00601B17"/>
    <w:rsid w:val="00601C34"/>
    <w:rsid w:val="00602944"/>
    <w:rsid w:val="00604453"/>
    <w:rsid w:val="00604935"/>
    <w:rsid w:val="006053FD"/>
    <w:rsid w:val="00605833"/>
    <w:rsid w:val="00606A41"/>
    <w:rsid w:val="00611F98"/>
    <w:rsid w:val="006141BB"/>
    <w:rsid w:val="006159A9"/>
    <w:rsid w:val="00616035"/>
    <w:rsid w:val="00617594"/>
    <w:rsid w:val="00621A59"/>
    <w:rsid w:val="00621D15"/>
    <w:rsid w:val="00621E63"/>
    <w:rsid w:val="0062233B"/>
    <w:rsid w:val="006224BB"/>
    <w:rsid w:val="006241BE"/>
    <w:rsid w:val="00624D32"/>
    <w:rsid w:val="00624FCB"/>
    <w:rsid w:val="006256A2"/>
    <w:rsid w:val="00627767"/>
    <w:rsid w:val="00630399"/>
    <w:rsid w:val="006304CA"/>
    <w:rsid w:val="0063107E"/>
    <w:rsid w:val="006315D8"/>
    <w:rsid w:val="00631AAA"/>
    <w:rsid w:val="0063244B"/>
    <w:rsid w:val="00633BDF"/>
    <w:rsid w:val="006344E4"/>
    <w:rsid w:val="006348E7"/>
    <w:rsid w:val="00635A15"/>
    <w:rsid w:val="006368C7"/>
    <w:rsid w:val="00636C7F"/>
    <w:rsid w:val="00640BDE"/>
    <w:rsid w:val="00640DDB"/>
    <w:rsid w:val="00641111"/>
    <w:rsid w:val="00641633"/>
    <w:rsid w:val="00641FAF"/>
    <w:rsid w:val="0064282A"/>
    <w:rsid w:val="006434DE"/>
    <w:rsid w:val="00644CD2"/>
    <w:rsid w:val="00645B6D"/>
    <w:rsid w:val="00646B1A"/>
    <w:rsid w:val="00647705"/>
    <w:rsid w:val="00650985"/>
    <w:rsid w:val="006519D6"/>
    <w:rsid w:val="00652620"/>
    <w:rsid w:val="0065286D"/>
    <w:rsid w:val="00652B98"/>
    <w:rsid w:val="0065335A"/>
    <w:rsid w:val="00653BCD"/>
    <w:rsid w:val="00654324"/>
    <w:rsid w:val="006548A9"/>
    <w:rsid w:val="00655A40"/>
    <w:rsid w:val="00660313"/>
    <w:rsid w:val="006604AD"/>
    <w:rsid w:val="00661196"/>
    <w:rsid w:val="0066149F"/>
    <w:rsid w:val="006617C3"/>
    <w:rsid w:val="00661B7C"/>
    <w:rsid w:val="00661CB6"/>
    <w:rsid w:val="0066284D"/>
    <w:rsid w:val="006635AE"/>
    <w:rsid w:val="0066698E"/>
    <w:rsid w:val="006672BF"/>
    <w:rsid w:val="00671586"/>
    <w:rsid w:val="00671E4E"/>
    <w:rsid w:val="00671FEB"/>
    <w:rsid w:val="0067244C"/>
    <w:rsid w:val="00672F00"/>
    <w:rsid w:val="00673B11"/>
    <w:rsid w:val="00673B9E"/>
    <w:rsid w:val="00674584"/>
    <w:rsid w:val="00674B9E"/>
    <w:rsid w:val="00675311"/>
    <w:rsid w:val="006756AA"/>
    <w:rsid w:val="00675722"/>
    <w:rsid w:val="00675E19"/>
    <w:rsid w:val="00677CB7"/>
    <w:rsid w:val="0068019F"/>
    <w:rsid w:val="006804CE"/>
    <w:rsid w:val="00680A0C"/>
    <w:rsid w:val="00681104"/>
    <w:rsid w:val="0068142B"/>
    <w:rsid w:val="006838CC"/>
    <w:rsid w:val="00685888"/>
    <w:rsid w:val="006858B2"/>
    <w:rsid w:val="0069077F"/>
    <w:rsid w:val="006917A5"/>
    <w:rsid w:val="006920E5"/>
    <w:rsid w:val="00692549"/>
    <w:rsid w:val="006939B5"/>
    <w:rsid w:val="006944D7"/>
    <w:rsid w:val="00694BFB"/>
    <w:rsid w:val="006961C0"/>
    <w:rsid w:val="00696C2C"/>
    <w:rsid w:val="00696E6D"/>
    <w:rsid w:val="006972F7"/>
    <w:rsid w:val="0069783A"/>
    <w:rsid w:val="006A0307"/>
    <w:rsid w:val="006A0742"/>
    <w:rsid w:val="006A1A2E"/>
    <w:rsid w:val="006A2F50"/>
    <w:rsid w:val="006A3EEF"/>
    <w:rsid w:val="006A4FC3"/>
    <w:rsid w:val="006A650E"/>
    <w:rsid w:val="006A68FC"/>
    <w:rsid w:val="006A6EC6"/>
    <w:rsid w:val="006B0DEE"/>
    <w:rsid w:val="006B0E5E"/>
    <w:rsid w:val="006B170D"/>
    <w:rsid w:val="006B1C6C"/>
    <w:rsid w:val="006B1F68"/>
    <w:rsid w:val="006B3A8B"/>
    <w:rsid w:val="006B43A5"/>
    <w:rsid w:val="006B5C40"/>
    <w:rsid w:val="006B6380"/>
    <w:rsid w:val="006B6BB4"/>
    <w:rsid w:val="006B70A9"/>
    <w:rsid w:val="006B7E67"/>
    <w:rsid w:val="006C20D1"/>
    <w:rsid w:val="006C2206"/>
    <w:rsid w:val="006C2438"/>
    <w:rsid w:val="006C248D"/>
    <w:rsid w:val="006C4C8E"/>
    <w:rsid w:val="006C72BC"/>
    <w:rsid w:val="006C72EB"/>
    <w:rsid w:val="006D0663"/>
    <w:rsid w:val="006D13C6"/>
    <w:rsid w:val="006D2BD0"/>
    <w:rsid w:val="006D390E"/>
    <w:rsid w:val="006D4A23"/>
    <w:rsid w:val="006D4FAB"/>
    <w:rsid w:val="006D5A9E"/>
    <w:rsid w:val="006E07F4"/>
    <w:rsid w:val="006E0B90"/>
    <w:rsid w:val="006E19B3"/>
    <w:rsid w:val="006E239D"/>
    <w:rsid w:val="006E3067"/>
    <w:rsid w:val="006E3175"/>
    <w:rsid w:val="006E32D1"/>
    <w:rsid w:val="006E588F"/>
    <w:rsid w:val="006E5E0E"/>
    <w:rsid w:val="006E7708"/>
    <w:rsid w:val="006F1CC4"/>
    <w:rsid w:val="006F28FB"/>
    <w:rsid w:val="006F2A0D"/>
    <w:rsid w:val="006F3170"/>
    <w:rsid w:val="006F3C74"/>
    <w:rsid w:val="006F504E"/>
    <w:rsid w:val="006F5BCF"/>
    <w:rsid w:val="006F7282"/>
    <w:rsid w:val="006F797D"/>
    <w:rsid w:val="007006E1"/>
    <w:rsid w:val="007009C4"/>
    <w:rsid w:val="00700F9A"/>
    <w:rsid w:val="00701083"/>
    <w:rsid w:val="00701438"/>
    <w:rsid w:val="007033DE"/>
    <w:rsid w:val="007039D1"/>
    <w:rsid w:val="0070450C"/>
    <w:rsid w:val="00704D70"/>
    <w:rsid w:val="007054AA"/>
    <w:rsid w:val="007061A5"/>
    <w:rsid w:val="007076DB"/>
    <w:rsid w:val="00707A59"/>
    <w:rsid w:val="0071028C"/>
    <w:rsid w:val="00710B02"/>
    <w:rsid w:val="00710D9D"/>
    <w:rsid w:val="00712269"/>
    <w:rsid w:val="007122E5"/>
    <w:rsid w:val="0071517C"/>
    <w:rsid w:val="00716C7D"/>
    <w:rsid w:val="00721318"/>
    <w:rsid w:val="007216AC"/>
    <w:rsid w:val="00721ACA"/>
    <w:rsid w:val="00722D36"/>
    <w:rsid w:val="00723D3A"/>
    <w:rsid w:val="00724B7B"/>
    <w:rsid w:val="00726054"/>
    <w:rsid w:val="0072668A"/>
    <w:rsid w:val="00727392"/>
    <w:rsid w:val="007273EC"/>
    <w:rsid w:val="00727655"/>
    <w:rsid w:val="00732565"/>
    <w:rsid w:val="007329EF"/>
    <w:rsid w:val="007337FA"/>
    <w:rsid w:val="0073586E"/>
    <w:rsid w:val="0073588E"/>
    <w:rsid w:val="00735FA3"/>
    <w:rsid w:val="007373FF"/>
    <w:rsid w:val="007374DC"/>
    <w:rsid w:val="00737E25"/>
    <w:rsid w:val="007407DE"/>
    <w:rsid w:val="00742617"/>
    <w:rsid w:val="00743F38"/>
    <w:rsid w:val="00744796"/>
    <w:rsid w:val="007455E0"/>
    <w:rsid w:val="00745778"/>
    <w:rsid w:val="0074699F"/>
    <w:rsid w:val="007500E9"/>
    <w:rsid w:val="00750100"/>
    <w:rsid w:val="0075199F"/>
    <w:rsid w:val="00751C56"/>
    <w:rsid w:val="00752596"/>
    <w:rsid w:val="00753F05"/>
    <w:rsid w:val="0075436F"/>
    <w:rsid w:val="007548B8"/>
    <w:rsid w:val="00757238"/>
    <w:rsid w:val="007577BA"/>
    <w:rsid w:val="0076004D"/>
    <w:rsid w:val="007616F7"/>
    <w:rsid w:val="00764F47"/>
    <w:rsid w:val="00764FB5"/>
    <w:rsid w:val="007655A5"/>
    <w:rsid w:val="00765C83"/>
    <w:rsid w:val="00766812"/>
    <w:rsid w:val="00767840"/>
    <w:rsid w:val="00767B81"/>
    <w:rsid w:val="00767DD7"/>
    <w:rsid w:val="0077109C"/>
    <w:rsid w:val="00771E8A"/>
    <w:rsid w:val="007727C9"/>
    <w:rsid w:val="00775437"/>
    <w:rsid w:val="00775828"/>
    <w:rsid w:val="00780230"/>
    <w:rsid w:val="00780833"/>
    <w:rsid w:val="007833F0"/>
    <w:rsid w:val="00783797"/>
    <w:rsid w:val="007839CC"/>
    <w:rsid w:val="00784707"/>
    <w:rsid w:val="007857AF"/>
    <w:rsid w:val="00785F35"/>
    <w:rsid w:val="00791A39"/>
    <w:rsid w:val="007937D4"/>
    <w:rsid w:val="00795031"/>
    <w:rsid w:val="00795A1A"/>
    <w:rsid w:val="00795EC9"/>
    <w:rsid w:val="00796C3B"/>
    <w:rsid w:val="007A3580"/>
    <w:rsid w:val="007B0386"/>
    <w:rsid w:val="007B071E"/>
    <w:rsid w:val="007B0F4F"/>
    <w:rsid w:val="007B3075"/>
    <w:rsid w:val="007B4B05"/>
    <w:rsid w:val="007B56CD"/>
    <w:rsid w:val="007B5AE6"/>
    <w:rsid w:val="007B5C2D"/>
    <w:rsid w:val="007B6383"/>
    <w:rsid w:val="007B6D4C"/>
    <w:rsid w:val="007C0798"/>
    <w:rsid w:val="007C24C2"/>
    <w:rsid w:val="007C28D0"/>
    <w:rsid w:val="007C2990"/>
    <w:rsid w:val="007C372F"/>
    <w:rsid w:val="007C48F3"/>
    <w:rsid w:val="007C4BF8"/>
    <w:rsid w:val="007C515E"/>
    <w:rsid w:val="007C51F2"/>
    <w:rsid w:val="007C615A"/>
    <w:rsid w:val="007C6332"/>
    <w:rsid w:val="007C69DA"/>
    <w:rsid w:val="007C79DA"/>
    <w:rsid w:val="007C7A66"/>
    <w:rsid w:val="007C7A8A"/>
    <w:rsid w:val="007D2697"/>
    <w:rsid w:val="007D3809"/>
    <w:rsid w:val="007D4803"/>
    <w:rsid w:val="007D5AB7"/>
    <w:rsid w:val="007D6828"/>
    <w:rsid w:val="007D7081"/>
    <w:rsid w:val="007E01AF"/>
    <w:rsid w:val="007E1A00"/>
    <w:rsid w:val="007E2092"/>
    <w:rsid w:val="007E24EC"/>
    <w:rsid w:val="007E39F6"/>
    <w:rsid w:val="007E702D"/>
    <w:rsid w:val="007E7E4E"/>
    <w:rsid w:val="007F01BC"/>
    <w:rsid w:val="007F1912"/>
    <w:rsid w:val="007F230E"/>
    <w:rsid w:val="007F40CA"/>
    <w:rsid w:val="007F4106"/>
    <w:rsid w:val="007F4476"/>
    <w:rsid w:val="007F5186"/>
    <w:rsid w:val="007F64C0"/>
    <w:rsid w:val="007F71CB"/>
    <w:rsid w:val="007F724B"/>
    <w:rsid w:val="007F7266"/>
    <w:rsid w:val="00804B40"/>
    <w:rsid w:val="008054F0"/>
    <w:rsid w:val="00806BAF"/>
    <w:rsid w:val="00807D97"/>
    <w:rsid w:val="00811ED5"/>
    <w:rsid w:val="00811FEB"/>
    <w:rsid w:val="00812233"/>
    <w:rsid w:val="00812BEB"/>
    <w:rsid w:val="00812F5C"/>
    <w:rsid w:val="00813E39"/>
    <w:rsid w:val="00815767"/>
    <w:rsid w:val="0081665F"/>
    <w:rsid w:val="00816797"/>
    <w:rsid w:val="0082064A"/>
    <w:rsid w:val="00821340"/>
    <w:rsid w:val="00821FF8"/>
    <w:rsid w:val="00822C1A"/>
    <w:rsid w:val="00822FFC"/>
    <w:rsid w:val="00823179"/>
    <w:rsid w:val="008232D0"/>
    <w:rsid w:val="0082363F"/>
    <w:rsid w:val="00824B74"/>
    <w:rsid w:val="00825E62"/>
    <w:rsid w:val="008262B9"/>
    <w:rsid w:val="008263A2"/>
    <w:rsid w:val="00826DDB"/>
    <w:rsid w:val="00826DFA"/>
    <w:rsid w:val="00826E58"/>
    <w:rsid w:val="0083072B"/>
    <w:rsid w:val="00830987"/>
    <w:rsid w:val="00831CCE"/>
    <w:rsid w:val="00832CE9"/>
    <w:rsid w:val="00833013"/>
    <w:rsid w:val="00834ED7"/>
    <w:rsid w:val="008361E1"/>
    <w:rsid w:val="00836D37"/>
    <w:rsid w:val="0084011A"/>
    <w:rsid w:val="00840305"/>
    <w:rsid w:val="00842206"/>
    <w:rsid w:val="00842341"/>
    <w:rsid w:val="00845DCA"/>
    <w:rsid w:val="00845ECF"/>
    <w:rsid w:val="0084606C"/>
    <w:rsid w:val="00846492"/>
    <w:rsid w:val="008469B8"/>
    <w:rsid w:val="00850BA6"/>
    <w:rsid w:val="008522CC"/>
    <w:rsid w:val="008539DA"/>
    <w:rsid w:val="00856D36"/>
    <w:rsid w:val="008603C6"/>
    <w:rsid w:val="00860788"/>
    <w:rsid w:val="00861DD4"/>
    <w:rsid w:val="00862A44"/>
    <w:rsid w:val="00863DBA"/>
    <w:rsid w:val="008656D0"/>
    <w:rsid w:val="00865C2E"/>
    <w:rsid w:val="00866D8D"/>
    <w:rsid w:val="00867598"/>
    <w:rsid w:val="0086764D"/>
    <w:rsid w:val="00867F88"/>
    <w:rsid w:val="00870730"/>
    <w:rsid w:val="00874281"/>
    <w:rsid w:val="00874B96"/>
    <w:rsid w:val="00874EE2"/>
    <w:rsid w:val="00875163"/>
    <w:rsid w:val="00875C8C"/>
    <w:rsid w:val="00875F93"/>
    <w:rsid w:val="00876287"/>
    <w:rsid w:val="0087645B"/>
    <w:rsid w:val="0087655C"/>
    <w:rsid w:val="008778F8"/>
    <w:rsid w:val="00877BED"/>
    <w:rsid w:val="00881913"/>
    <w:rsid w:val="00882243"/>
    <w:rsid w:val="00883595"/>
    <w:rsid w:val="00887365"/>
    <w:rsid w:val="00891363"/>
    <w:rsid w:val="00892936"/>
    <w:rsid w:val="00893B38"/>
    <w:rsid w:val="0089451B"/>
    <w:rsid w:val="00895D17"/>
    <w:rsid w:val="008960FE"/>
    <w:rsid w:val="00896DBA"/>
    <w:rsid w:val="00897D81"/>
    <w:rsid w:val="008A0B85"/>
    <w:rsid w:val="008A1676"/>
    <w:rsid w:val="008A1B59"/>
    <w:rsid w:val="008A378E"/>
    <w:rsid w:val="008A3DFE"/>
    <w:rsid w:val="008A504E"/>
    <w:rsid w:val="008A578F"/>
    <w:rsid w:val="008A622D"/>
    <w:rsid w:val="008A6C6C"/>
    <w:rsid w:val="008B053E"/>
    <w:rsid w:val="008B0CE1"/>
    <w:rsid w:val="008B1B5F"/>
    <w:rsid w:val="008B27E5"/>
    <w:rsid w:val="008B287A"/>
    <w:rsid w:val="008B2A36"/>
    <w:rsid w:val="008B2B15"/>
    <w:rsid w:val="008B375F"/>
    <w:rsid w:val="008B4115"/>
    <w:rsid w:val="008B60BC"/>
    <w:rsid w:val="008B66B9"/>
    <w:rsid w:val="008B692E"/>
    <w:rsid w:val="008B7506"/>
    <w:rsid w:val="008B7945"/>
    <w:rsid w:val="008C086D"/>
    <w:rsid w:val="008C1372"/>
    <w:rsid w:val="008C155D"/>
    <w:rsid w:val="008C2232"/>
    <w:rsid w:val="008C2ABD"/>
    <w:rsid w:val="008C3545"/>
    <w:rsid w:val="008C3569"/>
    <w:rsid w:val="008C39B7"/>
    <w:rsid w:val="008C3D5C"/>
    <w:rsid w:val="008C46E0"/>
    <w:rsid w:val="008C4A63"/>
    <w:rsid w:val="008C5A2D"/>
    <w:rsid w:val="008C5FC0"/>
    <w:rsid w:val="008C6B6D"/>
    <w:rsid w:val="008D037C"/>
    <w:rsid w:val="008D09AD"/>
    <w:rsid w:val="008D0D4D"/>
    <w:rsid w:val="008D0E8C"/>
    <w:rsid w:val="008D11F1"/>
    <w:rsid w:val="008D2DBB"/>
    <w:rsid w:val="008D3171"/>
    <w:rsid w:val="008D5AC1"/>
    <w:rsid w:val="008D65A5"/>
    <w:rsid w:val="008D6C5C"/>
    <w:rsid w:val="008D6CB0"/>
    <w:rsid w:val="008D76B5"/>
    <w:rsid w:val="008E0576"/>
    <w:rsid w:val="008E1158"/>
    <w:rsid w:val="008E11A8"/>
    <w:rsid w:val="008E2654"/>
    <w:rsid w:val="008E3EF0"/>
    <w:rsid w:val="008E4053"/>
    <w:rsid w:val="008E411D"/>
    <w:rsid w:val="008E41A1"/>
    <w:rsid w:val="008E5815"/>
    <w:rsid w:val="008E608A"/>
    <w:rsid w:val="008E6633"/>
    <w:rsid w:val="008F0465"/>
    <w:rsid w:val="008F0A0A"/>
    <w:rsid w:val="008F1548"/>
    <w:rsid w:val="008F193B"/>
    <w:rsid w:val="008F1C18"/>
    <w:rsid w:val="008F1D11"/>
    <w:rsid w:val="008F289F"/>
    <w:rsid w:val="008F333E"/>
    <w:rsid w:val="008F5A62"/>
    <w:rsid w:val="008F633F"/>
    <w:rsid w:val="00900045"/>
    <w:rsid w:val="0090256F"/>
    <w:rsid w:val="00903266"/>
    <w:rsid w:val="009034BB"/>
    <w:rsid w:val="0090507F"/>
    <w:rsid w:val="00905A5E"/>
    <w:rsid w:val="009076B1"/>
    <w:rsid w:val="00907A3E"/>
    <w:rsid w:val="00907C57"/>
    <w:rsid w:val="00907CFE"/>
    <w:rsid w:val="0091093E"/>
    <w:rsid w:val="00910E40"/>
    <w:rsid w:val="0091153B"/>
    <w:rsid w:val="00912760"/>
    <w:rsid w:val="00914C0A"/>
    <w:rsid w:val="00917269"/>
    <w:rsid w:val="00917A48"/>
    <w:rsid w:val="0092014F"/>
    <w:rsid w:val="00920D90"/>
    <w:rsid w:val="00921567"/>
    <w:rsid w:val="00922B88"/>
    <w:rsid w:val="00923C30"/>
    <w:rsid w:val="00923CC2"/>
    <w:rsid w:val="009242F0"/>
    <w:rsid w:val="00924C7A"/>
    <w:rsid w:val="00924C8C"/>
    <w:rsid w:val="00924F14"/>
    <w:rsid w:val="00925AF1"/>
    <w:rsid w:val="0092692A"/>
    <w:rsid w:val="00927546"/>
    <w:rsid w:val="00927560"/>
    <w:rsid w:val="009275C1"/>
    <w:rsid w:val="00927CE3"/>
    <w:rsid w:val="009310AA"/>
    <w:rsid w:val="009328B3"/>
    <w:rsid w:val="009348E8"/>
    <w:rsid w:val="00934E8F"/>
    <w:rsid w:val="0093625B"/>
    <w:rsid w:val="00937468"/>
    <w:rsid w:val="009374D0"/>
    <w:rsid w:val="00937798"/>
    <w:rsid w:val="0094060B"/>
    <w:rsid w:val="00941647"/>
    <w:rsid w:val="0094364A"/>
    <w:rsid w:val="009437C5"/>
    <w:rsid w:val="0094457A"/>
    <w:rsid w:val="00945CE6"/>
    <w:rsid w:val="00945E87"/>
    <w:rsid w:val="009463EE"/>
    <w:rsid w:val="00947F3E"/>
    <w:rsid w:val="0095073A"/>
    <w:rsid w:val="0095192D"/>
    <w:rsid w:val="00952CF7"/>
    <w:rsid w:val="009551AB"/>
    <w:rsid w:val="00955499"/>
    <w:rsid w:val="009554E1"/>
    <w:rsid w:val="00960CED"/>
    <w:rsid w:val="00960F81"/>
    <w:rsid w:val="009619AB"/>
    <w:rsid w:val="00962528"/>
    <w:rsid w:val="00962E81"/>
    <w:rsid w:val="00963886"/>
    <w:rsid w:val="00964AA8"/>
    <w:rsid w:val="00965095"/>
    <w:rsid w:val="009653D4"/>
    <w:rsid w:val="00965F4E"/>
    <w:rsid w:val="00966028"/>
    <w:rsid w:val="0096682A"/>
    <w:rsid w:val="009669C8"/>
    <w:rsid w:val="00967908"/>
    <w:rsid w:val="00970730"/>
    <w:rsid w:val="009709F4"/>
    <w:rsid w:val="00970A63"/>
    <w:rsid w:val="00970F2A"/>
    <w:rsid w:val="00971390"/>
    <w:rsid w:val="009714C8"/>
    <w:rsid w:val="009717E6"/>
    <w:rsid w:val="009719AB"/>
    <w:rsid w:val="0097244B"/>
    <w:rsid w:val="0097367F"/>
    <w:rsid w:val="0097508A"/>
    <w:rsid w:val="009750C7"/>
    <w:rsid w:val="00975534"/>
    <w:rsid w:val="00975963"/>
    <w:rsid w:val="00977F50"/>
    <w:rsid w:val="0098017D"/>
    <w:rsid w:val="00980961"/>
    <w:rsid w:val="00980B27"/>
    <w:rsid w:val="00981D78"/>
    <w:rsid w:val="00981E1F"/>
    <w:rsid w:val="00984085"/>
    <w:rsid w:val="00984376"/>
    <w:rsid w:val="00984406"/>
    <w:rsid w:val="00984AE6"/>
    <w:rsid w:val="009859A6"/>
    <w:rsid w:val="0098667B"/>
    <w:rsid w:val="00986C86"/>
    <w:rsid w:val="00990C41"/>
    <w:rsid w:val="00990DA0"/>
    <w:rsid w:val="00991FAE"/>
    <w:rsid w:val="009927E1"/>
    <w:rsid w:val="00993974"/>
    <w:rsid w:val="0099670D"/>
    <w:rsid w:val="00996772"/>
    <w:rsid w:val="0099730D"/>
    <w:rsid w:val="00997812"/>
    <w:rsid w:val="009A1A4B"/>
    <w:rsid w:val="009A1DD1"/>
    <w:rsid w:val="009A3DEB"/>
    <w:rsid w:val="009A4345"/>
    <w:rsid w:val="009A4FEB"/>
    <w:rsid w:val="009A609D"/>
    <w:rsid w:val="009B0700"/>
    <w:rsid w:val="009B0AF6"/>
    <w:rsid w:val="009B0DCB"/>
    <w:rsid w:val="009B0E59"/>
    <w:rsid w:val="009B1522"/>
    <w:rsid w:val="009B2040"/>
    <w:rsid w:val="009B3E5F"/>
    <w:rsid w:val="009B4734"/>
    <w:rsid w:val="009B499C"/>
    <w:rsid w:val="009B570F"/>
    <w:rsid w:val="009B621A"/>
    <w:rsid w:val="009B7D70"/>
    <w:rsid w:val="009C0DCD"/>
    <w:rsid w:val="009C121B"/>
    <w:rsid w:val="009C2AAF"/>
    <w:rsid w:val="009C33F5"/>
    <w:rsid w:val="009C5185"/>
    <w:rsid w:val="009C6BC5"/>
    <w:rsid w:val="009C74FC"/>
    <w:rsid w:val="009C7BA4"/>
    <w:rsid w:val="009C7D90"/>
    <w:rsid w:val="009D038F"/>
    <w:rsid w:val="009D0E67"/>
    <w:rsid w:val="009D2152"/>
    <w:rsid w:val="009D27CC"/>
    <w:rsid w:val="009D467C"/>
    <w:rsid w:val="009D626B"/>
    <w:rsid w:val="009D6867"/>
    <w:rsid w:val="009D6FB4"/>
    <w:rsid w:val="009D7992"/>
    <w:rsid w:val="009E0D70"/>
    <w:rsid w:val="009E1854"/>
    <w:rsid w:val="009E20B8"/>
    <w:rsid w:val="009E2303"/>
    <w:rsid w:val="009E303D"/>
    <w:rsid w:val="009E341D"/>
    <w:rsid w:val="009E40AC"/>
    <w:rsid w:val="009E43F0"/>
    <w:rsid w:val="009E4531"/>
    <w:rsid w:val="009E4C0A"/>
    <w:rsid w:val="009E535B"/>
    <w:rsid w:val="009E5988"/>
    <w:rsid w:val="009E5CDC"/>
    <w:rsid w:val="009E620D"/>
    <w:rsid w:val="009E6613"/>
    <w:rsid w:val="009F14BF"/>
    <w:rsid w:val="009F1A9B"/>
    <w:rsid w:val="009F2E6A"/>
    <w:rsid w:val="009F52F4"/>
    <w:rsid w:val="009F56C8"/>
    <w:rsid w:val="009F5E5B"/>
    <w:rsid w:val="009F6BD9"/>
    <w:rsid w:val="009F771C"/>
    <w:rsid w:val="009F7A22"/>
    <w:rsid w:val="00A010C4"/>
    <w:rsid w:val="00A044A2"/>
    <w:rsid w:val="00A04561"/>
    <w:rsid w:val="00A06D9C"/>
    <w:rsid w:val="00A0733B"/>
    <w:rsid w:val="00A07D4A"/>
    <w:rsid w:val="00A10E41"/>
    <w:rsid w:val="00A116AF"/>
    <w:rsid w:val="00A12858"/>
    <w:rsid w:val="00A12A0E"/>
    <w:rsid w:val="00A13614"/>
    <w:rsid w:val="00A13746"/>
    <w:rsid w:val="00A15C8F"/>
    <w:rsid w:val="00A164DD"/>
    <w:rsid w:val="00A16E7F"/>
    <w:rsid w:val="00A171E2"/>
    <w:rsid w:val="00A20482"/>
    <w:rsid w:val="00A206A0"/>
    <w:rsid w:val="00A22D7F"/>
    <w:rsid w:val="00A24927"/>
    <w:rsid w:val="00A2517E"/>
    <w:rsid w:val="00A252DF"/>
    <w:rsid w:val="00A25E8B"/>
    <w:rsid w:val="00A2730F"/>
    <w:rsid w:val="00A27468"/>
    <w:rsid w:val="00A27799"/>
    <w:rsid w:val="00A277CC"/>
    <w:rsid w:val="00A31D64"/>
    <w:rsid w:val="00A3213B"/>
    <w:rsid w:val="00A334C9"/>
    <w:rsid w:val="00A33515"/>
    <w:rsid w:val="00A33AA1"/>
    <w:rsid w:val="00A34FB1"/>
    <w:rsid w:val="00A35C6F"/>
    <w:rsid w:val="00A403ED"/>
    <w:rsid w:val="00A40AEB"/>
    <w:rsid w:val="00A410B5"/>
    <w:rsid w:val="00A42B8C"/>
    <w:rsid w:val="00A43CCB"/>
    <w:rsid w:val="00A442A1"/>
    <w:rsid w:val="00A451CC"/>
    <w:rsid w:val="00A45752"/>
    <w:rsid w:val="00A47CEF"/>
    <w:rsid w:val="00A5045D"/>
    <w:rsid w:val="00A5076D"/>
    <w:rsid w:val="00A51B97"/>
    <w:rsid w:val="00A51E60"/>
    <w:rsid w:val="00A52884"/>
    <w:rsid w:val="00A53551"/>
    <w:rsid w:val="00A53588"/>
    <w:rsid w:val="00A54448"/>
    <w:rsid w:val="00A54555"/>
    <w:rsid w:val="00A54B57"/>
    <w:rsid w:val="00A57471"/>
    <w:rsid w:val="00A60F6D"/>
    <w:rsid w:val="00A631EA"/>
    <w:rsid w:val="00A64380"/>
    <w:rsid w:val="00A644AB"/>
    <w:rsid w:val="00A645FA"/>
    <w:rsid w:val="00A65FB3"/>
    <w:rsid w:val="00A673C2"/>
    <w:rsid w:val="00A71D70"/>
    <w:rsid w:val="00A71D9D"/>
    <w:rsid w:val="00A7308C"/>
    <w:rsid w:val="00A7457E"/>
    <w:rsid w:val="00A747A2"/>
    <w:rsid w:val="00A74BCF"/>
    <w:rsid w:val="00A75EF5"/>
    <w:rsid w:val="00A76364"/>
    <w:rsid w:val="00A7693D"/>
    <w:rsid w:val="00A76AE3"/>
    <w:rsid w:val="00A76E42"/>
    <w:rsid w:val="00A7780B"/>
    <w:rsid w:val="00A800F7"/>
    <w:rsid w:val="00A82104"/>
    <w:rsid w:val="00A82C32"/>
    <w:rsid w:val="00A84A6E"/>
    <w:rsid w:val="00A86EE4"/>
    <w:rsid w:val="00A91A54"/>
    <w:rsid w:val="00A936EC"/>
    <w:rsid w:val="00A937CE"/>
    <w:rsid w:val="00A94A21"/>
    <w:rsid w:val="00A94CD9"/>
    <w:rsid w:val="00A953BA"/>
    <w:rsid w:val="00A967F2"/>
    <w:rsid w:val="00AA06E7"/>
    <w:rsid w:val="00AA1715"/>
    <w:rsid w:val="00AA2988"/>
    <w:rsid w:val="00AA46E0"/>
    <w:rsid w:val="00AA5B51"/>
    <w:rsid w:val="00AA6604"/>
    <w:rsid w:val="00AA6BA8"/>
    <w:rsid w:val="00AB1123"/>
    <w:rsid w:val="00AB1B77"/>
    <w:rsid w:val="00AB1D22"/>
    <w:rsid w:val="00AB1DE6"/>
    <w:rsid w:val="00AB23B9"/>
    <w:rsid w:val="00AB24C1"/>
    <w:rsid w:val="00AB2AEA"/>
    <w:rsid w:val="00AB3196"/>
    <w:rsid w:val="00AB328D"/>
    <w:rsid w:val="00AB3D91"/>
    <w:rsid w:val="00AB4CE4"/>
    <w:rsid w:val="00AB594B"/>
    <w:rsid w:val="00AB59AF"/>
    <w:rsid w:val="00AB63E1"/>
    <w:rsid w:val="00AC0021"/>
    <w:rsid w:val="00AC0B6D"/>
    <w:rsid w:val="00AC11EA"/>
    <w:rsid w:val="00AC14D3"/>
    <w:rsid w:val="00AC2008"/>
    <w:rsid w:val="00AC28BD"/>
    <w:rsid w:val="00AC3A48"/>
    <w:rsid w:val="00AC3E1F"/>
    <w:rsid w:val="00AC5293"/>
    <w:rsid w:val="00AC558F"/>
    <w:rsid w:val="00AC5753"/>
    <w:rsid w:val="00AC5FFF"/>
    <w:rsid w:val="00AD0043"/>
    <w:rsid w:val="00AD05A7"/>
    <w:rsid w:val="00AD31D7"/>
    <w:rsid w:val="00AD34DE"/>
    <w:rsid w:val="00AD35E0"/>
    <w:rsid w:val="00AD3846"/>
    <w:rsid w:val="00AD3BD5"/>
    <w:rsid w:val="00AD4738"/>
    <w:rsid w:val="00AD5546"/>
    <w:rsid w:val="00AD5B3D"/>
    <w:rsid w:val="00AD7FE5"/>
    <w:rsid w:val="00AE10EC"/>
    <w:rsid w:val="00AE2E18"/>
    <w:rsid w:val="00AE30F8"/>
    <w:rsid w:val="00AE3B31"/>
    <w:rsid w:val="00AE4F31"/>
    <w:rsid w:val="00AE50C1"/>
    <w:rsid w:val="00AE5F25"/>
    <w:rsid w:val="00AE5F78"/>
    <w:rsid w:val="00AE799A"/>
    <w:rsid w:val="00AE7E58"/>
    <w:rsid w:val="00AF0032"/>
    <w:rsid w:val="00AF042F"/>
    <w:rsid w:val="00AF1133"/>
    <w:rsid w:val="00AF1147"/>
    <w:rsid w:val="00AF14C3"/>
    <w:rsid w:val="00AF1F34"/>
    <w:rsid w:val="00AF3BF8"/>
    <w:rsid w:val="00AF67F4"/>
    <w:rsid w:val="00AF6A30"/>
    <w:rsid w:val="00AF74C4"/>
    <w:rsid w:val="00B01997"/>
    <w:rsid w:val="00B02478"/>
    <w:rsid w:val="00B03052"/>
    <w:rsid w:val="00B03312"/>
    <w:rsid w:val="00B0350A"/>
    <w:rsid w:val="00B0364B"/>
    <w:rsid w:val="00B03997"/>
    <w:rsid w:val="00B03BE7"/>
    <w:rsid w:val="00B0476B"/>
    <w:rsid w:val="00B0491B"/>
    <w:rsid w:val="00B04CE3"/>
    <w:rsid w:val="00B06C09"/>
    <w:rsid w:val="00B07AD3"/>
    <w:rsid w:val="00B07C0C"/>
    <w:rsid w:val="00B07E3C"/>
    <w:rsid w:val="00B10D04"/>
    <w:rsid w:val="00B156C5"/>
    <w:rsid w:val="00B15C3A"/>
    <w:rsid w:val="00B15C69"/>
    <w:rsid w:val="00B20AE6"/>
    <w:rsid w:val="00B21E79"/>
    <w:rsid w:val="00B22BFC"/>
    <w:rsid w:val="00B23091"/>
    <w:rsid w:val="00B233C3"/>
    <w:rsid w:val="00B24E69"/>
    <w:rsid w:val="00B2522F"/>
    <w:rsid w:val="00B25B7B"/>
    <w:rsid w:val="00B25C7A"/>
    <w:rsid w:val="00B26CB4"/>
    <w:rsid w:val="00B26FDA"/>
    <w:rsid w:val="00B3087F"/>
    <w:rsid w:val="00B32127"/>
    <w:rsid w:val="00B322E3"/>
    <w:rsid w:val="00B32533"/>
    <w:rsid w:val="00B32887"/>
    <w:rsid w:val="00B34F5D"/>
    <w:rsid w:val="00B36E6C"/>
    <w:rsid w:val="00B36F44"/>
    <w:rsid w:val="00B4209C"/>
    <w:rsid w:val="00B428E1"/>
    <w:rsid w:val="00B44AE3"/>
    <w:rsid w:val="00B45071"/>
    <w:rsid w:val="00B45439"/>
    <w:rsid w:val="00B46BB0"/>
    <w:rsid w:val="00B502DF"/>
    <w:rsid w:val="00B5090E"/>
    <w:rsid w:val="00B50910"/>
    <w:rsid w:val="00B512EF"/>
    <w:rsid w:val="00B520F1"/>
    <w:rsid w:val="00B529A3"/>
    <w:rsid w:val="00B52D35"/>
    <w:rsid w:val="00B5317B"/>
    <w:rsid w:val="00B532A6"/>
    <w:rsid w:val="00B535EE"/>
    <w:rsid w:val="00B53AED"/>
    <w:rsid w:val="00B54657"/>
    <w:rsid w:val="00B555BD"/>
    <w:rsid w:val="00B57955"/>
    <w:rsid w:val="00B602FA"/>
    <w:rsid w:val="00B61082"/>
    <w:rsid w:val="00B62878"/>
    <w:rsid w:val="00B63A8B"/>
    <w:rsid w:val="00B63E1A"/>
    <w:rsid w:val="00B64131"/>
    <w:rsid w:val="00B64143"/>
    <w:rsid w:val="00B64511"/>
    <w:rsid w:val="00B66373"/>
    <w:rsid w:val="00B7062A"/>
    <w:rsid w:val="00B70750"/>
    <w:rsid w:val="00B71446"/>
    <w:rsid w:val="00B734CF"/>
    <w:rsid w:val="00B73892"/>
    <w:rsid w:val="00B739E8"/>
    <w:rsid w:val="00B73CBC"/>
    <w:rsid w:val="00B753C6"/>
    <w:rsid w:val="00B7566B"/>
    <w:rsid w:val="00B76F9E"/>
    <w:rsid w:val="00B81B08"/>
    <w:rsid w:val="00B8466B"/>
    <w:rsid w:val="00B85724"/>
    <w:rsid w:val="00B86846"/>
    <w:rsid w:val="00B86B1F"/>
    <w:rsid w:val="00B86F79"/>
    <w:rsid w:val="00B87A04"/>
    <w:rsid w:val="00B9057B"/>
    <w:rsid w:val="00B90AA6"/>
    <w:rsid w:val="00B91C82"/>
    <w:rsid w:val="00B91E50"/>
    <w:rsid w:val="00B925B6"/>
    <w:rsid w:val="00B92A45"/>
    <w:rsid w:val="00B92A7F"/>
    <w:rsid w:val="00B934BE"/>
    <w:rsid w:val="00B93C90"/>
    <w:rsid w:val="00B93FDA"/>
    <w:rsid w:val="00B94729"/>
    <w:rsid w:val="00B94883"/>
    <w:rsid w:val="00B94ECC"/>
    <w:rsid w:val="00B962E0"/>
    <w:rsid w:val="00B971C6"/>
    <w:rsid w:val="00B9724F"/>
    <w:rsid w:val="00BA0C98"/>
    <w:rsid w:val="00BA1E3D"/>
    <w:rsid w:val="00BA2785"/>
    <w:rsid w:val="00BA2A1D"/>
    <w:rsid w:val="00BA32C2"/>
    <w:rsid w:val="00BA3F55"/>
    <w:rsid w:val="00BA4E1C"/>
    <w:rsid w:val="00BA5C9A"/>
    <w:rsid w:val="00BA6665"/>
    <w:rsid w:val="00BA6B0B"/>
    <w:rsid w:val="00BA7F85"/>
    <w:rsid w:val="00BB0462"/>
    <w:rsid w:val="00BB1389"/>
    <w:rsid w:val="00BB1B2E"/>
    <w:rsid w:val="00BB1F65"/>
    <w:rsid w:val="00BB3020"/>
    <w:rsid w:val="00BB4F58"/>
    <w:rsid w:val="00BB5E5A"/>
    <w:rsid w:val="00BB69A7"/>
    <w:rsid w:val="00BB71E3"/>
    <w:rsid w:val="00BB799C"/>
    <w:rsid w:val="00BC0845"/>
    <w:rsid w:val="00BC23A4"/>
    <w:rsid w:val="00BC37D6"/>
    <w:rsid w:val="00BC3EC7"/>
    <w:rsid w:val="00BC55E3"/>
    <w:rsid w:val="00BC7337"/>
    <w:rsid w:val="00BC74E1"/>
    <w:rsid w:val="00BC76F1"/>
    <w:rsid w:val="00BD1BFA"/>
    <w:rsid w:val="00BD1E80"/>
    <w:rsid w:val="00BD4132"/>
    <w:rsid w:val="00BD5326"/>
    <w:rsid w:val="00BD571F"/>
    <w:rsid w:val="00BD6344"/>
    <w:rsid w:val="00BD711F"/>
    <w:rsid w:val="00BD7D99"/>
    <w:rsid w:val="00BE0839"/>
    <w:rsid w:val="00BE0922"/>
    <w:rsid w:val="00BE231E"/>
    <w:rsid w:val="00BE3FC6"/>
    <w:rsid w:val="00BE4254"/>
    <w:rsid w:val="00BE48B1"/>
    <w:rsid w:val="00BE5B1A"/>
    <w:rsid w:val="00BE6D74"/>
    <w:rsid w:val="00BE70A1"/>
    <w:rsid w:val="00BE764F"/>
    <w:rsid w:val="00BF1CEA"/>
    <w:rsid w:val="00BF2998"/>
    <w:rsid w:val="00BF329A"/>
    <w:rsid w:val="00BF3E69"/>
    <w:rsid w:val="00BF4053"/>
    <w:rsid w:val="00BF47CA"/>
    <w:rsid w:val="00BF562A"/>
    <w:rsid w:val="00BF684D"/>
    <w:rsid w:val="00BF7667"/>
    <w:rsid w:val="00C00E6F"/>
    <w:rsid w:val="00C012F0"/>
    <w:rsid w:val="00C013E6"/>
    <w:rsid w:val="00C013F6"/>
    <w:rsid w:val="00C01D18"/>
    <w:rsid w:val="00C03CDA"/>
    <w:rsid w:val="00C05D6D"/>
    <w:rsid w:val="00C06A60"/>
    <w:rsid w:val="00C073E4"/>
    <w:rsid w:val="00C074BB"/>
    <w:rsid w:val="00C104C4"/>
    <w:rsid w:val="00C105AB"/>
    <w:rsid w:val="00C10897"/>
    <w:rsid w:val="00C1091F"/>
    <w:rsid w:val="00C1253D"/>
    <w:rsid w:val="00C135D4"/>
    <w:rsid w:val="00C13943"/>
    <w:rsid w:val="00C13D68"/>
    <w:rsid w:val="00C14250"/>
    <w:rsid w:val="00C147C9"/>
    <w:rsid w:val="00C14CBC"/>
    <w:rsid w:val="00C17A47"/>
    <w:rsid w:val="00C20C40"/>
    <w:rsid w:val="00C21626"/>
    <w:rsid w:val="00C217FC"/>
    <w:rsid w:val="00C221D5"/>
    <w:rsid w:val="00C23CC9"/>
    <w:rsid w:val="00C240B3"/>
    <w:rsid w:val="00C252D8"/>
    <w:rsid w:val="00C25E64"/>
    <w:rsid w:val="00C272C7"/>
    <w:rsid w:val="00C3041C"/>
    <w:rsid w:val="00C308B5"/>
    <w:rsid w:val="00C30C14"/>
    <w:rsid w:val="00C31024"/>
    <w:rsid w:val="00C32D50"/>
    <w:rsid w:val="00C33F62"/>
    <w:rsid w:val="00C3427A"/>
    <w:rsid w:val="00C34447"/>
    <w:rsid w:val="00C34ADB"/>
    <w:rsid w:val="00C35829"/>
    <w:rsid w:val="00C3671E"/>
    <w:rsid w:val="00C37737"/>
    <w:rsid w:val="00C40140"/>
    <w:rsid w:val="00C41760"/>
    <w:rsid w:val="00C41765"/>
    <w:rsid w:val="00C4253A"/>
    <w:rsid w:val="00C42EB5"/>
    <w:rsid w:val="00C43C25"/>
    <w:rsid w:val="00C4403B"/>
    <w:rsid w:val="00C44F0E"/>
    <w:rsid w:val="00C51B00"/>
    <w:rsid w:val="00C52504"/>
    <w:rsid w:val="00C52622"/>
    <w:rsid w:val="00C534D9"/>
    <w:rsid w:val="00C535F8"/>
    <w:rsid w:val="00C538D5"/>
    <w:rsid w:val="00C539D6"/>
    <w:rsid w:val="00C55E32"/>
    <w:rsid w:val="00C60975"/>
    <w:rsid w:val="00C612D7"/>
    <w:rsid w:val="00C612E6"/>
    <w:rsid w:val="00C617D2"/>
    <w:rsid w:val="00C61B6E"/>
    <w:rsid w:val="00C61F08"/>
    <w:rsid w:val="00C629E8"/>
    <w:rsid w:val="00C63104"/>
    <w:rsid w:val="00C636D6"/>
    <w:rsid w:val="00C6505F"/>
    <w:rsid w:val="00C65E70"/>
    <w:rsid w:val="00C67477"/>
    <w:rsid w:val="00C67C26"/>
    <w:rsid w:val="00C71210"/>
    <w:rsid w:val="00C72547"/>
    <w:rsid w:val="00C736E7"/>
    <w:rsid w:val="00C73A1B"/>
    <w:rsid w:val="00C75EA1"/>
    <w:rsid w:val="00C76301"/>
    <w:rsid w:val="00C81EB1"/>
    <w:rsid w:val="00C81EC4"/>
    <w:rsid w:val="00C82E1F"/>
    <w:rsid w:val="00C83466"/>
    <w:rsid w:val="00C83644"/>
    <w:rsid w:val="00C837E9"/>
    <w:rsid w:val="00C83DEF"/>
    <w:rsid w:val="00C84BAF"/>
    <w:rsid w:val="00C855A8"/>
    <w:rsid w:val="00C85BFC"/>
    <w:rsid w:val="00C8618A"/>
    <w:rsid w:val="00C86772"/>
    <w:rsid w:val="00C87414"/>
    <w:rsid w:val="00C87E40"/>
    <w:rsid w:val="00C922C9"/>
    <w:rsid w:val="00C9362D"/>
    <w:rsid w:val="00C93952"/>
    <w:rsid w:val="00C94F49"/>
    <w:rsid w:val="00C954BC"/>
    <w:rsid w:val="00C95798"/>
    <w:rsid w:val="00C95D49"/>
    <w:rsid w:val="00C96041"/>
    <w:rsid w:val="00C9640F"/>
    <w:rsid w:val="00C96B61"/>
    <w:rsid w:val="00CA0944"/>
    <w:rsid w:val="00CA0BF7"/>
    <w:rsid w:val="00CA1CD8"/>
    <w:rsid w:val="00CA319C"/>
    <w:rsid w:val="00CA3580"/>
    <w:rsid w:val="00CA5500"/>
    <w:rsid w:val="00CA602E"/>
    <w:rsid w:val="00CA7419"/>
    <w:rsid w:val="00CB02A7"/>
    <w:rsid w:val="00CB05B3"/>
    <w:rsid w:val="00CB0633"/>
    <w:rsid w:val="00CB1590"/>
    <w:rsid w:val="00CB1E61"/>
    <w:rsid w:val="00CB284D"/>
    <w:rsid w:val="00CB5AAE"/>
    <w:rsid w:val="00CB6D74"/>
    <w:rsid w:val="00CB713D"/>
    <w:rsid w:val="00CC20F1"/>
    <w:rsid w:val="00CC4164"/>
    <w:rsid w:val="00CC4C9F"/>
    <w:rsid w:val="00CC5207"/>
    <w:rsid w:val="00CC71CA"/>
    <w:rsid w:val="00CD02DC"/>
    <w:rsid w:val="00CD0918"/>
    <w:rsid w:val="00CD1063"/>
    <w:rsid w:val="00CD1FC2"/>
    <w:rsid w:val="00CD2490"/>
    <w:rsid w:val="00CD39DB"/>
    <w:rsid w:val="00CD410E"/>
    <w:rsid w:val="00CD5680"/>
    <w:rsid w:val="00CD5EB8"/>
    <w:rsid w:val="00CD722C"/>
    <w:rsid w:val="00CD72DA"/>
    <w:rsid w:val="00CE0824"/>
    <w:rsid w:val="00CE6F21"/>
    <w:rsid w:val="00CE740C"/>
    <w:rsid w:val="00CE754A"/>
    <w:rsid w:val="00CE7C95"/>
    <w:rsid w:val="00CE7E34"/>
    <w:rsid w:val="00CF0D6F"/>
    <w:rsid w:val="00CF0E0F"/>
    <w:rsid w:val="00CF283A"/>
    <w:rsid w:val="00CF2B80"/>
    <w:rsid w:val="00CF41B4"/>
    <w:rsid w:val="00CF48E7"/>
    <w:rsid w:val="00CF5B6E"/>
    <w:rsid w:val="00CF6F23"/>
    <w:rsid w:val="00CF723D"/>
    <w:rsid w:val="00CF76B5"/>
    <w:rsid w:val="00D01831"/>
    <w:rsid w:val="00D04CF3"/>
    <w:rsid w:val="00D04D3F"/>
    <w:rsid w:val="00D05CF0"/>
    <w:rsid w:val="00D05FAD"/>
    <w:rsid w:val="00D07195"/>
    <w:rsid w:val="00D10092"/>
    <w:rsid w:val="00D1163A"/>
    <w:rsid w:val="00D11DDD"/>
    <w:rsid w:val="00D15300"/>
    <w:rsid w:val="00D17496"/>
    <w:rsid w:val="00D225F4"/>
    <w:rsid w:val="00D22B97"/>
    <w:rsid w:val="00D23176"/>
    <w:rsid w:val="00D261EC"/>
    <w:rsid w:val="00D26D21"/>
    <w:rsid w:val="00D30156"/>
    <w:rsid w:val="00D3039E"/>
    <w:rsid w:val="00D3063C"/>
    <w:rsid w:val="00D32EF5"/>
    <w:rsid w:val="00D346B8"/>
    <w:rsid w:val="00D34D43"/>
    <w:rsid w:val="00D409E0"/>
    <w:rsid w:val="00D40A85"/>
    <w:rsid w:val="00D41F2E"/>
    <w:rsid w:val="00D456C2"/>
    <w:rsid w:val="00D46335"/>
    <w:rsid w:val="00D46BE0"/>
    <w:rsid w:val="00D47A96"/>
    <w:rsid w:val="00D47E51"/>
    <w:rsid w:val="00D50438"/>
    <w:rsid w:val="00D51BEF"/>
    <w:rsid w:val="00D51E26"/>
    <w:rsid w:val="00D51F89"/>
    <w:rsid w:val="00D52C0E"/>
    <w:rsid w:val="00D54303"/>
    <w:rsid w:val="00D5464B"/>
    <w:rsid w:val="00D56966"/>
    <w:rsid w:val="00D60C8E"/>
    <w:rsid w:val="00D60CF9"/>
    <w:rsid w:val="00D619B2"/>
    <w:rsid w:val="00D61A0B"/>
    <w:rsid w:val="00D62AFF"/>
    <w:rsid w:val="00D63AA9"/>
    <w:rsid w:val="00D63AB5"/>
    <w:rsid w:val="00D63D24"/>
    <w:rsid w:val="00D64552"/>
    <w:rsid w:val="00D653C3"/>
    <w:rsid w:val="00D66956"/>
    <w:rsid w:val="00D71429"/>
    <w:rsid w:val="00D7240F"/>
    <w:rsid w:val="00D7278F"/>
    <w:rsid w:val="00D72CE6"/>
    <w:rsid w:val="00D7350C"/>
    <w:rsid w:val="00D73A02"/>
    <w:rsid w:val="00D74A8E"/>
    <w:rsid w:val="00D75750"/>
    <w:rsid w:val="00D7617A"/>
    <w:rsid w:val="00D769A9"/>
    <w:rsid w:val="00D76C31"/>
    <w:rsid w:val="00D80107"/>
    <w:rsid w:val="00D81AF3"/>
    <w:rsid w:val="00D81EDF"/>
    <w:rsid w:val="00D8353F"/>
    <w:rsid w:val="00D8533E"/>
    <w:rsid w:val="00D857FD"/>
    <w:rsid w:val="00D8735D"/>
    <w:rsid w:val="00D90ECC"/>
    <w:rsid w:val="00D9115D"/>
    <w:rsid w:val="00D91AF7"/>
    <w:rsid w:val="00D91CC9"/>
    <w:rsid w:val="00D935A5"/>
    <w:rsid w:val="00D937D2"/>
    <w:rsid w:val="00D93B2F"/>
    <w:rsid w:val="00D96CB1"/>
    <w:rsid w:val="00D97DEA"/>
    <w:rsid w:val="00DA2AF7"/>
    <w:rsid w:val="00DA3F8F"/>
    <w:rsid w:val="00DA4BA2"/>
    <w:rsid w:val="00DA531A"/>
    <w:rsid w:val="00DA7F45"/>
    <w:rsid w:val="00DB01DB"/>
    <w:rsid w:val="00DB062E"/>
    <w:rsid w:val="00DB1385"/>
    <w:rsid w:val="00DB206C"/>
    <w:rsid w:val="00DB2C28"/>
    <w:rsid w:val="00DB2FC3"/>
    <w:rsid w:val="00DB3590"/>
    <w:rsid w:val="00DB4F44"/>
    <w:rsid w:val="00DB5150"/>
    <w:rsid w:val="00DB5CA2"/>
    <w:rsid w:val="00DB610E"/>
    <w:rsid w:val="00DC3654"/>
    <w:rsid w:val="00DC501B"/>
    <w:rsid w:val="00DC5E7D"/>
    <w:rsid w:val="00DC6064"/>
    <w:rsid w:val="00DC6AC6"/>
    <w:rsid w:val="00DC7276"/>
    <w:rsid w:val="00DC758F"/>
    <w:rsid w:val="00DC7DF1"/>
    <w:rsid w:val="00DD02D9"/>
    <w:rsid w:val="00DD0553"/>
    <w:rsid w:val="00DD249E"/>
    <w:rsid w:val="00DD2719"/>
    <w:rsid w:val="00DD46E9"/>
    <w:rsid w:val="00DD51CF"/>
    <w:rsid w:val="00DD606B"/>
    <w:rsid w:val="00DE2321"/>
    <w:rsid w:val="00DE333A"/>
    <w:rsid w:val="00DE33C5"/>
    <w:rsid w:val="00DE35B0"/>
    <w:rsid w:val="00DE4AC6"/>
    <w:rsid w:val="00DE59C5"/>
    <w:rsid w:val="00DE7354"/>
    <w:rsid w:val="00DF173E"/>
    <w:rsid w:val="00DF180F"/>
    <w:rsid w:val="00DF21EA"/>
    <w:rsid w:val="00DF311B"/>
    <w:rsid w:val="00DF3153"/>
    <w:rsid w:val="00DF3827"/>
    <w:rsid w:val="00DF50F7"/>
    <w:rsid w:val="00DF6118"/>
    <w:rsid w:val="00DF6DDB"/>
    <w:rsid w:val="00DF74C6"/>
    <w:rsid w:val="00E00DDE"/>
    <w:rsid w:val="00E00F6B"/>
    <w:rsid w:val="00E01553"/>
    <w:rsid w:val="00E031E1"/>
    <w:rsid w:val="00E031FD"/>
    <w:rsid w:val="00E0364E"/>
    <w:rsid w:val="00E03B42"/>
    <w:rsid w:val="00E051D0"/>
    <w:rsid w:val="00E056C5"/>
    <w:rsid w:val="00E0669C"/>
    <w:rsid w:val="00E0783E"/>
    <w:rsid w:val="00E10D2C"/>
    <w:rsid w:val="00E1126E"/>
    <w:rsid w:val="00E11B86"/>
    <w:rsid w:val="00E11D12"/>
    <w:rsid w:val="00E11F1F"/>
    <w:rsid w:val="00E12115"/>
    <w:rsid w:val="00E1229D"/>
    <w:rsid w:val="00E13419"/>
    <w:rsid w:val="00E13432"/>
    <w:rsid w:val="00E13762"/>
    <w:rsid w:val="00E145FA"/>
    <w:rsid w:val="00E14E09"/>
    <w:rsid w:val="00E159C6"/>
    <w:rsid w:val="00E15A7B"/>
    <w:rsid w:val="00E16331"/>
    <w:rsid w:val="00E1656E"/>
    <w:rsid w:val="00E168CC"/>
    <w:rsid w:val="00E173D3"/>
    <w:rsid w:val="00E2097F"/>
    <w:rsid w:val="00E21D42"/>
    <w:rsid w:val="00E223B3"/>
    <w:rsid w:val="00E22D07"/>
    <w:rsid w:val="00E23215"/>
    <w:rsid w:val="00E24221"/>
    <w:rsid w:val="00E24B1F"/>
    <w:rsid w:val="00E2549E"/>
    <w:rsid w:val="00E25B1C"/>
    <w:rsid w:val="00E27EF8"/>
    <w:rsid w:val="00E306A3"/>
    <w:rsid w:val="00E334B7"/>
    <w:rsid w:val="00E334E5"/>
    <w:rsid w:val="00E3617C"/>
    <w:rsid w:val="00E36556"/>
    <w:rsid w:val="00E3687A"/>
    <w:rsid w:val="00E36A40"/>
    <w:rsid w:val="00E37853"/>
    <w:rsid w:val="00E414E1"/>
    <w:rsid w:val="00E415BB"/>
    <w:rsid w:val="00E42BEC"/>
    <w:rsid w:val="00E42F5D"/>
    <w:rsid w:val="00E437BB"/>
    <w:rsid w:val="00E446FF"/>
    <w:rsid w:val="00E44DEE"/>
    <w:rsid w:val="00E4593E"/>
    <w:rsid w:val="00E46E0D"/>
    <w:rsid w:val="00E47746"/>
    <w:rsid w:val="00E50940"/>
    <w:rsid w:val="00E51E35"/>
    <w:rsid w:val="00E52B3C"/>
    <w:rsid w:val="00E56E43"/>
    <w:rsid w:val="00E6091E"/>
    <w:rsid w:val="00E617D1"/>
    <w:rsid w:val="00E619B6"/>
    <w:rsid w:val="00E63E35"/>
    <w:rsid w:val="00E64BDA"/>
    <w:rsid w:val="00E65D9D"/>
    <w:rsid w:val="00E65DD4"/>
    <w:rsid w:val="00E670DD"/>
    <w:rsid w:val="00E671B2"/>
    <w:rsid w:val="00E7178F"/>
    <w:rsid w:val="00E7232C"/>
    <w:rsid w:val="00E72A32"/>
    <w:rsid w:val="00E72D9A"/>
    <w:rsid w:val="00E7352C"/>
    <w:rsid w:val="00E73650"/>
    <w:rsid w:val="00E739E0"/>
    <w:rsid w:val="00E745A3"/>
    <w:rsid w:val="00E746E8"/>
    <w:rsid w:val="00E74E3D"/>
    <w:rsid w:val="00E77B8E"/>
    <w:rsid w:val="00E77D42"/>
    <w:rsid w:val="00E804E0"/>
    <w:rsid w:val="00E80C44"/>
    <w:rsid w:val="00E825D9"/>
    <w:rsid w:val="00E835FE"/>
    <w:rsid w:val="00E84451"/>
    <w:rsid w:val="00E846AA"/>
    <w:rsid w:val="00E856C8"/>
    <w:rsid w:val="00E87063"/>
    <w:rsid w:val="00E87200"/>
    <w:rsid w:val="00E87440"/>
    <w:rsid w:val="00E87665"/>
    <w:rsid w:val="00E90205"/>
    <w:rsid w:val="00E90B11"/>
    <w:rsid w:val="00E92459"/>
    <w:rsid w:val="00E92B00"/>
    <w:rsid w:val="00E94A2A"/>
    <w:rsid w:val="00E94DF0"/>
    <w:rsid w:val="00E95AC5"/>
    <w:rsid w:val="00E95FC6"/>
    <w:rsid w:val="00E96BDE"/>
    <w:rsid w:val="00E97C86"/>
    <w:rsid w:val="00EA17AA"/>
    <w:rsid w:val="00EA1A9B"/>
    <w:rsid w:val="00EA1B64"/>
    <w:rsid w:val="00EA1B6C"/>
    <w:rsid w:val="00EA1C4B"/>
    <w:rsid w:val="00EA3B2F"/>
    <w:rsid w:val="00EA424D"/>
    <w:rsid w:val="00EA4881"/>
    <w:rsid w:val="00EA7FB9"/>
    <w:rsid w:val="00EB1F7C"/>
    <w:rsid w:val="00EB2334"/>
    <w:rsid w:val="00EB325C"/>
    <w:rsid w:val="00EB3554"/>
    <w:rsid w:val="00EB3E25"/>
    <w:rsid w:val="00EB42CB"/>
    <w:rsid w:val="00EB54CC"/>
    <w:rsid w:val="00EB60AA"/>
    <w:rsid w:val="00EC00B7"/>
    <w:rsid w:val="00EC1271"/>
    <w:rsid w:val="00EC13B7"/>
    <w:rsid w:val="00EC466E"/>
    <w:rsid w:val="00EC5643"/>
    <w:rsid w:val="00EC5705"/>
    <w:rsid w:val="00EC6D8B"/>
    <w:rsid w:val="00EC7132"/>
    <w:rsid w:val="00EC7AA5"/>
    <w:rsid w:val="00EC7DE6"/>
    <w:rsid w:val="00ED0A40"/>
    <w:rsid w:val="00ED2338"/>
    <w:rsid w:val="00ED2D89"/>
    <w:rsid w:val="00ED3124"/>
    <w:rsid w:val="00ED336D"/>
    <w:rsid w:val="00ED3D04"/>
    <w:rsid w:val="00ED414B"/>
    <w:rsid w:val="00ED5D96"/>
    <w:rsid w:val="00ED5F09"/>
    <w:rsid w:val="00ED7CD8"/>
    <w:rsid w:val="00EE1217"/>
    <w:rsid w:val="00EE1AD3"/>
    <w:rsid w:val="00EE1F08"/>
    <w:rsid w:val="00EE2629"/>
    <w:rsid w:val="00EE265D"/>
    <w:rsid w:val="00EE3F22"/>
    <w:rsid w:val="00EE4577"/>
    <w:rsid w:val="00EE4912"/>
    <w:rsid w:val="00EE4C75"/>
    <w:rsid w:val="00EE4DE5"/>
    <w:rsid w:val="00EE6582"/>
    <w:rsid w:val="00EE663B"/>
    <w:rsid w:val="00EE7176"/>
    <w:rsid w:val="00EF13CC"/>
    <w:rsid w:val="00EF1BBE"/>
    <w:rsid w:val="00EF2D82"/>
    <w:rsid w:val="00EF4AF4"/>
    <w:rsid w:val="00EF4D11"/>
    <w:rsid w:val="00EF50E8"/>
    <w:rsid w:val="00EF79A9"/>
    <w:rsid w:val="00EF7B21"/>
    <w:rsid w:val="00F01E0F"/>
    <w:rsid w:val="00F02ED5"/>
    <w:rsid w:val="00F03076"/>
    <w:rsid w:val="00F0344B"/>
    <w:rsid w:val="00F05B39"/>
    <w:rsid w:val="00F065AC"/>
    <w:rsid w:val="00F0752D"/>
    <w:rsid w:val="00F1080E"/>
    <w:rsid w:val="00F10EBE"/>
    <w:rsid w:val="00F1126F"/>
    <w:rsid w:val="00F1262A"/>
    <w:rsid w:val="00F1401C"/>
    <w:rsid w:val="00F14042"/>
    <w:rsid w:val="00F14766"/>
    <w:rsid w:val="00F15445"/>
    <w:rsid w:val="00F15B3E"/>
    <w:rsid w:val="00F15BB2"/>
    <w:rsid w:val="00F1720F"/>
    <w:rsid w:val="00F1730B"/>
    <w:rsid w:val="00F2044F"/>
    <w:rsid w:val="00F2052F"/>
    <w:rsid w:val="00F21052"/>
    <w:rsid w:val="00F220EA"/>
    <w:rsid w:val="00F22B3A"/>
    <w:rsid w:val="00F22DFB"/>
    <w:rsid w:val="00F22E41"/>
    <w:rsid w:val="00F23503"/>
    <w:rsid w:val="00F239DA"/>
    <w:rsid w:val="00F25F62"/>
    <w:rsid w:val="00F2774E"/>
    <w:rsid w:val="00F27CC7"/>
    <w:rsid w:val="00F321EC"/>
    <w:rsid w:val="00F32429"/>
    <w:rsid w:val="00F33B13"/>
    <w:rsid w:val="00F3436F"/>
    <w:rsid w:val="00F350F0"/>
    <w:rsid w:val="00F356AE"/>
    <w:rsid w:val="00F36C85"/>
    <w:rsid w:val="00F36FA8"/>
    <w:rsid w:val="00F372EC"/>
    <w:rsid w:val="00F37570"/>
    <w:rsid w:val="00F37BF5"/>
    <w:rsid w:val="00F40490"/>
    <w:rsid w:val="00F40BFF"/>
    <w:rsid w:val="00F42A81"/>
    <w:rsid w:val="00F431A5"/>
    <w:rsid w:val="00F450C2"/>
    <w:rsid w:val="00F46530"/>
    <w:rsid w:val="00F501DF"/>
    <w:rsid w:val="00F50223"/>
    <w:rsid w:val="00F5071B"/>
    <w:rsid w:val="00F50FE6"/>
    <w:rsid w:val="00F516C2"/>
    <w:rsid w:val="00F51F47"/>
    <w:rsid w:val="00F52B4F"/>
    <w:rsid w:val="00F62464"/>
    <w:rsid w:val="00F631DB"/>
    <w:rsid w:val="00F661FC"/>
    <w:rsid w:val="00F664A0"/>
    <w:rsid w:val="00F6654B"/>
    <w:rsid w:val="00F67892"/>
    <w:rsid w:val="00F7019F"/>
    <w:rsid w:val="00F7104E"/>
    <w:rsid w:val="00F713D9"/>
    <w:rsid w:val="00F74271"/>
    <w:rsid w:val="00F74A57"/>
    <w:rsid w:val="00F7542D"/>
    <w:rsid w:val="00F755B6"/>
    <w:rsid w:val="00F75AE7"/>
    <w:rsid w:val="00F75C55"/>
    <w:rsid w:val="00F768DF"/>
    <w:rsid w:val="00F77994"/>
    <w:rsid w:val="00F81230"/>
    <w:rsid w:val="00F8288D"/>
    <w:rsid w:val="00F831AC"/>
    <w:rsid w:val="00F86344"/>
    <w:rsid w:val="00F87132"/>
    <w:rsid w:val="00F873F6"/>
    <w:rsid w:val="00F87439"/>
    <w:rsid w:val="00F87C00"/>
    <w:rsid w:val="00F90BDA"/>
    <w:rsid w:val="00F91328"/>
    <w:rsid w:val="00F91F31"/>
    <w:rsid w:val="00F92E20"/>
    <w:rsid w:val="00F944A2"/>
    <w:rsid w:val="00F956F9"/>
    <w:rsid w:val="00F96501"/>
    <w:rsid w:val="00F971C1"/>
    <w:rsid w:val="00F976FB"/>
    <w:rsid w:val="00FA0A31"/>
    <w:rsid w:val="00FA0ECB"/>
    <w:rsid w:val="00FA1131"/>
    <w:rsid w:val="00FA1B6A"/>
    <w:rsid w:val="00FA58D3"/>
    <w:rsid w:val="00FA5912"/>
    <w:rsid w:val="00FA5F08"/>
    <w:rsid w:val="00FB0C15"/>
    <w:rsid w:val="00FB1B0B"/>
    <w:rsid w:val="00FB201E"/>
    <w:rsid w:val="00FB2ABC"/>
    <w:rsid w:val="00FB2E18"/>
    <w:rsid w:val="00FB30EF"/>
    <w:rsid w:val="00FB47C5"/>
    <w:rsid w:val="00FB5760"/>
    <w:rsid w:val="00FB649B"/>
    <w:rsid w:val="00FC052A"/>
    <w:rsid w:val="00FC0711"/>
    <w:rsid w:val="00FC09BE"/>
    <w:rsid w:val="00FC1801"/>
    <w:rsid w:val="00FC25D7"/>
    <w:rsid w:val="00FC2636"/>
    <w:rsid w:val="00FC29CD"/>
    <w:rsid w:val="00FC4F88"/>
    <w:rsid w:val="00FC552F"/>
    <w:rsid w:val="00FC661C"/>
    <w:rsid w:val="00FC6D5A"/>
    <w:rsid w:val="00FD0249"/>
    <w:rsid w:val="00FD07D6"/>
    <w:rsid w:val="00FD0E37"/>
    <w:rsid w:val="00FD2946"/>
    <w:rsid w:val="00FD32AF"/>
    <w:rsid w:val="00FD4D9A"/>
    <w:rsid w:val="00FD4EE7"/>
    <w:rsid w:val="00FD6EE7"/>
    <w:rsid w:val="00FD6FF8"/>
    <w:rsid w:val="00FE07D4"/>
    <w:rsid w:val="00FE0B4D"/>
    <w:rsid w:val="00FE22BA"/>
    <w:rsid w:val="00FE27CC"/>
    <w:rsid w:val="00FE37AB"/>
    <w:rsid w:val="00FE471D"/>
    <w:rsid w:val="00FE5724"/>
    <w:rsid w:val="00FE704F"/>
    <w:rsid w:val="00FE7909"/>
    <w:rsid w:val="00FE7FB9"/>
    <w:rsid w:val="00FF0100"/>
    <w:rsid w:val="00FF1782"/>
    <w:rsid w:val="00FF2D50"/>
    <w:rsid w:val="00FF30C8"/>
    <w:rsid w:val="00FF32D8"/>
    <w:rsid w:val="00FF3B32"/>
    <w:rsid w:val="00FF3C7B"/>
    <w:rsid w:val="00FF4B3F"/>
    <w:rsid w:val="00FF596A"/>
    <w:rsid w:val="02443CE2"/>
    <w:rsid w:val="02B23CEB"/>
    <w:rsid w:val="03852DB2"/>
    <w:rsid w:val="052E657E"/>
    <w:rsid w:val="059750E7"/>
    <w:rsid w:val="05A42E5C"/>
    <w:rsid w:val="05FA0BF5"/>
    <w:rsid w:val="06A87545"/>
    <w:rsid w:val="06CA1EAE"/>
    <w:rsid w:val="06CC4BC7"/>
    <w:rsid w:val="06E26799"/>
    <w:rsid w:val="073D385E"/>
    <w:rsid w:val="074E754B"/>
    <w:rsid w:val="09373D35"/>
    <w:rsid w:val="09EF276F"/>
    <w:rsid w:val="0A487803"/>
    <w:rsid w:val="0A887E0C"/>
    <w:rsid w:val="0B1F57A1"/>
    <w:rsid w:val="0B7E2661"/>
    <w:rsid w:val="0BF36CA1"/>
    <w:rsid w:val="0D991492"/>
    <w:rsid w:val="0DAD6E33"/>
    <w:rsid w:val="0DE67E0F"/>
    <w:rsid w:val="0F4676E4"/>
    <w:rsid w:val="0F7678DB"/>
    <w:rsid w:val="109476ED"/>
    <w:rsid w:val="111303BA"/>
    <w:rsid w:val="118948E8"/>
    <w:rsid w:val="11A01774"/>
    <w:rsid w:val="11E4597A"/>
    <w:rsid w:val="11E9173B"/>
    <w:rsid w:val="12BB395D"/>
    <w:rsid w:val="12E93791"/>
    <w:rsid w:val="16184DC0"/>
    <w:rsid w:val="1656780D"/>
    <w:rsid w:val="16C3493F"/>
    <w:rsid w:val="1700247E"/>
    <w:rsid w:val="177D2A53"/>
    <w:rsid w:val="17A23F2E"/>
    <w:rsid w:val="18B56D3E"/>
    <w:rsid w:val="190B3B49"/>
    <w:rsid w:val="19DC4A29"/>
    <w:rsid w:val="1C974EFB"/>
    <w:rsid w:val="1D00778A"/>
    <w:rsid w:val="1DE36C0C"/>
    <w:rsid w:val="23457340"/>
    <w:rsid w:val="24A76A05"/>
    <w:rsid w:val="25A018D5"/>
    <w:rsid w:val="25E75DBC"/>
    <w:rsid w:val="26717F1C"/>
    <w:rsid w:val="27914283"/>
    <w:rsid w:val="2A182BB1"/>
    <w:rsid w:val="2A9326AA"/>
    <w:rsid w:val="2AB50568"/>
    <w:rsid w:val="2ABD6554"/>
    <w:rsid w:val="2B1B3087"/>
    <w:rsid w:val="2B570289"/>
    <w:rsid w:val="2C7434DF"/>
    <w:rsid w:val="2CAF71E4"/>
    <w:rsid w:val="2E6157C2"/>
    <w:rsid w:val="2EF7F54B"/>
    <w:rsid w:val="2F745945"/>
    <w:rsid w:val="30033712"/>
    <w:rsid w:val="31201937"/>
    <w:rsid w:val="33CD5D48"/>
    <w:rsid w:val="342D6A8A"/>
    <w:rsid w:val="34BC02C5"/>
    <w:rsid w:val="36220611"/>
    <w:rsid w:val="36711294"/>
    <w:rsid w:val="37412070"/>
    <w:rsid w:val="37AF627D"/>
    <w:rsid w:val="37D31EE2"/>
    <w:rsid w:val="38806043"/>
    <w:rsid w:val="389A0D5F"/>
    <w:rsid w:val="38D72731"/>
    <w:rsid w:val="39B16960"/>
    <w:rsid w:val="3CA82B15"/>
    <w:rsid w:val="3CCEDD32"/>
    <w:rsid w:val="3E263CAA"/>
    <w:rsid w:val="3E4D28E9"/>
    <w:rsid w:val="3ECB504D"/>
    <w:rsid w:val="3FA96EBA"/>
    <w:rsid w:val="412F15E1"/>
    <w:rsid w:val="41361118"/>
    <w:rsid w:val="41A47258"/>
    <w:rsid w:val="4567C8A3"/>
    <w:rsid w:val="45B4330A"/>
    <w:rsid w:val="46E84FEA"/>
    <w:rsid w:val="47875C6D"/>
    <w:rsid w:val="47BF6083"/>
    <w:rsid w:val="47E368CC"/>
    <w:rsid w:val="49323BBF"/>
    <w:rsid w:val="4A14583B"/>
    <w:rsid w:val="4A2052C8"/>
    <w:rsid w:val="4A4864BA"/>
    <w:rsid w:val="4A714BFD"/>
    <w:rsid w:val="4B7D57E0"/>
    <w:rsid w:val="4BD51B54"/>
    <w:rsid w:val="4BE771D0"/>
    <w:rsid w:val="4CFC64E2"/>
    <w:rsid w:val="4E2D12D1"/>
    <w:rsid w:val="4E8E18D4"/>
    <w:rsid w:val="525B572C"/>
    <w:rsid w:val="52E61455"/>
    <w:rsid w:val="53E3401D"/>
    <w:rsid w:val="578B0EF6"/>
    <w:rsid w:val="57CB3B2D"/>
    <w:rsid w:val="58FD106E"/>
    <w:rsid w:val="59F8451E"/>
    <w:rsid w:val="5A740CC3"/>
    <w:rsid w:val="5B027C19"/>
    <w:rsid w:val="5B2C02E4"/>
    <w:rsid w:val="5B653060"/>
    <w:rsid w:val="5B9E4DCF"/>
    <w:rsid w:val="5C1F1A13"/>
    <w:rsid w:val="5C89642D"/>
    <w:rsid w:val="5D3B0FC7"/>
    <w:rsid w:val="5EB4591A"/>
    <w:rsid w:val="5EFB33A3"/>
    <w:rsid w:val="5F17379A"/>
    <w:rsid w:val="5F500C76"/>
    <w:rsid w:val="61642F25"/>
    <w:rsid w:val="61A31E59"/>
    <w:rsid w:val="62005C0F"/>
    <w:rsid w:val="62684636"/>
    <w:rsid w:val="626A10BA"/>
    <w:rsid w:val="651B52F3"/>
    <w:rsid w:val="66475270"/>
    <w:rsid w:val="67D458C9"/>
    <w:rsid w:val="68D74434"/>
    <w:rsid w:val="6AC0501E"/>
    <w:rsid w:val="6EB468B0"/>
    <w:rsid w:val="6EEA15E3"/>
    <w:rsid w:val="6F4B186A"/>
    <w:rsid w:val="6FF83EF3"/>
    <w:rsid w:val="70E77D2C"/>
    <w:rsid w:val="71C242A7"/>
    <w:rsid w:val="722B66BD"/>
    <w:rsid w:val="723D323E"/>
    <w:rsid w:val="72867503"/>
    <w:rsid w:val="72C150B9"/>
    <w:rsid w:val="72CE110A"/>
    <w:rsid w:val="72DD007F"/>
    <w:rsid w:val="74151B59"/>
    <w:rsid w:val="77086F75"/>
    <w:rsid w:val="77FFCF09"/>
    <w:rsid w:val="785A2396"/>
    <w:rsid w:val="797D3B33"/>
    <w:rsid w:val="79950783"/>
    <w:rsid w:val="7AFF8BF0"/>
    <w:rsid w:val="7B411E8A"/>
    <w:rsid w:val="7BA43FF8"/>
    <w:rsid w:val="7BFE7842"/>
    <w:rsid w:val="7D716F0F"/>
    <w:rsid w:val="7EBC0435"/>
    <w:rsid w:val="7F540030"/>
    <w:rsid w:val="7F663B1F"/>
    <w:rsid w:val="7FFB28A3"/>
    <w:rsid w:val="ABEDF13C"/>
    <w:rsid w:val="AEFC119E"/>
    <w:rsid w:val="BEDF6EB7"/>
    <w:rsid w:val="BFFF846B"/>
    <w:rsid w:val="C5F348ED"/>
    <w:rsid w:val="CABB9535"/>
    <w:rsid w:val="DBB1BDDC"/>
    <w:rsid w:val="DDBA6000"/>
    <w:rsid w:val="DE18B3BF"/>
    <w:rsid w:val="E7BF2264"/>
    <w:rsid w:val="FBF394C7"/>
    <w:rsid w:val="FF4B532E"/>
    <w:rsid w:val="FF717231"/>
    <w:rsid w:val="FFF7D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1"/>
      <w:szCs w:val="24"/>
      <w:lang w:val="en-US" w:eastAsia="zh-CN" w:bidi="ar-SA"/>
    </w:rPr>
  </w:style>
  <w:style w:type="paragraph" w:styleId="4">
    <w:name w:val="heading 1"/>
    <w:basedOn w:val="1"/>
    <w:next w:val="1"/>
    <w:link w:val="60"/>
    <w:qFormat/>
    <w:uiPriority w:val="0"/>
    <w:pPr>
      <w:outlineLvl w:val="0"/>
    </w:pPr>
    <w:rPr>
      <w:sz w:val="24"/>
    </w:rPr>
  </w:style>
  <w:style w:type="paragraph" w:styleId="5">
    <w:name w:val="heading 2"/>
    <w:basedOn w:val="1"/>
    <w:next w:val="1"/>
    <w:qFormat/>
    <w:uiPriority w:val="0"/>
    <w:pPr>
      <w:outlineLvl w:val="1"/>
    </w:pPr>
  </w:style>
  <w:style w:type="paragraph" w:styleId="6">
    <w:name w:val="heading 3"/>
    <w:basedOn w:val="1"/>
    <w:next w:val="1"/>
    <w:link w:val="61"/>
    <w:qFormat/>
    <w:uiPriority w:val="0"/>
    <w:pPr>
      <w:spacing w:line="480" w:lineRule="auto"/>
      <w:outlineLvl w:val="2"/>
    </w:pPr>
    <w:rPr>
      <w:b/>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widowControl/>
      <w:tabs>
        <w:tab w:val="left" w:pos="1008"/>
      </w:tabs>
      <w:autoSpaceDE/>
      <w:autoSpaceDN/>
      <w:adjustRightInd/>
      <w:spacing w:before="280" w:after="290" w:line="376" w:lineRule="auto"/>
      <w:ind w:left="1008" w:hanging="1008"/>
      <w:outlineLvl w:val="4"/>
    </w:pPr>
    <w:rPr>
      <w:rFonts w:ascii="Times New Roman"/>
      <w:b/>
      <w:bCs/>
      <w:sz w:val="28"/>
      <w:szCs w:val="28"/>
    </w:rPr>
  </w:style>
  <w:style w:type="paragraph" w:styleId="9">
    <w:name w:val="heading 6"/>
    <w:basedOn w:val="1"/>
    <w:next w:val="1"/>
    <w:qFormat/>
    <w:uiPriority w:val="0"/>
    <w:pPr>
      <w:keepNext/>
      <w:keepLines/>
      <w:widowControl/>
      <w:tabs>
        <w:tab w:val="left" w:pos="1152"/>
      </w:tabs>
      <w:autoSpaceDE/>
      <w:autoSpaceDN/>
      <w:adjustRightInd/>
      <w:spacing w:before="240" w:after="64" w:line="320" w:lineRule="auto"/>
      <w:ind w:left="1152" w:hanging="1152"/>
      <w:outlineLvl w:val="5"/>
    </w:pPr>
    <w:rPr>
      <w:rFonts w:ascii="Arial" w:hAnsi="Arial" w:eastAsia="黑体"/>
      <w:b/>
      <w:bCs/>
    </w:rPr>
  </w:style>
  <w:style w:type="paragraph" w:styleId="10">
    <w:name w:val="heading 7"/>
    <w:basedOn w:val="1"/>
    <w:next w:val="1"/>
    <w:qFormat/>
    <w:uiPriority w:val="0"/>
    <w:pPr>
      <w:keepNext/>
      <w:keepLines/>
      <w:widowControl/>
      <w:tabs>
        <w:tab w:val="left" w:pos="1296"/>
      </w:tabs>
      <w:autoSpaceDE/>
      <w:autoSpaceDN/>
      <w:adjustRightInd/>
      <w:spacing w:before="240" w:after="64" w:line="320" w:lineRule="auto"/>
      <w:ind w:left="1296" w:hanging="1296"/>
      <w:outlineLvl w:val="6"/>
    </w:pPr>
    <w:rPr>
      <w:rFonts w:ascii="Times New Roman"/>
      <w:b/>
      <w:bCs/>
    </w:rPr>
  </w:style>
  <w:style w:type="paragraph" w:styleId="11">
    <w:name w:val="heading 8"/>
    <w:basedOn w:val="1"/>
    <w:next w:val="1"/>
    <w:qFormat/>
    <w:uiPriority w:val="0"/>
    <w:pPr>
      <w:keepNext/>
      <w:keepLines/>
      <w:widowControl/>
      <w:tabs>
        <w:tab w:val="left" w:pos="1440"/>
      </w:tabs>
      <w:autoSpaceDE/>
      <w:autoSpaceDN/>
      <w:adjustRightInd/>
      <w:spacing w:before="240" w:after="64" w:line="320" w:lineRule="auto"/>
      <w:ind w:left="1440" w:hanging="1440"/>
      <w:outlineLvl w:val="7"/>
    </w:pPr>
    <w:rPr>
      <w:rFonts w:ascii="Arial" w:hAnsi="Arial" w:eastAsia="黑体"/>
    </w:rPr>
  </w:style>
  <w:style w:type="paragraph" w:styleId="12">
    <w:name w:val="heading 9"/>
    <w:basedOn w:val="1"/>
    <w:next w:val="1"/>
    <w:qFormat/>
    <w:uiPriority w:val="0"/>
    <w:pPr>
      <w:keepNext/>
      <w:keepLines/>
      <w:widowControl/>
      <w:tabs>
        <w:tab w:val="left" w:pos="1584"/>
      </w:tabs>
      <w:autoSpaceDE/>
      <w:autoSpaceDN/>
      <w:adjustRightInd/>
      <w:spacing w:before="240" w:after="64" w:line="320" w:lineRule="auto"/>
      <w:ind w:left="1584" w:hanging="1584"/>
      <w:outlineLvl w:val="8"/>
    </w:pPr>
    <w:rPr>
      <w:rFonts w:ascii="Arial" w:hAnsi="Arial" w:eastAsia="黑体"/>
      <w:szCs w:val="21"/>
    </w:rPr>
  </w:style>
  <w:style w:type="character" w:default="1" w:styleId="51">
    <w:name w:val="Default Paragraph Font"/>
    <w:unhideWhenUsed/>
    <w:qFormat/>
    <w:uiPriority w:val="1"/>
  </w:style>
  <w:style w:type="table" w:default="1" w:styleId="49">
    <w:name w:val="Normal Table"/>
    <w:unhideWhenUsed/>
    <w:qFormat/>
    <w:uiPriority w:val="99"/>
    <w:tblPr>
      <w:tblCellMar>
        <w:top w:w="0" w:type="dxa"/>
        <w:left w:w="108" w:type="dxa"/>
        <w:bottom w:w="0" w:type="dxa"/>
        <w:right w:w="108" w:type="dxa"/>
      </w:tblCellMar>
    </w:tblPr>
  </w:style>
  <w:style w:type="paragraph" w:styleId="2">
    <w:name w:val="Plain Text"/>
    <w:basedOn w:val="1"/>
    <w:next w:val="3"/>
    <w:link w:val="59"/>
    <w:qFormat/>
    <w:uiPriority w:val="0"/>
    <w:pPr>
      <w:autoSpaceDE/>
      <w:autoSpaceDN/>
      <w:adjustRightInd/>
      <w:jc w:val="both"/>
    </w:pPr>
    <w:rPr>
      <w:rFonts w:hAnsi="Courier New"/>
      <w:kern w:val="2"/>
      <w:szCs w:val="20"/>
    </w:rPr>
  </w:style>
  <w:style w:type="paragraph" w:customStyle="1" w:styleId="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toc 7"/>
    <w:basedOn w:val="1"/>
    <w:next w:val="1"/>
    <w:qFormat/>
    <w:uiPriority w:val="0"/>
    <w:pPr>
      <w:autoSpaceDE/>
      <w:autoSpaceDN/>
      <w:adjustRightInd/>
      <w:ind w:left="2520" w:leftChars="1200"/>
      <w:jc w:val="both"/>
    </w:pPr>
    <w:rPr>
      <w:rFonts w:ascii="Times New Roman"/>
      <w:kern w:val="2"/>
    </w:rPr>
  </w:style>
  <w:style w:type="paragraph" w:styleId="14">
    <w:name w:val="Normal Indent"/>
    <w:basedOn w:val="1"/>
    <w:link w:val="62"/>
    <w:qFormat/>
    <w:uiPriority w:val="0"/>
    <w:pPr>
      <w:widowControl/>
      <w:autoSpaceDE/>
      <w:autoSpaceDN/>
      <w:adjustRightInd/>
      <w:ind w:firstLine="420" w:firstLineChars="200"/>
    </w:pPr>
    <w:rPr>
      <w:rFonts w:ascii="Times New Roman"/>
      <w:sz w:val="20"/>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7"/>
    <w:qFormat/>
    <w:uiPriority w:val="0"/>
    <w:pPr>
      <w:widowControl/>
      <w:numPr>
        <w:ilvl w:val="0"/>
        <w:numId w:val="1"/>
      </w:numPr>
      <w:tabs>
        <w:tab w:val="left" w:pos="420"/>
      </w:tabs>
      <w:adjustRightInd/>
      <w:snapToGrid/>
      <w:ind w:right="720"/>
    </w:pPr>
    <w:rPr>
      <w:rFonts w:ascii="Garamond" w:hAnsi="Garamond"/>
      <w:kern w:val="0"/>
      <w:sz w:val="24"/>
      <w:szCs w:val="20"/>
    </w:rPr>
  </w:style>
  <w:style w:type="paragraph" w:styleId="17">
    <w:name w:val="List"/>
    <w:basedOn w:val="1"/>
    <w:qFormat/>
    <w:uiPriority w:val="0"/>
    <w:pPr>
      <w:numPr>
        <w:ilvl w:val="0"/>
        <w:numId w:val="2"/>
      </w:numPr>
      <w:autoSpaceDE/>
      <w:autoSpaceDN/>
      <w:snapToGrid w:val="0"/>
      <w:spacing w:line="300" w:lineRule="auto"/>
      <w:jc w:val="both"/>
    </w:pPr>
    <w:rPr>
      <w:rFonts w:ascii="Times New Roman"/>
      <w:kern w:val="2"/>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napToGrid w:val="0"/>
      <w:spacing w:before="120" w:line="360" w:lineRule="auto"/>
      <w:jc w:val="both"/>
    </w:pPr>
    <w:rPr>
      <w:rFonts w:ascii="Arial" w:hAnsi="Arial"/>
      <w:snapToGrid w:val="0"/>
      <w:color w:val="000000"/>
      <w:szCs w:val="20"/>
    </w:rPr>
  </w:style>
  <w:style w:type="paragraph" w:styleId="20">
    <w:name w:val="annotation text"/>
    <w:basedOn w:val="1"/>
    <w:link w:val="63"/>
    <w:qFormat/>
    <w:uiPriority w:val="0"/>
    <w:pPr>
      <w:widowControl/>
      <w:autoSpaceDE/>
      <w:autoSpaceDN/>
      <w:adjustRightInd/>
    </w:pPr>
    <w:rPr>
      <w:rFonts w:ascii="Times New Roman"/>
      <w:szCs w:val="20"/>
    </w:rPr>
  </w:style>
  <w:style w:type="paragraph" w:styleId="21">
    <w:name w:val="Body Text 3"/>
    <w:basedOn w:val="1"/>
    <w:qFormat/>
    <w:uiPriority w:val="0"/>
    <w:pPr>
      <w:ind w:right="-26"/>
      <w:jc w:val="center"/>
    </w:pPr>
    <w:rPr>
      <w:b/>
      <w:bCs/>
      <w:color w:val="3366FF"/>
      <w:kern w:val="2"/>
      <w:sz w:val="52"/>
      <w:szCs w:val="52"/>
      <w:lang w:val="zh-CN"/>
    </w:rPr>
  </w:style>
  <w:style w:type="paragraph" w:styleId="22">
    <w:name w:val="Body Text"/>
    <w:basedOn w:val="1"/>
    <w:qFormat/>
    <w:uiPriority w:val="0"/>
    <w:pPr>
      <w:ind w:right="-26"/>
      <w:jc w:val="center"/>
    </w:pPr>
    <w:rPr>
      <w:b/>
      <w:bCs/>
      <w:kern w:val="2"/>
      <w:sz w:val="84"/>
      <w:szCs w:val="84"/>
      <w:lang w:val="zh-CN"/>
    </w:rPr>
  </w:style>
  <w:style w:type="paragraph" w:styleId="23">
    <w:name w:val="Body Text Indent"/>
    <w:basedOn w:val="1"/>
    <w:link w:val="64"/>
    <w:qFormat/>
    <w:uiPriority w:val="0"/>
    <w:pPr>
      <w:autoSpaceDE/>
      <w:autoSpaceDN/>
      <w:adjustRightInd/>
      <w:ind w:left="567" w:leftChars="270"/>
      <w:jc w:val="both"/>
    </w:pPr>
    <w:rPr>
      <w:rFonts w:ascii="Times New Roman"/>
      <w:kern w:val="2"/>
      <w:szCs w:val="20"/>
    </w:rPr>
  </w:style>
  <w:style w:type="paragraph" w:styleId="24">
    <w:name w:val="List 2"/>
    <w:basedOn w:val="1"/>
    <w:qFormat/>
    <w:uiPriority w:val="0"/>
    <w:pPr>
      <w:widowControl/>
      <w:autoSpaceDE/>
      <w:autoSpaceDN/>
      <w:adjustRightInd/>
      <w:ind w:left="100" w:leftChars="200" w:hanging="200" w:hangingChars="200"/>
    </w:pPr>
    <w:rPr>
      <w:rFonts w:ascii="Times New Roman"/>
      <w:szCs w:val="20"/>
    </w:rPr>
  </w:style>
  <w:style w:type="paragraph" w:styleId="25">
    <w:name w:val="Block Text"/>
    <w:basedOn w:val="1"/>
    <w:qFormat/>
    <w:uiPriority w:val="0"/>
    <w:pPr>
      <w:spacing w:after="120"/>
      <w:ind w:left="1440" w:leftChars="700" w:right="1440" w:rightChars="700"/>
    </w:pPr>
  </w:style>
  <w:style w:type="paragraph" w:styleId="26">
    <w:name w:val="toc 5"/>
    <w:basedOn w:val="1"/>
    <w:next w:val="1"/>
    <w:qFormat/>
    <w:uiPriority w:val="0"/>
    <w:pPr>
      <w:widowControl/>
      <w:autoSpaceDE/>
      <w:autoSpaceDN/>
      <w:adjustRightInd/>
      <w:ind w:left="1680" w:leftChars="800"/>
    </w:pPr>
    <w:rPr>
      <w:rFonts w:ascii="Times New Roman"/>
      <w:szCs w:val="20"/>
    </w:rPr>
  </w:style>
  <w:style w:type="paragraph" w:styleId="27">
    <w:name w:val="toc 3"/>
    <w:basedOn w:val="1"/>
    <w:next w:val="1"/>
    <w:qFormat/>
    <w:uiPriority w:val="0"/>
    <w:pPr>
      <w:autoSpaceDE/>
      <w:autoSpaceDN/>
      <w:adjustRightInd/>
      <w:ind w:left="840" w:leftChars="400"/>
      <w:jc w:val="both"/>
    </w:pPr>
    <w:rPr>
      <w:rFonts w:ascii="Times New Roman"/>
      <w:kern w:val="2"/>
    </w:rPr>
  </w:style>
  <w:style w:type="paragraph" w:styleId="28">
    <w:name w:val="toc 8"/>
    <w:basedOn w:val="1"/>
    <w:next w:val="1"/>
    <w:qFormat/>
    <w:uiPriority w:val="0"/>
    <w:pPr>
      <w:autoSpaceDE/>
      <w:autoSpaceDN/>
      <w:adjustRightInd/>
      <w:ind w:left="2940" w:leftChars="1400"/>
      <w:jc w:val="both"/>
    </w:pPr>
    <w:rPr>
      <w:rFonts w:ascii="Times New Roman"/>
      <w:kern w:val="2"/>
    </w:rPr>
  </w:style>
  <w:style w:type="paragraph" w:styleId="29">
    <w:name w:val="Date"/>
    <w:basedOn w:val="1"/>
    <w:next w:val="1"/>
    <w:qFormat/>
    <w:uiPriority w:val="0"/>
    <w:pPr>
      <w:ind w:left="100" w:leftChars="2500"/>
    </w:pPr>
    <w:rPr>
      <w:b/>
      <w:bCs/>
      <w:kern w:val="2"/>
      <w:szCs w:val="21"/>
      <w:lang w:val="zh-CN"/>
    </w:rPr>
  </w:style>
  <w:style w:type="paragraph" w:styleId="30">
    <w:name w:val="Body Text Indent 2"/>
    <w:basedOn w:val="1"/>
    <w:qFormat/>
    <w:uiPriority w:val="0"/>
    <w:pPr>
      <w:tabs>
        <w:tab w:val="left" w:pos="8640"/>
      </w:tabs>
      <w:autoSpaceDE/>
      <w:autoSpaceDN/>
      <w:adjustRightInd/>
      <w:ind w:left="1260"/>
      <w:jc w:val="both"/>
    </w:pPr>
    <w:rPr>
      <w:kern w:val="2"/>
      <w:szCs w:val="20"/>
    </w:rPr>
  </w:style>
  <w:style w:type="paragraph" w:styleId="31">
    <w:name w:val="endnote text"/>
    <w:basedOn w:val="1"/>
    <w:link w:val="65"/>
    <w:qFormat/>
    <w:uiPriority w:val="0"/>
    <w:pPr>
      <w:snapToGrid w:val="0"/>
    </w:pPr>
    <w:rPr>
      <w:sz w:val="24"/>
    </w:rPr>
  </w:style>
  <w:style w:type="paragraph" w:styleId="32">
    <w:name w:val="Balloon Text"/>
    <w:basedOn w:val="1"/>
    <w:qFormat/>
    <w:uiPriority w:val="0"/>
    <w:pPr>
      <w:autoSpaceDE/>
      <w:autoSpaceDN/>
      <w:adjustRightInd/>
      <w:jc w:val="both"/>
    </w:pPr>
    <w:rPr>
      <w:rFonts w:ascii="Times New Roman"/>
      <w:kern w:val="2"/>
      <w:sz w:val="18"/>
      <w:szCs w:val="18"/>
    </w:rPr>
  </w:style>
  <w:style w:type="paragraph" w:styleId="33">
    <w:name w:val="footer"/>
    <w:basedOn w:val="1"/>
    <w:link w:val="66"/>
    <w:qFormat/>
    <w:uiPriority w:val="99"/>
    <w:pPr>
      <w:tabs>
        <w:tab w:val="center" w:pos="4153"/>
        <w:tab w:val="right" w:pos="8306"/>
      </w:tabs>
      <w:snapToGrid w:val="0"/>
    </w:pPr>
    <w:rPr>
      <w:sz w:val="18"/>
      <w:szCs w:val="18"/>
    </w:rPr>
  </w:style>
  <w:style w:type="paragraph" w:styleId="34">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right" w:leader="dot" w:pos="9629"/>
      </w:tabs>
      <w:autoSpaceDE/>
      <w:autoSpaceDN/>
      <w:adjustRightInd/>
      <w:spacing w:line="360" w:lineRule="auto"/>
      <w:jc w:val="center"/>
    </w:pPr>
    <w:rPr>
      <w:rFonts w:hAnsi="宋体"/>
      <w:bCs/>
      <w:kern w:val="2"/>
    </w:rPr>
  </w:style>
  <w:style w:type="paragraph" w:styleId="36">
    <w:name w:val="toc 4"/>
    <w:basedOn w:val="1"/>
    <w:next w:val="1"/>
    <w:qFormat/>
    <w:uiPriority w:val="0"/>
    <w:pPr>
      <w:autoSpaceDE/>
      <w:autoSpaceDN/>
      <w:adjustRightInd/>
      <w:ind w:left="1260" w:leftChars="600"/>
      <w:jc w:val="both"/>
    </w:pPr>
    <w:rPr>
      <w:rFonts w:ascii="Times New Roman"/>
      <w:kern w:val="2"/>
    </w:rPr>
  </w:style>
  <w:style w:type="paragraph" w:styleId="37">
    <w:name w:val="index heading"/>
    <w:basedOn w:val="1"/>
    <w:next w:val="38"/>
    <w:qFormat/>
    <w:uiPriority w:val="0"/>
    <w:pPr>
      <w:autoSpaceDE/>
      <w:autoSpaceDN/>
      <w:adjustRightInd/>
      <w:jc w:val="both"/>
    </w:pPr>
    <w:rPr>
      <w:rFonts w:ascii="Times New Roman"/>
      <w:kern w:val="2"/>
      <w:szCs w:val="20"/>
    </w:rPr>
  </w:style>
  <w:style w:type="paragraph" w:styleId="38">
    <w:name w:val="index 1"/>
    <w:basedOn w:val="1"/>
    <w:next w:val="1"/>
    <w:qFormat/>
    <w:uiPriority w:val="0"/>
    <w:pPr>
      <w:autoSpaceDE/>
      <w:autoSpaceDN/>
      <w:adjustRightInd/>
      <w:ind w:left="540" w:leftChars="257"/>
      <w:jc w:val="both"/>
    </w:pPr>
    <w:rPr>
      <w:rFonts w:ascii="Arial" w:hAnsi="Arial" w:cs="Arial"/>
      <w:kern w:val="2"/>
    </w:rPr>
  </w:style>
  <w:style w:type="paragraph" w:styleId="39">
    <w:name w:val="toc 6"/>
    <w:basedOn w:val="1"/>
    <w:next w:val="1"/>
    <w:qFormat/>
    <w:uiPriority w:val="0"/>
    <w:pPr>
      <w:autoSpaceDE/>
      <w:autoSpaceDN/>
      <w:adjustRightInd/>
      <w:ind w:left="2100" w:leftChars="1000"/>
      <w:jc w:val="both"/>
    </w:pPr>
    <w:rPr>
      <w:rFonts w:ascii="Times New Roman"/>
      <w:kern w:val="2"/>
    </w:rPr>
  </w:style>
  <w:style w:type="paragraph" w:styleId="40">
    <w:name w:val="Body Text Indent 3"/>
    <w:basedOn w:val="1"/>
    <w:qFormat/>
    <w:uiPriority w:val="0"/>
    <w:pPr>
      <w:spacing w:line="360" w:lineRule="auto"/>
      <w:ind w:firstLine="480" w:firstLineChars="200"/>
    </w:pPr>
  </w:style>
  <w:style w:type="paragraph" w:styleId="41">
    <w:name w:val="toc 2"/>
    <w:basedOn w:val="1"/>
    <w:next w:val="1"/>
    <w:qFormat/>
    <w:uiPriority w:val="0"/>
    <w:pPr>
      <w:tabs>
        <w:tab w:val="right" w:leader="dot" w:pos="8835"/>
      </w:tabs>
      <w:autoSpaceDE/>
      <w:autoSpaceDN/>
      <w:adjustRightInd/>
      <w:ind w:left="420" w:leftChars="200"/>
      <w:jc w:val="both"/>
    </w:pPr>
    <w:rPr>
      <w:rFonts w:hAnsi="宋体"/>
      <w:kern w:val="2"/>
    </w:rPr>
  </w:style>
  <w:style w:type="paragraph" w:styleId="42">
    <w:name w:val="toc 9"/>
    <w:basedOn w:val="1"/>
    <w:next w:val="1"/>
    <w:qFormat/>
    <w:uiPriority w:val="0"/>
    <w:pPr>
      <w:autoSpaceDE/>
      <w:autoSpaceDN/>
      <w:adjustRightInd/>
      <w:ind w:left="3360" w:leftChars="1600"/>
      <w:jc w:val="both"/>
    </w:pPr>
    <w:rPr>
      <w:rFonts w:ascii="Times New Roman"/>
      <w:kern w:val="2"/>
    </w:rPr>
  </w:style>
  <w:style w:type="paragraph" w:styleId="43">
    <w:name w:val="Body Text 2"/>
    <w:basedOn w:val="1"/>
    <w:qFormat/>
    <w:uiPriority w:val="0"/>
    <w:pPr>
      <w:tabs>
        <w:tab w:val="left" w:pos="0"/>
      </w:tabs>
      <w:autoSpaceDE/>
      <w:autoSpaceDN/>
      <w:adjustRightInd/>
      <w:spacing w:line="400" w:lineRule="atLeast"/>
      <w:jc w:val="both"/>
    </w:pPr>
    <w:rPr>
      <w:rFonts w:ascii="Arial" w:hAnsi="Arial"/>
      <w:color w:val="000000"/>
      <w:kern w:val="2"/>
    </w:rPr>
  </w:style>
  <w:style w:type="paragraph" w:styleId="4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80" w:lineRule="exact"/>
    </w:pPr>
    <w:rPr>
      <w:rFonts w:ascii="黑体" w:hAnsi="Courier New" w:eastAsia="黑体"/>
      <w:sz w:val="20"/>
      <w:szCs w:val="20"/>
    </w:rPr>
  </w:style>
  <w:style w:type="paragraph" w:styleId="45">
    <w:name w:val="Normal (Web)"/>
    <w:basedOn w:val="1"/>
    <w:qFormat/>
    <w:uiPriority w:val="0"/>
    <w:pPr>
      <w:widowControl/>
      <w:autoSpaceDE/>
      <w:autoSpaceDN/>
      <w:adjustRightInd/>
      <w:spacing w:before="100" w:beforeAutospacing="1" w:after="100" w:afterAutospacing="1"/>
    </w:pPr>
    <w:rPr>
      <w:rFonts w:hAnsi="宋体"/>
      <w:sz w:val="15"/>
      <w:szCs w:val="15"/>
    </w:rPr>
  </w:style>
  <w:style w:type="paragraph" w:styleId="46">
    <w:name w:val="Title"/>
    <w:basedOn w:val="1"/>
    <w:next w:val="1"/>
    <w:qFormat/>
    <w:uiPriority w:val="0"/>
    <w:pPr>
      <w:numPr>
        <w:ilvl w:val="0"/>
        <w:numId w:val="3"/>
      </w:numPr>
      <w:tabs>
        <w:tab w:val="clear" w:pos="2121"/>
      </w:tabs>
      <w:autoSpaceDE/>
      <w:autoSpaceDN/>
      <w:snapToGrid w:val="0"/>
      <w:spacing w:beforeLines="50" w:afterLines="50"/>
      <w:ind w:left="0" w:firstLine="0"/>
      <w:jc w:val="center"/>
      <w:outlineLvl w:val="0"/>
    </w:pPr>
    <w:rPr>
      <w:rFonts w:ascii="Arial" w:hAnsi="Arial" w:cs="Arial"/>
      <w:b/>
      <w:bCs/>
      <w:kern w:val="2"/>
      <w:sz w:val="52"/>
      <w:szCs w:val="32"/>
    </w:rPr>
  </w:style>
  <w:style w:type="paragraph" w:styleId="47">
    <w:name w:val="annotation subject"/>
    <w:basedOn w:val="20"/>
    <w:next w:val="20"/>
    <w:qFormat/>
    <w:uiPriority w:val="0"/>
    <w:rPr>
      <w:b/>
      <w:bCs/>
    </w:rPr>
  </w:style>
  <w:style w:type="paragraph" w:styleId="48">
    <w:name w:val="Body Text First Indent"/>
    <w:basedOn w:val="22"/>
    <w:qFormat/>
    <w:uiPriority w:val="0"/>
    <w:pPr>
      <w:widowControl/>
      <w:autoSpaceDE/>
      <w:autoSpaceDN/>
      <w:adjustRightInd/>
      <w:spacing w:after="120"/>
      <w:ind w:right="0" w:firstLine="420" w:firstLineChars="100"/>
      <w:jc w:val="left"/>
    </w:pPr>
    <w:rPr>
      <w:rFonts w:ascii="Times New Roman"/>
      <w:b w:val="0"/>
      <w:bCs w:val="0"/>
      <w:kern w:val="0"/>
      <w:sz w:val="21"/>
      <w:szCs w:val="20"/>
      <w:lang w:val="en-US"/>
    </w:rPr>
  </w:style>
  <w:style w:type="table" w:styleId="50">
    <w:name w:val="Table Grid"/>
    <w:basedOn w:val="4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qFormat/>
    <w:uiPriority w:val="22"/>
    <w:rPr>
      <w:b/>
      <w:bCs/>
    </w:rPr>
  </w:style>
  <w:style w:type="character" w:styleId="53">
    <w:name w:val="endnote reference"/>
    <w:qFormat/>
    <w:uiPriority w:val="0"/>
    <w:rPr>
      <w:vertAlign w:val="superscript"/>
    </w:rPr>
  </w:style>
  <w:style w:type="character" w:styleId="54">
    <w:name w:val="page number"/>
    <w:basedOn w:val="51"/>
    <w:qFormat/>
    <w:uiPriority w:val="0"/>
  </w:style>
  <w:style w:type="character" w:styleId="55">
    <w:name w:val="FollowedHyperlink"/>
    <w:qFormat/>
    <w:uiPriority w:val="0"/>
    <w:rPr>
      <w:color w:val="800080"/>
      <w:u w:val="single"/>
    </w:rPr>
  </w:style>
  <w:style w:type="character" w:styleId="56">
    <w:name w:val="Emphasis"/>
    <w:qFormat/>
    <w:uiPriority w:val="0"/>
    <w:rPr>
      <w:i/>
      <w:iCs/>
    </w:rPr>
  </w:style>
  <w:style w:type="character" w:styleId="57">
    <w:name w:val="Hyperlink"/>
    <w:qFormat/>
    <w:uiPriority w:val="0"/>
    <w:rPr>
      <w:color w:val="0000FF"/>
      <w:u w:val="single"/>
    </w:rPr>
  </w:style>
  <w:style w:type="character" w:styleId="58">
    <w:name w:val="annotation reference"/>
    <w:qFormat/>
    <w:uiPriority w:val="0"/>
    <w:rPr>
      <w:sz w:val="21"/>
      <w:szCs w:val="21"/>
    </w:rPr>
  </w:style>
  <w:style w:type="character" w:customStyle="1" w:styleId="59">
    <w:name w:val="纯文本 Char1"/>
    <w:link w:val="2"/>
    <w:qFormat/>
    <w:uiPriority w:val="0"/>
    <w:rPr>
      <w:rFonts w:ascii="宋体" w:hAnsi="Courier New" w:eastAsia="宋体"/>
      <w:kern w:val="2"/>
      <w:sz w:val="21"/>
      <w:lang w:val="en-US" w:eastAsia="zh-CN" w:bidi="ar-SA"/>
    </w:rPr>
  </w:style>
  <w:style w:type="character" w:customStyle="1" w:styleId="60">
    <w:name w:val="标题 1 Char"/>
    <w:link w:val="4"/>
    <w:qFormat/>
    <w:uiPriority w:val="0"/>
    <w:rPr>
      <w:rFonts w:ascii="宋体" w:eastAsia="宋体"/>
      <w:sz w:val="24"/>
      <w:szCs w:val="24"/>
      <w:lang w:val="en-US" w:eastAsia="zh-CN" w:bidi="ar-SA"/>
    </w:rPr>
  </w:style>
  <w:style w:type="character" w:customStyle="1" w:styleId="61">
    <w:name w:val="标题 3 Char"/>
    <w:link w:val="6"/>
    <w:qFormat/>
    <w:uiPriority w:val="0"/>
    <w:rPr>
      <w:rFonts w:ascii="宋体"/>
      <w:b/>
      <w:sz w:val="24"/>
      <w:szCs w:val="24"/>
    </w:rPr>
  </w:style>
  <w:style w:type="character" w:customStyle="1" w:styleId="62">
    <w:name w:val="正文缩进 Char"/>
    <w:link w:val="14"/>
    <w:qFormat/>
    <w:uiPriority w:val="0"/>
    <w:rPr>
      <w:rFonts w:eastAsia="宋体"/>
      <w:lang w:val="en-US" w:eastAsia="zh-CN" w:bidi="ar-SA"/>
    </w:rPr>
  </w:style>
  <w:style w:type="character" w:customStyle="1" w:styleId="63">
    <w:name w:val="批注文字 Char"/>
    <w:link w:val="20"/>
    <w:qFormat/>
    <w:uiPriority w:val="0"/>
    <w:rPr>
      <w:rFonts w:ascii="Times New Roman"/>
      <w:sz w:val="21"/>
    </w:rPr>
  </w:style>
  <w:style w:type="character" w:customStyle="1" w:styleId="64">
    <w:name w:val="正文文本缩进 Char"/>
    <w:link w:val="23"/>
    <w:qFormat/>
    <w:uiPriority w:val="0"/>
    <w:rPr>
      <w:kern w:val="2"/>
      <w:sz w:val="21"/>
    </w:rPr>
  </w:style>
  <w:style w:type="character" w:customStyle="1" w:styleId="65">
    <w:name w:val="尾注文本 Char"/>
    <w:link w:val="31"/>
    <w:qFormat/>
    <w:uiPriority w:val="0"/>
    <w:rPr>
      <w:rFonts w:ascii="宋体"/>
      <w:sz w:val="24"/>
      <w:szCs w:val="24"/>
    </w:rPr>
  </w:style>
  <w:style w:type="character" w:customStyle="1" w:styleId="66">
    <w:name w:val="页脚 Char"/>
    <w:link w:val="33"/>
    <w:qFormat/>
    <w:uiPriority w:val="99"/>
    <w:rPr>
      <w:rFonts w:ascii="宋体"/>
      <w:sz w:val="18"/>
      <w:szCs w:val="18"/>
    </w:rPr>
  </w:style>
  <w:style w:type="character" w:customStyle="1" w:styleId="67">
    <w:name w:val="页眉 Char"/>
    <w:link w:val="34"/>
    <w:qFormat/>
    <w:uiPriority w:val="99"/>
    <w:rPr>
      <w:rFonts w:ascii="宋体"/>
      <w:sz w:val="18"/>
      <w:szCs w:val="18"/>
    </w:rPr>
  </w:style>
  <w:style w:type="character" w:customStyle="1" w:styleId="68">
    <w:name w:val="p141"/>
    <w:qFormat/>
    <w:uiPriority w:val="0"/>
    <w:rPr>
      <w:sz w:val="21"/>
      <w:szCs w:val="21"/>
    </w:rPr>
  </w:style>
  <w:style w:type="character" w:customStyle="1" w:styleId="69">
    <w:name w:val="普通文字 Char Char1"/>
    <w:qFormat/>
    <w:uiPriority w:val="0"/>
    <w:rPr>
      <w:rFonts w:ascii="宋体" w:hAnsi="Courier New" w:eastAsia="宋体"/>
      <w:kern w:val="2"/>
      <w:sz w:val="21"/>
      <w:lang w:val="en-US" w:eastAsia="zh-CN" w:bidi="ar-SA"/>
    </w:rPr>
  </w:style>
  <w:style w:type="character" w:customStyle="1" w:styleId="70">
    <w:name w:val="font31"/>
    <w:qFormat/>
    <w:uiPriority w:val="0"/>
    <w:rPr>
      <w:rFonts w:hint="eastAsia" w:ascii="宋体" w:hAnsi="宋体" w:eastAsia="宋体" w:cs="宋体"/>
      <w:color w:val="000000"/>
      <w:sz w:val="20"/>
      <w:szCs w:val="20"/>
      <w:u w:val="none"/>
    </w:rPr>
  </w:style>
  <w:style w:type="character" w:customStyle="1" w:styleId="71">
    <w:name w:val="纯文本 Char"/>
    <w:qFormat/>
    <w:uiPriority w:val="0"/>
    <w:rPr>
      <w:rFonts w:ascii="宋体" w:hAnsi="Courier New"/>
      <w:kern w:val="2"/>
      <w:sz w:val="21"/>
    </w:rPr>
  </w:style>
  <w:style w:type="character" w:customStyle="1" w:styleId="72">
    <w:name w:val="DAS正文 Char Char"/>
    <w:qFormat/>
    <w:uiPriority w:val="0"/>
    <w:rPr>
      <w:rFonts w:ascii="Verdana" w:hAnsi="Verdana" w:eastAsia="宋体"/>
      <w:kern w:val="2"/>
      <w:sz w:val="21"/>
      <w:szCs w:val="21"/>
      <w:lang w:val="en-US" w:eastAsia="zh-CN" w:bidi="ar-SA"/>
    </w:rPr>
  </w:style>
  <w:style w:type="character" w:customStyle="1" w:styleId="73">
    <w:name w:val="正文缩进2格 Char Char"/>
    <w:link w:val="74"/>
    <w:qFormat/>
    <w:uiPriority w:val="0"/>
    <w:rPr>
      <w:rFonts w:ascii="仿宋_GB2312" w:hAnsi="宋体" w:eastAsia="仿宋_GB2312"/>
      <w:kern w:val="2"/>
      <w:sz w:val="31"/>
      <w:szCs w:val="28"/>
      <w:lang w:val="en-US" w:eastAsia="zh-CN" w:bidi="ar-SA"/>
    </w:rPr>
  </w:style>
  <w:style w:type="paragraph" w:customStyle="1" w:styleId="74">
    <w:name w:val="正文缩进2格"/>
    <w:basedOn w:val="1"/>
    <w:link w:val="73"/>
    <w:qFormat/>
    <w:uiPriority w:val="0"/>
    <w:pPr>
      <w:autoSpaceDE/>
      <w:autoSpaceDN/>
      <w:adjustRightInd/>
      <w:spacing w:line="600" w:lineRule="exact"/>
      <w:ind w:firstLine="639" w:firstLineChars="206"/>
      <w:jc w:val="both"/>
    </w:pPr>
    <w:rPr>
      <w:rFonts w:ascii="仿宋_GB2312" w:hAnsi="宋体" w:eastAsia="仿宋_GB2312"/>
      <w:kern w:val="2"/>
      <w:sz w:val="31"/>
      <w:szCs w:val="28"/>
    </w:rPr>
  </w:style>
  <w:style w:type="character" w:customStyle="1" w:styleId="75">
    <w:name w:val="表格文字 Char"/>
    <w:link w:val="76"/>
    <w:qFormat/>
    <w:locked/>
    <w:uiPriority w:val="0"/>
    <w:rPr>
      <w:bCs/>
      <w:spacing w:val="10"/>
      <w:sz w:val="21"/>
    </w:rPr>
  </w:style>
  <w:style w:type="paragraph" w:customStyle="1" w:styleId="76">
    <w:name w:val="表格文字"/>
    <w:basedOn w:val="1"/>
    <w:link w:val="75"/>
    <w:qFormat/>
    <w:uiPriority w:val="0"/>
    <w:pPr>
      <w:autoSpaceDE/>
      <w:autoSpaceDN/>
      <w:adjustRightInd/>
      <w:spacing w:before="25" w:after="25"/>
    </w:pPr>
    <w:rPr>
      <w:rFonts w:ascii="Times New Roman"/>
      <w:bCs/>
      <w:spacing w:val="10"/>
      <w:szCs w:val="20"/>
    </w:rPr>
  </w:style>
  <w:style w:type="character" w:customStyle="1" w:styleId="77">
    <w:name w:val="正文文本缩进 Char Char"/>
    <w:link w:val="78"/>
    <w:qFormat/>
    <w:uiPriority w:val="0"/>
    <w:rPr>
      <w:rFonts w:eastAsia="宋体"/>
      <w:lang w:bidi="ar-SA"/>
    </w:rPr>
  </w:style>
  <w:style w:type="paragraph" w:customStyle="1" w:styleId="78">
    <w:name w:val="Body Text Indent1"/>
    <w:basedOn w:val="1"/>
    <w:link w:val="77"/>
    <w:qFormat/>
    <w:uiPriority w:val="0"/>
    <w:pPr>
      <w:autoSpaceDE/>
      <w:autoSpaceDN/>
      <w:adjustRightInd/>
      <w:ind w:left="567" w:leftChars="270"/>
      <w:jc w:val="both"/>
    </w:pPr>
    <w:rPr>
      <w:rFonts w:ascii="Times New Roman"/>
      <w:sz w:val="20"/>
      <w:szCs w:val="20"/>
    </w:rPr>
  </w:style>
  <w:style w:type="character" w:customStyle="1" w:styleId="79">
    <w:name w:val="标题 1 Char1"/>
    <w:qFormat/>
    <w:uiPriority w:val="0"/>
    <w:rPr>
      <w:rFonts w:ascii="宋体" w:eastAsia="宋体"/>
      <w:sz w:val="24"/>
      <w:szCs w:val="24"/>
      <w:lang w:val="en-US" w:eastAsia="zh-CN" w:bidi="ar-SA"/>
    </w:rPr>
  </w:style>
  <w:style w:type="character" w:customStyle="1" w:styleId="80">
    <w:name w:val="keyfeatures1"/>
    <w:qFormat/>
    <w:uiPriority w:val="0"/>
    <w:rPr>
      <w:rFonts w:hint="default" w:ascii="Arial" w:hAnsi="Arial" w:cs="Arial"/>
      <w:color w:val="003366"/>
      <w:sz w:val="17"/>
      <w:szCs w:val="17"/>
      <w:u w:val="none"/>
    </w:rPr>
  </w:style>
  <w:style w:type="character" w:customStyle="1" w:styleId="81">
    <w:name w:val="页脚 字符"/>
    <w:qFormat/>
    <w:uiPriority w:val="99"/>
    <w:rPr>
      <w:kern w:val="2"/>
      <w:sz w:val="18"/>
      <w:szCs w:val="18"/>
    </w:rPr>
  </w:style>
  <w:style w:type="character" w:customStyle="1" w:styleId="82">
    <w:name w:val="font11"/>
    <w:qFormat/>
    <w:uiPriority w:val="0"/>
    <w:rPr>
      <w:rFonts w:hint="eastAsia" w:ascii="宋体" w:hAnsi="宋体" w:eastAsia="宋体" w:cs="宋体"/>
      <w:color w:val="000000"/>
      <w:sz w:val="24"/>
      <w:szCs w:val="24"/>
      <w:u w:val="none"/>
    </w:rPr>
  </w:style>
  <w:style w:type="character" w:customStyle="1" w:styleId="83">
    <w:name w:val="question-title2"/>
    <w:qFormat/>
    <w:uiPriority w:val="0"/>
  </w:style>
  <w:style w:type="character" w:customStyle="1" w:styleId="84">
    <w:name w:val="未处理的提及"/>
    <w:unhideWhenUsed/>
    <w:qFormat/>
    <w:uiPriority w:val="99"/>
    <w:rPr>
      <w:color w:val="808080"/>
      <w:shd w:val="clear" w:color="auto" w:fill="E6E6E6"/>
    </w:rPr>
  </w:style>
  <w:style w:type="character" w:customStyle="1" w:styleId="85">
    <w:name w:val="15"/>
    <w:qFormat/>
    <w:uiPriority w:val="0"/>
    <w:rPr>
      <w:rFonts w:hint="default" w:ascii="Times New Roman" w:hAnsi="Times New Roman" w:eastAsia="宋体" w:cs="Times New Roman"/>
      <w:kern w:val="2"/>
      <w:sz w:val="24"/>
      <w:szCs w:val="24"/>
    </w:rPr>
  </w:style>
  <w:style w:type="character" w:customStyle="1" w:styleId="86">
    <w:name w:val="p105"/>
    <w:qFormat/>
    <w:uiPriority w:val="0"/>
  </w:style>
  <w:style w:type="character" w:customStyle="1" w:styleId="87">
    <w:name w:val="ca-4"/>
    <w:qFormat/>
    <w:uiPriority w:val="0"/>
  </w:style>
  <w:style w:type="character" w:customStyle="1" w:styleId="88">
    <w:name w:val="页眉 字符"/>
    <w:qFormat/>
    <w:uiPriority w:val="99"/>
    <w:rPr>
      <w:kern w:val="2"/>
      <w:sz w:val="18"/>
      <w:szCs w:val="18"/>
    </w:rPr>
  </w:style>
  <w:style w:type="character" w:customStyle="1" w:styleId="89">
    <w:name w:val="style61"/>
    <w:qFormat/>
    <w:uiPriority w:val="0"/>
    <w:rPr>
      <w:b/>
      <w:bCs/>
    </w:rPr>
  </w:style>
  <w:style w:type="character" w:customStyle="1" w:styleId="90">
    <w:name w:val="f141"/>
    <w:qFormat/>
    <w:uiPriority w:val="0"/>
    <w:rPr>
      <w:sz w:val="21"/>
      <w:szCs w:val="21"/>
    </w:rPr>
  </w:style>
  <w:style w:type="character" w:customStyle="1" w:styleId="91">
    <w:name w:val="标题 1 Char2"/>
    <w:qFormat/>
    <w:uiPriority w:val="0"/>
    <w:rPr>
      <w:rFonts w:ascii="宋体" w:hAnsi="Times New Roman" w:eastAsia="宋体" w:cs="Times New Roman"/>
      <w:kern w:val="0"/>
      <w:sz w:val="24"/>
      <w:szCs w:val="24"/>
    </w:rPr>
  </w:style>
  <w:style w:type="character" w:customStyle="1" w:styleId="92">
    <w:name w:val="font21"/>
    <w:qFormat/>
    <w:uiPriority w:val="0"/>
    <w:rPr>
      <w:rFonts w:hint="eastAsia" w:ascii="宋体" w:hAnsi="宋体" w:eastAsia="宋体" w:cs="宋体"/>
      <w:color w:val="000000"/>
      <w:sz w:val="20"/>
      <w:szCs w:val="20"/>
      <w:u w:val="none"/>
    </w:rPr>
  </w:style>
  <w:style w:type="paragraph" w:customStyle="1" w:styleId="93">
    <w:name w:val="正文缩进6格"/>
    <w:basedOn w:val="94"/>
    <w:qFormat/>
    <w:uiPriority w:val="0"/>
    <w:pPr>
      <w:ind w:left="1758" w:leftChars="854"/>
    </w:pPr>
  </w:style>
  <w:style w:type="paragraph" w:customStyle="1" w:styleId="94">
    <w:name w:val="正文缩进4格"/>
    <w:basedOn w:val="74"/>
    <w:qFormat/>
    <w:uiPriority w:val="0"/>
    <w:pPr>
      <w:ind w:left="651" w:leftChars="310" w:firstLine="608" w:firstLineChars="196"/>
    </w:pPr>
    <w:rPr>
      <w:color w:val="000000"/>
    </w:rPr>
  </w:style>
  <w:style w:type="paragraph" w:customStyle="1" w:styleId="95">
    <w:name w:val="Char1"/>
    <w:basedOn w:val="18"/>
    <w:qFormat/>
    <w:uiPriority w:val="0"/>
    <w:pPr>
      <w:autoSpaceDE/>
      <w:autoSpaceDN/>
      <w:adjustRightInd/>
      <w:jc w:val="both"/>
    </w:pPr>
    <w:rPr>
      <w:rFonts w:ascii="Tahoma" w:hAnsi="Tahoma"/>
      <w:kern w:val="2"/>
    </w:rPr>
  </w:style>
  <w:style w:type="paragraph" w:customStyle="1" w:styleId="96">
    <w:name w:val="Char1 Char Char Char"/>
    <w:basedOn w:val="1"/>
    <w:qFormat/>
    <w:uiPriority w:val="0"/>
    <w:pPr>
      <w:autoSpaceDE/>
      <w:autoSpaceDN/>
      <w:adjustRightInd/>
      <w:jc w:val="both"/>
    </w:pPr>
    <w:rPr>
      <w:rFonts w:ascii="Tahoma" w:hAnsi="Tahoma"/>
      <w:kern w:val="2"/>
      <w:szCs w:val="20"/>
    </w:rPr>
  </w:style>
  <w:style w:type="paragraph" w:customStyle="1" w:styleId="97">
    <w:name w:val="列表正文"/>
    <w:basedOn w:val="1"/>
    <w:qFormat/>
    <w:uiPriority w:val="0"/>
    <w:pPr>
      <w:autoSpaceDE/>
      <w:autoSpaceDN/>
      <w:snapToGrid w:val="0"/>
      <w:spacing w:line="300" w:lineRule="auto"/>
      <w:ind w:left="200" w:leftChars="200" w:firstLine="200" w:firstLineChars="200"/>
      <w:jc w:val="both"/>
    </w:pPr>
    <w:rPr>
      <w:rFonts w:ascii="Times New Roman"/>
      <w:kern w:val="2"/>
    </w:rPr>
  </w:style>
  <w:style w:type="paragraph" w:customStyle="1" w:styleId="98">
    <w:name w:val="列出段落1"/>
    <w:basedOn w:val="1"/>
    <w:qFormat/>
    <w:uiPriority w:val="34"/>
    <w:pPr>
      <w:autoSpaceDE/>
      <w:autoSpaceDN/>
      <w:adjustRightInd/>
      <w:ind w:firstLine="420" w:firstLineChars="200"/>
      <w:jc w:val="both"/>
    </w:pPr>
    <w:rPr>
      <w:rFonts w:ascii="Times New Roman"/>
      <w:kern w:val="2"/>
    </w:rPr>
  </w:style>
  <w:style w:type="paragraph" w:customStyle="1" w:styleId="99">
    <w:name w:val="Table Paragraph"/>
    <w:basedOn w:val="1"/>
    <w:qFormat/>
    <w:uiPriority w:val="0"/>
    <w:pPr>
      <w:adjustRightInd/>
      <w:ind w:left="107"/>
    </w:pPr>
    <w:rPr>
      <w:rFonts w:hAnsi="宋体" w:cs="宋体"/>
      <w:sz w:val="22"/>
      <w:szCs w:val="22"/>
      <w:lang w:val="zh-CN"/>
    </w:rPr>
  </w:style>
  <w:style w:type="paragraph" w:customStyle="1" w:styleId="100">
    <w:name w:val="Char Char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01">
    <w:name w:val="DAS正文"/>
    <w:basedOn w:val="1"/>
    <w:qFormat/>
    <w:uiPriority w:val="0"/>
    <w:pPr>
      <w:autoSpaceDE/>
      <w:autoSpaceDN/>
      <w:adjustRightInd/>
      <w:spacing w:line="360" w:lineRule="exact"/>
      <w:jc w:val="both"/>
    </w:pPr>
    <w:rPr>
      <w:rFonts w:ascii="Verdana" w:hAnsi="Verdana"/>
      <w:kern w:val="2"/>
      <w:szCs w:val="21"/>
    </w:rPr>
  </w:style>
  <w:style w:type="paragraph" w:customStyle="1" w:styleId="102">
    <w:name w:val="p16"/>
    <w:basedOn w:val="1"/>
    <w:qFormat/>
    <w:uiPriority w:val="0"/>
    <w:pPr>
      <w:widowControl/>
      <w:autoSpaceDE/>
      <w:autoSpaceDN/>
      <w:adjustRightInd/>
      <w:spacing w:before="100" w:beforeAutospacing="1" w:after="100" w:afterAutospacing="1"/>
    </w:pPr>
    <w:rPr>
      <w:rFonts w:hAnsi="宋体" w:cs="宋体"/>
    </w:rPr>
  </w:style>
  <w:style w:type="paragraph" w:customStyle="1" w:styleId="103">
    <w:name w:val="普通 (Web)"/>
    <w:basedOn w:val="1"/>
    <w:qFormat/>
    <w:uiPriority w:val="0"/>
    <w:pPr>
      <w:widowControl/>
      <w:autoSpaceDE/>
      <w:autoSpaceDN/>
      <w:adjustRightInd/>
      <w:spacing w:before="100" w:beforeAutospacing="1" w:after="100" w:afterAutospacing="1"/>
    </w:pPr>
    <w:rPr>
      <w:rFonts w:hAnsi="宋体"/>
    </w:rPr>
  </w:style>
  <w:style w:type="paragraph" w:customStyle="1" w:styleId="104">
    <w:name w:val="Char1 Char Char Char Char Char Char"/>
    <w:basedOn w:val="1"/>
    <w:qFormat/>
    <w:uiPriority w:val="0"/>
    <w:pPr>
      <w:widowControl/>
      <w:autoSpaceDE/>
      <w:autoSpaceDN/>
      <w:adjustRightInd/>
      <w:spacing w:line="400" w:lineRule="exact"/>
      <w:jc w:val="center"/>
    </w:pPr>
    <w:rPr>
      <w:rFonts w:ascii="Verdana" w:hAnsi="Verdana"/>
      <w:szCs w:val="20"/>
      <w:lang w:eastAsia="en-US"/>
    </w:rPr>
  </w:style>
  <w:style w:type="paragraph" w:customStyle="1" w:styleId="105">
    <w:name w:val="Char Char1 Char Char Char Char Char Char Char Char Char Char Char Char Char Char"/>
    <w:basedOn w:val="1"/>
    <w:qFormat/>
    <w:uiPriority w:val="0"/>
    <w:pPr>
      <w:widowControl/>
      <w:autoSpaceDE/>
      <w:autoSpaceDN/>
      <w:adjustRightInd/>
      <w:spacing w:after="160" w:line="240" w:lineRule="exact"/>
    </w:pPr>
    <w:rPr>
      <w:rFonts w:ascii="Verdana" w:hAnsi="Verdana"/>
      <w:sz w:val="20"/>
      <w:szCs w:val="20"/>
      <w:lang w:eastAsia="en-US"/>
    </w:rPr>
  </w:style>
  <w:style w:type="paragraph" w:customStyle="1" w:styleId="106">
    <w:name w:val="Char Char Char Char"/>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07">
    <w:name w:val="xl29"/>
    <w:basedOn w:val="1"/>
    <w:qFormat/>
    <w:uiPriority w:val="0"/>
    <w:pPr>
      <w:widowControl/>
      <w:autoSpaceDE/>
      <w:autoSpaceDN/>
      <w:adjustRightInd/>
      <w:spacing w:before="100" w:beforeAutospacing="1" w:after="100" w:afterAutospacing="1"/>
      <w:jc w:val="center"/>
    </w:pPr>
    <w:rPr>
      <w:rFonts w:hAnsi="宋体"/>
      <w:sz w:val="28"/>
      <w:szCs w:val="28"/>
    </w:rPr>
  </w:style>
  <w:style w:type="paragraph" w:customStyle="1" w:styleId="108">
    <w:name w:val="Bullet"/>
    <w:basedOn w:val="1"/>
    <w:qFormat/>
    <w:uiPriority w:val="0"/>
    <w:pPr>
      <w:numPr>
        <w:ilvl w:val="0"/>
        <w:numId w:val="4"/>
      </w:numPr>
      <w:autoSpaceDE/>
      <w:autoSpaceDN/>
      <w:adjustRightInd/>
      <w:spacing w:line="360" w:lineRule="exact"/>
      <w:jc w:val="both"/>
    </w:pPr>
    <w:rPr>
      <w:rFonts w:ascii="Times New Roman"/>
      <w:kern w:val="2"/>
      <w:szCs w:val="20"/>
    </w:rPr>
  </w:style>
  <w:style w:type="paragraph" w:customStyle="1" w:styleId="109">
    <w:name w:val="font5"/>
    <w:basedOn w:val="1"/>
    <w:qFormat/>
    <w:uiPriority w:val="0"/>
    <w:pPr>
      <w:widowControl/>
      <w:autoSpaceDE/>
      <w:autoSpaceDN/>
      <w:adjustRightInd/>
      <w:spacing w:before="100" w:beforeAutospacing="1" w:after="100" w:afterAutospacing="1"/>
    </w:pPr>
    <w:rPr>
      <w:rFonts w:hAnsi="宋体" w:cs="宋体"/>
      <w:sz w:val="18"/>
      <w:szCs w:val="18"/>
    </w:rPr>
  </w:style>
  <w:style w:type="paragraph" w:customStyle="1" w:styleId="110">
    <w:name w:val="列出段落2"/>
    <w:basedOn w:val="1"/>
    <w:qFormat/>
    <w:uiPriority w:val="0"/>
    <w:pPr>
      <w:ind w:firstLine="420" w:firstLineChars="200"/>
    </w:pPr>
    <w:rPr>
      <w:rFonts w:ascii="Calibri" w:hAnsi="Calibri"/>
      <w:szCs w:val="22"/>
    </w:rPr>
  </w:style>
  <w:style w:type="paragraph" w:customStyle="1" w:styleId="111">
    <w:name w:val="样式 标题 3Level 3 HeadH3Heading 3 - oldh3sect1.2.3Head33l3..."/>
    <w:basedOn w:val="6"/>
    <w:qFormat/>
    <w:uiPriority w:val="0"/>
    <w:pPr>
      <w:tabs>
        <w:tab w:val="left" w:pos="720"/>
      </w:tabs>
      <w:autoSpaceDE/>
      <w:autoSpaceDN/>
      <w:adjustRightInd/>
      <w:spacing w:line="360" w:lineRule="auto"/>
      <w:ind w:left="720" w:hanging="720"/>
      <w:jc w:val="both"/>
    </w:pPr>
    <w:rPr>
      <w:rFonts w:ascii="Times New Roman" w:cs="宋体"/>
      <w:kern w:val="2"/>
      <w:sz w:val="21"/>
      <w:szCs w:val="20"/>
    </w:rPr>
  </w:style>
  <w:style w:type="paragraph" w:customStyle="1" w:styleId="112">
    <w:name w:val="正文无缩进"/>
    <w:basedOn w:val="74"/>
    <w:qFormat/>
    <w:uiPriority w:val="0"/>
    <w:pPr>
      <w:ind w:firstLine="0" w:firstLineChars="0"/>
    </w:pPr>
  </w:style>
  <w:style w:type="paragraph" w:customStyle="1" w:styleId="113">
    <w:name w:val="Char Char Char Char Char Char1 Char"/>
    <w:basedOn w:val="1"/>
    <w:qFormat/>
    <w:uiPriority w:val="0"/>
    <w:pPr>
      <w:widowControl/>
      <w:autoSpaceDE/>
      <w:autoSpaceDN/>
      <w:adjustRightInd/>
      <w:spacing w:after="160" w:line="240" w:lineRule="exact"/>
    </w:pPr>
    <w:rPr>
      <w:rFonts w:ascii="Arial" w:hAnsi="Arial" w:eastAsia="楷体_GB2312" w:cs="Verdana"/>
      <w:b/>
      <w:lang w:eastAsia="en-US"/>
    </w:rPr>
  </w:style>
  <w:style w:type="paragraph" w:customStyle="1" w:styleId="114">
    <w:name w:val="投标文件格式"/>
    <w:basedOn w:val="2"/>
    <w:qFormat/>
    <w:uiPriority w:val="0"/>
    <w:pPr>
      <w:jc w:val="center"/>
    </w:pPr>
    <w:rPr>
      <w:rFonts w:hAnsi="Times New Roman"/>
      <w:b/>
    </w:rPr>
  </w:style>
  <w:style w:type="paragraph" w:customStyle="1" w:styleId="115">
    <w:name w:val="技术响应2"/>
    <w:basedOn w:val="1"/>
    <w:qFormat/>
    <w:uiPriority w:val="0"/>
    <w:pPr>
      <w:numPr>
        <w:ilvl w:val="0"/>
        <w:numId w:val="5"/>
      </w:numPr>
      <w:autoSpaceDE/>
      <w:autoSpaceDN/>
      <w:adjustRightInd/>
      <w:jc w:val="both"/>
    </w:pPr>
    <w:rPr>
      <w:rFonts w:hAnsi="宋体"/>
      <w:b/>
      <w:bCs/>
      <w:kern w:val="2"/>
      <w:szCs w:val="20"/>
    </w:rPr>
  </w:style>
  <w:style w:type="paragraph" w:customStyle="1" w:styleId="116">
    <w:name w:val="标题4"/>
    <w:basedOn w:val="74"/>
    <w:qFormat/>
    <w:uiPriority w:val="0"/>
    <w:pPr>
      <w:spacing w:line="540" w:lineRule="exact"/>
      <w:ind w:firstLine="0" w:firstLineChars="0"/>
    </w:pPr>
    <w:rPr>
      <w:rFonts w:hAnsi="Times New Roman"/>
      <w:szCs w:val="24"/>
    </w:rPr>
  </w:style>
  <w:style w:type="paragraph" w:customStyle="1" w:styleId="117">
    <w:name w:val="Char Char Char1 Char Char Char Char Char Char Char"/>
    <w:basedOn w:val="1"/>
    <w:qFormat/>
    <w:uiPriority w:val="0"/>
    <w:pPr>
      <w:widowControl/>
      <w:autoSpaceDE/>
      <w:autoSpaceDN/>
      <w:adjustRightInd/>
      <w:spacing w:after="160" w:line="240" w:lineRule="exact"/>
    </w:pPr>
    <w:rPr>
      <w:rFonts w:ascii="Verdana" w:hAnsi="Verdana"/>
      <w:szCs w:val="20"/>
      <w:lang w:eastAsia="en-US"/>
    </w:rPr>
  </w:style>
  <w:style w:type="paragraph" w:customStyle="1" w:styleId="118">
    <w:name w:val="Standard o abs"/>
    <w:basedOn w:val="1"/>
    <w:qFormat/>
    <w:uiPriority w:val="0"/>
    <w:pPr>
      <w:tabs>
        <w:tab w:val="left" w:pos="2835"/>
        <w:tab w:val="left" w:pos="3119"/>
        <w:tab w:val="left" w:pos="3402"/>
        <w:tab w:val="left" w:pos="3686"/>
        <w:tab w:val="left" w:pos="3969"/>
        <w:tab w:val="left" w:pos="4253"/>
      </w:tabs>
      <w:autoSpaceDE/>
      <w:autoSpaceDN/>
      <w:adjustRightInd/>
      <w:jc w:val="both"/>
    </w:pPr>
    <w:rPr>
      <w:rFonts w:ascii="Times New Roman"/>
      <w:kern w:val="2"/>
    </w:rPr>
  </w:style>
  <w:style w:type="paragraph" w:customStyle="1" w:styleId="119">
    <w:name w:val="xl26"/>
    <w:basedOn w:val="1"/>
    <w:qFormat/>
    <w:uiPriority w:val="0"/>
    <w:pPr>
      <w:widowControl/>
      <w:autoSpaceDE/>
      <w:autoSpaceDN/>
      <w:adjustRightInd/>
      <w:spacing w:before="100" w:beforeAutospacing="1" w:after="100" w:afterAutospacing="1"/>
      <w:jc w:val="center"/>
    </w:pPr>
    <w:rPr>
      <w:rFonts w:hint="eastAsia" w:ascii="仿宋_GB2312" w:hAnsi="宋体" w:eastAsia="仿宋_GB2312"/>
    </w:rPr>
  </w:style>
  <w:style w:type="paragraph" w:customStyle="1" w:styleId="120">
    <w:name w:val="Char"/>
    <w:basedOn w:val="1"/>
    <w:qFormat/>
    <w:uiPriority w:val="0"/>
    <w:pPr>
      <w:widowControl/>
      <w:autoSpaceDE/>
      <w:autoSpaceDN/>
      <w:adjustRightInd/>
      <w:spacing w:line="400" w:lineRule="exact"/>
      <w:jc w:val="center"/>
    </w:pPr>
    <w:rPr>
      <w:rFonts w:ascii="Times New Roman"/>
      <w:szCs w:val="20"/>
    </w:rPr>
  </w:style>
  <w:style w:type="paragraph" w:customStyle="1" w:styleId="121">
    <w:name w:val="Char Char Char Char1"/>
    <w:basedOn w:val="5"/>
    <w:qFormat/>
    <w:uiPriority w:val="0"/>
    <w:pPr>
      <w:keepNext/>
      <w:keepLines/>
      <w:pageBreakBefore/>
      <w:widowControl/>
      <w:numPr>
        <w:ilvl w:val="1"/>
        <w:numId w:val="6"/>
      </w:numPr>
      <w:autoSpaceDE/>
      <w:autoSpaceDN/>
      <w:adjustRightInd/>
      <w:spacing w:before="180" w:after="160" w:line="240" w:lineRule="exact"/>
    </w:pPr>
    <w:rPr>
      <w:rFonts w:ascii="Verdana" w:hAnsi="Verdana" w:eastAsia="黑体"/>
      <w:bCs/>
      <w:sz w:val="32"/>
      <w:szCs w:val="32"/>
      <w:lang w:eastAsia="en-US"/>
    </w:rPr>
  </w:style>
  <w:style w:type="paragraph" w:customStyle="1" w:styleId="122">
    <w:name w:val="p0"/>
    <w:basedOn w:val="1"/>
    <w:qFormat/>
    <w:uiPriority w:val="0"/>
    <w:pPr>
      <w:widowControl/>
      <w:autoSpaceDE/>
      <w:autoSpaceDN/>
      <w:adjustRightInd/>
      <w:spacing w:line="360" w:lineRule="auto"/>
      <w:ind w:firstLine="425"/>
      <w:jc w:val="both"/>
    </w:pPr>
    <w:rPr>
      <w:rFonts w:hint="eastAsia" w:ascii="Times New Roman"/>
      <w:szCs w:val="21"/>
    </w:rPr>
  </w:style>
  <w:style w:type="paragraph" w:customStyle="1" w:styleId="123">
    <w:name w:val="List Paragraph1"/>
    <w:basedOn w:val="1"/>
    <w:qFormat/>
    <w:uiPriority w:val="0"/>
    <w:pPr>
      <w:autoSpaceDE/>
      <w:autoSpaceDN/>
      <w:adjustRightInd/>
      <w:ind w:firstLine="420" w:firstLineChars="200"/>
      <w:jc w:val="both"/>
    </w:pPr>
    <w:rPr>
      <w:rFonts w:ascii="Calibri" w:hAnsi="Calibri"/>
      <w:kern w:val="2"/>
      <w:szCs w:val="22"/>
    </w:rPr>
  </w:style>
  <w:style w:type="paragraph" w:customStyle="1" w:styleId="124">
    <w:name w:val="保留正文"/>
    <w:basedOn w:val="22"/>
    <w:qFormat/>
    <w:uiPriority w:val="0"/>
    <w:pPr>
      <w:keepNext/>
      <w:autoSpaceDE/>
      <w:autoSpaceDN/>
      <w:adjustRightInd/>
      <w:spacing w:after="160"/>
      <w:ind w:right="0"/>
      <w:jc w:val="both"/>
    </w:pPr>
    <w:rPr>
      <w:rFonts w:ascii="Times New Roman"/>
      <w:b w:val="0"/>
      <w:bCs w:val="0"/>
      <w:sz w:val="21"/>
      <w:szCs w:val="24"/>
      <w:lang w:val="en-US"/>
    </w:rPr>
  </w:style>
  <w:style w:type="paragraph" w:customStyle="1" w:styleId="125">
    <w:name w:val="List Paragraph2"/>
    <w:basedOn w:val="1"/>
    <w:qFormat/>
    <w:uiPriority w:val="34"/>
    <w:pPr>
      <w:autoSpaceDE/>
      <w:autoSpaceDN/>
      <w:adjustRightInd/>
      <w:ind w:firstLine="420" w:firstLineChars="200"/>
      <w:jc w:val="both"/>
    </w:pPr>
    <w:rPr>
      <w:rFonts w:ascii="Calibri" w:hAnsi="Calibri"/>
      <w:kern w:val="2"/>
      <w:szCs w:val="22"/>
    </w:rPr>
  </w:style>
  <w:style w:type="paragraph" w:customStyle="1" w:styleId="126">
    <w:name w:val="标题 3.5"/>
    <w:basedOn w:val="6"/>
    <w:qFormat/>
    <w:uiPriority w:val="0"/>
    <w:pPr>
      <w:autoSpaceDE/>
      <w:autoSpaceDN/>
      <w:adjustRightInd/>
      <w:spacing w:line="600" w:lineRule="exact"/>
      <w:jc w:val="both"/>
      <w:outlineLvl w:val="9"/>
    </w:pPr>
    <w:rPr>
      <w:rFonts w:ascii="Times New Roman" w:eastAsia="仿宋_GB2312"/>
      <w:kern w:val="2"/>
      <w:sz w:val="31"/>
    </w:rPr>
  </w:style>
  <w:style w:type="paragraph" w:customStyle="1" w:styleId="127">
    <w:name w:val="中等深浅底纹 1 - 强调文字颜色 11"/>
    <w:qFormat/>
    <w:uiPriority w:val="1"/>
    <w:rPr>
      <w:rFonts w:ascii="Calibri" w:hAnsi="Calibri" w:eastAsia="宋体" w:cs="Times New Roman"/>
      <w:sz w:val="22"/>
      <w:szCs w:val="22"/>
      <w:lang w:val="en-US" w:eastAsia="zh-CN" w:bidi="ar-SA"/>
    </w:rPr>
  </w:style>
  <w:style w:type="paragraph" w:customStyle="1" w:styleId="128">
    <w:name w:val="标题 3.1"/>
    <w:basedOn w:val="6"/>
    <w:qFormat/>
    <w:uiPriority w:val="0"/>
    <w:pPr>
      <w:keepNext/>
      <w:keepLines/>
      <w:tabs>
        <w:tab w:val="left" w:pos="1440"/>
        <w:tab w:val="left" w:pos="1620"/>
      </w:tabs>
      <w:autoSpaceDE/>
      <w:autoSpaceDN/>
      <w:adjustRightInd/>
      <w:spacing w:before="260" w:after="260" w:line="600" w:lineRule="exact"/>
      <w:jc w:val="both"/>
    </w:pPr>
    <w:rPr>
      <w:rFonts w:hAnsi="宋体"/>
      <w:b w:val="0"/>
      <w:bCs/>
      <w:kern w:val="2"/>
      <w:sz w:val="32"/>
      <w:szCs w:val="32"/>
    </w:rPr>
  </w:style>
  <w:style w:type="paragraph" w:customStyle="1" w:styleId="129">
    <w:name w:val="进度表"/>
    <w:basedOn w:val="14"/>
    <w:qFormat/>
    <w:uiPriority w:val="0"/>
    <w:pPr>
      <w:widowControl w:val="0"/>
      <w:snapToGrid w:val="0"/>
      <w:spacing w:line="440" w:lineRule="atLeast"/>
      <w:ind w:hanging="130" w:firstLineChars="0"/>
      <w:jc w:val="both"/>
    </w:pPr>
    <w:rPr>
      <w:rFonts w:ascii="宋体"/>
      <w:color w:val="000000"/>
      <w:kern w:val="2"/>
      <w:position w:val="-6"/>
      <w:sz w:val="28"/>
    </w:rPr>
  </w:style>
  <w:style w:type="paragraph" w:customStyle="1" w:styleId="130">
    <w:name w:val="题注4"/>
    <w:basedOn w:val="1"/>
    <w:next w:val="15"/>
    <w:qFormat/>
    <w:uiPriority w:val="0"/>
    <w:pPr>
      <w:autoSpaceDE/>
      <w:autoSpaceDN/>
      <w:adjustRightInd/>
      <w:ind w:left="-132" w:leftChars="-64" w:right="-105" w:rightChars="-50" w:hanging="2"/>
      <w:jc w:val="center"/>
    </w:pPr>
    <w:rPr>
      <w:rFonts w:ascii="Times New Roman"/>
      <w:b/>
      <w:color w:val="FF0000"/>
      <w:kern w:val="2"/>
      <w:szCs w:val="21"/>
      <w:lang w:val="en-GB"/>
    </w:rPr>
  </w:style>
  <w:style w:type="paragraph" w:customStyle="1" w:styleId="131">
    <w:name w:val="Char21"/>
    <w:basedOn w:val="1"/>
    <w:qFormat/>
    <w:uiPriority w:val="0"/>
    <w:pPr>
      <w:widowControl/>
      <w:autoSpaceDE/>
      <w:autoSpaceDN/>
      <w:adjustRightInd/>
      <w:spacing w:after="160" w:line="240" w:lineRule="exact"/>
      <w:jc w:val="center"/>
    </w:pPr>
    <w:rPr>
      <w:rFonts w:ascii="黑体" w:hAnsi="Verdana" w:eastAsia="黑体"/>
      <w:sz w:val="32"/>
      <w:szCs w:val="32"/>
      <w:lang w:eastAsia="en-US"/>
    </w:rPr>
  </w:style>
  <w:style w:type="paragraph" w:customStyle="1" w:styleId="132">
    <w:name w:val="默认段落字体 Para Char"/>
    <w:basedOn w:val="1"/>
    <w:qFormat/>
    <w:uiPriority w:val="0"/>
    <w:pPr>
      <w:autoSpaceDE/>
      <w:autoSpaceDN/>
      <w:spacing w:line="360" w:lineRule="auto"/>
      <w:jc w:val="both"/>
    </w:pPr>
    <w:rPr>
      <w:rFonts w:ascii="Times New Roman"/>
      <w:szCs w:val="20"/>
    </w:rPr>
  </w:style>
  <w:style w:type="paragraph" w:customStyle="1" w:styleId="133">
    <w:name w:val="目录"/>
    <w:basedOn w:val="1"/>
    <w:qFormat/>
    <w:uiPriority w:val="0"/>
    <w:pPr>
      <w:widowControl/>
      <w:autoSpaceDE/>
      <w:autoSpaceDN/>
      <w:adjustRightInd/>
      <w:spacing w:line="480" w:lineRule="auto"/>
      <w:jc w:val="center"/>
    </w:pPr>
    <w:rPr>
      <w:b/>
      <w:szCs w:val="20"/>
    </w:rPr>
  </w:style>
  <w:style w:type="paragraph" w:customStyle="1" w:styleId="134">
    <w:name w:val="Blockquote"/>
    <w:basedOn w:val="1"/>
    <w:qFormat/>
    <w:uiPriority w:val="0"/>
    <w:pPr>
      <w:spacing w:before="100" w:after="100"/>
      <w:ind w:left="360" w:right="360"/>
    </w:pPr>
    <w:rPr>
      <w:sz w:val="24"/>
      <w:szCs w:val="20"/>
    </w:rPr>
  </w:style>
  <w:style w:type="paragraph" w:customStyle="1" w:styleId="135">
    <w:name w:val="修订1"/>
    <w:semiHidden/>
    <w:qFormat/>
    <w:uiPriority w:val="99"/>
    <w:rPr>
      <w:rFonts w:ascii="宋体" w:hAnsi="Times New Roman" w:eastAsia="宋体" w:cs="Times New Roman"/>
      <w:sz w:val="24"/>
      <w:szCs w:val="24"/>
      <w:lang w:val="en-US" w:eastAsia="zh-CN" w:bidi="ar-SA"/>
    </w:rPr>
  </w:style>
  <w:style w:type="paragraph" w:customStyle="1" w:styleId="136">
    <w:name w:val="Char Char2 Char"/>
    <w:basedOn w:val="1"/>
    <w:qFormat/>
    <w:uiPriority w:val="0"/>
    <w:pPr>
      <w:autoSpaceDE/>
      <w:autoSpaceDN/>
      <w:adjustRightInd/>
      <w:jc w:val="both"/>
    </w:pPr>
    <w:rPr>
      <w:rFonts w:hAnsi="宋体"/>
      <w:b/>
      <w:kern w:val="2"/>
      <w:sz w:val="28"/>
      <w:szCs w:val="28"/>
    </w:rPr>
  </w:style>
  <w:style w:type="paragraph" w:customStyle="1" w:styleId="137">
    <w:name w:val="表头"/>
    <w:basedOn w:val="15"/>
    <w:qFormat/>
    <w:uiPriority w:val="0"/>
    <w:pPr>
      <w:keepNext/>
      <w:keepLines/>
      <w:widowControl/>
      <w:autoSpaceDE/>
      <w:autoSpaceDN/>
      <w:adjustRightInd/>
      <w:spacing w:before="120" w:after="120" w:line="300" w:lineRule="auto"/>
      <w:jc w:val="center"/>
      <w:textAlignment w:val="baseline"/>
    </w:pPr>
    <w:rPr>
      <w:rFonts w:cs="Times New Roman"/>
      <w:sz w:val="21"/>
    </w:rPr>
  </w:style>
  <w:style w:type="paragraph" w:customStyle="1" w:styleId="138">
    <w:name w:val="正文（缩进）"/>
    <w:basedOn w:val="1"/>
    <w:qFormat/>
    <w:uiPriority w:val="0"/>
    <w:pPr>
      <w:autoSpaceDE/>
      <w:autoSpaceDN/>
      <w:adjustRightInd/>
      <w:spacing w:beforeLines="50" w:afterLines="50" w:line="360" w:lineRule="auto"/>
      <w:ind w:firstLine="480" w:firstLineChars="200"/>
      <w:jc w:val="both"/>
    </w:pPr>
    <w:rPr>
      <w:rFonts w:ascii="Times New Roman"/>
      <w:kern w:val="2"/>
    </w:rPr>
  </w:style>
  <w:style w:type="paragraph" w:customStyle="1" w:styleId="139">
    <w:name w:val="xl34"/>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jc w:val="center"/>
    </w:pPr>
    <w:rPr>
      <w:rFonts w:hAnsi="宋体"/>
    </w:rPr>
  </w:style>
  <w:style w:type="paragraph" w:customStyle="1" w:styleId="140">
    <w:name w:val="Char Char Char"/>
    <w:basedOn w:val="1"/>
    <w:qFormat/>
    <w:uiPriority w:val="0"/>
    <w:pPr>
      <w:autoSpaceDE/>
      <w:autoSpaceDN/>
      <w:adjustRightInd/>
      <w:jc w:val="both"/>
    </w:pPr>
    <w:rPr>
      <w:rFonts w:ascii="Tahoma" w:hAnsi="Tahoma"/>
      <w:b/>
      <w:sz w:val="28"/>
      <w:szCs w:val="20"/>
    </w:rPr>
  </w:style>
  <w:style w:type="paragraph" w:customStyle="1" w:styleId="141">
    <w:name w:val="表正文"/>
    <w:basedOn w:val="1"/>
    <w:next w:val="25"/>
    <w:qFormat/>
    <w:uiPriority w:val="0"/>
    <w:pPr>
      <w:autoSpaceDE/>
      <w:autoSpaceDN/>
      <w:adjustRightInd/>
      <w:spacing w:line="360" w:lineRule="auto"/>
      <w:ind w:left="180" w:leftChars="85" w:right="2" w:hanging="2"/>
      <w:jc w:val="both"/>
    </w:pPr>
    <w:rPr>
      <w:rFonts w:ascii="Arial" w:hAnsi="Arial"/>
      <w:kern w:val="2"/>
      <w:szCs w:val="20"/>
    </w:rPr>
  </w:style>
  <w:style w:type="paragraph" w:customStyle="1" w:styleId="142">
    <w:name w:val="需求书2"/>
    <w:basedOn w:val="1"/>
    <w:qFormat/>
    <w:uiPriority w:val="0"/>
    <w:pPr>
      <w:autoSpaceDE/>
      <w:autoSpaceDN/>
      <w:adjustRightInd/>
      <w:jc w:val="both"/>
    </w:pPr>
    <w:rPr>
      <w:rFonts w:hAnsi="宋体"/>
      <w:spacing w:val="10"/>
      <w:kern w:val="2"/>
      <w:sz w:val="18"/>
      <w:szCs w:val="20"/>
    </w:rPr>
  </w:style>
  <w:style w:type="paragraph" w:customStyle="1" w:styleId="143">
    <w:name w:val="pa-12"/>
    <w:basedOn w:val="1"/>
    <w:qFormat/>
    <w:uiPriority w:val="0"/>
    <w:pPr>
      <w:widowControl/>
      <w:autoSpaceDE/>
      <w:autoSpaceDN/>
      <w:adjustRightInd/>
      <w:spacing w:before="150" w:after="150"/>
    </w:pPr>
    <w:rPr>
      <w:rFonts w:hAnsi="宋体" w:cs="宋体"/>
    </w:rPr>
  </w:style>
  <w:style w:type="paragraph" w:customStyle="1" w:styleId="144">
    <w:name w:val="正文居中"/>
    <w:basedOn w:val="1"/>
    <w:next w:val="1"/>
    <w:qFormat/>
    <w:uiPriority w:val="0"/>
    <w:pPr>
      <w:autoSpaceDE/>
      <w:autoSpaceDN/>
      <w:snapToGrid w:val="0"/>
      <w:spacing w:line="300" w:lineRule="auto"/>
      <w:jc w:val="center"/>
    </w:pPr>
    <w:rPr>
      <w:rFonts w:ascii="Times New Roman"/>
      <w:kern w:val="2"/>
    </w:rPr>
  </w:style>
  <w:style w:type="paragraph" w:customStyle="1" w:styleId="145">
    <w:name w:val="3 Char"/>
    <w:basedOn w:val="1"/>
    <w:qFormat/>
    <w:uiPriority w:val="0"/>
    <w:pPr>
      <w:widowControl/>
      <w:autoSpaceDE/>
      <w:autoSpaceDN/>
      <w:adjustRightInd/>
      <w:spacing w:line="400" w:lineRule="exact"/>
      <w:jc w:val="center"/>
    </w:pPr>
    <w:rPr>
      <w:rFonts w:ascii="Verdana" w:hAnsi="Verdana"/>
      <w:szCs w:val="20"/>
      <w:lang w:eastAsia="en-US"/>
    </w:rPr>
  </w:style>
  <w:style w:type="paragraph" w:customStyle="1" w:styleId="146">
    <w:name w:val="Char2"/>
    <w:basedOn w:val="1"/>
    <w:qFormat/>
    <w:uiPriority w:val="0"/>
    <w:pPr>
      <w:widowControl/>
      <w:autoSpaceDE/>
      <w:autoSpaceDN/>
      <w:adjustRightInd/>
      <w:spacing w:after="160" w:line="240" w:lineRule="exact"/>
    </w:pPr>
    <w:rPr>
      <w:rFonts w:ascii="Verdana" w:hAnsi="Verdana" w:eastAsia="仿宋_GB2312"/>
      <w:szCs w:val="20"/>
      <w:lang w:eastAsia="en-US"/>
    </w:rPr>
  </w:style>
  <w:style w:type="paragraph" w:customStyle="1" w:styleId="147">
    <w:name w:val="xl25"/>
    <w:basedOn w:val="1"/>
    <w:qFormat/>
    <w:uiPriority w:val="0"/>
    <w:pPr>
      <w:widowControl/>
      <w:pBdr>
        <w:bottom w:val="single" w:color="auto" w:sz="4" w:space="0"/>
        <w:right w:val="single" w:color="auto" w:sz="4" w:space="0"/>
      </w:pBdr>
      <w:autoSpaceDE/>
      <w:autoSpaceDN/>
      <w:adjustRightInd/>
      <w:spacing w:before="100" w:beforeAutospacing="1" w:after="100" w:afterAutospacing="1"/>
      <w:jc w:val="center"/>
    </w:pPr>
    <w:rPr>
      <w:rFonts w:hAnsi="宋体"/>
      <w:szCs w:val="21"/>
    </w:rPr>
  </w:style>
  <w:style w:type="paragraph" w:customStyle="1" w:styleId="148">
    <w:name w:val="纯文本1"/>
    <w:basedOn w:val="1"/>
    <w:qFormat/>
    <w:uiPriority w:val="0"/>
    <w:rPr>
      <w:rFonts w:hAnsi="Courier New"/>
      <w:sz w:val="20"/>
      <w:szCs w:val="21"/>
    </w:rPr>
  </w:style>
  <w:style w:type="paragraph" w:customStyle="1" w:styleId="149">
    <w:name w:val="图"/>
    <w:basedOn w:val="1"/>
    <w:qFormat/>
    <w:uiPriority w:val="0"/>
    <w:pPr>
      <w:keepNext/>
      <w:autoSpaceDE/>
      <w:autoSpaceDN/>
      <w:spacing w:before="60" w:after="60" w:line="300" w:lineRule="auto"/>
      <w:jc w:val="center"/>
      <w:textAlignment w:val="center"/>
    </w:pPr>
    <w:rPr>
      <w:rFonts w:ascii="Times New Roman"/>
      <w:snapToGrid w:val="0"/>
      <w:spacing w:val="20"/>
      <w:szCs w:val="20"/>
    </w:rPr>
  </w:style>
  <w:style w:type="paragraph" w:customStyle="1" w:styleId="150">
    <w:name w:val="表中文字"/>
    <w:basedOn w:val="1"/>
    <w:qFormat/>
    <w:uiPriority w:val="0"/>
    <w:pPr>
      <w:spacing w:line="400" w:lineRule="atLeast"/>
      <w:ind w:left="35" w:leftChars="14" w:hanging="1"/>
      <w:jc w:val="center"/>
      <w:textAlignment w:val="baseline"/>
    </w:pPr>
    <w:rPr>
      <w:rFonts w:ascii="Verdana" w:hAnsi="Verdana"/>
      <w:szCs w:val="28"/>
    </w:rPr>
  </w:style>
  <w:style w:type="paragraph" w:customStyle="1" w:styleId="151">
    <w:name w:val="技术响应1"/>
    <w:basedOn w:val="1"/>
    <w:qFormat/>
    <w:uiPriority w:val="0"/>
    <w:pPr>
      <w:widowControl/>
      <w:autoSpaceDE/>
      <w:autoSpaceDN/>
      <w:adjustRightInd/>
      <w:spacing w:line="360" w:lineRule="auto"/>
      <w:ind w:firstLine="588"/>
      <w:jc w:val="center"/>
    </w:pPr>
    <w:rPr>
      <w:b/>
      <w:sz w:val="28"/>
      <w:szCs w:val="20"/>
    </w:rPr>
  </w:style>
  <w:style w:type="paragraph" w:customStyle="1" w:styleId="152">
    <w:name w:val="Char Char1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53">
    <w:name w:val="1"/>
    <w:basedOn w:val="1"/>
    <w:qFormat/>
    <w:uiPriority w:val="0"/>
    <w:pPr>
      <w:widowControl/>
      <w:autoSpaceDE/>
      <w:autoSpaceDN/>
      <w:adjustRightInd/>
      <w:spacing w:after="160" w:line="240" w:lineRule="exact"/>
    </w:pPr>
    <w:rPr>
      <w:rFonts w:ascii="Verdana" w:hAnsi="Verdana" w:eastAsia="楷体_GB2312"/>
      <w:b/>
      <w:i/>
      <w:iCs/>
      <w:color w:val="000000"/>
      <w:sz w:val="20"/>
      <w:szCs w:val="20"/>
      <w:lang w:eastAsia="en-US"/>
    </w:rPr>
  </w:style>
  <w:style w:type="paragraph" w:customStyle="1" w:styleId="154">
    <w:name w:val="日期右"/>
    <w:basedOn w:val="29"/>
    <w:qFormat/>
    <w:uiPriority w:val="0"/>
    <w:pPr>
      <w:autoSpaceDE/>
      <w:autoSpaceDN/>
      <w:adjustRightInd/>
      <w:spacing w:line="600" w:lineRule="exact"/>
      <w:ind w:left="0" w:leftChars="0"/>
      <w:jc w:val="right"/>
    </w:pPr>
    <w:rPr>
      <w:rFonts w:ascii="Times New Roman" w:eastAsia="仿宋_GB2312"/>
      <w:b w:val="0"/>
      <w:bCs w:val="0"/>
      <w:sz w:val="31"/>
      <w:szCs w:val="24"/>
      <w:lang w:val="en-US"/>
    </w:rPr>
  </w:style>
  <w:style w:type="paragraph" w:customStyle="1" w:styleId="155">
    <w:name w:val="Char Char Char Char Char Char"/>
    <w:basedOn w:val="1"/>
    <w:qFormat/>
    <w:uiPriority w:val="0"/>
    <w:pPr>
      <w:widowControl/>
      <w:autoSpaceDE/>
      <w:autoSpaceDN/>
      <w:adjustRightInd/>
      <w:spacing w:after="160" w:line="240" w:lineRule="exact"/>
    </w:pPr>
    <w:rPr>
      <w:rFonts w:ascii="Times New Roman"/>
      <w:kern w:val="2"/>
      <w:lang w:eastAsia="en-US"/>
    </w:rPr>
  </w:style>
  <w:style w:type="paragraph" w:customStyle="1" w:styleId="15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msolistparagraph"/>
    <w:basedOn w:val="1"/>
    <w:qFormat/>
    <w:uiPriority w:val="0"/>
    <w:pPr>
      <w:ind w:firstLine="420" w:firstLineChars="200"/>
    </w:pPr>
  </w:style>
  <w:style w:type="paragraph" w:customStyle="1" w:styleId="158">
    <w:name w:val="列出段落3"/>
    <w:basedOn w:val="1"/>
    <w:qFormat/>
    <w:uiPriority w:val="34"/>
    <w:pPr>
      <w:autoSpaceDE/>
      <w:autoSpaceDN/>
      <w:adjustRightInd/>
      <w:ind w:firstLine="420" w:firstLineChars="200"/>
      <w:jc w:val="both"/>
    </w:pPr>
    <w:rPr>
      <w:rFonts w:ascii="Calibri" w:hAnsi="Calibri"/>
      <w:kern w:val="2"/>
      <w:szCs w:val="22"/>
    </w:rPr>
  </w:style>
  <w:style w:type="paragraph" w:customStyle="1" w:styleId="159">
    <w:name w:val="题注5"/>
    <w:basedOn w:val="1"/>
    <w:next w:val="15"/>
    <w:qFormat/>
    <w:uiPriority w:val="0"/>
    <w:pPr>
      <w:autoSpaceDE/>
      <w:autoSpaceDN/>
      <w:adjustRightInd/>
      <w:jc w:val="center"/>
    </w:pPr>
    <w:rPr>
      <w:rFonts w:ascii="Times New Roman"/>
      <w:b/>
      <w:color w:val="000000"/>
      <w:kern w:val="2"/>
      <w:szCs w:val="21"/>
    </w:rPr>
  </w:style>
  <w:style w:type="paragraph" w:customStyle="1" w:styleId="160">
    <w:name w:val="纯文本11"/>
    <w:basedOn w:val="1"/>
    <w:qFormat/>
    <w:uiPriority w:val="0"/>
    <w:rPr>
      <w:rFonts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zgydgb</Company>
  <Pages>102</Pages>
  <Words>61249</Words>
  <Characters>63829</Characters>
  <Lines>472</Lines>
  <Paragraphs>132</Paragraphs>
  <TotalTime>22</TotalTime>
  <ScaleCrop>false</ScaleCrop>
  <LinksUpToDate>false</LinksUpToDate>
  <CharactersWithSpaces>65413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2022-12-23T08:25:00Z</dcterms:created>
  <dc:creator>---</dc:creator>
  <cp:lastModifiedBy>Roy</cp:lastModifiedBy>
  <cp:lastPrinted>2020-11-07T08:04:00Z</cp:lastPrinted>
  <dcterms:modified xsi:type="dcterms:W3CDTF">2022-12-26T12:23:36Z</dcterms:modified>
  <dc:title>货物公开</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501568BA1C9CF37A41F4A3634D18AA82</vt:lpwstr>
  </property>
</Properties>
</file>