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440205-2022-01080</w:t>
      </w:r>
    </w:p>
    <w:p>
      <w:pPr>
        <w:jc w:val="center"/>
      </w:pPr>
      <w:r>
        <w:rPr>
          <w:b/>
          <w:sz w:val="24"/>
        </w:rPr>
        <w:t>采购项目编号：</w:t>
      </w:r>
      <w:r>
        <w:rPr>
          <w:b/>
          <w:sz w:val="24"/>
        </w:rPr>
        <w:t>GDYD220950</w:t>
      </w:r>
    </w:p>
    <w:p>
      <w:pPr>
        <w:jc w:val="center"/>
      </w:pPr>
      <w:r>
        <w:rPr>
          <w:b/>
          <w:sz w:val="24"/>
        </w:rPr>
        <w:t>项目名称：</w:t>
      </w:r>
      <w:r>
        <w:rPr>
          <w:b/>
          <w:sz w:val="24"/>
        </w:rPr>
        <w:t>白土镇卫生院提升服务能力建设项目-医疗设备采购项目</w:t>
      </w:r>
    </w:p>
    <w:p>
      <w:pPr>
        <w:jc w:val="center"/>
      </w:pPr>
      <w:r>
        <w:rPr>
          <w:b/>
          <w:sz w:val="24"/>
        </w:rPr>
        <w:t>采购人：</w:t>
      </w:r>
      <w:r>
        <w:rPr>
          <w:b/>
          <w:sz w:val="24"/>
        </w:rPr>
        <w:t>韶关市曲江区白土镇卫生院</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韶关市曲江区白土镇卫生院</w:t>
      </w:r>
      <w:r>
        <w:rPr/>
        <w:t>的委托，采用</w:t>
      </w:r>
      <w:r>
        <w:rPr/>
        <w:t>公开招标</w:t>
      </w:r>
      <w:r>
        <w:rPr/>
        <w:t>方式组织采购</w:t>
      </w:r>
      <w:r>
        <w:rPr/>
        <w:t>白土镇卫生院提升服务能力建设项目-医疗设备采购项目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白土镇卫生院提升服务能力建设项目-医疗设备采购项目</w:t>
      </w:r>
    </w:p>
    <w:p>
      <w:pPr>
        <w:ind w:firstLine="480"/>
      </w:pPr>
      <w:r>
        <w:rPr/>
        <w:t>采购计划编号：</w:t>
      </w:r>
      <w:r>
        <w:rPr/>
        <w:t>440205-2022-01080</w:t>
      </w:r>
    </w:p>
    <w:p>
      <w:pPr>
        <w:ind w:firstLine="480"/>
      </w:pPr>
      <w:r>
        <w:rPr/>
        <w:t>采购项目编号：</w:t>
      </w:r>
      <w:r>
        <w:rPr/>
        <w:t>GDYD220950</w:t>
      </w:r>
    </w:p>
    <w:p>
      <w:pPr>
        <w:ind w:firstLine="480"/>
      </w:pPr>
      <w:r>
        <w:rPr/>
        <w:t>采购方式：</w:t>
      </w:r>
      <w:r>
        <w:rPr/>
        <w:t>公开招标</w:t>
      </w:r>
    </w:p>
    <w:p>
      <w:pPr>
        <w:ind w:firstLine="480"/>
      </w:pPr>
      <w:r>
        <w:rPr/>
        <w:t>预算金额：</w:t>
      </w:r>
      <w:r>
        <w:rPr/>
        <w:t>1,448,000.00</w:t>
      </w:r>
      <w:r>
        <w:rPr/>
        <w:t>元</w:t>
      </w:r>
    </w:p>
    <w:p>
      <w:r>
        <w:rPr>
          <w:b/>
          <w:sz w:val="24"/>
        </w:rPr>
        <w:t>2.项目内容及需求情况（采购项目技术规格、参数及要求）</w:t>
      </w:r>
    </w:p>
    <w:p>
      <w:pPr>
        <w:ind w:firstLine="480"/>
      </w:pPr>
    </w:p>
    <w:p/>
    <w:p>
      <w:r>
        <w:rPr/>
        <w:t>采购包1(白土镇卫生院提升服务能力建设项目-医疗设备采购项目):</w:t>
      </w:r>
    </w:p>
    <w:p>
      <w:r>
        <w:rPr/>
        <w:t>采购包预算金额：1,448,000.00元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白土镇卫生院提升服务能力建设项目-医疗设备采购项目</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合同履行期限：合同签订之日起60个日历天内完成供货、安装调试并验收合格</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3）具有良好的商业信誉和健全的财务会计制度：供应商必须具有良好的商业信誉和健全的财务会计制度（提供2021年度财务状况报告或2022年任意1个月的财务报表或基本开户行出具的资信证明）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采购包1（白土镇卫生院提升服务能力建设项目-医疗设备采购项目）：</w:t>
      </w:r>
      <w:r>
        <w:rPr/>
        <w:t>本项目不属于专门面向中小企业采购的项目</w:t>
      </w:r>
    </w:p>
    <w:p/>
    <w:p>
      <w:r>
        <w:rPr>
          <w:b/>
          <w:sz w:val="24"/>
        </w:rPr>
        <w:t>3.本项目特定的资格要求：</w:t>
      </w:r>
    </w:p>
    <w:p>
      <w:pPr>
        <w:ind w:firstLine="480"/>
      </w:pPr>
    </w:p>
    <w:p/>
    <w:p>
      <w:r>
        <w:rPr/>
        <w:t>采购包1（白土镇卫生院提升服务能力建设项目-医疗设备采购项目）：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韶关市曲江区白土镇卫生院</w:t>
      </w:r>
    </w:p>
    <w:p>
      <w:pPr>
        <w:ind w:firstLine="480"/>
      </w:pPr>
      <w:r>
        <w:rPr/>
        <w:t>地址：</w:t>
      </w:r>
      <w:r>
        <w:rPr/>
        <w:t>韶关市曲江区白土镇白土街白土市场西侧马路对面</w:t>
      </w:r>
    </w:p>
    <w:p>
      <w:pPr>
        <w:ind w:firstLine="480"/>
      </w:pPr>
      <w:r>
        <w:rPr/>
        <w:t>联系方式：</w:t>
      </w:r>
      <w:r>
        <w:rPr/>
        <w:t>0751-6910122</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0751-8115118</w:t>
      </w:r>
    </w:p>
    <w:p>
      <w:r>
        <w:rPr>
          <w:b/>
          <w:sz w:val="24"/>
        </w:rPr>
        <w:t>3.项目联系方式</w:t>
      </w:r>
    </w:p>
    <w:p>
      <w:pPr>
        <w:ind w:firstLine="480"/>
      </w:pPr>
      <w:r>
        <w:rPr/>
        <w:t>项目联系人：</w:t>
      </w:r>
      <w:r>
        <w:rPr/>
        <w:t>邹小姐</w:t>
      </w:r>
    </w:p>
    <w:p>
      <w:pPr>
        <w:ind w:firstLine="480"/>
      </w:pPr>
      <w:r>
        <w:rPr/>
        <w:t>电话：</w:t>
      </w:r>
      <w:r>
        <w:rPr/>
        <w:t>0751-8115118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（一）采购项目简况和内容</w:t>
      </w:r>
    </w:p>
    <w:p>
      <w:pPr>
        <w:ind w:firstLine="420"/>
      </w:pPr>
      <w:r>
        <w:rPr>
          <w:sz w:val="24"/>
        </w:rPr>
        <w:t>1、项目名称：白土镇卫生院提升服务能力建设项目-医疗设备采购项目。</w:t>
      </w:r>
    </w:p>
    <w:p>
      <w:pPr>
        <w:ind w:firstLine="420"/>
      </w:pPr>
      <w:r>
        <w:rPr>
          <w:sz w:val="24"/>
        </w:rPr>
        <w:t>2、采购内容：</w:t>
      </w:r>
    </w:p>
    <w:tbl>
      <w:tblPr>
        <w:tblW w:w="0" w:type="auto"/>
        <w:tblBorders>
          <w:top w:val="none" w:color="000000" w:sz="4"/>
          <w:left w:val="none" w:color="000000" w:sz="4"/>
          <w:bottom w:val="none" w:color="000000" w:sz="4"/>
          <w:right w:val="none" w:color="000000" w:sz="4"/>
          <w:insideH w:val="none"/>
          <w:insideV w:val="none"/>
        </w:tblBorders>
      </w:tblPr>
      <w:tblGrid>
        <w:gridCol w:w="3509"/>
        <w:gridCol w:w="883"/>
        <w:gridCol w:w="792"/>
        <w:gridCol w:w="2170"/>
        <w:gridCol w:w="909"/>
      </w:tblGrid>
      <w:tr>
        <w:tc>
          <w:tcPr>
            <w:tcW w:type="dxa" w:w="3509"/>
            <w:tcBorders>
              <w:top w:val="single" w:color="000000" w:sz="4"/>
              <w:left w:val="single" w:color="000000" w:sz="4"/>
              <w:bottom w:val="single" w:color="000000" w:sz="4"/>
              <w:right w:val="single" w:color="000000" w:sz="4"/>
            </w:tcBorders>
            <w:vAlign w:val="top"/>
          </w:tcPr>
          <w:p>
            <w:pPr>
              <w:jc w:val="center"/>
            </w:pPr>
            <w:r>
              <w:rPr>
                <w:b/>
                <w:sz w:val="24"/>
              </w:rPr>
              <w:t>项目名称</w:t>
            </w:r>
          </w:p>
        </w:tc>
        <w:tc>
          <w:tcPr>
            <w:tcW w:type="dxa" w:w="883"/>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792"/>
            <w:tcBorders>
              <w:top w:val="single" w:color="000000" w:sz="4"/>
              <w:left w:val="single" w:color="000000" w:sz="4"/>
              <w:bottom w:val="single" w:color="000000" w:sz="4"/>
              <w:right w:val="single" w:color="000000" w:sz="4"/>
            </w:tcBorders>
            <w:vAlign w:val="top"/>
          </w:tcPr>
          <w:p>
            <w:pPr>
              <w:jc w:val="center"/>
            </w:pPr>
            <w:r>
              <w:rPr>
                <w:b/>
                <w:sz w:val="24"/>
              </w:rPr>
              <w:t>单位</w:t>
            </w:r>
          </w:p>
        </w:tc>
        <w:tc>
          <w:tcPr>
            <w:tcW w:type="dxa" w:w="2170"/>
            <w:tcBorders>
              <w:top w:val="single" w:color="000000" w:sz="4"/>
              <w:left w:val="single" w:color="000000" w:sz="4"/>
              <w:bottom w:val="single" w:color="000000" w:sz="4"/>
              <w:right w:val="single" w:color="000000" w:sz="4"/>
            </w:tcBorders>
            <w:vAlign w:val="top"/>
          </w:tcPr>
          <w:p>
            <w:pPr>
              <w:jc w:val="center"/>
            </w:pPr>
            <w:r>
              <w:rPr>
                <w:b/>
                <w:sz w:val="24"/>
              </w:rPr>
              <w:t>预算金额</w:t>
            </w:r>
          </w:p>
        </w:tc>
        <w:tc>
          <w:tcPr>
            <w:tcW w:type="dxa" w:w="909"/>
            <w:tcBorders>
              <w:top w:val="single" w:color="000000" w:sz="4"/>
              <w:left w:val="single" w:color="000000" w:sz="4"/>
              <w:bottom w:val="single" w:color="000000" w:sz="4"/>
              <w:right w:val="single" w:color="000000" w:sz="4"/>
            </w:tcBorders>
            <w:vAlign w:val="top"/>
          </w:tcPr>
          <w:p>
            <w:pPr>
              <w:jc w:val="center"/>
            </w:pPr>
            <w:r>
              <w:rPr>
                <w:b/>
                <w:sz w:val="24"/>
              </w:rPr>
              <w:t>备注</w:t>
            </w:r>
          </w:p>
        </w:tc>
      </w:tr>
      <w:tr>
        <w:tc>
          <w:tcPr>
            <w:tcW w:type="dxa" w:w="3509"/>
            <w:tcBorders>
              <w:top w:val="none" w:color="000000" w:sz="4"/>
              <w:left w:val="single" w:color="000000" w:sz="4"/>
              <w:bottom w:val="single" w:color="000000" w:sz="4"/>
              <w:right w:val="single" w:color="000000" w:sz="4"/>
            </w:tcBorders>
            <w:vAlign w:val="top"/>
          </w:tcPr>
          <w:p>
            <w:pPr>
              <w:jc w:val="center"/>
            </w:pPr>
            <w:r>
              <w:rPr>
                <w:sz w:val="24"/>
              </w:rPr>
              <w:t>白土镇卫生院提升服务能力建设项目-医疗设备采购项目</w:t>
            </w:r>
          </w:p>
        </w:tc>
        <w:tc>
          <w:tcPr>
            <w:tcW w:type="dxa" w:w="883"/>
            <w:tcBorders>
              <w:top w:val="none" w:color="000000" w:sz="4"/>
              <w:left w:val="single" w:color="000000" w:sz="4"/>
              <w:bottom w:val="single" w:color="000000" w:sz="4"/>
              <w:right w:val="single" w:color="000000" w:sz="4"/>
            </w:tcBorders>
            <w:vAlign w:val="top"/>
          </w:tcPr>
          <w:p>
            <w:pPr>
              <w:jc w:val="center"/>
            </w:pPr>
            <w:r>
              <w:rPr>
                <w:sz w:val="24"/>
              </w:rPr>
              <w:t>1</w:t>
            </w:r>
          </w:p>
        </w:tc>
        <w:tc>
          <w:tcPr>
            <w:tcW w:type="dxa" w:w="792"/>
            <w:tcBorders>
              <w:top w:val="none" w:color="000000" w:sz="4"/>
              <w:left w:val="single" w:color="000000" w:sz="4"/>
              <w:bottom w:val="single" w:color="000000" w:sz="4"/>
              <w:right w:val="single" w:color="000000" w:sz="4"/>
            </w:tcBorders>
            <w:vAlign w:val="top"/>
          </w:tcPr>
          <w:p>
            <w:pPr>
              <w:jc w:val="center"/>
            </w:pPr>
            <w:r>
              <w:rPr>
                <w:sz w:val="24"/>
              </w:rPr>
              <w:t>批</w:t>
            </w:r>
          </w:p>
        </w:tc>
        <w:tc>
          <w:tcPr>
            <w:tcW w:type="dxa" w:w="2170"/>
            <w:tcBorders>
              <w:top w:val="none" w:color="000000" w:sz="4"/>
              <w:left w:val="single" w:color="000000" w:sz="4"/>
              <w:bottom w:val="single" w:color="000000" w:sz="4"/>
              <w:right w:val="single" w:color="000000" w:sz="4"/>
            </w:tcBorders>
            <w:vAlign w:val="top"/>
          </w:tcPr>
          <w:p>
            <w:pPr>
              <w:jc w:val="center"/>
            </w:pPr>
            <w:r>
              <w:rPr>
                <w:sz w:val="24"/>
              </w:rPr>
              <w:t>1,448,000.00元</w:t>
            </w:r>
          </w:p>
        </w:tc>
        <w:tc>
          <w:tcPr>
            <w:tcW w:type="dxa" w:w="909"/>
            <w:tcBorders>
              <w:top w:val="none" w:color="000000" w:sz="4"/>
              <w:left w:val="single" w:color="000000" w:sz="4"/>
              <w:bottom w:val="single" w:color="000000" w:sz="4"/>
              <w:right w:val="single" w:color="000000" w:sz="4"/>
            </w:tcBorders>
            <w:vAlign w:val="top"/>
          </w:tcPr>
          <w:p>
            <w:pPr>
              <w:jc w:val="center"/>
            </w:pPr>
          </w:p>
        </w:tc>
      </w:tr>
    </w:tbl>
    <w:p>
      <w:pPr>
        <w:ind w:firstLine="420"/>
      </w:pPr>
      <w:r>
        <w:rPr>
          <w:sz w:val="24"/>
        </w:rPr>
        <w:t>3、交付使用期：合同签订之日起60个日历天内完成供货、安装调试并验收合格。</w:t>
      </w:r>
    </w:p>
    <w:p>
      <w:pPr>
        <w:ind w:firstLine="420"/>
      </w:pPr>
      <w:r>
        <w:rPr>
          <w:sz w:val="24"/>
        </w:rPr>
        <w:t>4、交货地点：采购人指定地点。</w:t>
      </w:r>
    </w:p>
    <w:p>
      <w:pPr>
        <w:ind w:firstLine="420"/>
      </w:pPr>
      <w:r>
        <w:rPr>
          <w:sz w:val="24"/>
        </w:rPr>
        <w:t>5、投标人应对同一个项目的全部货物和服务投标，不允许对项目内部分内容进行投标。</w:t>
      </w:r>
    </w:p>
    <w:p>
      <w:pPr>
        <w:ind w:firstLine="420"/>
      </w:pPr>
      <w:r>
        <w:rPr>
          <w:sz w:val="24"/>
        </w:rPr>
        <w:t>6、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ind w:firstLine="420"/>
      </w:pPr>
      <w:r>
        <w:rPr>
          <w:sz w:val="24"/>
        </w:rPr>
        <w:t>7、本项目适用的政府采购政策</w:t>
      </w:r>
    </w:p>
    <w:p>
      <w:pPr>
        <w:ind w:firstLine="283"/>
      </w:pPr>
      <w:r>
        <w:rPr>
          <w:sz w:val="24"/>
        </w:rPr>
        <w:t>7.1《政府采购促进中小企业发展暂行办法》（财库〔2011〕181号）</w:t>
      </w:r>
    </w:p>
    <w:p>
      <w:pPr>
        <w:ind w:firstLine="283"/>
      </w:pPr>
      <w:r>
        <w:rPr>
          <w:sz w:val="24"/>
        </w:rPr>
        <w:t>7.2《关于政府采购支持监狱企业发展有关问题的通知》(财库〔2014〕68号)</w:t>
      </w:r>
    </w:p>
    <w:p>
      <w:pPr>
        <w:ind w:firstLine="283"/>
      </w:pPr>
      <w:r>
        <w:rPr>
          <w:sz w:val="24"/>
        </w:rPr>
        <w:t>7.3《关于促进残疾人就业政府采购政策的通知》（财库〔2017〕141号)</w:t>
      </w:r>
    </w:p>
    <w:p>
      <w:pPr>
        <w:ind w:firstLine="283"/>
      </w:pPr>
      <w:r>
        <w:rPr>
          <w:sz w:val="24"/>
        </w:rPr>
        <w:t>7.4《关于环境标志产品政府采购实施的意见》（财库〔2006〕90号</w:t>
      </w:r>
    </w:p>
    <w:p>
      <w:pPr>
        <w:ind w:firstLine="283"/>
      </w:pPr>
      <w:r>
        <w:rPr>
          <w:sz w:val="24"/>
        </w:rPr>
        <w:t>7.5《节能产品政府采购实施意见》的通知（财库〔2004〕185号）</w:t>
      </w:r>
    </w:p>
    <w:p>
      <w:pPr>
        <w:ind w:firstLine="283"/>
      </w:pPr>
      <w:r>
        <w:rPr>
          <w:sz w:val="24"/>
        </w:rPr>
        <w:t>7.6《转发财政部＋发展改革委＋生态环境部＋市场监管总局关于调整优化节能产品＋环境标志产品政府采购执行机制的通知》（粤财采[2019]1号）</w:t>
      </w:r>
    </w:p>
    <w:p>
      <w:pPr>
        <w:ind w:firstLine="283"/>
      </w:pPr>
      <w:r>
        <w:rPr>
          <w:sz w:val="24"/>
        </w:rPr>
        <w:t>8、本次项目适用的行业方面的法律法规及标准（包含但不限于）</w:t>
      </w:r>
    </w:p>
    <w:p>
      <w:pPr>
        <w:ind w:firstLine="283"/>
      </w:pPr>
      <w:r>
        <w:rPr>
          <w:sz w:val="24"/>
        </w:rPr>
        <w:t>8.1 《医疗器械监督管理条例》（国务院令第650号）</w:t>
      </w:r>
    </w:p>
    <w:p>
      <w:pPr>
        <w:ind w:firstLine="283"/>
      </w:pPr>
      <w:r>
        <w:rPr>
          <w:sz w:val="24"/>
        </w:rPr>
        <w:t>8.2 《医疗器械生产监督管理办法》（国家食品药品监督管理总局令第7号）</w:t>
      </w:r>
    </w:p>
    <w:p>
      <w:pPr>
        <w:ind w:firstLine="283"/>
      </w:pPr>
      <w:r>
        <w:rPr>
          <w:sz w:val="24"/>
        </w:rPr>
        <w:t>8.3 《医疗器械注册管理办法》（国家食品药品监督管理总局令第4号）</w:t>
      </w:r>
    </w:p>
    <w:p>
      <w:pPr>
        <w:ind w:firstLine="283"/>
      </w:pPr>
      <w:r>
        <w:rPr>
          <w:sz w:val="24"/>
        </w:rPr>
        <w:t>8.4 《医疗器械标准管理办法》（国家食品药品监督管理总局令第33号）</w:t>
      </w:r>
    </w:p>
    <w:p>
      <w:pPr>
        <w:ind w:firstLine="283"/>
      </w:pPr>
      <w:r>
        <w:rPr>
          <w:sz w:val="24"/>
        </w:rPr>
        <w:t>8.5 《医疗器械召回管理办法》（国家食品药品监督管理总局令第29号）</w:t>
      </w:r>
    </w:p>
    <w:p>
      <w:pPr>
        <w:ind w:firstLine="283"/>
      </w:pPr>
      <w:r>
        <w:rPr>
          <w:sz w:val="24"/>
        </w:rPr>
        <w:t>8.6 国家食品药品监督管理总局关于发布医疗器械生产企业供应商审核指南的通告（2015年第1号）</w:t>
      </w:r>
    </w:p>
    <w:p>
      <w:pPr>
        <w:ind w:firstLine="283"/>
      </w:pPr>
      <w:r>
        <w:rPr>
          <w:sz w:val="24"/>
        </w:rPr>
        <w:t>8.7 关于印发医疗器械不良事件监测和再评价管理办法（试行）的通知</w:t>
      </w:r>
    </w:p>
    <w:p>
      <w:pPr>
        <w:ind w:firstLine="283"/>
      </w:pPr>
      <w:r>
        <w:rPr>
          <w:sz w:val="24"/>
        </w:rPr>
        <w:t>8.8 国食药监械[2008]766号</w:t>
      </w:r>
    </w:p>
    <w:p>
      <w:pPr>
        <w:ind w:firstLine="283"/>
      </w:pPr>
      <w:r>
        <w:rPr>
          <w:sz w:val="24"/>
        </w:rPr>
        <w:t>8.9《医疗器械经营企业许可证管理办法》（国家食品药品监督管理局令第15号）</w:t>
      </w:r>
    </w:p>
    <w:p>
      <w:pPr>
        <w:ind w:firstLine="283"/>
      </w:pPr>
      <w:r>
        <w:rPr>
          <w:sz w:val="24"/>
        </w:rPr>
        <w:t>8.10《医疗器械说明书、标签和包装标识管理规定》（国家食品药品监督管理局令第15号）</w:t>
      </w:r>
    </w:p>
    <w:p>
      <w:pPr>
        <w:ind w:firstLine="283"/>
      </w:pPr>
      <w:r>
        <w:rPr>
          <w:sz w:val="24"/>
        </w:rPr>
        <w:t>8.11国家部门和行业其它现行的有关技术规范、规程及要求</w:t>
      </w:r>
    </w:p>
    <w:p/>
    <w:p>
      <w:r>
        <w:rPr>
          <w:b/>
          <w:sz w:val="24"/>
        </w:rPr>
        <w:t>（二）招标要求</w:t>
      </w:r>
    </w:p>
    <w:p>
      <w:pPr>
        <w:ind w:firstLine="420"/>
      </w:pPr>
      <w:r>
        <w:rPr>
          <w:sz w:val="24"/>
        </w:rPr>
        <w:t>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w:t>
      </w:r>
    </w:p>
    <w:p>
      <w:pPr>
        <w:ind w:firstLine="420"/>
      </w:pPr>
      <w:r>
        <w:rPr>
          <w:sz w:val="24"/>
        </w:rPr>
        <w:t>2、对于影响货物正常使用的必要组成部分，无论在技术规范中指出与否，投标人都应提供并在招标文件中明确列出。</w:t>
      </w:r>
    </w:p>
    <w:p>
      <w:pPr>
        <w:ind w:firstLine="420"/>
      </w:pPr>
      <w:r>
        <w:rPr>
          <w:sz w:val="24"/>
        </w:rPr>
        <w:t>3、本项目包括设计、生产、送货及相关配套服务等。</w:t>
      </w:r>
    </w:p>
    <w:p>
      <w:pPr>
        <w:ind w:firstLine="420"/>
      </w:pPr>
      <w:r>
        <w:rPr>
          <w:sz w:val="24"/>
        </w:rPr>
        <w:t>4、投标人必须在招标文件中列表说明主要货物和材料的品牌、产地、参数。</w:t>
      </w:r>
    </w:p>
    <w:p>
      <w:pPr>
        <w:ind w:firstLine="420"/>
      </w:pPr>
      <w:r>
        <w:rPr>
          <w:sz w:val="24"/>
        </w:rPr>
        <w:t>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费用（以上费用如涉及到多次需求，所有 费用都包含在内），此项必须由投标人在报价一览表中注明，如涉及软件许可使用或技术指导、人员培训，还应包括软件许可费以及一切技术服务费、人员培训费。</w:t>
      </w:r>
    </w:p>
    <w:p>
      <w:pPr>
        <w:ind w:firstLine="420"/>
      </w:pPr>
      <w:r>
        <w:rPr>
          <w:sz w:val="24"/>
        </w:rPr>
        <w:t>6、本章提出的是最低限度的要求，并未对一切细节作出规定，也未充分引述全部有关标准和规范的条文，投标人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投标人详细说明其所使用的标准和规范，并提供该标准或规范的完整原件给采购人，国内标准应提供中文文本，国外标准应提供中、英文对照的文本，并以中文解释为准。只有当使用的标准和规范是国际公认的、惯用的，且等于或优于本章的要求时，此标准或规范才可能被接受。</w:t>
      </w:r>
    </w:p>
    <w:p>
      <w:pPr>
        <w:ind w:firstLine="420"/>
      </w:pPr>
      <w:r>
        <w:rPr>
          <w:sz w:val="24"/>
        </w:rPr>
        <w:t>7、投标人必须确保货物的完整性且必须是全新未使用过的合格货物。</w:t>
      </w:r>
    </w:p>
    <w:p>
      <w:pPr>
        <w:ind w:firstLine="420"/>
      </w:pPr>
      <w:r>
        <w:rPr>
          <w:sz w:val="24"/>
        </w:rPr>
        <w:t>8、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ind w:firstLine="211"/>
      </w:pPr>
      <w:r>
        <w:rPr>
          <w:b/>
          <w:sz w:val="24"/>
        </w:rPr>
        <w:t>★9、所投设备有效证件要求如下：</w:t>
      </w:r>
    </w:p>
    <w:tbl>
      <w:tblPr>
        <w:tblW w:w="0" w:type="auto"/>
        <w:tblBorders>
          <w:top w:val="none" w:color="000000" w:sz="4"/>
          <w:left w:val="none" w:color="000000" w:sz="4"/>
          <w:bottom w:val="none" w:color="000000" w:sz="4"/>
          <w:right w:val="none" w:color="000000" w:sz="4"/>
          <w:insideH w:val="none"/>
          <w:insideV w:val="none"/>
        </w:tblBorders>
      </w:tblPr>
      <w:tblGrid>
        <w:gridCol w:w="812"/>
        <w:gridCol w:w="4297"/>
        <w:gridCol w:w="3173"/>
      </w:tblGrid>
      <w:tr>
        <w:tc>
          <w:tcPr>
            <w:tcW w:type="dxa" w:w="812"/>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4297"/>
            <w:tcBorders>
              <w:top w:val="single" w:color="000000" w:sz="4"/>
              <w:left w:val="none" w:color="000000" w:sz="4"/>
              <w:bottom w:val="single" w:color="000000" w:sz="4"/>
              <w:right w:val="single" w:color="000000" w:sz="4"/>
            </w:tcBorders>
            <w:vAlign w:val="top"/>
          </w:tcPr>
          <w:p>
            <w:pPr>
              <w:jc w:val="center"/>
            </w:pPr>
            <w:r>
              <w:rPr>
                <w:b/>
                <w:sz w:val="24"/>
              </w:rPr>
              <w:t>名称</w:t>
            </w:r>
          </w:p>
        </w:tc>
        <w:tc>
          <w:tcPr>
            <w:tcW w:type="dxa" w:w="3173"/>
            <w:tcBorders>
              <w:top w:val="single" w:color="000000" w:sz="4"/>
              <w:left w:val="none" w:color="000000" w:sz="4"/>
              <w:bottom w:val="single" w:color="000000" w:sz="4"/>
              <w:right w:val="single" w:color="000000" w:sz="4"/>
            </w:tcBorders>
            <w:vAlign w:val="top"/>
          </w:tcPr>
          <w:p>
            <w:pPr>
              <w:jc w:val="center"/>
            </w:pPr>
            <w:r>
              <w:rPr>
                <w:b/>
                <w:sz w:val="24"/>
              </w:rPr>
              <w:t>证件要求</w:t>
            </w:r>
          </w:p>
        </w:tc>
      </w:tr>
      <w:tr>
        <w:tc>
          <w:tcPr>
            <w:tcW w:type="dxa" w:w="812"/>
            <w:tcBorders>
              <w:top w:val="none" w:color="000000" w:sz="4"/>
              <w:left w:val="single" w:color="000000" w:sz="4"/>
              <w:bottom w:val="single" w:color="000000" w:sz="4"/>
              <w:right w:val="single" w:color="000000" w:sz="4"/>
            </w:tcBorders>
            <w:vAlign w:val="top"/>
          </w:tcPr>
          <w:p>
            <w:pPr>
              <w:jc w:val="center"/>
            </w:pPr>
            <w:r>
              <w:rPr>
                <w:sz w:val="24"/>
              </w:rPr>
              <w:t>1</w:t>
            </w:r>
          </w:p>
        </w:tc>
        <w:tc>
          <w:tcPr>
            <w:tcW w:type="dxa" w:w="4297"/>
            <w:tcBorders>
              <w:top w:val="none" w:color="000000" w:sz="4"/>
              <w:left w:val="none" w:color="000000" w:sz="4"/>
              <w:bottom w:val="single" w:color="000000" w:sz="4"/>
              <w:right w:val="single" w:color="000000" w:sz="4"/>
            </w:tcBorders>
            <w:vAlign w:val="top"/>
          </w:tcPr>
          <w:p>
            <w:pPr>
              <w:jc w:val="center"/>
            </w:pPr>
            <w:r>
              <w:rPr>
                <w:sz w:val="24"/>
              </w:rPr>
              <w:t>全自动生化仪</w:t>
            </w:r>
          </w:p>
        </w:tc>
        <w:tc>
          <w:tcPr>
            <w:tcW w:type="dxa" w:w="3173"/>
            <w:tcBorders>
              <w:top w:val="none" w:color="000000" w:sz="4"/>
              <w:left w:val="none" w:color="000000" w:sz="4"/>
              <w:bottom w:val="single" w:color="000000" w:sz="4"/>
              <w:right w:val="single" w:color="000000" w:sz="4"/>
            </w:tcBorders>
            <w:vAlign w:val="top"/>
          </w:tcPr>
          <w:p>
            <w:pPr>
              <w:jc w:val="center"/>
            </w:pPr>
            <w:r>
              <w:rPr>
                <w:sz w:val="24"/>
              </w:rPr>
              <w:t>《中华人民共和国医疗器械注册证》</w:t>
            </w:r>
          </w:p>
        </w:tc>
      </w:tr>
      <w:tr>
        <w:tc>
          <w:tcPr>
            <w:tcW w:type="dxa" w:w="812"/>
            <w:tcBorders>
              <w:top w:val="none" w:color="000000" w:sz="4"/>
              <w:left w:val="single" w:color="000000" w:sz="4"/>
              <w:bottom w:val="single" w:color="000000" w:sz="4"/>
              <w:right w:val="single" w:color="000000" w:sz="4"/>
            </w:tcBorders>
            <w:vAlign w:val="top"/>
          </w:tcPr>
          <w:p>
            <w:pPr>
              <w:jc w:val="center"/>
            </w:pPr>
            <w:r>
              <w:rPr>
                <w:sz w:val="24"/>
              </w:rPr>
              <w:t>2</w:t>
            </w:r>
          </w:p>
        </w:tc>
        <w:tc>
          <w:tcPr>
            <w:tcW w:type="dxa" w:w="4297"/>
            <w:tcBorders>
              <w:top w:val="none" w:color="000000" w:sz="4"/>
              <w:left w:val="none" w:color="000000" w:sz="4"/>
              <w:bottom w:val="single" w:color="000000" w:sz="4"/>
              <w:right w:val="single" w:color="000000" w:sz="4"/>
            </w:tcBorders>
            <w:vAlign w:val="top"/>
          </w:tcPr>
          <w:p>
            <w:pPr>
              <w:jc w:val="center"/>
            </w:pPr>
            <w:r>
              <w:rPr>
                <w:sz w:val="24"/>
              </w:rPr>
              <w:t>骨密度仪</w:t>
            </w:r>
          </w:p>
        </w:tc>
        <w:tc>
          <w:tcPr>
            <w:tcW w:type="dxa" w:w="3173"/>
            <w:tcBorders>
              <w:top w:val="none" w:color="000000" w:sz="4"/>
              <w:left w:val="none" w:color="000000" w:sz="4"/>
              <w:bottom w:val="single" w:color="000000" w:sz="4"/>
              <w:right w:val="single" w:color="000000" w:sz="4"/>
            </w:tcBorders>
            <w:vAlign w:val="top"/>
          </w:tcPr>
          <w:p>
            <w:pPr>
              <w:jc w:val="center"/>
            </w:pPr>
            <w:r>
              <w:rPr>
                <w:sz w:val="24"/>
              </w:rPr>
              <w:t>《中华人民共和国医疗器械注册证》</w:t>
            </w:r>
          </w:p>
        </w:tc>
      </w:tr>
      <w:tr>
        <w:tc>
          <w:tcPr>
            <w:tcW w:type="dxa" w:w="812"/>
            <w:tcBorders>
              <w:top w:val="none" w:color="000000" w:sz="4"/>
              <w:left w:val="single" w:color="000000" w:sz="4"/>
              <w:bottom w:val="single" w:color="000000" w:sz="4"/>
              <w:right w:val="single" w:color="000000" w:sz="4"/>
            </w:tcBorders>
            <w:vAlign w:val="top"/>
          </w:tcPr>
          <w:p>
            <w:pPr>
              <w:jc w:val="center"/>
            </w:pPr>
            <w:r>
              <w:rPr>
                <w:sz w:val="24"/>
              </w:rPr>
              <w:t>3</w:t>
            </w:r>
          </w:p>
        </w:tc>
        <w:tc>
          <w:tcPr>
            <w:tcW w:type="dxa" w:w="4297"/>
            <w:tcBorders>
              <w:top w:val="none" w:color="000000" w:sz="4"/>
              <w:left w:val="none" w:color="000000" w:sz="4"/>
              <w:bottom w:val="single" w:color="000000" w:sz="4"/>
              <w:right w:val="single" w:color="000000" w:sz="4"/>
            </w:tcBorders>
            <w:vAlign w:val="top"/>
          </w:tcPr>
          <w:p>
            <w:pPr>
              <w:jc w:val="center"/>
            </w:pPr>
            <w:r>
              <w:rPr>
                <w:sz w:val="24"/>
              </w:rPr>
              <w:t>多功能颈腰椎牵引床（含熏蒸）</w:t>
            </w:r>
          </w:p>
        </w:tc>
        <w:tc>
          <w:tcPr>
            <w:tcW w:type="dxa" w:w="3173"/>
            <w:tcBorders>
              <w:top w:val="none" w:color="000000" w:sz="4"/>
              <w:left w:val="none" w:color="000000" w:sz="4"/>
              <w:bottom w:val="single" w:color="000000" w:sz="4"/>
              <w:right w:val="single" w:color="000000" w:sz="4"/>
            </w:tcBorders>
            <w:vAlign w:val="top"/>
          </w:tcPr>
          <w:p>
            <w:pPr>
              <w:jc w:val="center"/>
            </w:pPr>
            <w:r>
              <w:rPr>
                <w:sz w:val="24"/>
              </w:rPr>
              <w:t>《中华人民共和国医疗器械注册证》</w:t>
            </w:r>
          </w:p>
        </w:tc>
      </w:tr>
      <w:tr>
        <w:tc>
          <w:tcPr>
            <w:tcW w:type="dxa" w:w="812"/>
            <w:tcBorders>
              <w:top w:val="none" w:color="000000" w:sz="4"/>
              <w:left w:val="single" w:color="000000" w:sz="4"/>
              <w:bottom w:val="single" w:color="000000" w:sz="4"/>
              <w:right w:val="single" w:color="000000" w:sz="4"/>
            </w:tcBorders>
            <w:vAlign w:val="top"/>
          </w:tcPr>
          <w:p>
            <w:pPr>
              <w:jc w:val="center"/>
            </w:pPr>
            <w:r>
              <w:rPr>
                <w:sz w:val="24"/>
              </w:rPr>
              <w:t>4</w:t>
            </w:r>
          </w:p>
        </w:tc>
        <w:tc>
          <w:tcPr>
            <w:tcW w:type="dxa" w:w="4297"/>
            <w:tcBorders>
              <w:top w:val="none" w:color="000000" w:sz="4"/>
              <w:left w:val="none" w:color="000000" w:sz="4"/>
              <w:bottom w:val="single" w:color="000000" w:sz="4"/>
              <w:right w:val="single" w:color="000000" w:sz="4"/>
            </w:tcBorders>
            <w:vAlign w:val="top"/>
          </w:tcPr>
          <w:p>
            <w:pPr>
              <w:jc w:val="center"/>
            </w:pPr>
            <w:r>
              <w:rPr>
                <w:sz w:val="24"/>
              </w:rPr>
              <w:t>低频治疗仪</w:t>
            </w:r>
          </w:p>
        </w:tc>
        <w:tc>
          <w:tcPr>
            <w:tcW w:type="dxa" w:w="3173"/>
            <w:tcBorders>
              <w:top w:val="none" w:color="000000" w:sz="4"/>
              <w:left w:val="none" w:color="000000" w:sz="4"/>
              <w:bottom w:val="single" w:color="000000" w:sz="4"/>
              <w:right w:val="single" w:color="000000" w:sz="4"/>
            </w:tcBorders>
            <w:vAlign w:val="top"/>
          </w:tcPr>
          <w:p>
            <w:pPr>
              <w:jc w:val="center"/>
            </w:pPr>
            <w:r>
              <w:rPr>
                <w:sz w:val="24"/>
              </w:rPr>
              <w:t>《中华人民共和国医疗器械注册证》</w:t>
            </w:r>
          </w:p>
        </w:tc>
      </w:tr>
      <w:tr>
        <w:tc>
          <w:tcPr>
            <w:tcW w:type="dxa" w:w="812"/>
            <w:tcBorders>
              <w:top w:val="none" w:color="000000" w:sz="4"/>
              <w:left w:val="single" w:color="000000" w:sz="4"/>
              <w:bottom w:val="single" w:color="000000" w:sz="4"/>
              <w:right w:val="single" w:color="000000" w:sz="4"/>
            </w:tcBorders>
            <w:vAlign w:val="top"/>
          </w:tcPr>
          <w:p>
            <w:pPr>
              <w:jc w:val="center"/>
            </w:pPr>
            <w:r>
              <w:rPr>
                <w:sz w:val="24"/>
              </w:rPr>
              <w:t>5</w:t>
            </w:r>
          </w:p>
        </w:tc>
        <w:tc>
          <w:tcPr>
            <w:tcW w:type="dxa" w:w="4297"/>
            <w:tcBorders>
              <w:top w:val="none" w:color="000000" w:sz="4"/>
              <w:left w:val="none" w:color="000000" w:sz="4"/>
              <w:bottom w:val="single" w:color="000000" w:sz="4"/>
              <w:right w:val="single" w:color="000000" w:sz="4"/>
            </w:tcBorders>
            <w:vAlign w:val="top"/>
          </w:tcPr>
          <w:p>
            <w:pPr>
              <w:jc w:val="center"/>
            </w:pPr>
            <w:r>
              <w:rPr>
                <w:sz w:val="24"/>
              </w:rPr>
              <w:t>超声电导（离子导入）治疗仪</w:t>
            </w:r>
          </w:p>
        </w:tc>
        <w:tc>
          <w:tcPr>
            <w:tcW w:type="dxa" w:w="3173"/>
            <w:tcBorders>
              <w:top w:val="none" w:color="000000" w:sz="4"/>
              <w:left w:val="none" w:color="000000" w:sz="4"/>
              <w:bottom w:val="single" w:color="000000" w:sz="4"/>
              <w:right w:val="single" w:color="000000" w:sz="4"/>
            </w:tcBorders>
            <w:vAlign w:val="top"/>
          </w:tcPr>
          <w:p>
            <w:pPr>
              <w:jc w:val="center"/>
            </w:pPr>
            <w:r>
              <w:rPr>
                <w:sz w:val="24"/>
              </w:rPr>
              <w:t>《中华人民共和国医疗器械注册证》</w:t>
            </w:r>
          </w:p>
        </w:tc>
      </w:tr>
      <w:tr>
        <w:tc>
          <w:tcPr>
            <w:tcW w:type="dxa" w:w="812"/>
            <w:tcBorders>
              <w:top w:val="none" w:color="000000" w:sz="4"/>
              <w:left w:val="single" w:color="000000" w:sz="4"/>
              <w:bottom w:val="single" w:color="000000" w:sz="4"/>
              <w:right w:val="single" w:color="000000" w:sz="4"/>
            </w:tcBorders>
            <w:vAlign w:val="top"/>
          </w:tcPr>
          <w:p>
            <w:pPr>
              <w:jc w:val="center"/>
            </w:pPr>
            <w:r>
              <w:rPr>
                <w:sz w:val="24"/>
              </w:rPr>
              <w:t>6</w:t>
            </w:r>
          </w:p>
        </w:tc>
        <w:tc>
          <w:tcPr>
            <w:tcW w:type="dxa" w:w="4297"/>
            <w:tcBorders>
              <w:top w:val="none" w:color="000000" w:sz="4"/>
              <w:left w:val="none" w:color="000000" w:sz="4"/>
              <w:bottom w:val="single" w:color="000000" w:sz="4"/>
              <w:right w:val="single" w:color="000000" w:sz="4"/>
            </w:tcBorders>
            <w:vAlign w:val="top"/>
          </w:tcPr>
          <w:p>
            <w:pPr>
              <w:jc w:val="center"/>
            </w:pPr>
            <w:r>
              <w:rPr>
                <w:sz w:val="24"/>
              </w:rPr>
              <w:t>新生儿黄疸测定仪</w:t>
            </w:r>
          </w:p>
        </w:tc>
        <w:tc>
          <w:tcPr>
            <w:tcW w:type="dxa" w:w="3173"/>
            <w:tcBorders>
              <w:top w:val="none" w:color="000000" w:sz="4"/>
              <w:left w:val="none" w:color="000000" w:sz="4"/>
              <w:bottom w:val="single" w:color="000000" w:sz="4"/>
              <w:right w:val="single" w:color="000000" w:sz="4"/>
            </w:tcBorders>
            <w:vAlign w:val="top"/>
          </w:tcPr>
          <w:p>
            <w:pPr>
              <w:jc w:val="center"/>
            </w:pPr>
            <w:r>
              <w:rPr>
                <w:sz w:val="24"/>
              </w:rPr>
              <w:t>《中华人民共和国医疗器械注册证》</w:t>
            </w:r>
          </w:p>
        </w:tc>
      </w:tr>
    </w:tbl>
    <w:p/>
    <w:p>
      <w:r>
        <w:rPr>
          <w:b/>
          <w:sz w:val="24"/>
        </w:rPr>
        <w:t>（三）采购项目需求一览表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016"/>
        <w:gridCol w:w="3296"/>
        <w:gridCol w:w="1074"/>
        <w:gridCol w:w="1103"/>
        <w:gridCol w:w="1771"/>
      </w:tblGrid>
      <w:tr>
        <w:tc>
          <w:tcPr>
            <w:tcW w:type="dxa" w:w="1016"/>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3296"/>
            <w:tcBorders>
              <w:top w:val="single" w:color="000000" w:sz="4"/>
              <w:left w:val="single" w:color="000000" w:sz="4"/>
              <w:bottom w:val="single" w:color="000000" w:sz="4"/>
              <w:right w:val="single" w:color="000000" w:sz="4"/>
            </w:tcBorders>
            <w:vAlign w:val="top"/>
          </w:tcPr>
          <w:p>
            <w:pPr>
              <w:jc w:val="center"/>
            </w:pPr>
            <w:r>
              <w:rPr>
                <w:b/>
                <w:sz w:val="24"/>
              </w:rPr>
              <w:t>产品名称</w:t>
            </w:r>
          </w:p>
        </w:tc>
        <w:tc>
          <w:tcPr>
            <w:tcW w:type="dxa" w:w="1074"/>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1103"/>
            <w:tcBorders>
              <w:top w:val="single" w:color="000000" w:sz="4"/>
              <w:left w:val="single" w:color="000000" w:sz="4"/>
              <w:bottom w:val="single" w:color="000000" w:sz="4"/>
              <w:right w:val="single" w:color="000000" w:sz="4"/>
            </w:tcBorders>
            <w:vAlign w:val="top"/>
          </w:tcPr>
          <w:p>
            <w:pPr>
              <w:jc w:val="center"/>
            </w:pPr>
            <w:r>
              <w:rPr>
                <w:b/>
                <w:sz w:val="24"/>
              </w:rPr>
              <w:t>单位</w:t>
            </w:r>
          </w:p>
        </w:tc>
        <w:tc>
          <w:tcPr>
            <w:tcW w:type="dxa" w:w="1771"/>
            <w:tcBorders>
              <w:top w:val="single" w:color="000000" w:sz="4"/>
              <w:left w:val="single" w:color="000000" w:sz="4"/>
              <w:bottom w:val="single" w:color="000000" w:sz="4"/>
              <w:right w:val="single" w:color="000000" w:sz="4"/>
            </w:tcBorders>
            <w:vAlign w:val="top"/>
          </w:tcPr>
          <w:p>
            <w:pPr>
              <w:jc w:val="center"/>
            </w:pPr>
            <w:r>
              <w:rPr>
                <w:b/>
                <w:sz w:val="24"/>
              </w:rPr>
              <w:t>是否核心产品</w:t>
            </w:r>
          </w:p>
        </w:tc>
      </w:tr>
      <w:tr>
        <w:tc>
          <w:tcPr>
            <w:tcW w:type="dxa" w:w="1016"/>
            <w:tcBorders>
              <w:top w:val="none" w:color="000000" w:sz="4"/>
              <w:left w:val="single" w:color="000000" w:sz="4"/>
              <w:bottom w:val="single" w:color="000000" w:sz="4"/>
              <w:right w:val="single" w:color="000000" w:sz="4"/>
            </w:tcBorders>
            <w:vAlign w:val="top"/>
          </w:tcPr>
          <w:p>
            <w:pPr>
              <w:jc w:val="center"/>
            </w:pPr>
            <w:r>
              <w:rPr>
                <w:sz w:val="24"/>
              </w:rPr>
              <w:t>1</w:t>
            </w:r>
          </w:p>
        </w:tc>
        <w:tc>
          <w:tcPr>
            <w:tcW w:type="dxa" w:w="3296"/>
            <w:tcBorders>
              <w:top w:val="none" w:color="000000" w:sz="4"/>
              <w:left w:val="single" w:color="000000" w:sz="4"/>
              <w:bottom w:val="single" w:color="000000" w:sz="4"/>
              <w:right w:val="single" w:color="000000" w:sz="4"/>
            </w:tcBorders>
            <w:vAlign w:val="top"/>
          </w:tcPr>
          <w:p>
            <w:pPr>
              <w:jc w:val="center"/>
            </w:pPr>
            <w:r>
              <w:rPr>
                <w:sz w:val="24"/>
              </w:rPr>
              <w:t>全自动生化仪</w:t>
            </w:r>
          </w:p>
        </w:tc>
        <w:tc>
          <w:tcPr>
            <w:tcW w:type="dxa" w:w="107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103"/>
            <w:tcBorders>
              <w:top w:val="none" w:color="000000" w:sz="4"/>
              <w:left w:val="single" w:color="000000" w:sz="4"/>
              <w:bottom w:val="single" w:color="000000" w:sz="4"/>
              <w:right w:val="single" w:color="000000" w:sz="4"/>
            </w:tcBorders>
            <w:vAlign w:val="top"/>
          </w:tcPr>
          <w:p>
            <w:pPr>
              <w:jc w:val="center"/>
            </w:pPr>
            <w:r>
              <w:rPr>
                <w:sz w:val="24"/>
              </w:rPr>
              <w:t>台</w:t>
            </w:r>
          </w:p>
        </w:tc>
        <w:tc>
          <w:tcPr>
            <w:tcW w:type="dxa" w:w="1771"/>
            <w:tcBorders>
              <w:top w:val="none" w:color="000000" w:sz="4"/>
              <w:left w:val="single" w:color="000000" w:sz="4"/>
              <w:bottom w:val="single" w:color="000000" w:sz="4"/>
              <w:right w:val="single" w:color="000000" w:sz="4"/>
            </w:tcBorders>
            <w:vAlign w:val="top"/>
          </w:tcPr>
          <w:p>
            <w:pPr>
              <w:jc w:val="center"/>
            </w:pPr>
            <w:r>
              <w:rPr>
                <w:sz w:val="24"/>
              </w:rPr>
              <w:t>是</w:t>
            </w:r>
          </w:p>
        </w:tc>
      </w:tr>
      <w:tr>
        <w:tc>
          <w:tcPr>
            <w:tcW w:type="dxa" w:w="1016"/>
            <w:tcBorders>
              <w:top w:val="none" w:color="000000" w:sz="4"/>
              <w:left w:val="single" w:color="000000" w:sz="4"/>
              <w:bottom w:val="single" w:color="000000" w:sz="4"/>
              <w:right w:val="single" w:color="000000" w:sz="4"/>
            </w:tcBorders>
            <w:vAlign w:val="top"/>
          </w:tcPr>
          <w:p>
            <w:pPr>
              <w:jc w:val="center"/>
            </w:pPr>
            <w:r>
              <w:rPr>
                <w:sz w:val="24"/>
              </w:rPr>
              <w:t>2</w:t>
            </w:r>
          </w:p>
        </w:tc>
        <w:tc>
          <w:tcPr>
            <w:tcW w:type="dxa" w:w="3296"/>
            <w:tcBorders>
              <w:top w:val="none" w:color="000000" w:sz="4"/>
              <w:left w:val="single" w:color="000000" w:sz="4"/>
              <w:bottom w:val="single" w:color="000000" w:sz="4"/>
              <w:right w:val="single" w:color="000000" w:sz="4"/>
            </w:tcBorders>
            <w:vAlign w:val="top"/>
          </w:tcPr>
          <w:p>
            <w:pPr>
              <w:jc w:val="center"/>
            </w:pPr>
            <w:r>
              <w:rPr>
                <w:sz w:val="24"/>
              </w:rPr>
              <w:t>骨密度仪</w:t>
            </w:r>
          </w:p>
        </w:tc>
        <w:tc>
          <w:tcPr>
            <w:tcW w:type="dxa" w:w="107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103"/>
            <w:tcBorders>
              <w:top w:val="none" w:color="000000" w:sz="4"/>
              <w:left w:val="single" w:color="000000" w:sz="4"/>
              <w:bottom w:val="single" w:color="000000" w:sz="4"/>
              <w:right w:val="single" w:color="000000" w:sz="4"/>
            </w:tcBorders>
            <w:vAlign w:val="top"/>
          </w:tcPr>
          <w:p>
            <w:pPr>
              <w:jc w:val="center"/>
            </w:pPr>
            <w:r>
              <w:rPr>
                <w:sz w:val="24"/>
              </w:rPr>
              <w:t>台</w:t>
            </w:r>
          </w:p>
        </w:tc>
        <w:tc>
          <w:tcPr>
            <w:tcW w:type="dxa" w:w="1771"/>
            <w:tcBorders>
              <w:top w:val="none" w:color="000000" w:sz="4"/>
              <w:left w:val="single" w:color="000000" w:sz="4"/>
              <w:bottom w:val="single" w:color="000000" w:sz="4"/>
              <w:right w:val="single" w:color="000000" w:sz="4"/>
            </w:tcBorders>
            <w:vAlign w:val="top"/>
          </w:tcPr>
          <w:p>
            <w:pPr>
              <w:jc w:val="center"/>
            </w:pPr>
          </w:p>
        </w:tc>
      </w:tr>
      <w:tr>
        <w:tc>
          <w:tcPr>
            <w:tcW w:type="dxa" w:w="1016"/>
            <w:tcBorders>
              <w:top w:val="none" w:color="000000" w:sz="4"/>
              <w:left w:val="single" w:color="000000" w:sz="4"/>
              <w:bottom w:val="single" w:color="000000" w:sz="4"/>
              <w:right w:val="single" w:color="000000" w:sz="4"/>
            </w:tcBorders>
            <w:vAlign w:val="top"/>
          </w:tcPr>
          <w:p>
            <w:pPr>
              <w:jc w:val="center"/>
            </w:pPr>
            <w:r>
              <w:rPr>
                <w:sz w:val="24"/>
              </w:rPr>
              <w:t>3</w:t>
            </w:r>
          </w:p>
        </w:tc>
        <w:tc>
          <w:tcPr>
            <w:tcW w:type="dxa" w:w="3296"/>
            <w:tcBorders>
              <w:top w:val="none" w:color="000000" w:sz="4"/>
              <w:left w:val="single" w:color="000000" w:sz="4"/>
              <w:bottom w:val="single" w:color="000000" w:sz="4"/>
              <w:right w:val="single" w:color="000000" w:sz="4"/>
            </w:tcBorders>
            <w:vAlign w:val="top"/>
          </w:tcPr>
          <w:p>
            <w:pPr>
              <w:jc w:val="center"/>
            </w:pPr>
            <w:r>
              <w:rPr>
                <w:sz w:val="24"/>
              </w:rPr>
              <w:t>多功能颈腰椎牵引床（含熏蒸）</w:t>
            </w:r>
          </w:p>
        </w:tc>
        <w:tc>
          <w:tcPr>
            <w:tcW w:type="dxa" w:w="1074"/>
            <w:tcBorders>
              <w:top w:val="none" w:color="000000" w:sz="4"/>
              <w:left w:val="single" w:color="000000" w:sz="4"/>
              <w:bottom w:val="single" w:color="000000" w:sz="4"/>
              <w:right w:val="single" w:color="000000" w:sz="4"/>
            </w:tcBorders>
            <w:vAlign w:val="top"/>
          </w:tcPr>
          <w:p>
            <w:pPr>
              <w:jc w:val="center"/>
            </w:pPr>
            <w:r>
              <w:rPr>
                <w:sz w:val="24"/>
              </w:rPr>
              <w:t>3</w:t>
            </w:r>
          </w:p>
        </w:tc>
        <w:tc>
          <w:tcPr>
            <w:tcW w:type="dxa" w:w="1103"/>
            <w:tcBorders>
              <w:top w:val="none" w:color="000000" w:sz="4"/>
              <w:left w:val="single" w:color="000000" w:sz="4"/>
              <w:bottom w:val="single" w:color="000000" w:sz="4"/>
              <w:right w:val="single" w:color="000000" w:sz="4"/>
            </w:tcBorders>
            <w:vAlign w:val="top"/>
          </w:tcPr>
          <w:p>
            <w:pPr>
              <w:jc w:val="center"/>
            </w:pPr>
            <w:r>
              <w:rPr>
                <w:sz w:val="24"/>
              </w:rPr>
              <w:t>台</w:t>
            </w:r>
          </w:p>
        </w:tc>
        <w:tc>
          <w:tcPr>
            <w:tcW w:type="dxa" w:w="1771"/>
            <w:tcBorders>
              <w:top w:val="none" w:color="000000" w:sz="4"/>
              <w:left w:val="single" w:color="000000" w:sz="4"/>
              <w:bottom w:val="single" w:color="000000" w:sz="4"/>
              <w:right w:val="single" w:color="000000" w:sz="4"/>
            </w:tcBorders>
            <w:vAlign w:val="top"/>
          </w:tcPr>
          <w:p>
            <w:pPr>
              <w:jc w:val="center"/>
            </w:pPr>
            <w:r>
              <w:rPr>
                <w:sz w:val="24"/>
              </w:rPr>
              <w:t>是</w:t>
            </w:r>
          </w:p>
        </w:tc>
      </w:tr>
      <w:tr>
        <w:tc>
          <w:tcPr>
            <w:tcW w:type="dxa" w:w="1016"/>
            <w:tcBorders>
              <w:top w:val="none" w:color="000000" w:sz="4"/>
              <w:left w:val="single" w:color="000000" w:sz="4"/>
              <w:bottom w:val="single" w:color="000000" w:sz="4"/>
              <w:right w:val="single" w:color="000000" w:sz="4"/>
            </w:tcBorders>
            <w:vAlign w:val="top"/>
          </w:tcPr>
          <w:p>
            <w:pPr>
              <w:jc w:val="center"/>
            </w:pPr>
            <w:r>
              <w:rPr>
                <w:sz w:val="24"/>
              </w:rPr>
              <w:t>4</w:t>
            </w:r>
          </w:p>
        </w:tc>
        <w:tc>
          <w:tcPr>
            <w:tcW w:type="dxa" w:w="3296"/>
            <w:tcBorders>
              <w:top w:val="none" w:color="000000" w:sz="4"/>
              <w:left w:val="single" w:color="000000" w:sz="4"/>
              <w:bottom w:val="single" w:color="000000" w:sz="4"/>
              <w:right w:val="single" w:color="000000" w:sz="4"/>
            </w:tcBorders>
            <w:vAlign w:val="top"/>
          </w:tcPr>
          <w:p>
            <w:pPr>
              <w:jc w:val="center"/>
            </w:pPr>
            <w:r>
              <w:rPr>
                <w:sz w:val="24"/>
              </w:rPr>
              <w:t>低频治疗仪</w:t>
            </w:r>
          </w:p>
        </w:tc>
        <w:tc>
          <w:tcPr>
            <w:tcW w:type="dxa" w:w="107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103"/>
            <w:tcBorders>
              <w:top w:val="none" w:color="000000" w:sz="4"/>
              <w:left w:val="single" w:color="000000" w:sz="4"/>
              <w:bottom w:val="single" w:color="000000" w:sz="4"/>
              <w:right w:val="single" w:color="000000" w:sz="4"/>
            </w:tcBorders>
            <w:vAlign w:val="top"/>
          </w:tcPr>
          <w:p>
            <w:pPr>
              <w:jc w:val="center"/>
            </w:pPr>
            <w:r>
              <w:rPr>
                <w:sz w:val="24"/>
              </w:rPr>
              <w:t>台</w:t>
            </w:r>
          </w:p>
        </w:tc>
        <w:tc>
          <w:tcPr>
            <w:tcW w:type="dxa" w:w="1771"/>
            <w:tcBorders>
              <w:top w:val="none" w:color="000000" w:sz="4"/>
              <w:left w:val="single" w:color="000000" w:sz="4"/>
              <w:bottom w:val="single" w:color="000000" w:sz="4"/>
              <w:right w:val="single" w:color="000000" w:sz="4"/>
            </w:tcBorders>
            <w:vAlign w:val="top"/>
          </w:tcPr>
          <w:p>
            <w:pPr>
              <w:jc w:val="center"/>
            </w:pPr>
            <w:r>
              <w:rPr>
                <w:sz w:val="24"/>
              </w:rPr>
              <w:t>是</w:t>
            </w:r>
          </w:p>
        </w:tc>
      </w:tr>
      <w:tr>
        <w:tc>
          <w:tcPr>
            <w:tcW w:type="dxa" w:w="1016"/>
            <w:tcBorders>
              <w:top w:val="none" w:color="000000" w:sz="4"/>
              <w:left w:val="single" w:color="000000" w:sz="4"/>
              <w:bottom w:val="single" w:color="000000" w:sz="4"/>
              <w:right w:val="single" w:color="000000" w:sz="4"/>
            </w:tcBorders>
            <w:vAlign w:val="top"/>
          </w:tcPr>
          <w:p>
            <w:pPr>
              <w:jc w:val="center"/>
            </w:pPr>
            <w:r>
              <w:rPr>
                <w:sz w:val="24"/>
              </w:rPr>
              <w:t>5</w:t>
            </w:r>
          </w:p>
        </w:tc>
        <w:tc>
          <w:tcPr>
            <w:tcW w:type="dxa" w:w="3296"/>
            <w:tcBorders>
              <w:top w:val="none" w:color="000000" w:sz="4"/>
              <w:left w:val="single" w:color="000000" w:sz="4"/>
              <w:bottom w:val="single" w:color="000000" w:sz="4"/>
              <w:right w:val="single" w:color="000000" w:sz="4"/>
            </w:tcBorders>
            <w:vAlign w:val="top"/>
          </w:tcPr>
          <w:p>
            <w:pPr>
              <w:jc w:val="center"/>
            </w:pPr>
            <w:r>
              <w:rPr>
                <w:sz w:val="24"/>
              </w:rPr>
              <w:t>超声电导（离子导入）治疗仪</w:t>
            </w:r>
          </w:p>
        </w:tc>
        <w:tc>
          <w:tcPr>
            <w:tcW w:type="dxa" w:w="107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103"/>
            <w:tcBorders>
              <w:top w:val="none" w:color="000000" w:sz="4"/>
              <w:left w:val="single" w:color="000000" w:sz="4"/>
              <w:bottom w:val="single" w:color="000000" w:sz="4"/>
              <w:right w:val="single" w:color="000000" w:sz="4"/>
            </w:tcBorders>
            <w:vAlign w:val="top"/>
          </w:tcPr>
          <w:p>
            <w:pPr>
              <w:jc w:val="center"/>
            </w:pPr>
            <w:r>
              <w:rPr>
                <w:sz w:val="24"/>
              </w:rPr>
              <w:t>台</w:t>
            </w:r>
          </w:p>
        </w:tc>
        <w:tc>
          <w:tcPr>
            <w:tcW w:type="dxa" w:w="1771"/>
            <w:tcBorders>
              <w:top w:val="none" w:color="000000" w:sz="4"/>
              <w:left w:val="single" w:color="000000" w:sz="4"/>
              <w:bottom w:val="single" w:color="000000" w:sz="4"/>
              <w:right w:val="single" w:color="000000" w:sz="4"/>
            </w:tcBorders>
            <w:vAlign w:val="top"/>
          </w:tcPr>
          <w:p>
            <w:pPr>
              <w:jc w:val="center"/>
            </w:pPr>
          </w:p>
        </w:tc>
      </w:tr>
      <w:tr>
        <w:tc>
          <w:tcPr>
            <w:tcW w:type="dxa" w:w="1016"/>
            <w:tcBorders>
              <w:top w:val="none" w:color="000000" w:sz="4"/>
              <w:left w:val="single" w:color="000000" w:sz="4"/>
              <w:bottom w:val="single" w:color="000000" w:sz="4"/>
              <w:right w:val="single" w:color="000000" w:sz="4"/>
            </w:tcBorders>
            <w:vAlign w:val="top"/>
          </w:tcPr>
          <w:p>
            <w:pPr>
              <w:jc w:val="center"/>
            </w:pPr>
            <w:r>
              <w:rPr>
                <w:sz w:val="24"/>
              </w:rPr>
              <w:t>6</w:t>
            </w:r>
          </w:p>
        </w:tc>
        <w:tc>
          <w:tcPr>
            <w:tcW w:type="dxa" w:w="3296"/>
            <w:tcBorders>
              <w:top w:val="none" w:color="000000" w:sz="4"/>
              <w:left w:val="single" w:color="000000" w:sz="4"/>
              <w:bottom w:val="single" w:color="000000" w:sz="4"/>
              <w:right w:val="single" w:color="000000" w:sz="4"/>
            </w:tcBorders>
            <w:vAlign w:val="top"/>
          </w:tcPr>
          <w:p>
            <w:pPr>
              <w:jc w:val="center"/>
            </w:pPr>
            <w:r>
              <w:rPr>
                <w:sz w:val="24"/>
              </w:rPr>
              <w:t>新生儿黄疸测定仪</w:t>
            </w:r>
          </w:p>
        </w:tc>
        <w:tc>
          <w:tcPr>
            <w:tcW w:type="dxa" w:w="107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103"/>
            <w:tcBorders>
              <w:top w:val="none" w:color="000000" w:sz="4"/>
              <w:left w:val="single" w:color="000000" w:sz="4"/>
              <w:bottom w:val="single" w:color="000000" w:sz="4"/>
              <w:right w:val="single" w:color="000000" w:sz="4"/>
            </w:tcBorders>
            <w:vAlign w:val="top"/>
          </w:tcPr>
          <w:p>
            <w:pPr>
              <w:jc w:val="center"/>
            </w:pPr>
            <w:r>
              <w:rPr>
                <w:sz w:val="24"/>
              </w:rPr>
              <w:t>台</w:t>
            </w:r>
          </w:p>
        </w:tc>
        <w:tc>
          <w:tcPr>
            <w:tcW w:type="dxa" w:w="1771"/>
            <w:tcBorders>
              <w:top w:val="none" w:color="000000" w:sz="4"/>
              <w:left w:val="single" w:color="000000" w:sz="4"/>
              <w:bottom w:val="single" w:color="000000" w:sz="4"/>
              <w:right w:val="single" w:color="000000" w:sz="4"/>
            </w:tcBorders>
            <w:vAlign w:val="top"/>
          </w:tcPr>
          <w:p>
            <w:pPr>
              <w:jc w:val="center"/>
            </w:pPr>
          </w:p>
        </w:tc>
      </w:tr>
    </w:tbl>
    <w:p/>
    <w:p>
      <w:pPr>
        <w:ind w:firstLine="480"/>
      </w:pPr>
    </w:p>
    <w:p/>
    <w:p>
      <w:r>
        <w:rPr/>
        <w:t>采购包1（白土镇卫生院提升服务能力建设项目-医疗设备采购项目）：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合同签订之日起60个日历天内完成供货、安装调试并验收合格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1期：支付比例50%，合同签订后十个工作日内采购人向中标供应商支付合同总金额的50%作为预付款； 注： 1、采购人每次付款，中标供应商需开具的正式发票。 2、中标供应商凭以下资料与采购人结算： 2.1、合同； 2.2、中标供应商开具的正式发票； 2.3、验收合格报告(加盖采购人或采购人指定设备接收单位公章)； 2.4、中标通知书； 2.5、财政部门审核时所需的其他材料。 2.6、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2期：支付比例50%，设备到货安装并经采购人验收合格后十个工作日内向中标供应商支付支付合同金额的50%货款； 注： 1、采购人每次付款，中标供应商需开具的正式发票。 2、中标供应商凭以下资料与采购人结算： 2.1、合同； 2.2、中标供应商开具的正式发票； 2.3、验收合格报告(加盖采购人或采购人指定设备接收单位公章)； 2.4、中标通知书； 2.5、财政部门审核时所需的其他材料。 2.6、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1期：1、货物若有国家标准按照国家标准验收，若无国家标准按行业标准验收，为原制造商制造的全新产品，整机无污染，无侵权行为、表面无划损、无任何缺陷隐患，在中国境内可依常规安全合法使用。 货物属于医疗器械的，应取得有关医疗器械主管机构的批准文件，证照。 2、货物为原厂商未启封全新包装，具出厂合格证，序列号、包装箱号与出厂批号一致，并可追索查阅。所有随设备的附件必须齐全。 3、中标供应商应将关键主机设备的用户手册、保修手册、有关单证资料及配备件、随机工具等交付给采购人，使用操作及安全须知等重要资料应附有中文说明。产品说明书及标签要求必须符合《医疗器械说明书和标签管理规定》（国家食品药品监督管理总局令第6号）的标准。 4、采购人组成验收小组按国家有关规定、规范及中标供应商的投标文件中承诺的内容进行验收，必要时邀请相关的第三方专业人员、机构或参与本次项目的其他供应商参与验收。因货物质量问题发生争议时，由本地质量技术监督部门鉴定。鉴定费先由中标供应商垫付。货物符合质量技术标准的，鉴定费由采购人承担；否则鉴定费由中标供应商承担。 5、中标供应商应按财政审批的要求，提供有关货物资料，并做好填报申请材料的工作，采购人予以配合；因中标供应商原因导致财政审批无法按时完成的，中标供应商自行承担有关的责任。</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（一）交货要求:1、交付使用期：合同签订之日起60日历天内完成供货、安装调试并验收合格。 2、交货地点：采购人指定地点。 3、交货要求： 3.1、中标供应商应提供原装、全新的、符合质量标准的货物，不得以旧货翻新充数，并按有关要求进行包装及装运。 3.2、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3.3、验收合格移交采购人使用前的一切风险均由中标供应商承担。</w:t>
            </w:r>
          </w:p>
          <w:p/>
          <w:p>
            <w:r>
              <w:rPr/>
              <w:t>（二）安装调试:1、安装调试在设备到货后5个工作日内开始进行。 2、所有设备均须由中标供应商送货上门并安排工程师上门安装调试，采购人不再支付任何费用。 3、自安装工作一开始，中标供应商应允许采购人的工作人员一起参与安装、调试、诊断及解决遇到的问题等各项工作。 4、开箱检验 4.1、所有设备、器材在开箱时必须完好，无破损。配置与装箱单相符。数量、质量及性能不低于合同要求。 4.2、拆箱后，中标供应商应对其全部产品、零件、配件、采购人许可证书、资料、介质造册登记，并与装箱单对比，如有出入应立即书面记录，由供货商解决，如影响安装则按合同有关条款处理。登记册作为验收文档之一。 5、系统调试 5.1、系统安装完成后，按照系统要求的基本功能逐一调试。 5.2、如统调试中发现设备性能指标或功能上不符合标书和合同时，将被看作性能不合格，设备使用单位有权拒收并要求赔偿。 5.3、中标供应商应负责在项目验收时将系统的全部有关产品说明书、原厂家安装手册、技术文件、资料、及安装、验收报告等文档交付设备使用单位。</w:t>
            </w:r>
          </w:p>
          <w:p/>
          <w:p>
            <w:r>
              <w:rPr/>
              <w:t>（三）售后服务:1、中标供应商对所供产品提供一年的质保期，终身维保。 2、质保期自设备安装调试完毕并由采购人验收完毕之日起计算，保修费用计入投标总价。服务期内提供免费上门服务（含部件、技术支持服务、人力、上门等），服务期自供需双方代表在最终验收单上签字之日算起。服务期内所有费用已计入总价。 3、保修期内，所有硬件设备的维修均为免费。维护期内，所有软件系统均需提供1年免费维护服务。且所有设备维修服务均为上门服务，由此产生的费用均不再收取。服务期内，如所投软件已升级，中标供应商应负责将所投软件升级至最新版本。 4、中标供应商使用的设备供应商须开通7×24小时售后专线服务电话，保证开机率95%以上，以满足采购人要求，接到报修电话后，2小时内响应，售后服务工程师48小时内上门服务。规定时间内未处理完毕的，中标供应商提供不低于同等档次货物供采购人使用至故障货物能正常使用为止。如果需要更换配件的，要求更换的配件跟被更换的品牌、类型相一致或者是同类同档次的替代品，后者需征得采购人方管理人员同意。如需增加非中标供应商的货物和配件，中标供应商应协助解决。 5、中标供应商须提供系统维护期间的软件版本升级和采购方提出的功能更新和完善提出完整的解决方案。</w:t>
            </w:r>
          </w:p>
          <w:p/>
          <w:p>
            <w:r>
              <w:rPr/>
              <w:t>（四）培训要求 :1、中标供应商免费提供产品的安装、配置、操作及维护培训，主要内容为设备的基本结构、性能、主要部件的构造及原理，日常使用操作、保养与管理，常见故障的排除，紧急情况的处理等，直到采购人工程师熟悉使用。 2、培训地点主要在设备安装现场或按双方协商安排，人数不限。 3、中标供应商必须派出具有相应专业资格和实际工作相应的工程师进行培训，中标供应商必须为所有被培训人员提供培训用文字资料和讲义等相关用品。所有的资料必须是中文书写。</w:t>
            </w:r>
          </w:p>
          <w:p/>
          <w:p>
            <w:r>
              <w:rPr/>
              <w:t>（五）其他要求:1、投标人投标时所提供的货物如在实际供货时已经停产（不列入该厂家当时的产品系统），如果未能按原价提供更优质的货物，则按违约处理。 2、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 3、因产品的质量问题发生争议，由广东省或韶关市质检部门进行质量鉴定。采购人与中标供应商认为有需要，可以共同提出或分别提出质量鉴定，广东省质检部门与韶关市质检部门的鉴定结论不一致的，以广东省质检部门的鉴定结论为准。产品符合质量标准的，鉴定费由采购人承担；产品不符合质量标准的，鉴定费由中标供应商承担。</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其他医疗设备</w:t>
            </w:r>
          </w:p>
        </w:tc>
        <w:tc>
          <w:tcPr>
            <w:tcW w:type="dxa" w:w="1923"/>
          </w:tcPr>
          <w:p>
            <w:r>
              <w:rPr/>
              <w:t>白土镇卫生院提升服务能力建设项目-医疗设备采购项目</w:t>
            </w:r>
          </w:p>
        </w:tc>
        <w:tc>
          <w:tcPr>
            <w:tcW w:type="dxa" w:w="385"/>
          </w:tcPr>
          <w:p>
            <w:r>
              <w:rPr/>
              <w:t>批</w:t>
            </w:r>
          </w:p>
        </w:tc>
        <w:tc>
          <w:tcPr>
            <w:tcW w:type="dxa" w:w="769"/>
          </w:tcPr>
          <w:p>
            <w:pPr>
              <w:jc w:val="right"/>
            </w:pPr>
            <w:r>
              <w:rPr/>
              <w:t>1.0000</w:t>
            </w:r>
          </w:p>
        </w:tc>
        <w:tc>
          <w:tcPr>
            <w:tcW w:type="dxa" w:w="769"/>
          </w:tcPr>
          <w:p>
            <w:pPr>
              <w:jc w:val="right"/>
            </w:pPr>
            <w:r>
              <w:rPr/>
              <w:t>1,448,000.00</w:t>
            </w:r>
          </w:p>
        </w:tc>
        <w:tc>
          <w:tcPr>
            <w:tcW w:type="dxa" w:w="769"/>
          </w:tcPr>
          <w:p>
            <w:pPr>
              <w:jc w:val="right"/>
            </w:pPr>
            <w:r>
              <w:rPr/>
              <w:t>1,448,000.00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白土镇卫生院提升服务能力建设项目-医疗设备采购项目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
            <w:pPr>
              <w:jc w:val="center"/>
            </w:pPr>
            <w:r>
              <w:rPr>
                <w:b/>
                <w:sz w:val="24"/>
              </w:rPr>
              <w:t>（一）全自动生化仪</w:t>
            </w:r>
          </w:p>
          <w:p>
            <w:pPr>
              <w:jc w:val="left"/>
            </w:pPr>
            <w:r>
              <w:rPr>
                <w:sz w:val="24"/>
              </w:rPr>
              <w:t>▲1、全自动生化分析仪，恒速≥800T/H，可选配ISE模块。</w:t>
            </w:r>
          </w:p>
          <w:p>
            <w:pPr>
              <w:jc w:val="left"/>
            </w:pPr>
            <w:r>
              <w:rPr>
                <w:sz w:val="24"/>
              </w:rPr>
              <w:t>2、测试原理：比色法，比浊法，ISE法。</w:t>
            </w:r>
          </w:p>
          <w:p>
            <w:pPr>
              <w:jc w:val="left"/>
            </w:pPr>
            <w:r>
              <w:rPr>
                <w:sz w:val="24"/>
              </w:rPr>
              <w:t>3、分析方法：终点法，固定时间法，动力学法。</w:t>
            </w:r>
          </w:p>
          <w:p>
            <w:pPr>
              <w:jc w:val="left"/>
            </w:pPr>
            <w:r>
              <w:rPr>
                <w:sz w:val="24"/>
              </w:rPr>
              <w:t>▲4、检测糖化血红蛋白时可用全血样本直接上机。</w:t>
            </w:r>
          </w:p>
          <w:p>
            <w:pPr>
              <w:jc w:val="left"/>
            </w:pPr>
            <w:r>
              <w:rPr>
                <w:sz w:val="24"/>
              </w:rPr>
              <w:t>5、可同时分析项目：比色项目≥185个。</w:t>
            </w:r>
          </w:p>
          <w:p>
            <w:pPr>
              <w:jc w:val="left"/>
            </w:pPr>
            <w:r>
              <w:rPr>
                <w:sz w:val="24"/>
              </w:rPr>
              <w:t>6、试剂位≥180个，且支持试剂在线装载功能。</w:t>
            </w:r>
          </w:p>
          <w:p>
            <w:pPr>
              <w:jc w:val="left"/>
            </w:pPr>
            <w:r>
              <w:rPr>
                <w:sz w:val="24"/>
              </w:rPr>
              <w:t>▲7、配套试剂：需提供获得CFDA注册合格的原厂生产的配套生化试剂项目不少于65种（按方法学区分，不按包装规格区分）。</w:t>
            </w:r>
          </w:p>
          <w:p>
            <w:pPr>
              <w:jc w:val="left"/>
            </w:pPr>
            <w:r>
              <w:rPr>
                <w:sz w:val="24"/>
              </w:rPr>
              <w:t>▲8、溯源系统：需提供原厂生产的复合校准品和复合质控品，且复合校准品项目数≥23项</w:t>
            </w:r>
            <w:r>
              <w:rPr>
                <w:b/>
                <w:sz w:val="24"/>
              </w:rPr>
              <w:t>（提供注册证复印件）</w:t>
            </w:r>
            <w:r>
              <w:rPr>
                <w:sz w:val="24"/>
              </w:rPr>
              <w:t>。</w:t>
            </w:r>
          </w:p>
          <w:p>
            <w:pPr>
              <w:jc w:val="left"/>
            </w:pPr>
            <w:r>
              <w:rPr>
                <w:sz w:val="24"/>
              </w:rPr>
              <w:t>9、试剂仓冷藏温度保持在2－10℃范围，具备24小时连续冷藏功能。</w:t>
            </w:r>
          </w:p>
          <w:p>
            <w:pPr>
              <w:jc w:val="left"/>
            </w:pPr>
            <w:r>
              <w:rPr>
                <w:sz w:val="24"/>
              </w:rPr>
              <w:t>10、试剂针技术：具有液面探测、立体防撞和随量跟踪技术。</w:t>
            </w:r>
          </w:p>
          <w:p>
            <w:pPr>
              <w:jc w:val="left"/>
            </w:pPr>
            <w:r>
              <w:rPr>
                <w:sz w:val="24"/>
              </w:rPr>
              <w:t>11、试剂针具有自动内外壁清洗功能，携带率≤0.05%。</w:t>
            </w:r>
          </w:p>
          <w:p>
            <w:pPr>
              <w:jc w:val="left"/>
            </w:pPr>
            <w:r>
              <w:rPr>
                <w:sz w:val="24"/>
              </w:rPr>
              <w:t>12、样本位≥192个，且数量可拓展。</w:t>
            </w:r>
          </w:p>
          <w:p>
            <w:pPr>
              <w:jc w:val="left"/>
            </w:pPr>
            <w:r>
              <w:rPr>
                <w:sz w:val="24"/>
              </w:rPr>
              <w:t>13、样本量：1.5－35ul，0.1ul步进。</w:t>
            </w:r>
          </w:p>
          <w:p>
            <w:pPr>
              <w:jc w:val="left"/>
            </w:pPr>
            <w:r>
              <w:rPr>
                <w:sz w:val="24"/>
              </w:rPr>
              <w:t>▲14、最小反应液体积：≤80ul。</w:t>
            </w:r>
          </w:p>
          <w:p>
            <w:pPr>
              <w:jc w:val="left"/>
            </w:pPr>
            <w:r>
              <w:rPr>
                <w:sz w:val="24"/>
              </w:rPr>
              <w:t>15、比色杯清洗：8针温水自动清洗，有效降低交叉污染率。</w:t>
            </w:r>
          </w:p>
          <w:p>
            <w:pPr>
              <w:jc w:val="left"/>
            </w:pPr>
            <w:r>
              <w:rPr>
                <w:sz w:val="24"/>
              </w:rPr>
              <w:t>▲16、恒温系统：非水浴方式，反应温度37℃±0.1℃。</w:t>
            </w:r>
          </w:p>
          <w:p>
            <w:pPr>
              <w:jc w:val="left"/>
            </w:pPr>
            <w:r>
              <w:rPr>
                <w:sz w:val="24"/>
              </w:rPr>
              <w:t>17、光学系统：光栅后分光，≥16个波长，340－800nm；光纤光路传输，抗干扰强。</w:t>
            </w:r>
          </w:p>
          <w:p>
            <w:pPr>
              <w:jc w:val="left"/>
            </w:pPr>
            <w:r>
              <w:rPr>
                <w:sz w:val="24"/>
              </w:rPr>
              <w:t>18、吸光度线范围：0－3.3Abs。</w:t>
            </w:r>
          </w:p>
          <w:p>
            <w:pPr>
              <w:jc w:val="left"/>
            </w:pPr>
            <w:r>
              <w:rPr>
                <w:sz w:val="24"/>
              </w:rPr>
              <w:t>▲19、室间质评：能提供检测系统连续3年REAL比对结果和溯源性文件。</w:t>
            </w:r>
          </w:p>
          <w:p>
            <w:pPr>
              <w:jc w:val="left"/>
            </w:pPr>
            <w:r>
              <w:rPr>
                <w:sz w:val="24"/>
              </w:rPr>
              <w:t>▲20、溯源认证：投标产品检测系统的溯源实验室获得CNAS认证资格(要求提供证明文件)。</w:t>
            </w:r>
          </w:p>
          <w:p>
            <w:pPr>
              <w:jc w:val="left"/>
            </w:pPr>
            <w:r>
              <w:rPr>
                <w:sz w:val="24"/>
              </w:rPr>
              <w:t>21、质控规则至少包括Westgard多规则质控，Cumulative sum check，twin  plot等规则。</w:t>
            </w:r>
          </w:p>
          <w:p>
            <w:pPr>
              <w:jc w:val="left"/>
            </w:pPr>
            <w:r>
              <w:rPr>
                <w:sz w:val="24"/>
              </w:rPr>
              <w:t>22、操作系统：Windows操作系统。</w:t>
            </w:r>
          </w:p>
          <w:p>
            <w:pPr>
              <w:jc w:val="left"/>
            </w:pPr>
            <w:r>
              <w:rPr>
                <w:sz w:val="24"/>
              </w:rPr>
              <w:t>▲23、质量认证：同系列产品获得权威机构认证</w:t>
            </w:r>
            <w:r>
              <w:rPr>
                <w:b/>
                <w:sz w:val="24"/>
              </w:rPr>
              <w:t>(要求提供证明文件)</w:t>
            </w:r>
            <w:r>
              <w:rPr>
                <w:sz w:val="24"/>
              </w:rPr>
              <w:t>。</w:t>
            </w:r>
          </w:p>
          <w:p>
            <w:pPr>
              <w:jc w:val="left"/>
            </w:pPr>
            <w:r>
              <w:rPr>
                <w:sz w:val="24"/>
              </w:rPr>
              <w:t>24、工作条件：宽电源设计：100～240V，50/60Hz，≤1500VA。</w:t>
            </w:r>
          </w:p>
          <w:p>
            <w:pPr>
              <w:jc w:val="left"/>
            </w:pPr>
            <w:r>
              <w:rPr>
                <w:sz w:val="24"/>
              </w:rPr>
              <w:t>25、广东省内有至少8家医院使用该品牌系列全自动生化仪，确保产品可靠（提供医院名称、联系方式以便核实）。</w:t>
            </w:r>
          </w:p>
          <w:p>
            <w:pPr>
              <w:jc w:val="left"/>
            </w:pPr>
            <w:r>
              <w:rPr>
                <w:sz w:val="24"/>
              </w:rPr>
              <w:t>26、耗水量：≤35L/H。</w:t>
            </w:r>
          </w:p>
          <w:p>
            <w:pPr>
              <w:jc w:val="center"/>
            </w:pPr>
            <w:r>
              <w:rPr>
                <w:b/>
                <w:sz w:val="24"/>
              </w:rPr>
              <w:t>（二）骨密度仪</w:t>
            </w:r>
          </w:p>
          <w:p>
            <w:r>
              <w:rPr>
                <w:sz w:val="24"/>
              </w:rPr>
              <w:t>1、测量方式:全干式沿骨轴测量，无辐射，适合于各种人群检测（婴幼儿，儿童，孕妇，成人及老人）检测年龄范围0-100岁。检查程序全自动，探头检测原理为四晶片双向发射与接收，测量骨传播声速（SOS)，骨质指数（BQI），T值，Z值等数据。提供相关的软件著权证书。</w:t>
            </w:r>
          </w:p>
          <w:p>
            <w:r>
              <w:rPr>
                <w:sz w:val="24"/>
              </w:rPr>
              <w:t>2、测量部位：桡骨，胫骨双部位测量。</w:t>
            </w:r>
          </w:p>
          <w:p>
            <w:r>
              <w:rPr>
                <w:sz w:val="24"/>
              </w:rPr>
              <w:t>3、探头：手持式宽频聚焦探头，阵列多发多收。采用超声换能器和多芯同轴屏蔽插头，可自动屏蔽消除软组织干扰。</w:t>
            </w:r>
          </w:p>
          <w:p>
            <w:r>
              <w:rPr>
                <w:sz w:val="24"/>
              </w:rPr>
              <w:t>▲4、平行度角度提示软件：实时可视探头与皮肤接触状态、探头与骨骼平行度，软件页面自动显示探头当前的角度位置，提示修正角度。</w:t>
            </w:r>
          </w:p>
          <w:p>
            <w:r>
              <w:rPr>
                <w:sz w:val="24"/>
              </w:rPr>
              <w:t>▲5、在检测婴幼儿时，检测界面可显示动画，有效转移婴幼儿注意力。</w:t>
            </w:r>
          </w:p>
          <w:p>
            <w:r>
              <w:rPr>
                <w:sz w:val="24"/>
              </w:rPr>
              <w:t>▲6、超声探头的中心工作频率：宽频探头，频率为1.00MHZ,误差范围±15%，实际检验结果8%。可适应不同年龄段的人群。</w:t>
            </w:r>
          </w:p>
          <w:p>
            <w:r>
              <w:rPr>
                <w:sz w:val="24"/>
              </w:rPr>
              <w:t>7、骨声速（SOS）测量范围；2100-4800m/s。</w:t>
            </w:r>
          </w:p>
          <w:p>
            <w:r>
              <w:rPr>
                <w:sz w:val="24"/>
              </w:rPr>
              <w:t>▲8、超声速度SOS误差≤±2%，实际检验结果-1%；超声速度SOS精度≤0.3%，实际检验结果0%；超声速度SOS测量重复性≤1%，实际检验结果0%。</w:t>
            </w:r>
          </w:p>
          <w:p>
            <w:r>
              <w:rPr>
                <w:sz w:val="24"/>
              </w:rPr>
              <w:t>9、测量范围：婴幼儿（0-3岁），儿童（0-20岁），成人/老人（20-100岁），全自动分析得出结果。</w:t>
            </w:r>
          </w:p>
          <w:p>
            <w:r>
              <w:rPr>
                <w:sz w:val="24"/>
              </w:rPr>
              <w:t>10、检测迅速：单次测量≤10秒，实际检验结果6秒；重复精确测量≤30秒，实际检测19秒。</w:t>
            </w:r>
          </w:p>
          <w:p>
            <w:r>
              <w:rPr>
                <w:sz w:val="24"/>
              </w:rPr>
              <w:t>▲11、计算参数齐全：成人：T值、Z值、同龄比、成人比、骨骼的生理年龄（PAB）、 预期发生骨质疏松的年龄（EOA)、相对骨折风险（RRF)，骨强度指数（BQI)；儿童：Z值、骨骼的生理年龄（PAB)、身高预测、肥胖度，BMI指数。</w:t>
            </w:r>
          </w:p>
          <w:p>
            <w:r>
              <w:rPr>
                <w:sz w:val="24"/>
              </w:rPr>
              <w:t>12、病例数据库管理系统，自动记录、查询、分类、备份等，快速方便查找；测量结果可导出成EXCEL格式，便于数据统计和分析。</w:t>
            </w:r>
          </w:p>
          <w:p>
            <w:r>
              <w:rPr>
                <w:sz w:val="24"/>
              </w:rPr>
              <w:t>▲13、可自定义显示报告内容，包括显示医院LOGO，选择隐藏部分参数等。</w:t>
            </w:r>
          </w:p>
          <w:p>
            <w:r>
              <w:rPr>
                <w:sz w:val="24"/>
              </w:rPr>
              <w:t>▲14、多接口支持：Dicom接口（PACS）、身份证信息读取接口、数据库视图接口、本地文件接口、Web Service接口和微信扫码获取报告接口。</w:t>
            </w:r>
          </w:p>
          <w:p>
            <w:r>
              <w:rPr>
                <w:sz w:val="24"/>
              </w:rPr>
              <w:t>▲15、支持微信扫码自助下载打印报告。</w:t>
            </w:r>
          </w:p>
          <w:p>
            <w:r>
              <w:rPr>
                <w:sz w:val="24"/>
              </w:rPr>
              <w:t>▲16、符合超声骨密度仪国家最新标准：YY/T0774-2019。</w:t>
            </w:r>
          </w:p>
          <w:p>
            <w:pPr>
              <w:jc w:val="center"/>
            </w:pPr>
            <w:r>
              <w:rPr>
                <w:b/>
                <w:sz w:val="24"/>
              </w:rPr>
              <w:t>（三）多功能颈腰椎牵引床（含熏蒸）</w:t>
            </w:r>
          </w:p>
          <w:p>
            <w:r>
              <w:rPr>
                <w:b/>
                <w:sz w:val="24"/>
              </w:rPr>
              <w:t>一、多功能颈腰椎牵引床</w:t>
            </w:r>
          </w:p>
          <w:p>
            <w:r>
              <w:rPr>
                <w:sz w:val="24"/>
              </w:rPr>
              <w:t>1、通过微电脑设置牵引时间、牵引力、旋转角度等治疗参数。</w:t>
            </w:r>
          </w:p>
          <w:p>
            <w:r>
              <w:rPr>
                <w:sz w:val="24"/>
              </w:rPr>
              <w:t>2、电机作为动力源，控制牵引、旋转和成角等三维动作，既可水平牵引,也可三维组合牵引。</w:t>
            </w:r>
          </w:p>
          <w:p>
            <w:r>
              <w:rPr>
                <w:sz w:val="24"/>
              </w:rPr>
              <w:t>3、数码管显示牵引时间、牵引力、旋转角度和牵引模式。</w:t>
            </w:r>
          </w:p>
          <w:p>
            <w:r>
              <w:rPr>
                <w:sz w:val="24"/>
              </w:rPr>
              <w:t>4、电子传感器检测牵引力，牵引力能随时补偿。</w:t>
            </w:r>
          </w:p>
          <w:p>
            <w:r>
              <w:rPr>
                <w:sz w:val="24"/>
              </w:rPr>
              <w:t>5、具有8种牵引模式，可持续、间歇或阶梯式牵引。</w:t>
            </w:r>
          </w:p>
          <w:p>
            <w:r>
              <w:rPr>
                <w:sz w:val="24"/>
              </w:rPr>
              <w:t>6、配有急退键和病人手持急退开关。</w:t>
            </w:r>
          </w:p>
          <w:p>
            <w:r>
              <w:rPr>
                <w:sz w:val="24"/>
              </w:rPr>
              <w:t>▲7、牵引拖板采用无间隙设计，牵引时平稳无晃动。</w:t>
            </w:r>
          </w:p>
          <w:p>
            <w:r>
              <w:rPr>
                <w:sz w:val="24"/>
              </w:rPr>
              <w:t>8、坐式颈椎牵引装置，颈椎牵引和腰椎牵引可以同时进行。</w:t>
            </w:r>
          </w:p>
          <w:p>
            <w:r>
              <w:rPr>
                <w:sz w:val="24"/>
              </w:rPr>
              <w:t>9、能提供多角度腰椎牵引治疗。</w:t>
            </w:r>
          </w:p>
          <w:p>
            <w:r>
              <w:rPr>
                <w:sz w:val="24"/>
              </w:rPr>
              <w:t>10、病历系统能储存和读取20组病例。</w:t>
            </w:r>
          </w:p>
          <w:p>
            <w:r>
              <w:rPr>
                <w:sz w:val="24"/>
              </w:rPr>
              <w:t>11、技术参数：</w:t>
            </w:r>
          </w:p>
          <w:p>
            <w:r>
              <w:rPr>
                <w:sz w:val="24"/>
              </w:rPr>
              <w:t xml:space="preserve">电源：220V/50HZ ；     </w:t>
            </w:r>
          </w:p>
          <w:p>
            <w:r>
              <w:rPr>
                <w:sz w:val="24"/>
              </w:rPr>
              <w:t>功率：≤360W</w:t>
            </w:r>
            <w:r>
              <w:rPr>
                <w:sz w:val="24"/>
              </w:rPr>
              <w:t>；</w:t>
            </w:r>
            <w:r>
              <w:rPr>
                <w:sz w:val="24"/>
              </w:rPr>
              <w:t xml:space="preserve">     </w:t>
            </w:r>
          </w:p>
          <w:p>
            <w:r>
              <w:rPr>
                <w:sz w:val="24"/>
              </w:rPr>
              <w:t xml:space="preserve">腰椎牵引力：0～99公斤  </w:t>
            </w:r>
            <w:r>
              <w:rPr>
                <w:sz w:val="24"/>
              </w:rPr>
              <w:t>；</w:t>
            </w:r>
            <w:r>
              <w:rPr>
                <w:sz w:val="24"/>
              </w:rPr>
              <w:t xml:space="preserve">       </w:t>
            </w:r>
          </w:p>
          <w:p>
            <w:r>
              <w:rPr>
                <w:sz w:val="24"/>
              </w:rPr>
              <w:t>颈椎牵引力：0～20公斤</w:t>
            </w:r>
            <w:r>
              <w:rPr>
                <w:sz w:val="24"/>
              </w:rPr>
              <w:t>；</w:t>
            </w:r>
          </w:p>
          <w:p>
            <w:r>
              <w:rPr>
                <w:sz w:val="24"/>
              </w:rPr>
              <w:t xml:space="preserve">牵引总时间：0～60分钟  </w:t>
            </w:r>
            <w:r>
              <w:rPr>
                <w:sz w:val="24"/>
              </w:rPr>
              <w:t>；</w:t>
            </w:r>
            <w:r>
              <w:rPr>
                <w:sz w:val="24"/>
              </w:rPr>
              <w:t xml:space="preserve">  </w:t>
            </w:r>
          </w:p>
          <w:p>
            <w:r>
              <w:rPr>
                <w:sz w:val="24"/>
              </w:rPr>
              <w:t>持续牵引时间：0～9分钟</w:t>
            </w:r>
            <w:r>
              <w:rPr>
                <w:sz w:val="24"/>
              </w:rPr>
              <w:t>；</w:t>
            </w:r>
          </w:p>
          <w:p>
            <w:r>
              <w:rPr>
                <w:sz w:val="24"/>
              </w:rPr>
              <w:t>阶梯牵引时间：≥5秒钟</w:t>
            </w:r>
            <w:r>
              <w:rPr>
                <w:sz w:val="24"/>
              </w:rPr>
              <w:t>；</w:t>
            </w:r>
          </w:p>
          <w:p>
            <w:r>
              <w:rPr>
                <w:sz w:val="24"/>
              </w:rPr>
              <w:t xml:space="preserve">▲间歇时间：0～90秒钟  </w:t>
            </w:r>
            <w:r>
              <w:rPr>
                <w:sz w:val="24"/>
              </w:rPr>
              <w:t>；</w:t>
            </w:r>
            <w:r>
              <w:rPr>
                <w:sz w:val="24"/>
              </w:rPr>
              <w:t xml:space="preserve">  </w:t>
            </w:r>
          </w:p>
          <w:p>
            <w:r>
              <w:rPr>
                <w:sz w:val="24"/>
              </w:rPr>
              <w:t>成角角度：上25～下15度</w:t>
            </w:r>
            <w:r>
              <w:rPr>
                <w:sz w:val="24"/>
              </w:rPr>
              <w:t>；</w:t>
            </w:r>
          </w:p>
          <w:p>
            <w:r>
              <w:rPr>
                <w:sz w:val="24"/>
              </w:rPr>
              <w:t>旋转角度：左30～右30度</w:t>
            </w:r>
            <w:r>
              <w:rPr>
                <w:sz w:val="24"/>
              </w:rPr>
              <w:t>；</w:t>
            </w:r>
          </w:p>
          <w:p>
            <w:r>
              <w:rPr>
                <w:sz w:val="24"/>
              </w:rPr>
              <w:t>▲腰椎牵引行程：0～250毫米</w:t>
            </w:r>
            <w:r>
              <w:rPr>
                <w:sz w:val="24"/>
              </w:rPr>
              <w:t>；</w:t>
            </w:r>
          </w:p>
          <w:p>
            <w:r>
              <w:rPr>
                <w:sz w:val="24"/>
              </w:rPr>
              <w:t>▲颈椎牵引行程：0～300毫米</w:t>
            </w:r>
            <w:r>
              <w:rPr>
                <w:sz w:val="24"/>
              </w:rPr>
              <w:t>；</w:t>
            </w:r>
          </w:p>
          <w:p>
            <w:r>
              <w:rPr>
                <w:sz w:val="24"/>
              </w:rPr>
              <w:t>牵引速度：＜15毫米/秒</w:t>
            </w:r>
            <w:r>
              <w:rPr>
                <w:sz w:val="24"/>
              </w:rPr>
              <w:t>；</w:t>
            </w:r>
          </w:p>
          <w:p>
            <w:r>
              <w:rPr>
                <w:sz w:val="24"/>
              </w:rPr>
              <w:t>床面高度：≥560毫米</w:t>
            </w:r>
            <w:r>
              <w:rPr>
                <w:sz w:val="24"/>
              </w:rPr>
              <w:t>；</w:t>
            </w:r>
          </w:p>
          <w:p>
            <w:r>
              <w:rPr>
                <w:sz w:val="24"/>
              </w:rPr>
              <w:t>体积(长×宽×高)：2510×600×2120毫米。</w:t>
            </w:r>
          </w:p>
          <w:p>
            <w:r>
              <w:rPr>
                <w:b/>
                <w:sz w:val="24"/>
              </w:rPr>
              <w:t>二、熏蒸床</w:t>
            </w:r>
          </w:p>
          <w:p>
            <w:pPr>
              <w:jc w:val="left"/>
            </w:pPr>
            <w:r>
              <w:rPr>
                <w:sz w:val="24"/>
              </w:rPr>
              <w:t>1、患者可进行平躺式全身熏蒸，也可进行平躺式局部熏蒸。</w:t>
            </w:r>
          </w:p>
          <w:p>
            <w:pPr>
              <w:jc w:val="left"/>
            </w:pPr>
            <w:r>
              <w:rPr>
                <w:sz w:val="24"/>
              </w:rPr>
              <w:t xml:space="preserve">2、通过微电脑设置熏蒸时间和熏蒸温度等治疗参数，屏幕显示。 </w:t>
            </w:r>
          </w:p>
          <w:p>
            <w:pPr>
              <w:jc w:val="left"/>
            </w:pPr>
            <w:r>
              <w:rPr>
                <w:sz w:val="24"/>
              </w:rPr>
              <w:t xml:space="preserve">3、全不锈钢双扣中药加热锅，确保锅体加热时不漏水不漏气。 </w:t>
            </w:r>
          </w:p>
          <w:p>
            <w:pPr>
              <w:jc w:val="left"/>
            </w:pPr>
            <w:r>
              <w:rPr>
                <w:sz w:val="24"/>
              </w:rPr>
              <w:t xml:space="preserve">4、熏蒸床采用机电分离设计。 </w:t>
            </w:r>
          </w:p>
          <w:p>
            <w:pPr>
              <w:jc w:val="left"/>
            </w:pPr>
            <w:r>
              <w:rPr>
                <w:sz w:val="24"/>
              </w:rPr>
              <w:t xml:space="preserve">5、温度探头随时检测熏蒸温度，温度达到设定值时自动停止加热，熏蒸温度低于设定值时自动开始加热补温。 </w:t>
            </w:r>
          </w:p>
          <w:p>
            <w:pPr>
              <w:jc w:val="left"/>
            </w:pPr>
            <w:r>
              <w:rPr>
                <w:sz w:val="24"/>
              </w:rPr>
              <w:t xml:space="preserve">6、全自动给排水功能，开机自动进水，缺水自动补水，手动阀门排水。 </w:t>
            </w:r>
          </w:p>
          <w:p>
            <w:pPr>
              <w:jc w:val="left"/>
            </w:pPr>
            <w:r>
              <w:rPr>
                <w:sz w:val="24"/>
              </w:rPr>
              <w:t xml:space="preserve">▲7、具有水位检测系统，进水管断水，中药加热锅水位低于低水位时，设备自动停止加热并在屏幕上进行提示。 </w:t>
            </w:r>
          </w:p>
          <w:p>
            <w:pPr>
              <w:jc w:val="left"/>
            </w:pPr>
            <w:r>
              <w:rPr>
                <w:sz w:val="24"/>
              </w:rPr>
              <w:t xml:space="preserve">8、配有臭氧发生器，通过操作面板能对床体进行臭氧杀菌消毒，避免医源性交叉感染。 </w:t>
            </w:r>
          </w:p>
          <w:p>
            <w:pPr>
              <w:jc w:val="left"/>
            </w:pPr>
            <w:r>
              <w:rPr>
                <w:sz w:val="24"/>
              </w:rPr>
              <w:t xml:space="preserve">9、床体使用亚克力材料，底部装有可旋式调节脚，可根据地面平整度进行调节水平状态。 </w:t>
            </w:r>
          </w:p>
          <w:p>
            <w:pPr>
              <w:jc w:val="left"/>
            </w:pPr>
            <w:r>
              <w:rPr>
                <w:sz w:val="24"/>
              </w:rPr>
              <w:t xml:space="preserve">▲10、熏蒸床床面开有窗门，可随时调节蒸汽的出气方向和解决设备的维护保养问题。 </w:t>
            </w:r>
          </w:p>
          <w:p>
            <w:pPr>
              <w:jc w:val="left"/>
            </w:pPr>
            <w:r>
              <w:rPr>
                <w:sz w:val="24"/>
              </w:rPr>
              <w:t xml:space="preserve">11、具有冷凝水回收装置，冷凝水能随着排水管排进下水道。 </w:t>
            </w:r>
          </w:p>
          <w:p>
            <w:pPr>
              <w:jc w:val="left"/>
            </w:pPr>
            <w:r>
              <w:rPr>
                <w:sz w:val="24"/>
              </w:rPr>
              <w:t xml:space="preserve">12、配有收音机功能。 </w:t>
            </w:r>
          </w:p>
          <w:p>
            <w:pPr>
              <w:jc w:val="left"/>
            </w:pPr>
            <w:r>
              <w:rPr>
                <w:sz w:val="24"/>
              </w:rPr>
              <w:t>13、技术参数：</w:t>
            </w:r>
          </w:p>
          <w:p>
            <w:pPr>
              <w:jc w:val="left"/>
            </w:pPr>
            <w:r>
              <w:rPr>
                <w:sz w:val="24"/>
              </w:rPr>
              <w:t>电 源：220V/50HZ</w:t>
            </w:r>
            <w:r>
              <w:rPr>
                <w:sz w:val="24"/>
              </w:rPr>
              <w:t>；</w:t>
            </w:r>
          </w:p>
          <w:p>
            <w:pPr>
              <w:jc w:val="left"/>
            </w:pPr>
            <w:r>
              <w:rPr>
                <w:sz w:val="24"/>
              </w:rPr>
              <w:t>功 率：≤2000W</w:t>
            </w:r>
            <w:r>
              <w:rPr>
                <w:sz w:val="24"/>
              </w:rPr>
              <w:t>；</w:t>
            </w:r>
          </w:p>
          <w:p>
            <w:pPr>
              <w:jc w:val="left"/>
            </w:pPr>
            <w:r>
              <w:rPr>
                <w:sz w:val="24"/>
              </w:rPr>
              <w:t>时间设定范围： 0～90 分钟</w:t>
            </w:r>
            <w:r>
              <w:rPr>
                <w:sz w:val="24"/>
              </w:rPr>
              <w:t>；</w:t>
            </w:r>
          </w:p>
          <w:p>
            <w:pPr>
              <w:jc w:val="left"/>
            </w:pPr>
            <w:r>
              <w:rPr>
                <w:sz w:val="24"/>
              </w:rPr>
              <w:t>温度设定范围：20～60 摄氏度</w:t>
            </w:r>
            <w:r>
              <w:rPr>
                <w:sz w:val="24"/>
              </w:rPr>
              <w:t>；</w:t>
            </w:r>
          </w:p>
          <w:p>
            <w:pPr>
              <w:jc w:val="left"/>
            </w:pPr>
            <w:r>
              <w:rPr>
                <w:sz w:val="24"/>
              </w:rPr>
              <w:t>▲加热锅最大容积：≥6500毫升</w:t>
            </w:r>
            <w:r>
              <w:rPr>
                <w:sz w:val="24"/>
              </w:rPr>
              <w:t>；</w:t>
            </w:r>
          </w:p>
          <w:p>
            <w:pPr>
              <w:jc w:val="left"/>
            </w:pPr>
            <w:r>
              <w:rPr>
                <w:sz w:val="24"/>
              </w:rPr>
              <w:t>最大加水量：≥2000毫升</w:t>
            </w:r>
            <w:r>
              <w:rPr>
                <w:sz w:val="24"/>
              </w:rPr>
              <w:t>；</w:t>
            </w:r>
          </w:p>
          <w:p>
            <w:pPr>
              <w:jc w:val="left"/>
            </w:pPr>
            <w:r>
              <w:rPr>
                <w:sz w:val="24"/>
              </w:rPr>
              <w:t>最大蒸发量：≥1200 毫升/小时</w:t>
            </w:r>
            <w:r>
              <w:rPr>
                <w:sz w:val="24"/>
              </w:rPr>
              <w:t>；</w:t>
            </w:r>
          </w:p>
          <w:p>
            <w:pPr>
              <w:jc w:val="left"/>
            </w:pPr>
            <w:r>
              <w:rPr>
                <w:sz w:val="24"/>
              </w:rPr>
              <w:t>最大承载量：≥150公斤</w:t>
            </w:r>
            <w:r>
              <w:rPr>
                <w:sz w:val="24"/>
              </w:rPr>
              <w:t>；</w:t>
            </w:r>
          </w:p>
          <w:p>
            <w:pPr>
              <w:jc w:val="left"/>
            </w:pPr>
            <w:r>
              <w:rPr>
                <w:sz w:val="24"/>
              </w:rPr>
              <w:t>床面高度：680 毫米</w:t>
            </w:r>
            <w:r>
              <w:rPr>
                <w:sz w:val="24"/>
              </w:rPr>
              <w:t>；</w:t>
            </w:r>
          </w:p>
          <w:p>
            <w:r>
              <w:rPr>
                <w:sz w:val="24"/>
              </w:rPr>
              <w:t>体积(长×宽×高)：2200×750×1050 毫米。</w:t>
            </w:r>
          </w:p>
          <w:p>
            <w:pPr>
              <w:jc w:val="center"/>
            </w:pPr>
            <w:r>
              <w:rPr>
                <w:b/>
                <w:sz w:val="24"/>
              </w:rPr>
              <w:t>（四）低频治疗仪</w:t>
            </w:r>
          </w:p>
          <w:p>
            <w:pPr>
              <w:jc w:val="both"/>
            </w:pPr>
            <w:r>
              <w:rPr>
                <w:sz w:val="24"/>
              </w:rPr>
              <w:t>1、环境温度范围：5℃～40℃。</w:t>
            </w:r>
          </w:p>
          <w:p>
            <w:pPr>
              <w:jc w:val="both"/>
            </w:pPr>
            <w:r>
              <w:rPr>
                <w:sz w:val="24"/>
              </w:rPr>
              <w:t>2、相对湿度：≤80%。</w:t>
            </w:r>
          </w:p>
          <w:p>
            <w:pPr>
              <w:jc w:val="both"/>
            </w:pPr>
            <w:r>
              <w:rPr>
                <w:sz w:val="24"/>
              </w:rPr>
              <w:t>3、大气压力范围：70kPa～106kPa。</w:t>
            </w:r>
          </w:p>
          <w:p>
            <w:pPr>
              <w:jc w:val="both"/>
            </w:pPr>
            <w:r>
              <w:rPr>
                <w:sz w:val="24"/>
              </w:rPr>
              <w:t>4、电源：Ac220V  50Hz。</w:t>
            </w:r>
          </w:p>
          <w:p>
            <w:pPr>
              <w:jc w:val="both"/>
            </w:pPr>
            <w:r>
              <w:rPr>
                <w:sz w:val="24"/>
              </w:rPr>
              <w:t>5、输入功率不大于250VA。</w:t>
            </w:r>
          </w:p>
          <w:p>
            <w:pPr>
              <w:jc w:val="both"/>
            </w:pPr>
            <w:r>
              <w:rPr>
                <w:sz w:val="24"/>
              </w:rPr>
              <w:t>▲6、输出脉冲宽度：300μs±10%。</w:t>
            </w:r>
          </w:p>
          <w:p>
            <w:pPr>
              <w:jc w:val="both"/>
            </w:pPr>
            <w:r>
              <w:rPr>
                <w:sz w:val="24"/>
              </w:rPr>
              <w:t>▲7、输出脉冲频率：0.8Hz～520.2Hz自动调整。</w:t>
            </w:r>
          </w:p>
          <w:p>
            <w:pPr>
              <w:jc w:val="both"/>
            </w:pPr>
            <w:r>
              <w:rPr>
                <w:sz w:val="24"/>
              </w:rPr>
              <w:t>▲8、输出脉冲最大幅度：不大于38V。</w:t>
            </w:r>
          </w:p>
          <w:p>
            <w:pPr>
              <w:jc w:val="both"/>
            </w:pPr>
            <w:r>
              <w:rPr>
                <w:sz w:val="24"/>
              </w:rPr>
              <w:t>▲9、输出最大有效值：5.8V。</w:t>
            </w:r>
          </w:p>
          <w:p>
            <w:pPr>
              <w:jc w:val="both"/>
            </w:pPr>
            <w:r>
              <w:rPr>
                <w:sz w:val="24"/>
              </w:rPr>
              <w:t>10、吸附负压范围：0～-35kPa。</w:t>
            </w:r>
          </w:p>
          <w:p>
            <w:pPr>
              <w:jc w:val="both"/>
            </w:pPr>
            <w:r>
              <w:rPr>
                <w:sz w:val="24"/>
              </w:rPr>
              <w:t>▲11、定时设置范围：0～60min±1% 默认值20min，调节步长1min；</w:t>
            </w:r>
          </w:p>
          <w:p>
            <w:pPr>
              <w:jc w:val="both"/>
            </w:pPr>
            <w:r>
              <w:rPr>
                <w:sz w:val="24"/>
              </w:rPr>
              <w:t>▲12、处方设置：1#～6#，默认1#。</w:t>
            </w:r>
          </w:p>
          <w:p>
            <w:pPr>
              <w:jc w:val="both"/>
            </w:pPr>
            <w:r>
              <w:rPr>
                <w:sz w:val="24"/>
              </w:rPr>
              <w:t>13、皮肤电极单个脉冲的最大输出能量≤0.5mJ。</w:t>
            </w:r>
          </w:p>
          <w:p>
            <w:pPr>
              <w:jc w:val="both"/>
            </w:pPr>
            <w:r>
              <w:rPr>
                <w:sz w:val="24"/>
              </w:rPr>
              <w:t>▲14、输出具有4组吸附电极、4组贴片电极，可调输出显示指示清晰。</w:t>
            </w:r>
          </w:p>
          <w:p>
            <w:pPr>
              <w:jc w:val="both"/>
            </w:pPr>
            <w:r>
              <w:rPr>
                <w:sz w:val="24"/>
              </w:rPr>
              <w:t>▲15、采用数字化技术，治疗波形、频率和幅度实时变化，频率变化分辨率可达到1Hz。</w:t>
            </w:r>
          </w:p>
          <w:p>
            <w:pPr>
              <w:jc w:val="both"/>
            </w:pPr>
            <w:r>
              <w:rPr>
                <w:sz w:val="24"/>
              </w:rPr>
              <w:t>▲16、使用负压吸附系统，双路吸附电极能吸附于治疗部位，起到中医拔罐作用。</w:t>
            </w:r>
          </w:p>
          <w:p>
            <w:pPr>
              <w:jc w:val="both"/>
            </w:pPr>
            <w:r>
              <w:rPr>
                <w:sz w:val="24"/>
              </w:rPr>
              <w:t>▲17、治疗仪在治疗过程中，电极开路、短路或电源复通预置不为零时报警并切断输出，治疗结束时声音提示。</w:t>
            </w:r>
          </w:p>
          <w:p>
            <w:pPr>
              <w:jc w:val="both"/>
            </w:pPr>
            <w:r>
              <w:rPr>
                <w:sz w:val="24"/>
              </w:rPr>
              <w:t>18、高清显示内容。</w:t>
            </w:r>
          </w:p>
          <w:p>
            <w:pPr>
              <w:jc w:val="both"/>
            </w:pPr>
            <w:r>
              <w:rPr>
                <w:sz w:val="24"/>
              </w:rPr>
              <w:t>▲19、立体柜式设计，可存放备品备件，能灵活移动，带刹车。</w:t>
            </w:r>
          </w:p>
          <w:p>
            <w:pPr>
              <w:jc w:val="center"/>
            </w:pPr>
            <w:r>
              <w:rPr>
                <w:b/>
                <w:sz w:val="24"/>
              </w:rPr>
              <w:t>（五）超声电导（离子导入）治疗仪</w:t>
            </w:r>
          </w:p>
          <w:p>
            <w:r>
              <w:rPr>
                <w:b/>
                <w:sz w:val="24"/>
              </w:rPr>
              <w:t>1、主要技术参数：</w:t>
            </w:r>
          </w:p>
          <w:p>
            <w:r>
              <w:rPr>
                <w:sz w:val="24"/>
              </w:rPr>
              <w:t>1.1、工作频率：1KHz～12KHz±10%。</w:t>
            </w:r>
          </w:p>
          <w:p>
            <w:r>
              <w:rPr>
                <w:sz w:val="24"/>
              </w:rPr>
              <w:t>1.2、输出电流：在500Ω的负载电阻下，输出电流不超过以下的限值：频率≤1500Hz，为80mA（r.m.s），频率＞1500Hz为100mA（r.m.s）。</w:t>
            </w:r>
          </w:p>
          <w:p>
            <w:r>
              <w:rPr>
                <w:sz w:val="24"/>
              </w:rPr>
              <w:t>1.3、调制频率范围：在0～150Hz范围内。</w:t>
            </w:r>
          </w:p>
          <w:p>
            <w:r>
              <w:rPr>
                <w:sz w:val="24"/>
              </w:rPr>
              <w:t>1.4、调幅度：0%、33%、60%、100%四种调幅度，调幅度允差±5%。</w:t>
            </w:r>
          </w:p>
          <w:p>
            <w:r>
              <w:rPr>
                <w:sz w:val="24"/>
              </w:rPr>
              <w:t>1.5、调制波形：方波、尖波、三角波、指数波、锯齿波、正弦波、等幅波、梯形波、扇形波、扇指波、以及它们的组合波形。</w:t>
            </w:r>
          </w:p>
          <w:p>
            <w:r>
              <w:rPr>
                <w:sz w:val="24"/>
              </w:rPr>
              <w:t>1.6、时间调节：默认处方时间：20min、30min误差±10%。时间可调功能：1min～99min，步进1min，误差±10%。（到达预定时间发出声音信号并自动停止输出）。</w:t>
            </w:r>
          </w:p>
          <w:p>
            <w:r>
              <w:rPr>
                <w:sz w:val="24"/>
              </w:rPr>
              <w:t>1.7、输出通道：二路同步电刺激、异步电刺激通道；二路同步（温热）电刺激、异步（温热）电刺激通道。</w:t>
            </w:r>
          </w:p>
          <w:p>
            <w:r>
              <w:rPr>
                <w:sz w:val="24"/>
              </w:rPr>
              <w:t>1.8、热电极温度：25℃～41℃，多档可调。</w:t>
            </w:r>
          </w:p>
          <w:p>
            <w:r>
              <w:rPr>
                <w:sz w:val="24"/>
              </w:rPr>
              <w:t>1.9、治疗处方：≥50个专家治疗处方。</w:t>
            </w:r>
          </w:p>
          <w:p>
            <w:r>
              <w:rPr>
                <w:sz w:val="24"/>
              </w:rPr>
              <w:t>1.10、其中含多步程序（≥24个）、音频电流、正弦调制、脉冲调制。</w:t>
            </w:r>
          </w:p>
          <w:p>
            <w:r>
              <w:rPr>
                <w:sz w:val="24"/>
              </w:rPr>
              <w:t>1.11、电源电压：220V/50Hz。</w:t>
            </w:r>
          </w:p>
          <w:p>
            <w:r>
              <w:rPr>
                <w:sz w:val="24"/>
              </w:rPr>
              <w:t>1.12、输入功率：≤90VA。</w:t>
            </w:r>
          </w:p>
          <w:p>
            <w:r>
              <w:rPr>
                <w:sz w:val="24"/>
              </w:rPr>
              <w:t>1.13、工作条件：环境温度+5℃-+40℃，相对湿度≤80%。</w:t>
            </w:r>
          </w:p>
          <w:p>
            <w:r>
              <w:rPr>
                <w:sz w:val="24"/>
              </w:rPr>
              <w:t>1.14、体系认证：生产企业通过ISO9001:2015质量管理体系认证；体系认证：生产企业通过ISO13485：2016医疗器械质量管理体系认证。</w:t>
            </w:r>
          </w:p>
          <w:p>
            <w:r>
              <w:rPr>
                <w:b/>
                <w:sz w:val="24"/>
              </w:rPr>
              <w:t>2、适用范围：</w:t>
            </w:r>
            <w:r>
              <w:rPr>
                <w:sz w:val="24"/>
              </w:rPr>
              <w:t>该产品具有镇痛、改善局部血液循环，促进炎症消散，轮化瘢痕松解粘连、兴奋神经肌肉作用。</w:t>
            </w:r>
          </w:p>
          <w:p>
            <w:pPr>
              <w:jc w:val="center"/>
            </w:pPr>
            <w:r>
              <w:rPr>
                <w:b/>
                <w:sz w:val="24"/>
              </w:rPr>
              <w:t>（六）新生儿黄疸测定仪</w:t>
            </w:r>
          </w:p>
          <w:p>
            <w:r>
              <w:rPr>
                <w:sz w:val="24"/>
              </w:rPr>
              <w:t>1、检测方法：采用蓝、绿光比较方法。</w:t>
            </w:r>
          </w:p>
          <w:p>
            <w:r>
              <w:rPr>
                <w:sz w:val="24"/>
              </w:rPr>
              <w:t>2、显示方法：3位数字显示屏。</w:t>
            </w:r>
          </w:p>
          <w:p>
            <w:r>
              <w:rPr>
                <w:sz w:val="24"/>
              </w:rPr>
              <w:t xml:space="preserve">3、读取方法：通过新生儿前额可直接测定经皮胆红素值。 </w:t>
            </w:r>
          </w:p>
          <w:p>
            <w:r>
              <w:rPr>
                <w:sz w:val="24"/>
              </w:rPr>
              <w:t>4、平均值计算：可自动计算2～5次测量的平均值。</w:t>
            </w:r>
          </w:p>
          <w:p>
            <w:r>
              <w:rPr>
                <w:sz w:val="24"/>
              </w:rPr>
              <w:t>5、测量范围：0.0mg/dL～32.0mg/dL或0.0μmol/L～544μmol/L。</w:t>
            </w:r>
          </w:p>
          <w:p>
            <w:r>
              <w:rPr>
                <w:sz w:val="24"/>
              </w:rPr>
              <w:t>6、测量误差：±1.5 mg/dL或±25.5μmol/L。</w:t>
            </w:r>
          </w:p>
          <w:p>
            <w:r>
              <w:rPr>
                <w:sz w:val="24"/>
              </w:rPr>
              <w:t>7、测量单位：mg/dL、umol/L可一键式转换。</w:t>
            </w:r>
          </w:p>
          <w:p>
            <w:r>
              <w:rPr>
                <w:sz w:val="24"/>
              </w:rPr>
              <w:t xml:space="preserve">8、光源：氙闪光灯。 </w:t>
            </w:r>
          </w:p>
          <w:p>
            <w:r>
              <w:rPr>
                <w:sz w:val="24"/>
              </w:rPr>
              <w:t>▲9、电源：AA1.5v×2电池。</w:t>
            </w:r>
          </w:p>
          <w:p>
            <w:r>
              <w:rPr>
                <w:sz w:val="24"/>
              </w:rPr>
              <w:t>10、开启准备时间 ：＜12秒</w:t>
            </w:r>
          </w:p>
          <w:p>
            <w:r>
              <w:rPr>
                <w:sz w:val="24"/>
              </w:rPr>
              <w:t>11、存储功能：可以存储≥20个最近的测量结果，并可以循环查看存储数据</w:t>
            </w:r>
          </w:p>
          <w:p>
            <w:r>
              <w:rPr>
                <w:sz w:val="24"/>
              </w:rPr>
              <w:t>12、校验盘：对白色屏显示00或01，对黄色屏显示20±1</w:t>
            </w:r>
          </w:p>
          <w:p>
            <w:r>
              <w:rPr>
                <w:sz w:val="24"/>
              </w:rPr>
              <w:t>▲13、产品通过ISO9001:2015质量管理体系认证、ISO13485：2016医疗器械质量管理体系认证。</w:t>
            </w:r>
          </w:p>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韶关市曲江区白土镇卫生院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服务费由中标供应商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收取中标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邹小姐</w:t>
      </w:r>
    </w:p>
    <w:p>
      <w:pPr>
        <w:ind w:firstLine="480"/>
      </w:pPr>
      <w:r>
        <w:rPr/>
        <w:t>电话：</w:t>
      </w:r>
      <w:r>
        <w:rPr/>
        <w:t>0751-8115118</w:t>
      </w:r>
    </w:p>
    <w:p>
      <w:pPr>
        <w:ind w:firstLine="480"/>
      </w:pPr>
      <w:r>
        <w:rPr/>
        <w:t>传真：</w:t>
      </w:r>
      <w:r>
        <w:rPr/>
        <w:t>0751-8115118</w:t>
      </w:r>
    </w:p>
    <w:p>
      <w:pPr>
        <w:ind w:firstLine="480"/>
      </w:pPr>
      <w:r>
        <w:rPr/>
        <w:t>邮箱：</w:t>
      </w:r>
      <w:r>
        <w:rPr/>
        <w:t>shaoguan_yuandong@163.com</w:t>
      </w:r>
    </w:p>
    <w:p>
      <w:pPr>
        <w:ind w:firstLine="480"/>
      </w:pPr>
      <w:r>
        <w:rPr/>
        <w:t>地址：</w:t>
      </w:r>
      <w:r>
        <w:rPr/>
        <w:t>广东省广州市越秀区越秀北路222号608-612室</w:t>
      </w:r>
    </w:p>
    <w:p>
      <w:pPr>
        <w:ind w:firstLine="480"/>
      </w:pPr>
      <w:r>
        <w:rPr/>
        <w:t>邮编：</w:t>
      </w:r>
      <w:r>
        <w:rPr/>
        <w:t>510030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政府采购监督管理机构名称：韶关市曲江区财政局</w:t>
      </w:r>
    </w:p>
    <w:p>
      <w:r>
        <w:rPr/>
        <w:t>地  址：韶关市曲江区马坝镇中华二号5号</w:t>
      </w:r>
    </w:p>
    <w:p>
      <w:r>
        <w:rPr/>
        <w:t>电  话：0751-6683999</w:t>
      </w:r>
    </w:p>
    <w:p>
      <w:r>
        <w:rPr/>
        <w:t>邮  编：512100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白土镇卫生院提升服务能力建设项目-医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采购包1（白土镇卫生院提升服务能力建设项目-医疗设备采购项目）：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15%</w:t>
            </w:r>
          </w:p>
        </w:tc>
        <w:tc>
          <w:tcPr>
            <w:tcW w:type="dxa" w:w="2160"/>
          </w:tcPr>
          <w:p>
            <w:pPr>
              <w:jc w:val="left"/>
            </w:pPr>
            <w:r>
              <w:rPr/>
              <w:t>货物由小微企业制造，即货物由小微企业生产且使用该小微企业商号或者注册商标时，给予15%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采购包1（白土镇卫生院提升服务能力建设项目-医疗设备采购项目）：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供应商必须具有良好的商业信誉和健全的财务会计制度（提供2021年度财务状况报告或2022年任意1个月的财务报表或基本开户行出具的资信证明）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投标人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采购包1（白土镇卫生院提升服务能力建设项目-医疗设备采购项目）：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投标报价不超过最高限价</w:t>
            </w:r>
          </w:p>
        </w:tc>
        <w:tc>
          <w:tcPr>
            <w:tcW w:type="dxa" w:w="4238"/>
          </w:tcPr>
          <w:p>
            <w:r>
              <w:rPr/>
              <w:t>投标报价不超过最高限价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没有被评标委员会认定投标人低于成本报价</w:t>
            </w:r>
          </w:p>
        </w:tc>
        <w:tc>
          <w:tcPr>
            <w:tcW w:type="dxa" w:w="4238"/>
          </w:tcPr>
          <w:p>
            <w:r>
              <w:rPr/>
              <w:t>没有被评标委员会认定投标人低于成本报价</w:t>
            </w:r>
          </w:p>
        </w:tc>
      </w:tr>
      <w:tr>
        <w:tc>
          <w:tcPr>
            <w:tcW w:type="dxa" w:w="890"/>
          </w:tcPr>
          <w:p>
            <w:r>
              <w:rPr/>
              <w:t>4</w:t>
            </w:r>
          </w:p>
        </w:tc>
        <w:tc>
          <w:tcPr>
            <w:tcW w:type="dxa" w:w="3178"/>
          </w:tcPr>
          <w:p>
            <w:r>
              <w:rPr/>
              <w:t>投标商务技术没有实质性不响应</w:t>
            </w:r>
          </w:p>
        </w:tc>
        <w:tc>
          <w:tcPr>
            <w:tcW w:type="dxa" w:w="4238"/>
          </w:tcPr>
          <w:p>
            <w:r>
              <w:rPr/>
              <w:t>投标商务技术没有实质性不响应</w:t>
            </w:r>
          </w:p>
        </w:tc>
      </w:tr>
      <w:tr>
        <w:tc>
          <w:tcPr>
            <w:tcW w:type="dxa" w:w="890"/>
          </w:tcPr>
          <w:p>
            <w:r>
              <w:rPr/>
              <w:t>5</w:t>
            </w:r>
          </w:p>
        </w:tc>
        <w:tc>
          <w:tcPr>
            <w:tcW w:type="dxa" w:w="3178"/>
          </w:tcPr>
          <w:p>
            <w:r>
              <w:rPr/>
              <w:t>交付使用期符合招标要求</w:t>
            </w:r>
          </w:p>
        </w:tc>
        <w:tc>
          <w:tcPr>
            <w:tcW w:type="dxa" w:w="4238"/>
          </w:tcPr>
          <w:p>
            <w:r>
              <w:rPr/>
              <w:t>交付使用期符合招标要求</w:t>
            </w:r>
          </w:p>
        </w:tc>
      </w:tr>
      <w:tr>
        <w:tc>
          <w:tcPr>
            <w:tcW w:type="dxa" w:w="890"/>
          </w:tcPr>
          <w:p>
            <w:r>
              <w:rPr/>
              <w:t>6</w:t>
            </w:r>
          </w:p>
        </w:tc>
        <w:tc>
          <w:tcPr>
            <w:tcW w:type="dxa" w:w="3178"/>
          </w:tcPr>
          <w:p>
            <w:r>
              <w:rPr/>
              <w:t>无招标文件规定的投标无效情况</w:t>
            </w:r>
          </w:p>
        </w:tc>
        <w:tc>
          <w:tcPr>
            <w:tcW w:type="dxa" w:w="4238"/>
          </w:tcPr>
          <w:p>
            <w:r>
              <w:rPr/>
              <w:t>无招标文件规定的投标无效情况</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白土镇卫生院提升服务能力建设项目-医疗设备采购项目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(19.0分)</w:t>
            </w:r>
          </w:p>
        </w:tc>
        <w:tc>
          <w:tcPr>
            <w:tcW w:type="dxa" w:w="5076"/>
          </w:tcPr>
          <w:p>
            <w:pPr>
              <w:jc w:val="left"/>
            </w:pPr>
            <w:r>
              <w:rPr/>
              <w:t>投标人提供的产品完全满足或优于《用户需求书》标“▲”重要技术参数指标要求的，得19分，每一项不满足的扣0.5分，扣完为止。 注：用户需求书中条款标注“▲”条款中明确要求提供证明资料的，以投标人提供的证明资料加盖投标人公章为准，用户需求中没有明确要求提供证明资料的，则以投标人提供所投产品彩页原件或原厂商的技术白皮书或原厂商所作的技术参数说明等详细技术资料复印件加盖投标人公章。</w:t>
            </w:r>
          </w:p>
        </w:tc>
      </w:tr>
      <w:tr>
        <w:tc>
          <w:tcPr>
            <w:tcW w:type="dxa" w:w="922"/>
            <w:gridSpan w:val="2"/>
            <w:vMerge/>
          </w:tcPr>
          <w:p/>
        </w:tc>
        <w:tc>
          <w:tcPr>
            <w:tcW w:type="dxa" w:w="2307"/>
          </w:tcPr>
          <w:p>
            <w:pPr>
              <w:jc w:val="left"/>
            </w:pPr>
            <w:r>
              <w:rPr/>
              <w:t>技术参数响应程度 (10.0分)</w:t>
            </w:r>
          </w:p>
        </w:tc>
        <w:tc>
          <w:tcPr>
            <w:tcW w:type="dxa" w:w="5076"/>
          </w:tcPr>
          <w:p>
            <w:pPr>
              <w:jc w:val="left"/>
            </w:pPr>
            <w:r>
              <w:rPr/>
              <w:t>投标人提供的产品完全满足或优于《用户需求书》不带“▲”的一般技术参数指标要求的，得10分。 1、有1～5项条款为负偏离/无响应的，得7分； 2、有6～10项条款为负偏离/无响应的，得3分； 3、有11项及以上条款为负偏离/无响应的，得0分。 注：用户需求书中不带“▲”的一般技术参数条款中明确要求提供证明资料的，以投标人提供的证明资料加盖投标人公章为准，用户需求书中没有明确要求提供证明资料的，则以投标人提供所投产品彩页原件或原厂商的技术白皮书或原厂商所作的技术参数说明等详细技术资料复印件加盖投标人公章，凡标有最低一级序号的指标项即为一项技术条款，无论是否隶属于上一级编号。相同内容的条款不重复计算项数。</w:t>
            </w:r>
          </w:p>
        </w:tc>
      </w:tr>
      <w:tr>
        <w:tc>
          <w:tcPr>
            <w:tcW w:type="dxa" w:w="922"/>
            <w:gridSpan w:val="2"/>
            <w:vMerge/>
          </w:tcPr>
          <w:p/>
        </w:tc>
        <w:tc>
          <w:tcPr>
            <w:tcW w:type="dxa" w:w="2307"/>
          </w:tcPr>
          <w:p>
            <w:pPr>
              <w:jc w:val="left"/>
            </w:pPr>
            <w:r>
              <w:rPr/>
              <w:t>设备安装、调试及检验验收 (8.0分)</w:t>
            </w:r>
            <w:r>
              <w:rPr/>
              <w:t>，（等次分值选择：</w:t>
            </w:r>
            <w:r>
              <w:rPr/>
              <w:t>0.0;</w:t>
            </w:r>
            <w:r>
              <w:rPr/>
              <w:t>1.0;</w:t>
            </w:r>
            <w:r>
              <w:rPr/>
              <w:t>3.0;</w:t>
            </w:r>
            <w:r>
              <w:rPr/>
              <w:t>5.0;</w:t>
            </w:r>
            <w:r>
              <w:rPr/>
              <w:t>8.0;</w:t>
            </w:r>
            <w:r>
              <w:rPr/>
              <w:t>）</w:t>
            </w:r>
          </w:p>
        </w:tc>
        <w:tc>
          <w:tcPr>
            <w:tcW w:type="dxa" w:w="5076"/>
          </w:tcPr>
          <w:p>
            <w:pPr>
              <w:jc w:val="left"/>
            </w:pPr>
            <w:r>
              <w:rPr/>
              <w:t>根据投标人所拟定的产品安装调试及检验验收方案进行综合评审打分： 1、具有科学完善的设备安装调试流程和检验验收方案，整个安装过程派技术人员跟进，做好厂方和使用科室的沟通桥梁，在安装、检查、安全、使用等各方面有关人员共同参加下进行验收，保证设备测试、安装、操作的安全性的，得8分； 2、具有较为科学完善的设备安装调试流程和检验验收方案，较能保证设备测试、安装、操作的安全性的，得5分； 3、设备安装调试流程和检验验收方案基本完善，基本保证设备测试、安装、操作的安全性的，得3分； 4、设备安装调试流程和检验验收方案不够科学完善，未能保证设备测试、安装、操作的安全性的，得1分； 5、其他情况不得分。</w:t>
            </w:r>
          </w:p>
        </w:tc>
      </w:tr>
      <w:tr>
        <w:tc>
          <w:tcPr>
            <w:tcW w:type="dxa" w:w="922"/>
            <w:gridSpan w:val="2"/>
            <w:vMerge/>
          </w:tcPr>
          <w:p/>
        </w:tc>
        <w:tc>
          <w:tcPr>
            <w:tcW w:type="dxa" w:w="2307"/>
          </w:tcPr>
          <w:p>
            <w:pPr>
              <w:jc w:val="left"/>
            </w:pPr>
            <w:r>
              <w:rPr/>
              <w:t>项目实施方案 (7.0分)</w:t>
            </w:r>
            <w:r>
              <w:rPr/>
              <w:t>，（等次分值选择：</w:t>
            </w:r>
            <w:r>
              <w:rPr/>
              <w:t>0.0;</w:t>
            </w:r>
            <w:r>
              <w:rPr/>
              <w:t>1.0;</w:t>
            </w:r>
            <w:r>
              <w:rPr/>
              <w:t>3.0;</w:t>
            </w:r>
            <w:r>
              <w:rPr/>
              <w:t>5.0;</w:t>
            </w:r>
            <w:r>
              <w:rPr/>
              <w:t>7.0;</w:t>
            </w:r>
            <w:r>
              <w:rPr/>
              <w:t>）</w:t>
            </w:r>
          </w:p>
        </w:tc>
        <w:tc>
          <w:tcPr>
            <w:tcW w:type="dxa" w:w="5076"/>
          </w:tcPr>
          <w:p>
            <w:pPr>
              <w:jc w:val="left"/>
            </w:pPr>
            <w:r>
              <w:rPr/>
              <w:t>根据投标人提供的项目实施方案（方案是否结合实际、详细，科学可行等）进行评审： 1、整体实施方案充分结合实际、详尽规划、细节丰富、方案精良的，得7分； 2、整体实施方案较充分结合实际、较详尽规划、细节较丰富、方案较精良的，得5分； 3、整体实施方案部分结合实际、进度规划一般、细节一般、方案一般的，得3分； 4、整体实施方案的与实际不尽相符、规划粗略、细节欠缺、方案欠佳的，得1分； 5、其他情况或无响应，得0分。</w:t>
            </w:r>
          </w:p>
        </w:tc>
      </w:tr>
      <w:tr>
        <w:tc>
          <w:tcPr>
            <w:tcW w:type="dxa" w:w="922"/>
            <w:gridSpan w:val="2"/>
            <w:vMerge/>
          </w:tcPr>
          <w:p/>
        </w:tc>
        <w:tc>
          <w:tcPr>
            <w:tcW w:type="dxa" w:w="2307"/>
          </w:tcPr>
          <w:p>
            <w:pPr>
              <w:jc w:val="left"/>
            </w:pPr>
            <w:r>
              <w:rPr/>
              <w:t>培训方案 (6.0分)</w:t>
            </w:r>
            <w:r>
              <w:rPr/>
              <w:t>，（等次分值选择：</w:t>
            </w:r>
            <w:r>
              <w:rPr/>
              <w:t>0.0;</w:t>
            </w:r>
            <w:r>
              <w:rPr/>
              <w:t>1.0;</w:t>
            </w:r>
            <w:r>
              <w:rPr/>
              <w:t>3.0;</w:t>
            </w:r>
            <w:r>
              <w:rPr/>
              <w:t>6.0;</w:t>
            </w:r>
            <w:r>
              <w:rPr/>
              <w:t>）</w:t>
            </w:r>
          </w:p>
        </w:tc>
        <w:tc>
          <w:tcPr>
            <w:tcW w:type="dxa" w:w="5076"/>
          </w:tcPr>
          <w:p>
            <w:pPr>
              <w:jc w:val="left"/>
            </w:pPr>
            <w:r>
              <w:rPr/>
              <w:t>根据投标人提供的培训方案（方案是否结合实际、详细，科学可行等）进行评审： 1、具有完善具体的培训方案，各阶段计划详尽的，得6分； 2、有培训计划方案，各阶段计划完善但不具详细的，得3分； 3、有培训计划方案，各阶段计划不完整，具有一定可行性的，得1分； 4、其他情况或无响应，得0分。</w:t>
            </w:r>
          </w:p>
        </w:tc>
      </w:tr>
      <w:tr>
        <w:tc>
          <w:tcPr>
            <w:tcW w:type="dxa" w:w="922"/>
            <w:gridSpan w:val="2"/>
            <w:vMerge w:val="restart"/>
          </w:tcPr>
          <w:p>
            <w:pPr>
              <w:jc w:val="center"/>
            </w:pPr>
            <w:r>
              <w:rPr/>
              <w:t>商务部分</w:t>
            </w:r>
          </w:p>
        </w:tc>
        <w:tc>
          <w:tcPr>
            <w:tcW w:type="dxa" w:w="2307"/>
          </w:tcPr>
          <w:p>
            <w:pPr>
              <w:jc w:val="left"/>
            </w:pPr>
            <w:r>
              <w:rPr/>
              <w:t>同类项目业绩 (8.0分)</w:t>
            </w:r>
          </w:p>
        </w:tc>
        <w:tc>
          <w:tcPr>
            <w:tcW w:type="dxa" w:w="5076"/>
          </w:tcPr>
          <w:p>
            <w:pPr>
              <w:jc w:val="left"/>
            </w:pPr>
            <w:r>
              <w:rPr/>
              <w:t>投标人自2018年1月1日以来同类项目业绩，每提供一个得2分，本项最高得8分。 注：提供有效的合同复印件或中标（成交）通知书加盖公章。</w:t>
            </w:r>
          </w:p>
        </w:tc>
      </w:tr>
      <w:tr>
        <w:tc>
          <w:tcPr>
            <w:tcW w:type="dxa" w:w="922"/>
            <w:gridSpan w:val="2"/>
            <w:vMerge/>
          </w:tcPr>
          <w:p/>
        </w:tc>
        <w:tc>
          <w:tcPr>
            <w:tcW w:type="dxa" w:w="2307"/>
          </w:tcPr>
          <w:p>
            <w:pPr>
              <w:jc w:val="left"/>
            </w:pPr>
            <w:r>
              <w:rPr/>
              <w:t>售后保证 (6.0分)</w:t>
            </w:r>
          </w:p>
        </w:tc>
        <w:tc>
          <w:tcPr>
            <w:tcW w:type="dxa" w:w="5076"/>
          </w:tcPr>
          <w:p>
            <w:pPr>
              <w:jc w:val="left"/>
            </w:pPr>
            <w:r>
              <w:rPr/>
              <w:t>如投标人为经销商，提供所投产品制造商对产品的授权及原厂售后服务承诺函原件，每提供1个得6分；如投标人为所投产品制造商，提供售后服务承诺函原件，每提供1个得1分；此项满分6分。</w:t>
            </w:r>
          </w:p>
        </w:tc>
      </w:tr>
      <w:tr>
        <w:tc>
          <w:tcPr>
            <w:tcW w:type="dxa" w:w="922"/>
            <w:gridSpan w:val="2"/>
            <w:vMerge/>
          </w:tcPr>
          <w:p/>
        </w:tc>
        <w:tc>
          <w:tcPr>
            <w:tcW w:type="dxa" w:w="2307"/>
          </w:tcPr>
          <w:p>
            <w:pPr>
              <w:jc w:val="left"/>
            </w:pPr>
            <w:r>
              <w:rPr/>
              <w:t>售后服务便利性及售后服务计划 (6.0分)</w:t>
            </w:r>
            <w:r>
              <w:rPr/>
              <w:t>，（等次分值选择：</w:t>
            </w:r>
            <w:r>
              <w:rPr/>
              <w:t>0.0;</w:t>
            </w:r>
            <w:r>
              <w:rPr/>
              <w:t>1.0;</w:t>
            </w:r>
            <w:r>
              <w:rPr/>
              <w:t>3.0;</w:t>
            </w:r>
            <w:r>
              <w:rPr/>
              <w:t>6.0;</w:t>
            </w:r>
            <w:r>
              <w:rPr/>
              <w:t>）</w:t>
            </w:r>
          </w:p>
        </w:tc>
        <w:tc>
          <w:tcPr>
            <w:tcW w:type="dxa" w:w="5076"/>
          </w:tcPr>
          <w:p>
            <w:pPr>
              <w:jc w:val="left"/>
            </w:pPr>
            <w:r>
              <w:rPr/>
              <w:t>对有效供应商拟投货物的售后服务便利性及售后服务计划进行评审： 1、承诺能完全满足或优于招标文件的售后服务要求，方案详细，售后服务反应时间快，且包括了所有可能会出现的问题及维护方式，措施内容可行性高的，得6分； 2、承诺大部分能满足招标文件的售后服务要求，方案较详细，只表述了大部分可能会出现的问题及维护方式，措施内容可行性一般的，得3分； 3、承诺基本能满足招标文件的售后服务要求，方案简单，只表述了一些可能会出现的问题及维护方式，措施内容可行性较差的，得1分； 4、不能承诺满足招标文件要求，且方案表述不清，措施内容可行性差的，得0分。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ind w:firstLine="422"/>
        <w:jc w:val="both"/>
      </w:pPr>
      <w:r>
        <w:rPr>
          <w:b/>
          <w:sz w:val="24"/>
        </w:rPr>
        <w:t>甲    方：</w:t>
      </w:r>
      <w:r>
        <w:rPr>
          <w:b/>
          <w:sz w:val="24"/>
          <w:u w:val="single"/>
        </w:rPr>
        <w:t xml:space="preserve">                  </w:t>
      </w:r>
    </w:p>
    <w:p>
      <w:pPr>
        <w:ind w:firstLine="422"/>
        <w:jc w:val="left"/>
      </w:pPr>
      <w:r>
        <w:rPr>
          <w:b/>
          <w:sz w:val="24"/>
        </w:rPr>
        <w:t>乙    方：</w:t>
      </w:r>
      <w:r>
        <w:rPr>
          <w:b/>
          <w:sz w:val="24"/>
          <w:u w:val="single"/>
        </w:rPr>
        <w:t xml:space="preserve">                   </w:t>
      </w:r>
      <w:r>
        <w:br/>
      </w:r>
      <w:r>
        <w:rPr>
          <w:sz w:val="24"/>
        </w:rPr>
        <w:t xml:space="preserve"> 根据</w:t>
      </w:r>
      <w:r>
        <w:rPr>
          <w:sz w:val="24"/>
          <w:u w:val="single"/>
        </w:rPr>
        <w:t xml:space="preserve">               </w:t>
      </w:r>
      <w:r>
        <w:rPr>
          <w:sz w:val="24"/>
        </w:rPr>
        <w:t>项目的采购结果，按照《中华人民共和国政府采购法》《中华人民共和国民法典》（合同编）的规定，经双方协商，本着平等互利和诚实信用的原则，一致同意签订本合同如下。</w:t>
      </w:r>
    </w:p>
    <w:p>
      <w:pPr>
        <w:jc w:val="left"/>
      </w:pPr>
      <w:r>
        <w:rPr>
          <w:sz w:val="24"/>
        </w:rPr>
        <w:t>一、合同标的</w:t>
      </w:r>
    </w:p>
    <w:p>
      <w:pPr>
        <w:jc w:val="left"/>
      </w:pPr>
      <w:r>
        <w:rPr>
          <w:sz w:val="24"/>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209"/>
        <w:gridCol w:w="1397"/>
        <w:gridCol w:w="833"/>
        <w:gridCol w:w="967"/>
        <w:gridCol w:w="967"/>
        <w:gridCol w:w="1290"/>
        <w:gridCol w:w="1612"/>
      </w:tblGrid>
      <w:tr>
        <w:tc>
          <w:tcPr>
            <w:tcW w:type="dxa" w:w="1209"/>
            <w:tcBorders>
              <w:top w:val="single" w:color="000000" w:sz="4"/>
              <w:left w:val="single" w:color="000000" w:sz="4"/>
              <w:bottom w:val="single" w:color="000000" w:sz="4"/>
              <w:right w:val="single" w:color="000000" w:sz="4"/>
            </w:tcBorders>
            <w:vAlign w:val="top"/>
          </w:tcPr>
          <w:p>
            <w:pPr>
              <w:jc w:val="center"/>
            </w:pPr>
            <w:r>
              <w:rPr>
                <w:sz w:val="24"/>
              </w:rPr>
              <w:t>货物品名</w:t>
            </w:r>
          </w:p>
        </w:tc>
        <w:tc>
          <w:tcPr>
            <w:tcW w:type="dxa" w:w="1397"/>
            <w:tcBorders>
              <w:top w:val="single" w:color="000000" w:sz="4"/>
              <w:left w:val="single" w:color="000000" w:sz="4"/>
              <w:bottom w:val="single" w:color="000000" w:sz="4"/>
              <w:right w:val="single" w:color="000000" w:sz="4"/>
            </w:tcBorders>
            <w:vAlign w:val="top"/>
          </w:tcPr>
          <w:p>
            <w:pPr>
              <w:jc w:val="center"/>
            </w:pPr>
            <w:r>
              <w:rPr>
                <w:sz w:val="24"/>
              </w:rPr>
              <w:t>规格型号</w:t>
            </w:r>
          </w:p>
        </w:tc>
        <w:tc>
          <w:tcPr>
            <w:tcW w:type="dxa" w:w="833"/>
            <w:tcBorders>
              <w:top w:val="single" w:color="000000" w:sz="4"/>
              <w:left w:val="single" w:color="000000" w:sz="4"/>
              <w:bottom w:val="single" w:color="000000" w:sz="4"/>
              <w:right w:val="single" w:color="000000" w:sz="4"/>
            </w:tcBorders>
            <w:vAlign w:val="top"/>
          </w:tcPr>
          <w:p>
            <w:pPr>
              <w:jc w:val="center"/>
            </w:pPr>
            <w:r>
              <w:rPr>
                <w:sz w:val="24"/>
              </w:rPr>
              <w:t>单位</w:t>
            </w:r>
          </w:p>
        </w:tc>
        <w:tc>
          <w:tcPr>
            <w:tcW w:type="dxa" w:w="967"/>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967"/>
            <w:tcBorders>
              <w:top w:val="single" w:color="000000" w:sz="4"/>
              <w:left w:val="single" w:color="000000" w:sz="4"/>
              <w:bottom w:val="single" w:color="000000" w:sz="4"/>
              <w:right w:val="single" w:color="000000" w:sz="4"/>
            </w:tcBorders>
            <w:vAlign w:val="top"/>
          </w:tcPr>
          <w:p>
            <w:pPr>
              <w:jc w:val="center"/>
            </w:pPr>
            <w:r>
              <w:rPr>
                <w:sz w:val="24"/>
              </w:rPr>
              <w:t>单价</w:t>
            </w:r>
          </w:p>
        </w:tc>
        <w:tc>
          <w:tcPr>
            <w:tcW w:type="dxa" w:w="1290"/>
            <w:tcBorders>
              <w:top w:val="single" w:color="000000" w:sz="4"/>
              <w:left w:val="single" w:color="000000" w:sz="4"/>
              <w:bottom w:val="single" w:color="000000" w:sz="4"/>
              <w:right w:val="single" w:color="000000" w:sz="4"/>
            </w:tcBorders>
            <w:vAlign w:val="top"/>
          </w:tcPr>
          <w:p>
            <w:pPr>
              <w:jc w:val="center"/>
            </w:pPr>
            <w:r>
              <w:rPr>
                <w:sz w:val="24"/>
              </w:rPr>
              <w:t>总价</w:t>
            </w:r>
          </w:p>
        </w:tc>
        <w:tc>
          <w:tcPr>
            <w:tcW w:type="dxa" w:w="1612"/>
            <w:tcBorders>
              <w:top w:val="single" w:color="000000" w:sz="4"/>
              <w:left w:val="single" w:color="000000" w:sz="4"/>
              <w:bottom w:val="single" w:color="000000" w:sz="4"/>
              <w:right w:val="single" w:color="000000" w:sz="4"/>
            </w:tcBorders>
            <w:vAlign w:val="top"/>
          </w:tcPr>
          <w:p>
            <w:pPr>
              <w:jc w:val="center"/>
            </w:pPr>
            <w:r>
              <w:rPr>
                <w:sz w:val="24"/>
              </w:rPr>
              <w:t>随机配件</w:t>
            </w: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bl>
    <w:p>
      <w:pPr>
        <w:jc w:val="left"/>
      </w:pPr>
      <w:r>
        <w:rPr>
          <w:sz w:val="24"/>
        </w:rPr>
        <w:t>以上货物具体的供货范围、技术规格和技术要求详见合同附件。</w:t>
      </w:r>
    </w:p>
    <w:p>
      <w:pPr>
        <w:jc w:val="left"/>
      </w:pPr>
      <w:r>
        <w:rPr>
          <w:sz w:val="24"/>
        </w:rPr>
        <w:t>二、合同合计</w:t>
      </w:r>
    </w:p>
    <w:p>
      <w:pPr>
        <w:jc w:val="left"/>
      </w:pPr>
      <w:r>
        <w:rPr>
          <w:sz w:val="24"/>
        </w:rPr>
        <w:t>合同合计：人民币（大写）</w:t>
      </w:r>
      <w:r>
        <w:rPr>
          <w:sz w:val="24"/>
          <w:u w:val="single"/>
        </w:rPr>
        <w:t xml:space="preserve">               </w:t>
      </w:r>
      <w:r>
        <w:rPr>
          <w:sz w:val="24"/>
        </w:rPr>
        <w:t>（￥</w:t>
      </w:r>
      <w:r>
        <w:rPr>
          <w:sz w:val="24"/>
          <w:u w:val="single"/>
        </w:rPr>
        <w:t xml:space="preserve">         </w:t>
      </w:r>
      <w:r>
        <w:rPr>
          <w:sz w:val="24"/>
        </w:rPr>
        <w:t>）。该合同总价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隐含费用（以上费用如涉及到多次需求，所有费用都包含在内），乙方不得再向甲方收取任何费用。本合同价格为固定不变价。</w:t>
      </w:r>
    </w:p>
    <w:p>
      <w:pPr>
        <w:jc w:val="left"/>
      </w:pPr>
      <w:r>
        <w:rPr>
          <w:sz w:val="24"/>
        </w:rPr>
        <w:t>三、项目地点、交付使用期</w:t>
      </w:r>
    </w:p>
    <w:p>
      <w:pPr>
        <w:jc w:val="left"/>
      </w:pPr>
      <w:r>
        <w:rPr>
          <w:sz w:val="24"/>
        </w:rPr>
        <w:t>1、项目地点：甲方指定地点。</w:t>
      </w:r>
    </w:p>
    <w:p>
      <w:pPr>
        <w:jc w:val="left"/>
      </w:pPr>
      <w:r>
        <w:rPr>
          <w:sz w:val="24"/>
        </w:rPr>
        <w:t>2、交付使用期：合同签订之日起</w:t>
      </w:r>
      <w:r>
        <w:rPr>
          <w:sz w:val="24"/>
          <w:u w:val="single"/>
        </w:rPr>
        <w:t xml:space="preserve">    </w:t>
      </w:r>
      <w:r>
        <w:rPr>
          <w:sz w:val="24"/>
        </w:rPr>
        <w:t>个日历天内完成供货、安装调试并验收合格。</w:t>
      </w:r>
    </w:p>
    <w:p>
      <w:r>
        <w:rPr>
          <w:sz w:val="24"/>
        </w:rPr>
        <w:t>四、交货要求</w:t>
      </w:r>
    </w:p>
    <w:p>
      <w:pPr>
        <w:jc w:val="left"/>
      </w:pPr>
      <w:r>
        <w:rPr>
          <w:sz w:val="24"/>
        </w:rPr>
        <w:t>1、交付使用期：合同签订之日起60日历天内完成供货、安装调试并验收合格。</w:t>
      </w:r>
    </w:p>
    <w:p>
      <w:pPr>
        <w:jc w:val="left"/>
      </w:pPr>
      <w:r>
        <w:rPr>
          <w:sz w:val="24"/>
        </w:rPr>
        <w:t>2、交货地点：甲方指定地点。</w:t>
      </w:r>
    </w:p>
    <w:p>
      <w:pPr>
        <w:jc w:val="left"/>
      </w:pPr>
      <w:r>
        <w:rPr>
          <w:sz w:val="24"/>
        </w:rPr>
        <w:t>3、交货要求：</w:t>
      </w:r>
    </w:p>
    <w:p>
      <w:pPr>
        <w:jc w:val="left"/>
      </w:pPr>
      <w:r>
        <w:rPr>
          <w:sz w:val="24"/>
        </w:rPr>
        <w:t>3.1、乙方应提供原装、全新的、符合质量标准的货物，不得以旧货翻新充数，并按有关要求进行包装及装运。</w:t>
      </w:r>
    </w:p>
    <w:p>
      <w:pPr>
        <w:jc w:val="left"/>
      </w:pPr>
      <w:r>
        <w:rPr>
          <w:sz w:val="24"/>
        </w:rPr>
        <w:t>3.2、乙方应将所提供货物的装箱清单、用户手册、原厂保修卡、随机资料及配件、随机工具等交付给甲方；乙方不能完整交付货物及本款规定的单证和工具的，视为未按合同约定供货，乙方必须负责补齐，因此导致逾期交付的，由乙方承担相关的违约责任。</w:t>
      </w:r>
    </w:p>
    <w:p>
      <w:pPr>
        <w:jc w:val="left"/>
      </w:pPr>
      <w:r>
        <w:rPr>
          <w:sz w:val="24"/>
        </w:rPr>
        <w:t>3.3、验收合格移交甲方使用前的一切风险均由乙方承担。</w:t>
      </w:r>
    </w:p>
    <w:p>
      <w:pPr>
        <w:jc w:val="left"/>
      </w:pPr>
      <w:r>
        <w:rPr>
          <w:sz w:val="24"/>
        </w:rPr>
        <w:t>五、安装调试</w:t>
      </w:r>
    </w:p>
    <w:p>
      <w:pPr>
        <w:jc w:val="left"/>
      </w:pPr>
      <w:r>
        <w:rPr>
          <w:sz w:val="24"/>
        </w:rPr>
        <w:t>1、安装调试在设备到货后5个工作日内开始进行。</w:t>
      </w:r>
    </w:p>
    <w:p>
      <w:pPr>
        <w:jc w:val="left"/>
      </w:pPr>
      <w:r>
        <w:rPr>
          <w:sz w:val="24"/>
        </w:rPr>
        <w:t>2、所有设备均须由乙方送货上门并安排工程师上门安装调试，甲方不再支付任何费用。</w:t>
      </w:r>
    </w:p>
    <w:p>
      <w:pPr>
        <w:jc w:val="left"/>
      </w:pPr>
      <w:r>
        <w:rPr>
          <w:sz w:val="24"/>
        </w:rPr>
        <w:t>3、自安装工作一开始，乙方应允许甲方的工作人员一起参与安装、调试、诊断及解决遇到的问题等各项工作。</w:t>
      </w:r>
    </w:p>
    <w:p>
      <w:pPr>
        <w:jc w:val="left"/>
      </w:pPr>
      <w:r>
        <w:rPr>
          <w:sz w:val="24"/>
        </w:rPr>
        <w:t>4、开箱检验</w:t>
      </w:r>
    </w:p>
    <w:p>
      <w:pPr>
        <w:jc w:val="left"/>
      </w:pPr>
      <w:r>
        <w:rPr>
          <w:sz w:val="24"/>
        </w:rPr>
        <w:t>4.1、所有设备、器材在开箱时必须完好，无破损。配置与装箱单相符。数量、质量及性能不低于合同要求。</w:t>
      </w:r>
    </w:p>
    <w:p>
      <w:pPr>
        <w:jc w:val="left"/>
      </w:pPr>
      <w:r>
        <w:rPr>
          <w:sz w:val="24"/>
        </w:rPr>
        <w:t>4.2、拆箱后，乙方应对其全部产品、零件、配件、甲方许可证书、资料、介质造册登记，并与装箱单对比，如有出入应立即书面记录，由供货商解决，如影响安装则按合同有关条款处理。登记册作为验收文档之一。</w:t>
      </w:r>
    </w:p>
    <w:p>
      <w:pPr>
        <w:jc w:val="left"/>
      </w:pPr>
      <w:r>
        <w:rPr>
          <w:sz w:val="24"/>
        </w:rPr>
        <w:t>5、系统调试</w:t>
      </w:r>
    </w:p>
    <w:p>
      <w:pPr>
        <w:jc w:val="left"/>
      </w:pPr>
      <w:r>
        <w:rPr>
          <w:sz w:val="24"/>
        </w:rPr>
        <w:t>5.1、系统安装完成后，按照系统要求的基本功能逐一调试。</w:t>
      </w:r>
    </w:p>
    <w:p>
      <w:pPr>
        <w:jc w:val="left"/>
      </w:pPr>
      <w:r>
        <w:rPr>
          <w:sz w:val="24"/>
        </w:rPr>
        <w:t>5.2、如统调试中发现设备性能指标或功能上不符合标书和合同时，将被看作性能不合格，设备使用单位有权拒收并要求赔偿。</w:t>
      </w:r>
    </w:p>
    <w:p>
      <w:pPr>
        <w:jc w:val="left"/>
      </w:pPr>
      <w:r>
        <w:rPr>
          <w:sz w:val="24"/>
        </w:rPr>
        <w:t>5.3、乙方应负责在项目验收时将系统的全部有关产品说明书、原厂家安装手册、技术文件、资料、及安装、验收报告等文档交付设备使用单位。</w:t>
      </w:r>
    </w:p>
    <w:p>
      <w:pPr>
        <w:jc w:val="left"/>
      </w:pPr>
      <w:r>
        <w:rPr>
          <w:sz w:val="24"/>
        </w:rPr>
        <w:t>六、验收</w:t>
      </w:r>
    </w:p>
    <w:p>
      <w:pPr>
        <w:jc w:val="left"/>
      </w:pPr>
      <w:r>
        <w:rPr>
          <w:sz w:val="24"/>
        </w:rPr>
        <w:t>1、货物若有国家标准按照国家标准验收，若无国家标准按行业标准验收，为原制造商制造的全新产品，整机无污染，无侵权行为、表面无划损、无任何缺陷隐患，在中国境内可依常规安全合法使用。 货物属于医疗器械的，应取得有关医疗器械主管机构的批准文件，证照。</w:t>
      </w:r>
    </w:p>
    <w:p>
      <w:pPr>
        <w:jc w:val="left"/>
      </w:pPr>
      <w:r>
        <w:rPr>
          <w:sz w:val="24"/>
        </w:rPr>
        <w:t>2、货物为原厂商未启封全新包装，具出厂合格证，序列号、包装箱号与出厂批号一致，并可追索查阅。所有随设备的附件必须齐全。</w:t>
      </w:r>
    </w:p>
    <w:p>
      <w:pPr>
        <w:jc w:val="left"/>
      </w:pPr>
      <w:r>
        <w:rPr>
          <w:sz w:val="24"/>
        </w:rPr>
        <w:t>3、乙方应将关键主机设备的用户手册、保修手册、有关单证资料及配备件、随机工具等交付给甲方，使用操作及安全须知等重要资料应附有中文说明。产品说明书及标签要求必须符合《医疗器械说明书和标签管理规定》（国家食品药品监督管理总局令第6号）的标准。</w:t>
      </w:r>
    </w:p>
    <w:p>
      <w:pPr>
        <w:jc w:val="left"/>
      </w:pPr>
      <w:r>
        <w:rPr>
          <w:sz w:val="24"/>
        </w:rPr>
        <w:t>4、甲方组成验收小组按国家有关规定、规范及乙方的投标文件中承诺的内容进行验收，必要时邀请相关的第三方专业人员、机构或参与本次项目的其他乙方参与验收。因货物质量问题发生争议时，由本地质量技术监督部门鉴定。鉴定费先由乙方垫付。货物符合质量技术标准的，鉴定费由甲方承担；否则鉴定费由乙方承担。</w:t>
      </w:r>
    </w:p>
    <w:p>
      <w:pPr>
        <w:jc w:val="left"/>
      </w:pPr>
      <w:r>
        <w:rPr>
          <w:sz w:val="24"/>
        </w:rPr>
        <w:t xml:space="preserve">5、乙方应按财政审批的要求，提供有关货物资料，并做好填报申请材料的工作，甲方予以配合；因乙方原因导致财政审批无法按时完成的，乙方自行承担有关的责任。   </w:t>
      </w:r>
    </w:p>
    <w:p>
      <w:pPr>
        <w:jc w:val="left"/>
      </w:pPr>
      <w:r>
        <w:rPr>
          <w:sz w:val="24"/>
        </w:rPr>
        <w:t>七、售后服务</w:t>
      </w:r>
    </w:p>
    <w:p>
      <w:r>
        <w:rPr>
          <w:sz w:val="24"/>
        </w:rPr>
        <w:t>1、乙方对所供产品提供一年的质保期，终身维保。</w:t>
      </w:r>
    </w:p>
    <w:p>
      <w:r>
        <w:rPr>
          <w:sz w:val="24"/>
        </w:rPr>
        <w:t>2、质保期自设备安装调试完毕并由甲方验收完毕之日起计算，保修费用计入投标总价。服务期内提供免费上门服务（含部件、技术支持服务、人力、上门等），服务期自供需双方代表在最终验收单上签字之日算起。服务期内所有费用已计入总价。</w:t>
      </w:r>
    </w:p>
    <w:p>
      <w:r>
        <w:rPr>
          <w:sz w:val="24"/>
        </w:rPr>
        <w:t>3、保修期内，所有硬件设备的维修均为免费。维护期内，所有软件系统均需提供1年免费维护服务。且所有设备维修服务均为上门服务，由此产生的费用均不再收取。服务期内，如所投软件已升级，乙方应负责将所投软件升级至最新版本。</w:t>
      </w:r>
    </w:p>
    <w:p>
      <w:r>
        <w:rPr>
          <w:sz w:val="24"/>
        </w:rPr>
        <w:t>4、乙方使用的设备乙方须开通7×24小时售后专线服务电话，保证开机率95%以上，以满足甲方要求，接到报修电话后，2小时内响应，售后服务工程师48小时内上门服务。规定时间内未处理完毕的，乙方提供不低于同等档次货物供甲方使用至故障货物能正常使用为止。如果需要更换配件的，要求更换的配件跟被更换的品牌、类型相一致或者是同类同档次的替代品，后者需征得甲方方管理人员同意。如需增加非乙方的货物和配件，乙方应协助解决。</w:t>
      </w:r>
    </w:p>
    <w:p>
      <w:r>
        <w:rPr>
          <w:sz w:val="24"/>
        </w:rPr>
        <w:t>5、乙方须提供系统维护期间的软件版本升级和采购方提出的功能更新和完善提出完整的解决方案。</w:t>
      </w:r>
    </w:p>
    <w:p>
      <w:r>
        <w:rPr>
          <w:sz w:val="24"/>
        </w:rPr>
        <w:t>八、培训要求</w:t>
      </w:r>
    </w:p>
    <w:p>
      <w:r>
        <w:rPr>
          <w:sz w:val="24"/>
        </w:rPr>
        <w:t>1、乙方免费提供产品的安装、配置、操作及维护培训，主要内容为设备的基本结构、性能、主要部件的构造及原理，日常使用操作、保养与管理，常见故障的排除，紧急情况的处理等，直到甲方工程师熟悉使用。</w:t>
      </w:r>
    </w:p>
    <w:p>
      <w:r>
        <w:rPr>
          <w:sz w:val="24"/>
        </w:rPr>
        <w:t>2、培训地点主要在设备安装现场或按双方协商安排，人数不限。</w:t>
      </w:r>
    </w:p>
    <w:p>
      <w:r>
        <w:rPr>
          <w:sz w:val="24"/>
        </w:rPr>
        <w:t>3、乙方必须派出具有相应专业资格和实际工作相应的工程师进行培训，乙方必须为所有被培训人员提供培训用文字资料和讲义等相关用品。所有的资料必须是中文书写。</w:t>
      </w:r>
    </w:p>
    <w:p>
      <w:pPr>
        <w:jc w:val="left"/>
      </w:pPr>
      <w:r>
        <w:rPr>
          <w:sz w:val="24"/>
        </w:rPr>
        <w:t>九、其他要求</w:t>
      </w:r>
    </w:p>
    <w:p>
      <w:pPr>
        <w:jc w:val="left"/>
      </w:pPr>
      <w:r>
        <w:rPr>
          <w:sz w:val="24"/>
        </w:rPr>
        <w:t>1、乙方投标时所提供的货物如在实际供货时已经停产（不列入该厂家当时的产品系统），如果未能按原价提供更优质的货物，则按违约处理。</w:t>
      </w:r>
    </w:p>
    <w:p>
      <w:pPr>
        <w:jc w:val="left"/>
      </w:pPr>
      <w:r>
        <w:rPr>
          <w:sz w:val="24"/>
        </w:rPr>
        <w:t>2、乙方在实际供货时，若被发现提供的货物未能达到招标文件和投标文件中的有关要求，将按有关法规进行处罚，甲方将有权单方面中止合同的执行,并追究因乙方所提供的未达到所承诺准确率产品而产生的所有损失和责任。</w:t>
      </w:r>
    </w:p>
    <w:p>
      <w:pPr>
        <w:jc w:val="left"/>
      </w:pPr>
      <w:r>
        <w:rPr>
          <w:sz w:val="24"/>
        </w:rPr>
        <w:t>3、因产品的质量问题发生争议，由广东省或韶关市质检部门进行质量鉴定。甲方与乙方认为有需要，可以共同提出或分别提出质量鉴定，广东省质检部门与韶关市质检部门的鉴定结论不一致的，以广东省质检部门的鉴定结论为准。产品符合质量标准的，鉴定费由甲方承担；产品不符合质量标准的，鉴定费由乙方承担。</w:t>
      </w:r>
    </w:p>
    <w:p>
      <w:pPr>
        <w:jc w:val="left"/>
      </w:pPr>
      <w:r>
        <w:rPr>
          <w:sz w:val="24"/>
        </w:rPr>
        <w:t>十、付款方式</w:t>
      </w:r>
    </w:p>
    <w:p>
      <w:pPr>
        <w:jc w:val="both"/>
      </w:pPr>
      <w:r>
        <w:rPr>
          <w:sz w:val="24"/>
        </w:rPr>
        <w:t>1、付款方式：合同签订后十个工作日内甲方向乙方支付合同总金额的50%作为预付款；</w:t>
      </w:r>
    </w:p>
    <w:p>
      <w:pPr>
        <w:jc w:val="both"/>
      </w:pPr>
      <w:r>
        <w:rPr>
          <w:sz w:val="24"/>
        </w:rPr>
        <w:t>2、设备到货安装并经甲方验收合格后十个工作日内向乙方支付支付合同金额的50%货款；</w:t>
      </w:r>
    </w:p>
    <w:p>
      <w:pPr>
        <w:jc w:val="both"/>
      </w:pPr>
      <w:r>
        <w:rPr>
          <w:sz w:val="24"/>
        </w:rPr>
        <w:t>3、甲方每次付款，乙方需开具的正式发票。</w:t>
      </w:r>
    </w:p>
    <w:p>
      <w:pPr>
        <w:jc w:val="both"/>
      </w:pPr>
      <w:r>
        <w:rPr>
          <w:sz w:val="24"/>
        </w:rPr>
        <w:t>4、乙方凭以下资料与甲方结算：</w:t>
      </w:r>
    </w:p>
    <w:p>
      <w:pPr>
        <w:jc w:val="both"/>
      </w:pPr>
      <w:r>
        <w:rPr>
          <w:sz w:val="24"/>
        </w:rPr>
        <w:t>4.1、合同；</w:t>
      </w:r>
    </w:p>
    <w:p>
      <w:pPr>
        <w:jc w:val="both"/>
      </w:pPr>
      <w:r>
        <w:rPr>
          <w:sz w:val="24"/>
        </w:rPr>
        <w:t>4.2、乙方开具的正式发票；</w:t>
      </w:r>
    </w:p>
    <w:p>
      <w:pPr>
        <w:jc w:val="both"/>
      </w:pPr>
      <w:r>
        <w:rPr>
          <w:sz w:val="24"/>
        </w:rPr>
        <w:t>4.3、验收合格报告(加盖甲方或甲方指定设备接收单位公章)；</w:t>
      </w:r>
    </w:p>
    <w:p>
      <w:pPr>
        <w:jc w:val="both"/>
      </w:pPr>
      <w:r>
        <w:rPr>
          <w:sz w:val="24"/>
        </w:rPr>
        <w:t>4.4、中标通知书；</w:t>
      </w:r>
    </w:p>
    <w:p>
      <w:pPr>
        <w:jc w:val="both"/>
      </w:pPr>
      <w:r>
        <w:rPr>
          <w:sz w:val="24"/>
        </w:rPr>
        <w:t>4.5、财政部门审核时所需的其他材料。</w:t>
      </w:r>
    </w:p>
    <w:p>
      <w:pPr>
        <w:jc w:val="both"/>
      </w:pPr>
      <w:r>
        <w:rPr>
          <w:sz w:val="24"/>
        </w:rPr>
        <w:t>4.6、若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both"/>
      </w:pPr>
      <w:r>
        <w:rPr>
          <w:sz w:val="24"/>
        </w:rPr>
        <w:t>十一、违约责任</w:t>
      </w:r>
    </w:p>
    <w:p>
      <w:pPr>
        <w:ind w:firstLine="420"/>
        <w:jc w:val="both"/>
      </w:pPr>
      <w:r>
        <w:rPr>
          <w:sz w:val="24"/>
        </w:rPr>
        <w:t>1、乙方逾期交货，则按合同总价每天</w:t>
      </w:r>
      <w:r>
        <w:rPr>
          <w:sz w:val="24"/>
          <w:u w:val="single"/>
        </w:rPr>
        <w:t xml:space="preserve"> 3</w:t>
      </w:r>
      <w:r>
        <w:rPr>
          <w:sz w:val="24"/>
        </w:rPr>
        <w:t>‰支付违约金给甲方。如超过合同规定工期限</w:t>
      </w:r>
      <w:r>
        <w:rPr>
          <w:sz w:val="24"/>
          <w:u w:val="single"/>
        </w:rPr>
        <w:t xml:space="preserve"> 20</w:t>
      </w:r>
      <w:r>
        <w:rPr>
          <w:sz w:val="24"/>
        </w:rPr>
        <w:t>天乙方仍不能交货完毕，则视为乙方不能交货。</w:t>
      </w:r>
    </w:p>
    <w:p>
      <w:pPr>
        <w:ind w:firstLine="420"/>
        <w:jc w:val="both"/>
      </w:pPr>
      <w:r>
        <w:rPr>
          <w:sz w:val="24"/>
        </w:rPr>
        <w:t>2、乙方不能交货，每拖延1天，则按合同总价 5 %支付违约金给甲方。同时，甲方有权单方面解除合同。如上述违约金金额仍不足以补偿甲方因乙方违约造成的损失，甲方有权进一步向乙方提出索赔，由此给甲方造成的经济损失由乙方承担赔偿责任。</w:t>
      </w:r>
    </w:p>
    <w:p>
      <w:pPr>
        <w:ind w:firstLine="420"/>
        <w:jc w:val="both"/>
      </w:pPr>
      <w:r>
        <w:rPr>
          <w:sz w:val="24"/>
        </w:rPr>
        <w:t>3、货物未能一次性通过验收，则甲方同意由乙方予以整改，并在第一次验收结束之日起</w:t>
      </w:r>
      <w:r>
        <w:rPr>
          <w:sz w:val="24"/>
          <w:u w:val="single"/>
        </w:rPr>
        <w:t xml:space="preserve"> 3</w:t>
      </w:r>
      <w:r>
        <w:rPr>
          <w:sz w:val="24"/>
        </w:rPr>
        <w:t>天内重新组织验收；经</w:t>
      </w:r>
      <w:r>
        <w:rPr>
          <w:sz w:val="24"/>
          <w:u w:val="single"/>
        </w:rPr>
        <w:t xml:space="preserve">  3  </w:t>
      </w:r>
      <w:r>
        <w:rPr>
          <w:sz w:val="24"/>
        </w:rPr>
        <w:t>次验收不合格的，甲方有权单方面解除合同。如因此给甲方造成损失的，甲方有权向乙方提出索赔。</w:t>
      </w:r>
    </w:p>
    <w:p>
      <w:pPr>
        <w:ind w:firstLine="420"/>
        <w:jc w:val="both"/>
      </w:pPr>
      <w:r>
        <w:rPr>
          <w:sz w:val="24"/>
        </w:rPr>
        <w:t>4、如果甲方逾期付款，则按拖欠金额每天1 ‰支付违约金给乙方，直至该款付清为止。但由于财政拨款不到位而导致甲方逾期付款的，甲方不承担违约责任，并且此情况不能成为乙方延期交货及服务的理由。</w:t>
      </w:r>
    </w:p>
    <w:p>
      <w:pPr>
        <w:ind w:firstLine="420"/>
        <w:jc w:val="both"/>
      </w:pPr>
      <w:r>
        <w:rPr>
          <w:sz w:val="24"/>
        </w:rPr>
        <w:t>5、甲方解除合同,乙方须在接到甲方解约通知之日起 30 天内退回甲方已支付的价款。</w:t>
      </w:r>
    </w:p>
    <w:p>
      <w:pPr>
        <w:ind w:firstLine="420"/>
        <w:jc w:val="both"/>
      </w:pPr>
      <w:r>
        <w:rPr>
          <w:sz w:val="24"/>
        </w:rPr>
        <w:t>6、如果一方严重违反合同，并在收到对方违约通知书后在30天内仍未能改正违约的，另一方可立即终止本合同。</w:t>
      </w:r>
    </w:p>
    <w:p>
      <w:pPr>
        <w:ind w:firstLine="420"/>
      </w:pPr>
      <w:r>
        <w:rPr>
          <w:sz w:val="24"/>
        </w:rPr>
        <w:t xml:space="preserve"> 7、其他违约责任按《中华人民共和国民法典》处理。</w:t>
      </w:r>
    </w:p>
    <w:p>
      <w:pPr>
        <w:jc w:val="both"/>
      </w:pPr>
      <w:r>
        <w:rPr>
          <w:sz w:val="24"/>
        </w:rPr>
        <w:t>十二、争议的解决</w:t>
      </w:r>
    </w:p>
    <w:p>
      <w:pPr>
        <w:ind w:firstLine="420"/>
        <w:jc w:val="both"/>
      </w:pPr>
      <w:r>
        <w:rPr>
          <w:sz w:val="24"/>
        </w:rPr>
        <w:t>1、因货物的质量问题而发生的争议，由广东省或韶关质检部门进行质量鉴定。鉴定费用由乙方承担，并且乙方负责重新提供符合合同要求的货物给甲方，由此造成延期供货的，乙方承担延期供货的违约责任。</w:t>
      </w:r>
    </w:p>
    <w:p>
      <w:pPr>
        <w:ind w:firstLine="420"/>
        <w:jc w:val="both"/>
      </w:pPr>
      <w:r>
        <w:rPr>
          <w:sz w:val="24"/>
        </w:rPr>
        <w:t>2、本合同发生争议，由双方协商或由政府采购监督管理部门调解解决，协商或调解不成时按以下第</w:t>
      </w:r>
      <w:r>
        <w:rPr>
          <w:sz w:val="24"/>
          <w:u w:val="single"/>
        </w:rPr>
        <w:t xml:space="preserve">  （2）  </w:t>
      </w:r>
      <w:r>
        <w:rPr>
          <w:sz w:val="24"/>
        </w:rPr>
        <w:t>种方式解决（请选择）：</w:t>
      </w:r>
    </w:p>
    <w:p>
      <w:pPr>
        <w:ind w:firstLine="420"/>
        <w:jc w:val="both"/>
      </w:pPr>
      <w:r>
        <w:rPr>
          <w:sz w:val="24"/>
        </w:rPr>
        <w:t>（1）韶关市仲裁委员会仲裁。</w:t>
      </w:r>
    </w:p>
    <w:p>
      <w:pPr>
        <w:ind w:firstLine="420"/>
        <w:jc w:val="both"/>
      </w:pPr>
      <w:r>
        <w:rPr>
          <w:sz w:val="24"/>
        </w:rPr>
        <w:t>（2）向有管辖权的人民法院提起诉讼。（本合同的诉讼管辖地为韶关有管辖权的法院）（在仲裁或诉讼期间，除有争议部分的事项外，合同其他部分仍应继续履行）。</w:t>
      </w:r>
    </w:p>
    <w:p>
      <w:pPr>
        <w:jc w:val="both"/>
      </w:pPr>
      <w:r>
        <w:rPr>
          <w:sz w:val="24"/>
        </w:rPr>
        <w:t>十三、不可抗力</w:t>
      </w:r>
    </w:p>
    <w:p>
      <w:pPr>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sz w:val="24"/>
        </w:rPr>
        <w:t>十四、税费</w:t>
      </w:r>
    </w:p>
    <w:p>
      <w:pPr>
        <w:ind w:firstLine="420"/>
        <w:jc w:val="both"/>
      </w:pPr>
      <w:r>
        <w:rPr>
          <w:sz w:val="24"/>
        </w:rPr>
        <w:t xml:space="preserve"> 在中国境内、外发生的与本合同执行有关的一切税费均由乙方负担。</w:t>
      </w:r>
    </w:p>
    <w:p>
      <w:r>
        <w:rPr>
          <w:sz w:val="24"/>
        </w:rPr>
        <w:t>十五、索赔</w:t>
      </w:r>
    </w:p>
    <w:p>
      <w:pPr>
        <w:ind w:firstLine="420"/>
      </w:pPr>
      <w:r>
        <w:rPr>
          <w:sz w:val="24"/>
        </w:rPr>
        <w:t>1、如有异议，甲方有权根据有关政府部门的检验结果向乙方提出索赔。</w:t>
      </w:r>
    </w:p>
    <w:p>
      <w:pPr>
        <w:ind w:firstLine="420"/>
      </w:pPr>
      <w:r>
        <w:rPr>
          <w:sz w:val="24"/>
        </w:rPr>
        <w:t>2、在合同执行期间，如果乙方对甲方提出的索赔和差异负有责任，乙方应按照甲方同意的下列一种或多种方式解决索赔事宜：</w:t>
      </w:r>
    </w:p>
    <w:p>
      <w:pPr>
        <w:ind w:firstLine="420"/>
      </w:pPr>
      <w:r>
        <w:rPr>
          <w:sz w:val="24"/>
        </w:rPr>
        <w:t>(1)乙方同意退货，并按合同规定的同种货币将货款退还给甲方，并承担由此发生的一切损失和费用。</w:t>
      </w:r>
    </w:p>
    <w:p>
      <w:pPr>
        <w:ind w:firstLine="420"/>
      </w:pPr>
      <w:r>
        <w:rPr>
          <w:sz w:val="24"/>
        </w:rPr>
        <w:t>(2)根据货物低劣程度、损坏程度以及甲方所遭受损失的数额，甲乙双方商定降低货物的价格。</w:t>
      </w:r>
    </w:p>
    <w:p>
      <w:pPr>
        <w:ind w:firstLine="420"/>
      </w:pPr>
      <w:r>
        <w:rPr>
          <w:sz w:val="24"/>
        </w:rPr>
        <w:t>(3)用符合规格、质量和性能要求的新零件、部件或货物来更换有缺陷的部分或修补缺陷的部分，乙方应承担一切费用和风险并负担甲方所发生的一切直接费用。同时，相应延长质量保证期。</w:t>
      </w:r>
    </w:p>
    <w:p>
      <w:pPr>
        <w:ind w:firstLine="420"/>
      </w:pPr>
      <w:r>
        <w:rPr>
          <w:sz w:val="24"/>
        </w:rPr>
        <w:t>3、如果在甲方发出索赔通知后30天内，乙方未作答复，上述索赔应视为已被乙方接受。甲方将从合同款项中扣回索赔金额。如果这些金额不足以补偿索赔金额，甲方有权向乙方提出不足部分的补偿。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sz w:val="24"/>
        </w:rPr>
        <w:t>十六、其他</w:t>
      </w:r>
    </w:p>
    <w:p>
      <w:pPr>
        <w:ind w:firstLine="420"/>
      </w:pPr>
      <w:r>
        <w:rPr>
          <w:sz w:val="24"/>
        </w:rPr>
        <w:t>1、本项目所有附件、招标文件、投标文件、中标通知书均为合同的有效组成部分，与本项目具有同等法律效力。</w:t>
      </w:r>
    </w:p>
    <w:p>
      <w:pPr>
        <w:ind w:firstLine="420"/>
      </w:pPr>
      <w:r>
        <w:rPr>
          <w:sz w:val="24"/>
        </w:rPr>
        <w:t>2、在执行本项目的过程中，所有经双方签署确认的文件(包括会议纪要、补充协议、往来信函)  即成为本项目的有效组成部分。</w:t>
      </w:r>
    </w:p>
    <w:p>
      <w:pPr>
        <w:ind w:firstLine="420"/>
      </w:pPr>
      <w:r>
        <w:rPr>
          <w:sz w:val="24"/>
        </w:rPr>
        <w:t>3、如一方地址、电话、传真号码有变更，应在变更当日内书面通知对方，否则，应承担相应责任。</w:t>
      </w:r>
    </w:p>
    <w:p>
      <w:pPr>
        <w:ind w:firstLine="420"/>
      </w:pPr>
      <w:r>
        <w:rPr>
          <w:sz w:val="24"/>
        </w:rPr>
        <w:t>4.除甲方事先书面同意外，乙方不得部分或全部转让其应履行的合同项下的义务。</w:t>
      </w:r>
    </w:p>
    <w:p>
      <w:pPr>
        <w:jc w:val="both"/>
      </w:pPr>
      <w:r>
        <w:rPr>
          <w:sz w:val="24"/>
        </w:rPr>
        <w:t>十七、合同生效：</w:t>
      </w:r>
    </w:p>
    <w:p>
      <w:pPr>
        <w:ind w:firstLine="420"/>
        <w:jc w:val="both"/>
      </w:pPr>
      <w:r>
        <w:rPr>
          <w:sz w:val="24"/>
        </w:rPr>
        <w:t>1、本合同经双方授权代表签字并加盖合同专用章或公章之日起生效，合同生效日期以最后一个签字日为准。</w:t>
      </w:r>
    </w:p>
    <w:p>
      <w:pPr>
        <w:ind w:firstLine="420"/>
        <w:jc w:val="both"/>
      </w:pPr>
      <w:r>
        <w:rPr>
          <w:sz w:val="24"/>
        </w:rPr>
        <w:t>2、本合同一式</w:t>
      </w:r>
      <w:r>
        <w:rPr>
          <w:sz w:val="24"/>
          <w:u w:val="single"/>
        </w:rPr>
        <w:t>伍</w:t>
      </w:r>
      <w:r>
        <w:rPr>
          <w:sz w:val="24"/>
        </w:rPr>
        <w:t>份，甲方执</w:t>
      </w:r>
      <w:r>
        <w:rPr>
          <w:sz w:val="24"/>
          <w:u w:val="single"/>
        </w:rPr>
        <w:t xml:space="preserve"> 贰</w:t>
      </w:r>
      <w:r>
        <w:rPr>
          <w:sz w:val="24"/>
        </w:rPr>
        <w:t>份、乙方执</w:t>
      </w:r>
      <w:r>
        <w:rPr>
          <w:sz w:val="24"/>
          <w:u w:val="single"/>
        </w:rPr>
        <w:t>叁</w:t>
      </w:r>
      <w:r>
        <w:rPr>
          <w:sz w:val="24"/>
        </w:rPr>
        <w:t>份（其中送政府采购监督管理部门和采购代理机构各壹份备案），均具有同等法律效力。</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070"/>
        <w:gridCol w:w="4222"/>
      </w:tblGrid>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甲方（盖章）：</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乙方（盖章）：</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法人或其授权的代理人（签字）：</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法人或其授权的代理人（签字）：</w:t>
            </w:r>
          </w:p>
          <w:p>
            <w:pPr>
              <w:jc w:val="both"/>
            </w:pP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地   址 ：</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地   址 ：</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开户名称：</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开户名称：</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开户银行：</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开户银行：</w:t>
            </w:r>
          </w:p>
          <w:p>
            <w:pPr>
              <w:ind w:firstLine="1050"/>
              <w:jc w:val="both"/>
            </w:pP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账      号：</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账      号：</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邮政编码：</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邮政编码：</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联系电话：</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联系电话：</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传   真：</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传   真：</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电子信箱：</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4"/>
              </w:rPr>
              <w:t>电子信箱：</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4"/>
              </w:rPr>
              <w:t>日期：      年    月    日</w:t>
            </w:r>
          </w:p>
        </w:tc>
        <w:tc>
          <w:tcPr>
            <w:tcW w:type="dxa" w:w="4222"/>
            <w:tcBorders>
              <w:top w:val="none" w:color="000000" w:sz="4"/>
              <w:left w:val="none" w:color="000000" w:sz="4"/>
              <w:bottom w:val="none" w:color="000000" w:sz="4"/>
              <w:right w:val="none" w:color="000000" w:sz="4"/>
            </w:tcBorders>
            <w:vAlign w:val="top"/>
          </w:tcPr>
          <w:p>
            <w:pPr>
              <w:jc w:val="both"/>
            </w:pPr>
            <w:r>
              <w:rPr>
                <w:sz w:val="24"/>
              </w:rPr>
              <w:t>日期：      年    月    日</w:t>
            </w:r>
          </w:p>
        </w:tc>
      </w:tr>
    </w:tbl>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440205-2022-01080</w:t>
      </w:r>
    </w:p>
    <w:p>
      <w:pPr>
        <w:jc w:val="center"/>
      </w:pPr>
      <w:r>
        <w:rPr>
          <w:b/>
          <w:sz w:val="24"/>
        </w:rPr>
        <w:t>采购项目编号：</w:t>
      </w:r>
      <w:r>
        <w:rPr>
          <w:b/>
          <w:sz w:val="24"/>
        </w:rPr>
        <w:t>GDYD220950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白土镇卫生院提升服务能力建设项目-医疗设备采购项目</w:t>
      </w:r>
      <w:r>
        <w:rPr/>
        <w:t>项目的招标[采购项目编号为：</w:t>
      </w:r>
      <w:r>
        <w:rPr>
          <w:u w:val="single"/>
        </w:rPr>
        <w:t>GDYD220950</w:t>
      </w:r>
      <w:r>
        <w:rPr/>
        <w:t>]，我方愿参与投标。</w:t>
      </w:r>
    </w:p>
    <w:p>
      <w:pPr>
        <w:ind w:firstLine="480"/>
      </w:pPr>
      <w:r>
        <w:rPr/>
        <w:t>我方确认收到贵方提供的</w:t>
      </w:r>
      <w:r>
        <w:rPr>
          <w:u w:val="single"/>
        </w:rPr>
        <w:t>白土镇卫生院提升服务能力建设项目-医疗设备采购项目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白土镇卫生院提升服务能力建设项目-医疗设备采购项目</w:t>
      </w:r>
      <w:r>
        <w:rPr/>
        <w:t>项目采购[采购项目编号为</w:t>
      </w:r>
      <w:r>
        <w:rPr/>
        <w:t>GDYD220950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韶关市曲江区白土镇卫生院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白土镇卫生院提升服务能力建设项目-医疗设备采购项目</w:t>
      </w:r>
      <w:r>
        <w:rPr/>
        <w:t>招标中获中标（采购项目编号：</w:t>
      </w:r>
      <w:r>
        <w:rPr/>
        <w:t>GDYD220950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白土镇卫生院提升服务能力建设项目-医疗设备采购项目</w:t>
      </w:r>
      <w:r>
        <w:rPr/>
        <w:t>项目（采购项目编号：</w:t>
      </w:r>
      <w:r>
        <w:rPr/>
        <w:t>GDYD220950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