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left="0" w:leftChars="0" w:firstLine="0" w:firstLineChars="0"/>
        <w:jc w:val="center"/>
        <w:rPr>
          <w:rFonts w:hint="eastAsia" w:ascii="宋体" w:hAnsi="宋体" w:cs="幼圆"/>
          <w:color w:val="auto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cs="幼圆"/>
          <w:color w:val="auto"/>
          <w:szCs w:val="21"/>
          <w:highlight w:val="none"/>
          <w:lang w:val="en-US" w:eastAsia="zh-CN"/>
        </w:rPr>
        <w:t>设备清单</w:t>
      </w:r>
    </w:p>
    <w:tbl>
      <w:tblPr>
        <w:tblStyle w:val="4"/>
        <w:tblW w:w="54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"/>
        <w:gridCol w:w="390"/>
        <w:gridCol w:w="8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10" w:type="pct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参数性质</w:t>
            </w:r>
          </w:p>
        </w:tc>
        <w:tc>
          <w:tcPr>
            <w:tcW w:w="210" w:type="pct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4579" w:type="pct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具体技术（参数）要求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210" w:type="pct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rFonts w:hint="default" w:hAnsi="宋体" w:eastAsia="宋体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2"/>
                <w:highlight w:val="none"/>
                <w:lang w:val="en-US" w:eastAsia="zh-CN"/>
              </w:rPr>
              <w:t>设备清单</w:t>
            </w:r>
          </w:p>
        </w:tc>
        <w:tc>
          <w:tcPr>
            <w:tcW w:w="210" w:type="pct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1</w:t>
            </w:r>
          </w:p>
        </w:tc>
        <w:tc>
          <w:tcPr>
            <w:tcW w:w="4579" w:type="pct"/>
            <w:noWrap w:val="0"/>
            <w:vAlign w:val="center"/>
          </w:tcPr>
          <w:tbl>
            <w:tblPr>
              <w:tblStyle w:val="4"/>
              <w:tblW w:w="8214" w:type="dxa"/>
              <w:tblInd w:w="-25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56"/>
              <w:gridCol w:w="1615"/>
              <w:gridCol w:w="4431"/>
              <w:gridCol w:w="803"/>
              <w:gridCol w:w="70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vMerge w:val="restart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海珠体育中心游泳池设备表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vMerge w:val="continue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序号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设备名称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规格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型号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数量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单位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一、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层训练池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4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过滤循环水泵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Q≥80m3/h，H≥18m，N≥7.5KW/380V，铸铁泵体，304叶轮，45#泵轴+304轴套；3用1备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42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毛发收集器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规格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: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筒身管径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≥350mm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，长度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≥566mm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，高度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≥592mm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，快开式，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不锈钢。带排气阀，泄空装置，进水管直径：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，出水管直径：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DN150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45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商用过滤器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≥1200*2500(L)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，卧式，过滤面积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≥2.65m2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，玻璃纤维材质。带排气阀、泄水阀、反冲洗视镜，八爪缝隙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0.4mm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水晶沙过滤料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1、0.5-0.8mm，2-3mm，25KG/包；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2、活性过滤介质的优势，自消毒，不生成生物膜；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 水晶沙从原生平板玻璃中获得,无任何细菌和污染物；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4、使用期不少于15年；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5、 带电荷静电吸附。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392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包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中压紫外线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1、Q ≥ 250m3/h，N ≥ 7KW/380V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2、筒体材质：304不锈钢，粗糙度Ra0.8；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3、清洗方式：电动毛刷清洗；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4、控制系统：7寸触摸屏PLC、灯管运行时间显示、工作状态显示、故障报警、灯管寿命报警、水温监测、UV强度监测、输出功率无极调节、过载/短路/漏电/输出过压/输入过压/输入欠压/超温保护。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9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水质监测仪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自动检测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ORP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值、余氯值、浑浊、水温等，自动控制投药系统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RS485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远程输出功能。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消毒剂投药泵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絮凝剂投药泵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调试药剂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调节剂，聚合氯化铝，速溶氯丸,澄清剂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均衡水箱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≥5000×5000×2500mm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不锈钢材质，带聚氨酯保温，板厚按标准。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自动补水系统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DN50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泳池恒温热泵机组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额定制热量：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≥200KW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额定功率：</w:t>
                  </w:r>
                  <w:r>
                    <w:rPr>
                      <w:rFonts w:hint="default" w:ascii="Arial" w:hAnsi="Arial" w:eastAsia="宋体" w:cs="Arial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38.7KW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恒温循环水泵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P≥4KW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Q≥50m³/h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H≥20m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，铸铁泵体，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叶轮，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45#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泵轴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+304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轴套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热泵导流风罩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布水口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SP-1424,DN50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溢流回水口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SP-1030,DN100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池底排水口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同心大小头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DN150*100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，不锈钢材质，两头法兰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黄铜过滤器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电动蝶阀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，适用水温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℃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电动蝶阀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，适用水温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℃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压力表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带缓冲管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橡胶减震器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自动排气阀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，材质黄铜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铜材质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2.0Mpa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1.6Mpa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DE63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260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DE75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DE110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192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164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228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U-PVC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配件类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三通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弯头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直通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变径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内外牙直接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活接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热泵系统控制柜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国标电控元件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水处理系统PLC智能控制柜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PLC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控制（投药系统、排水、加水及温控）、含手机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APP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RVV3*1mm²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450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RVV3*2.5mm²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YJV4*6mm²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360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YJV4*4mm²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32</w:t>
                  </w: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YJV4*25mm²+1*16mm²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265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线管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其他五金杂件及耗材辅材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支吊架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顶爆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固定螺丝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胶水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焊条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切割片等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二、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层儿童池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过滤循环水泵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Q≥60m3/h，H≥18m,N≥5.5KW/380V，铸铁泵体，304叶轮，45#泵轴+304轴套，两用一备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毛发收集器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规格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: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筒身管径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≥350mm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，长度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≥566mm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，高度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≥≥592mm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，快开式，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不锈钢。带排气阀，泄空装置，进水管直径：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，出水管直径：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DN150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商用过滤器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≥1200*2500(L)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，卧式，过滤面积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≥2.65m2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，玻璃纤维材质。带排气阀、泄水阀、反冲洗视镜，八爪缝隙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0.4mm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水晶沙过滤料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1、0.5-0.8mm，2-3mm，25KG/包；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2、活性过滤介质的优势，自消毒，不生成生物膜；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 水晶沙从原生平板玻璃中获得,无任何细菌和污染物；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4、使用期不少于15年；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5、带电荷静电吸附。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196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包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4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中压紫外线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Q≥150m3/h，N≥5KW/220V（5层儿童池）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2、筒体材质：304不锈钢，粗糙度Ra0.8；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3、清洗方式：电动毛刷清洗；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4、控制系统：7寸触摸屏PLC、灯管运行时间显示、工作状态显示、故障报警、灯管寿命报警、水温监测、UV强度监测、输出功率无极调节、过载/短路/漏电/输出过压/输入过压/输入欠压/超温保护。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92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水质监测仪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自动检测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ORP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值、余氯值、浑浊、水温等，自动控制投药系统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RS485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远程输出功能。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消毒剂投药泵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絮凝剂投药泵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调试药剂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调节剂，聚合氯化铝，速溶氯丸，澄清剂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均衡水箱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≥5000×4000×2500mm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不锈钢材质，带聚氨酯保温，板厚按标准。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自动补水系统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DN50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泳池恒温热泵机组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额定制热量：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≥200KW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额定功率：</w:t>
                  </w:r>
                  <w:r>
                    <w:rPr>
                      <w:rFonts w:hint="default" w:ascii="Arial" w:hAnsi="Arial" w:eastAsia="宋体" w:cs="Arial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38.7KW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恒温循环水泵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P≥2.2KW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Q≥25m³/h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H≥20m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，铸铁泵体，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叶轮，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45#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泵轴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+304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轴套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热泵导流风罩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/>
                    </w:rPr>
                    <w:t>按现场定制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布水口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SP-1424,DN50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溢流回水口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SP-1030,DN100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池底排水口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同心大小头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DN150*100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，不锈钢材质，两头法兰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黄铜过滤器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DN80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电动蝶阀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，适用水温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℃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压力表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带缓冲管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橡胶减震器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自动排气阀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，材质黄铜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铜材质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2.0Mpa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1.6Mpa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DE63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284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DE75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DE90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DE110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176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DE160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180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U-PVC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配件类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三通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弯头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直通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变径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内外牙直接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活接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热泵系统控制柜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国标电控元件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水处理系统PLC智能控制柜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PLC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控制（投药系统、排水、加水及温控）、含手机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APP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RVV3*1mm²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240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RVV3*2.5mm²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YJV4*2.5mm²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150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YJV4*4mm²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290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YJV4*25mm²+1*16mm²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95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线管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其他五金杂件及耗材辅材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支吊架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顶爆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固定螺丝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胶水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焊条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切割片等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三、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层标准游泳池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38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过滤循环水泵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Q≥180m3/h，H≥16m,N≥11KW/380V，铸铁泵体，304叶轮，45#泵轴+304轴套，3用1备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59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毛发收集器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规格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: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筒身管径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≥395mm,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长度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≥614mm,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高度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≥713mm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，快开式，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不锈钢。带排气阀，泄空装置，进水管直径：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，出水管直径：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DN200 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商用过滤器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∅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1200*2500(L)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，卧式，过滤面积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2.65m2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，玻璃纤维材质。带排气阀、泄水阀、反冲洗视镜，八爪缝隙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0.4mm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水晶沙过滤料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1、0.5-0.8mm，2-3mm，25KG/包；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leftChars="0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活性过滤介质的优势，自消毒，不生成生物膜；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2、水晶沙从原生平板玻璃中获得,无任何细菌和污染物；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3、使用期不少于15年；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4、带电荷静电吸附。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784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包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中压紫外线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1、Q≥540m3/h，N≥14KW/380V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2、筒体材质：304不锈钢，粗糙度Ra0.8；</w:t>
                  </w:r>
                </w:p>
                <w:p>
                  <w:pPr>
                    <w:pStyle w:val="3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textAlignment w:val="auto"/>
                    <w:outlineLvl w:val="9"/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3、清洗方式：电动毛刷清洗；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spacing w:line="360" w:lineRule="auto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auto"/>
                      <w:sz w:val="21"/>
                      <w:szCs w:val="21"/>
                      <w:highlight w:val="none"/>
                      <w:lang w:val="en-US" w:eastAsia="zh-CN"/>
                    </w:rPr>
                    <w:t>4、控制系统：7寸触摸屏PLC、灯管运行时间显示、工作状态显示、故障报警、灯管寿命报警、水温监测、UV强度监测、输出功率无极调节、过载/短路/漏电/输出过压/输入过压/输入欠压/超温保护。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06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水质监测仪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自动检测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ORP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值、余氯值、浑浊、水温等，自动控制投药系统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RS485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远程输出功能。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消毒剂投药泵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絮凝剂投药泵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投加量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～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54L/h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；压力：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0-5bar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500L  PE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投药桶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调试药剂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调节剂，聚合氯化铝，速溶氯丸，澄清剂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均衡水箱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≥8000×5000×2500mm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不锈钢材质，带聚氨酯保温，板厚按标准。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自动补水系统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DN80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泳池恒温热泵机组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额定制热量：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≥200KW</w:t>
                  </w:r>
                </w:p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额定功率：</w:t>
                  </w:r>
                  <w:r>
                    <w:rPr>
                      <w:rFonts w:hint="default" w:ascii="Arial" w:hAnsi="Arial" w:eastAsia="宋体" w:cs="Arial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≤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38.7KW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恒温循环水泵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P≥7.5KW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Q≥80m³/h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H≥24m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，铸铁泵体，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叶轮，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45#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泵轴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+304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轴套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台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热泵导流风罩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布水口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SP-1424,DN50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144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溢流回水口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SP-1030,DN100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接口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池底排水口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SP-1032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同心大小头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DN200*150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，不锈钢材质，两头法兰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单球体橡胶挠性接头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NR+SBR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静音止回阀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，不锈钢弹簧，阀体铸铁，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黄铜过滤器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DN125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33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涡轮蝶阀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DN300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DN300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闸阀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，明杆闸阀，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电动蝶阀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，适用水温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℃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电动蝶阀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DN300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，阀体铸铁，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PN1.6Mpa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，适用水温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0-80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℃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压力表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带缓冲管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,1.6Mpa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橡胶减震器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自动排气阀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DN20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DN15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，材质黄铜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球阀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水嘴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DE20,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铜材质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个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2.0Mpa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1.6Mpa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DE63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612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DE75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DE110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314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DE140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DE160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186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DE200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222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DE250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162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both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管道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DE315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 xml:space="preserve">1.0Mpa 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156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U-PVC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配件类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三通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弯头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直通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变径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内外牙直接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活接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热泵系统控制柜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国标电控元件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套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4、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水处理系统PLC智能控制柜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含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PLC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控制（投药系统、排水、加水及温控）、含手机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APP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控制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5、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RVV3*1mm²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330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6、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RVV3*2.5mm²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80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7、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YJV4*10mm²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420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8、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YJV4*25+1*16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Times New Roman" w:hAnsi="Times New Roman" w:eastAsia="宋体" w:cs="Times New Roman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160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9、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线缆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YJV4*35+1*16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2"/>
                      <w:szCs w:val="22"/>
                      <w:highlight w:val="none"/>
                      <w:u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0、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136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1、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镀锌线槽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200*100mm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28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2、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线管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DE32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52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米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2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3、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其他五金杂件及耗材辅材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支吊架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顶爆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法兰螺丝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固定螺丝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胶水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焊条</w:t>
                  </w: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/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切割片等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8214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b/>
                      <w:bCs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6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四、其它费用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8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设备高空吊装费及二次搬运费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14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2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手脚架平台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3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孔洞封堵补漏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4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设备混凝土基础及钢结构基础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5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设备、管道支架固定减震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6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临边洞口临时防护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7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机房地面防排水费用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八楼设备平台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8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高空作业费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9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default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  <w:t>墙体拆除与修补、外墙玻璃拆除装格栅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0" w:hRule="atLeast"/>
              </w:trPr>
              <w:tc>
                <w:tcPr>
                  <w:tcW w:w="65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10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</w:p>
              </w:tc>
              <w:tc>
                <w:tcPr>
                  <w:tcW w:w="161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文明施工费、垃圾清运费、临水、临电使用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费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、</w:t>
                  </w: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现场管理费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及其它</w:t>
                  </w:r>
                </w:p>
              </w:tc>
              <w:tc>
                <w:tcPr>
                  <w:tcW w:w="4431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按照现场要求</w:t>
                  </w:r>
                  <w:r>
                    <w:rPr>
                      <w:rStyle w:val="7"/>
                      <w:rFonts w:hint="eastAsia" w:ascii="宋体" w:hAnsi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为准</w:t>
                  </w:r>
                </w:p>
              </w:tc>
              <w:tc>
                <w:tcPr>
                  <w:tcW w:w="80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kern w:val="0"/>
                      <w:sz w:val="21"/>
                      <w:szCs w:val="21"/>
                      <w:highlight w:val="none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  <w:lang w:val="en-US" w:eastAsia="zh-CN" w:bidi="ar-SA"/>
                    </w:rPr>
                  </w:pPr>
                  <w:r>
                    <w:rPr>
                      <w:rStyle w:val="7"/>
                      <w:rFonts w:hint="eastAsia" w:ascii="宋体" w:hAnsi="宋体" w:eastAsia="宋体" w:cs="宋体"/>
                      <w:color w:val="auto"/>
                      <w:sz w:val="21"/>
                      <w:szCs w:val="21"/>
                      <w:highlight w:val="none"/>
                      <w:lang w:val="en-US" w:eastAsia="zh-CN" w:bidi="ar"/>
                    </w:rPr>
                    <w:t>项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Before w:val="1"/>
                <w:gridAfter w:val="1"/>
                <w:wBefore w:w="656" w:type="dxa"/>
                <w:wAfter w:w="709" w:type="dxa"/>
                <w:trHeight w:val="398" w:hRule="atLeast"/>
              </w:trPr>
              <w:tc>
                <w:tcPr>
                  <w:tcW w:w="684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>
                  <w:pPr>
                    <w:jc w:val="both"/>
                    <w:rPr>
                      <w:rFonts w:hint="eastAsia" w:ascii="宋体" w:hAnsi="宋体" w:eastAsia="宋体" w:cs="宋体"/>
                      <w:i w:val="0"/>
                      <w:iCs w:val="0"/>
                      <w:color w:val="auto"/>
                      <w:sz w:val="21"/>
                      <w:szCs w:val="21"/>
                      <w:highlight w:val="none"/>
                      <w:u w:val="none"/>
                    </w:rPr>
                  </w:pPr>
                </w:p>
              </w:tc>
            </w:tr>
          </w:tbl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rPr>
                <w:rFonts w:ascii="宋体" w:hAnsi="宋体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" w:type="pct"/>
            <w:gridSpan w:val="2"/>
            <w:noWrap w:val="0"/>
            <w:vAlign w:val="center"/>
          </w:tcPr>
          <w:p>
            <w:pPr>
              <w:pStyle w:val="2"/>
              <w:widowControl w:val="0"/>
              <w:spacing w:line="240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说明</w:t>
            </w:r>
          </w:p>
        </w:tc>
        <w:tc>
          <w:tcPr>
            <w:tcW w:w="4579" w:type="pct"/>
            <w:noWrap w:val="0"/>
            <w:vAlign w:val="top"/>
          </w:tcPr>
          <w:p>
            <w:pPr>
              <w:widowControl w:val="0"/>
              <w:tabs>
                <w:tab w:val="left" w:pos="630"/>
              </w:tabs>
              <w:spacing w:before="120" w:beforeLines="50" w:line="360" w:lineRule="auto"/>
              <w:jc w:val="both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 xml:space="preserve">打“★”号条款为实质性条款，若有任何一条负偏离或不满足则导致投标（响应）无效。 </w:t>
            </w:r>
          </w:p>
          <w:p>
            <w:pPr>
              <w:widowControl w:val="0"/>
              <w:tabs>
                <w:tab w:val="left" w:pos="630"/>
              </w:tabs>
              <w:spacing w:line="360" w:lineRule="auto"/>
              <w:jc w:val="both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ascii="宋体" w:hAnsi="宋体"/>
                <w:color w:val="auto"/>
                <w:szCs w:val="21"/>
                <w:highlight w:val="none"/>
              </w:rPr>
              <w:t>打“▲”号条款为重要技术参数（如有），若有部分“▲”条款未响应或不满足，将根据评审要 求影响其得分，但不作为无效投标（响应）条款。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lMWI3YzQ5NDMyNTRjNjk2YjlhNjJhMWI0NDZmZDMifQ=="/>
  </w:docVars>
  <w:rsids>
    <w:rsidRoot w:val="3078550F"/>
    <w:rsid w:val="0B2C590C"/>
    <w:rsid w:val="0B503305"/>
    <w:rsid w:val="11F36B75"/>
    <w:rsid w:val="3078550F"/>
    <w:rsid w:val="47CF1FE3"/>
    <w:rsid w:val="4F9A03A8"/>
    <w:rsid w:val="57A32648"/>
    <w:rsid w:val="68B4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60" w:lineRule="auto"/>
    </w:pPr>
  </w:style>
  <w:style w:type="paragraph" w:styleId="3">
    <w:name w:val="Body Text First Indent"/>
    <w:basedOn w:val="2"/>
    <w:qFormat/>
    <w:uiPriority w:val="0"/>
    <w:pPr>
      <w:widowControl w:val="0"/>
      <w:adjustRightInd w:val="0"/>
      <w:snapToGrid w:val="0"/>
      <w:spacing w:before="40" w:after="40"/>
      <w:ind w:firstLine="200" w:firstLineChars="200"/>
      <w:jc w:val="both"/>
    </w:pPr>
    <w:rPr>
      <w:kern w:val="2"/>
      <w:sz w:val="24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4379</Words>
  <Characters>6426</Characters>
  <Lines>0</Lines>
  <Paragraphs>0</Paragraphs>
  <TotalTime>3</TotalTime>
  <ScaleCrop>false</ScaleCrop>
  <LinksUpToDate>false</LinksUpToDate>
  <CharactersWithSpaces>6483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2022-07-14T08:41:00Z</dcterms:created>
  <dc:creator>EricT</dc:creator>
  <cp:lastModifiedBy>EricT</cp:lastModifiedBy>
  <dcterms:modified xsi:type="dcterms:W3CDTF">2022-07-15T05:14:32Z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6A044495DCEA4137B446E6A67C7F5FAE</vt:lpwstr>
  </property>
</Properties>
</file>