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360" w:lineRule="auto"/>
        <w:jc w:val="center"/>
        <w:rPr>
          <w:rFonts w:hint="eastAsia" w:ascii="宋体" w:hAnsi="宋体" w:cs="宋体"/>
          <w:color w:val="auto"/>
          <w:sz w:val="24"/>
        </w:rPr>
      </w:pPr>
      <w:r>
        <w:rPr>
          <w:rFonts w:hint="eastAsia" w:ascii="宋体" w:hAnsi="宋体" w:cs="宋体"/>
          <w:b/>
          <w:bCs/>
          <w:color w:val="auto"/>
          <w:sz w:val="24"/>
          <w:u w:val="none"/>
          <w:lang w:eastAsia="zh-CN"/>
        </w:rPr>
        <w:t>广州市从化区良口镇中心卫生院慢性非传染性采购项目竞争性磋商公告</w:t>
      </w:r>
    </w:p>
    <w:p>
      <w:pPr>
        <w:pageBreakBefore w:val="0"/>
        <w:kinsoku/>
        <w:wordWrap/>
        <w:overflowPunct/>
        <w:topLinePunct w:val="0"/>
        <w:autoSpaceDE/>
        <w:autoSpaceDN/>
        <w:bidi w:val="0"/>
        <w:adjustRightInd/>
        <w:snapToGrid/>
        <w:spacing w:line="360" w:lineRule="auto"/>
        <w:rPr>
          <w:rFonts w:hint="eastAsia" w:ascii="宋体" w:hAnsi="宋体" w:cs="宋体"/>
          <w:color w:val="auto"/>
          <w:sz w:val="24"/>
        </w:rPr>
      </w:pPr>
      <w:r>
        <w:rPr>
          <w:rFonts w:hint="eastAsia" w:ascii="宋体" w:hAnsi="宋体" w:cs="宋体"/>
          <w:color w:val="auto"/>
          <w:sz w:val="24"/>
        </w:rPr>
        <w:t>项目概况</w:t>
      </w:r>
    </w:p>
    <w:p>
      <w:pPr>
        <w:pStyle w:val="8"/>
        <w:pageBreakBefore w:val="0"/>
        <w:kinsoku/>
        <w:wordWrap/>
        <w:overflowPunct/>
        <w:topLinePunct w:val="0"/>
        <w:autoSpaceDE/>
        <w:autoSpaceDN/>
        <w:bidi w:val="0"/>
        <w:adjustRightInd/>
        <w:snapToGrid/>
        <w:spacing w:line="360" w:lineRule="auto"/>
        <w:ind w:left="0" w:leftChars="0" w:firstLine="480"/>
        <w:rPr>
          <w:rFonts w:hint="eastAsia" w:ascii="宋体" w:hAnsi="宋体" w:cs="宋体"/>
          <w:color w:val="auto"/>
          <w:sz w:val="24"/>
        </w:rPr>
      </w:pPr>
      <w:r>
        <w:rPr>
          <w:rFonts w:hint="eastAsia" w:ascii="宋体" w:hAnsi="宋体" w:cs="宋体"/>
          <w:color w:val="auto"/>
          <w:sz w:val="24"/>
          <w:u w:val="single"/>
          <w:lang w:eastAsia="zh-CN"/>
        </w:rPr>
        <w:t>广州市从化区良口镇中心卫生院慢性非传染性采购项目</w:t>
      </w:r>
      <w:r>
        <w:rPr>
          <w:rFonts w:hint="eastAsia" w:ascii="宋体" w:hAnsi="宋体" w:cs="宋体"/>
          <w:color w:val="auto"/>
          <w:sz w:val="24"/>
        </w:rPr>
        <w:t xml:space="preserve"> 采购项目的潜在供应商应在</w:t>
      </w:r>
      <w:r>
        <w:rPr>
          <w:rFonts w:hint="eastAsia" w:ascii="宋体" w:hAnsi="宋体" w:cs="宋体"/>
          <w:color w:val="auto"/>
          <w:sz w:val="24"/>
          <w:u w:val="single"/>
        </w:rPr>
        <w:t xml:space="preserve"> 远东电子交易平台http://www.gdydzb.com/ </w:t>
      </w:r>
      <w:r>
        <w:rPr>
          <w:rFonts w:hint="eastAsia" w:ascii="宋体" w:hAnsi="宋体" w:cs="宋体"/>
          <w:color w:val="auto"/>
          <w:sz w:val="24"/>
        </w:rPr>
        <w:t>获取采购文件，并于</w:t>
      </w:r>
      <w:r>
        <w:rPr>
          <w:rFonts w:hint="eastAsia" w:ascii="宋体" w:hAnsi="宋体" w:cs="宋体"/>
          <w:color w:val="auto"/>
          <w:sz w:val="24"/>
          <w:u w:val="single"/>
        </w:rPr>
        <w:t>202</w:t>
      </w:r>
      <w:r>
        <w:rPr>
          <w:rFonts w:hint="eastAsia" w:ascii="宋体" w:hAnsi="宋体" w:cs="宋体"/>
          <w:color w:val="auto"/>
          <w:sz w:val="24"/>
          <w:u w:val="single"/>
          <w:lang w:val="en-US" w:eastAsia="zh-CN"/>
        </w:rPr>
        <w:t>2</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11</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22</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14</w:t>
      </w:r>
      <w:r>
        <w:rPr>
          <w:rFonts w:hint="eastAsia" w:ascii="宋体" w:hAnsi="宋体" w:cs="宋体"/>
          <w:bCs/>
          <w:color w:val="auto"/>
          <w:sz w:val="24"/>
          <w:u w:val="single"/>
        </w:rPr>
        <w:t>点30分</w:t>
      </w:r>
      <w:r>
        <w:rPr>
          <w:rFonts w:hint="eastAsia" w:ascii="宋体" w:hAnsi="宋体" w:cs="宋体"/>
          <w:bCs/>
          <w:color w:val="auto"/>
          <w:sz w:val="24"/>
        </w:rPr>
        <w:t>（</w:t>
      </w:r>
      <w:bookmarkStart w:id="30" w:name="_GoBack"/>
      <w:bookmarkEnd w:id="30"/>
      <w:r>
        <w:rPr>
          <w:rFonts w:hint="eastAsia" w:ascii="宋体" w:hAnsi="宋体" w:cs="宋体"/>
          <w:bCs/>
          <w:color w:val="auto"/>
          <w:sz w:val="24"/>
        </w:rPr>
        <w:t>北京时间）前提交响应文件</w:t>
      </w:r>
      <w:r>
        <w:rPr>
          <w:rFonts w:hint="eastAsia" w:ascii="宋体" w:hAnsi="宋体" w:cs="宋体"/>
          <w:color w:val="auto"/>
          <w:sz w:val="24"/>
        </w:rPr>
        <w:t>。</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0" w:name="_Toc28359089"/>
      <w:bookmarkStart w:id="1" w:name="_Toc35393798"/>
      <w:bookmarkStart w:id="2" w:name="_Toc35393629"/>
      <w:bookmarkStart w:id="3" w:name="_Toc28359012"/>
      <w:r>
        <w:rPr>
          <w:rFonts w:hint="eastAsia" w:ascii="宋体" w:hAnsi="宋体" w:eastAsia="宋体" w:cs="宋体"/>
          <w:b w:val="0"/>
          <w:color w:val="auto"/>
          <w:sz w:val="24"/>
          <w:szCs w:val="24"/>
        </w:rPr>
        <w:t>一、项目基本情况</w:t>
      </w:r>
      <w:bookmarkEnd w:id="0"/>
      <w:bookmarkEnd w:id="1"/>
      <w:bookmarkEnd w:id="2"/>
      <w:bookmarkEnd w:id="3"/>
    </w:p>
    <w:p>
      <w:pPr>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项目编号：</w:t>
      </w:r>
      <w:r>
        <w:rPr>
          <w:rFonts w:hint="eastAsia" w:ascii="宋体" w:hAnsi="宋体" w:cs="宋体"/>
          <w:color w:val="auto"/>
          <w:sz w:val="24"/>
          <w:lang w:eastAsia="zh-CN"/>
        </w:rPr>
        <w:t>GDYD221379</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olor w:val="auto"/>
          <w:sz w:val="24"/>
          <w:lang w:eastAsia="zh-CN"/>
        </w:rPr>
      </w:pPr>
      <w:r>
        <w:rPr>
          <w:rFonts w:hint="eastAsia" w:ascii="宋体" w:hAnsi="宋体" w:cs="宋体"/>
          <w:color w:val="auto"/>
          <w:sz w:val="24"/>
        </w:rPr>
        <w:t>项目名称：</w:t>
      </w:r>
      <w:r>
        <w:rPr>
          <w:rFonts w:hint="eastAsia" w:ascii="宋体" w:hAnsi="宋体"/>
          <w:color w:val="auto"/>
          <w:sz w:val="24"/>
          <w:lang w:eastAsia="zh-CN"/>
        </w:rPr>
        <w:t>广州市从化区良口镇中心卫生院慢性非传染性采购项目</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sz w:val="24"/>
        </w:rPr>
      </w:pPr>
      <w:r>
        <w:rPr>
          <w:rFonts w:hint="eastAsia" w:ascii="宋体" w:hAnsi="宋体" w:cs="宋体"/>
          <w:color w:val="auto"/>
          <w:sz w:val="24"/>
        </w:rPr>
        <w:t>采购方式：□竞争性谈判 ☑竞争性磋商 □询价</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预算金额：</w:t>
      </w:r>
      <w:r>
        <w:rPr>
          <w:rFonts w:hint="eastAsia" w:ascii="宋体" w:hAnsi="宋体" w:cs="宋体"/>
          <w:color w:val="auto"/>
          <w:sz w:val="24"/>
          <w:lang w:val="en-US" w:eastAsia="zh-CN"/>
        </w:rPr>
        <w:t>25</w:t>
      </w:r>
      <w:r>
        <w:rPr>
          <w:rFonts w:hint="eastAsia" w:ascii="宋体" w:hAnsi="宋体" w:cs="宋体"/>
          <w:color w:val="auto"/>
          <w:sz w:val="24"/>
          <w:lang w:eastAsia="zh-CN"/>
        </w:rPr>
        <w:t>万元</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sz w:val="24"/>
        </w:rPr>
      </w:pPr>
      <w:r>
        <w:rPr>
          <w:rFonts w:hint="eastAsia" w:ascii="宋体" w:hAnsi="宋体" w:cs="宋体"/>
          <w:color w:val="auto"/>
          <w:sz w:val="24"/>
        </w:rPr>
        <w:t>最高限价：</w:t>
      </w:r>
      <w:r>
        <w:rPr>
          <w:rFonts w:hint="eastAsia" w:ascii="宋体" w:hAnsi="宋体" w:cs="宋体"/>
          <w:color w:val="auto"/>
          <w:sz w:val="24"/>
          <w:lang w:val="en-US" w:eastAsia="zh-CN"/>
        </w:rPr>
        <w:t>25万元</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采购需求：</w:t>
      </w:r>
      <w:r>
        <w:rPr>
          <w:rFonts w:hint="eastAsia" w:ascii="宋体" w:hAnsi="宋体" w:cs="宋体"/>
          <w:color w:val="auto"/>
          <w:sz w:val="24"/>
          <w:u w:val="single"/>
          <w:lang w:eastAsia="zh-CN"/>
        </w:rPr>
        <w:t>广州市从化区良口镇中心卫生院慢性非传染性采购项目一批</w:t>
      </w:r>
      <w:r>
        <w:rPr>
          <w:rFonts w:hint="eastAsia" w:ascii="宋体" w:hAnsi="宋体" w:cs="宋体"/>
          <w:color w:val="auto"/>
          <w:sz w:val="24"/>
          <w:u w:val="single"/>
        </w:rPr>
        <w:t>及相关服务</w:t>
      </w:r>
    </w:p>
    <w:p>
      <w:pPr>
        <w:pageBreakBefore w:val="0"/>
        <w:kinsoku/>
        <w:wordWrap/>
        <w:overflowPunct/>
        <w:topLinePunct w:val="0"/>
        <w:autoSpaceDE/>
        <w:autoSpaceDN/>
        <w:bidi w:val="0"/>
        <w:adjustRightInd/>
        <w:snapToGrid/>
        <w:spacing w:line="360" w:lineRule="auto"/>
        <w:ind w:firstLine="480" w:firstLineChars="200"/>
        <w:rPr>
          <w:rFonts w:ascii="宋体" w:hAnsi="宋体" w:cs="宋体"/>
          <w:color w:val="auto"/>
          <w:sz w:val="24"/>
          <w:u w:val="single"/>
        </w:rPr>
      </w:pPr>
      <w:r>
        <w:rPr>
          <w:rFonts w:hint="eastAsia" w:ascii="宋体" w:hAnsi="宋体" w:cs="宋体"/>
          <w:color w:val="auto"/>
          <w:sz w:val="24"/>
        </w:rPr>
        <w:t>合同履行期限：合同签订生效之日起</w:t>
      </w:r>
      <w:r>
        <w:rPr>
          <w:rFonts w:hint="eastAsia" w:ascii="宋体" w:hAnsi="宋体" w:cs="宋体"/>
          <w:color w:val="auto"/>
          <w:sz w:val="24"/>
          <w:lang w:val="en-US" w:eastAsia="zh-CN"/>
        </w:rPr>
        <w:t>30</w:t>
      </w:r>
      <w:r>
        <w:rPr>
          <w:rFonts w:hint="eastAsia" w:ascii="宋体" w:hAnsi="宋体" w:cs="宋体"/>
          <w:color w:val="auto"/>
          <w:sz w:val="24"/>
        </w:rPr>
        <w:t>天完成供货、安装及验收</w:t>
      </w:r>
      <w:r>
        <w:rPr>
          <w:rFonts w:hint="eastAsia" w:ascii="宋体" w:hAnsi="宋体" w:cs="宋体"/>
          <w:color w:val="auto"/>
          <w:sz w:val="24"/>
          <w:lang w:eastAsia="zh-CN"/>
        </w:rPr>
        <w:t>。</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sz w:val="24"/>
        </w:rPr>
      </w:pPr>
      <w:r>
        <w:rPr>
          <w:rFonts w:hint="eastAsia" w:ascii="宋体" w:hAnsi="宋体" w:cs="宋体"/>
          <w:color w:val="auto"/>
          <w:sz w:val="24"/>
        </w:rPr>
        <w:t>本项目不接受联合体。</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4" w:name="_Toc28359090"/>
      <w:bookmarkStart w:id="5" w:name="_Toc35393630"/>
      <w:bookmarkStart w:id="6" w:name="_Toc35393799"/>
      <w:bookmarkStart w:id="7" w:name="_Toc28359013"/>
      <w:r>
        <w:rPr>
          <w:rFonts w:hint="eastAsia" w:ascii="宋体" w:hAnsi="宋体" w:eastAsia="宋体" w:cs="宋体"/>
          <w:b w:val="0"/>
          <w:color w:val="auto"/>
          <w:sz w:val="24"/>
          <w:szCs w:val="24"/>
        </w:rPr>
        <w:t>二、申请人的资格要求：</w:t>
      </w:r>
      <w:bookmarkEnd w:id="4"/>
      <w:bookmarkEnd w:id="5"/>
      <w:bookmarkEnd w:id="6"/>
      <w:bookmarkEnd w:id="7"/>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bookmarkStart w:id="8" w:name="_Toc28359091"/>
      <w:bookmarkStart w:id="9" w:name="_Toc28359014"/>
      <w:r>
        <w:rPr>
          <w:rFonts w:hint="eastAsia" w:ascii="宋体" w:hAnsi="宋体" w:cs="宋体"/>
          <w:color w:val="000000"/>
          <w:shd w:val="clear" w:color="auto" w:fill="FFFFFF"/>
        </w:rPr>
        <w:t>1.投标供应商应具备《政府采购法》第二十二条规定的条件，提供下列材料：</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1）具有独立承担民事责任的能力：在中华人民共和国境内注册的法人或其他组织或自然人，投标（响应）时提交有效的营业执照（或事业法人登记证或身份证等相关证明）副本复印件。分支机构响应的，须提供总公司和分公司营业执照副本复印件，总公司出具给分支机构的授权书。</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2）有依法缴纳税收和社会保障资金的良好记录：具有依法缴纳税收和社会保障资金的良好记录；（提供《资格声明函》）</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3）具有良好的商业信誉和健全的财务会计制度：具有良好的商业信誉和健全的财务会计制度；（提供《资格声明函》）</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4）履行合同所必需的设备和专业技术能力：具有履行合同所必需的设备和专业技术能力；（提供《资格声明函》）</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5）参加采购活动前3年内，在经营活动中没有重大违法记录：在经营活动中没有重大违法记录：参照响应承诺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2.落实政府采购政策需满足的资格要求：</w:t>
      </w:r>
    </w:p>
    <w:p>
      <w:pPr>
        <w:pStyle w:val="7"/>
        <w:pageBreakBefore w:val="0"/>
        <w:widowControl/>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eastAsia="宋体"/>
          <w:color w:val="auto"/>
          <w:sz w:val="24"/>
          <w:lang w:eastAsia="zh-CN"/>
        </w:rPr>
      </w:pPr>
      <w:r>
        <w:rPr>
          <w:rFonts w:hint="eastAsia" w:ascii="宋体" w:hAnsi="宋体" w:cs="宋体"/>
          <w:color w:val="000000"/>
          <w:shd w:val="clear" w:color="auto" w:fill="FFFFFF"/>
        </w:rPr>
        <w:t>合同包1(</w:t>
      </w:r>
      <w:r>
        <w:rPr>
          <w:rFonts w:hint="eastAsia" w:ascii="宋体" w:hAnsi="宋体"/>
          <w:color w:val="auto"/>
          <w:sz w:val="24"/>
          <w:lang w:eastAsia="zh-CN"/>
        </w:rPr>
        <w:t>广州市从化区良口镇中心卫生院慢性非传染性采购项目</w:t>
      </w:r>
      <w:r>
        <w:rPr>
          <w:rFonts w:hint="eastAsia" w:ascii="宋体" w:hAnsi="宋体" w:eastAsia="宋体"/>
          <w:color w:val="auto"/>
          <w:sz w:val="24"/>
          <w:lang w:eastAsia="zh-CN"/>
        </w:rPr>
        <w:t>)落实政府采购政策需满足的资格要求如下:</w:t>
      </w:r>
    </w:p>
    <w:p>
      <w:pPr>
        <w:pStyle w:val="7"/>
        <w:pageBreakBefore w:val="0"/>
        <w:widowControl/>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eastAsia="宋体"/>
          <w:color w:val="auto"/>
          <w:sz w:val="24"/>
          <w:lang w:eastAsia="zh-CN"/>
        </w:rPr>
      </w:pPr>
      <w:r>
        <w:rPr>
          <w:rFonts w:hint="eastAsia" w:ascii="宋体" w:hAnsi="宋体" w:eastAsia="宋体"/>
          <w:color w:val="auto"/>
          <w:sz w:val="24"/>
          <w:lang w:eastAsia="zh-CN"/>
        </w:rPr>
        <w:t>采购包整体非专门面向中小企业。</w:t>
      </w:r>
    </w:p>
    <w:p>
      <w:pPr>
        <w:pStyle w:val="7"/>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cs="宋体"/>
          <w:color w:val="000000"/>
        </w:rPr>
      </w:pPr>
      <w:r>
        <w:rPr>
          <w:rFonts w:hint="eastAsia" w:ascii="宋体" w:hAnsi="宋体" w:cs="宋体"/>
          <w:color w:val="000000"/>
          <w:shd w:val="clear" w:color="auto" w:fill="FFFFFF"/>
        </w:rPr>
        <w:t>3.本项目的特定资格要求：</w:t>
      </w:r>
    </w:p>
    <w:p>
      <w:pPr>
        <w:pStyle w:val="7"/>
        <w:pageBreakBefore w:val="0"/>
        <w:widowControl/>
        <w:kinsoku/>
        <w:wordWrap/>
        <w:overflowPunct/>
        <w:topLinePunct w:val="0"/>
        <w:autoSpaceDE/>
        <w:autoSpaceDN/>
        <w:bidi w:val="0"/>
        <w:adjustRightInd/>
        <w:snapToGrid/>
        <w:spacing w:beforeAutospacing="0" w:afterAutospacing="0" w:line="360" w:lineRule="auto"/>
        <w:ind w:firstLine="480"/>
        <w:jc w:val="both"/>
        <w:textAlignment w:val="baseline"/>
      </w:pPr>
      <w:r>
        <w:rPr>
          <w:rFonts w:hint="eastAsia" w:ascii="宋体" w:hAnsi="宋体" w:cs="宋体"/>
          <w:color w:val="000000"/>
          <w:shd w:val="clear" w:color="auto" w:fill="FFFFFF"/>
        </w:rPr>
        <w:t>合同包1(</w:t>
      </w:r>
      <w:r>
        <w:rPr>
          <w:rFonts w:hint="eastAsia" w:ascii="宋体" w:hAnsi="宋体"/>
          <w:color w:val="auto"/>
          <w:sz w:val="24"/>
          <w:lang w:eastAsia="zh-CN"/>
        </w:rPr>
        <w:t>广州市从化区良口镇中心卫生院慢性非传染性采购项目</w:t>
      </w:r>
      <w:r>
        <w:rPr>
          <w:rFonts w:hint="eastAsia" w:ascii="宋体" w:hAnsi="宋体" w:cs="宋体"/>
          <w:color w:val="000000"/>
          <w:shd w:val="clear" w:color="auto" w:fill="FFFFFF"/>
        </w:rPr>
        <w:t>)特定资格要求如下:</w:t>
      </w:r>
    </w:p>
    <w:p>
      <w:pPr>
        <w:pStyle w:val="7"/>
        <w:pageBreakBefore w:val="0"/>
        <w:widowControl/>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eastAsia="宋体" w:cs="宋体"/>
          <w:color w:val="000000"/>
          <w:shd w:val="clear" w:color="auto" w:fill="FFFFFF"/>
        </w:rPr>
      </w:pPr>
      <w:r>
        <w:rPr>
          <w:rFonts w:hint="eastAsia" w:ascii="宋体" w:hAnsi="宋体" w:eastAsia="宋体" w:cs="宋体"/>
          <w:color w:val="000000"/>
          <w:shd w:val="clear" w:color="auto" w:fill="FFFFFF"/>
        </w:rPr>
        <w:t>(1)</w:t>
      </w:r>
      <w:r>
        <w:rPr>
          <w:rFonts w:hint="eastAsia" w:ascii="宋体" w:hAnsi="宋体" w:eastAsia="宋体" w:cs="宋体"/>
          <w:color w:val="000000"/>
          <w:shd w:val="clear" w:color="auto" w:fill="FFFFFF"/>
          <w:lang w:eastAsia="zh-CN"/>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r>
        <w:rPr>
          <w:rFonts w:hint="eastAsia" w:ascii="宋体" w:hAnsi="宋体" w:eastAsia="宋体" w:cs="宋体"/>
          <w:color w:val="000000"/>
          <w:shd w:val="clear" w:color="auto" w:fill="FFFFFF"/>
        </w:rPr>
        <w:t>。</w:t>
      </w:r>
    </w:p>
    <w:p>
      <w:pPr>
        <w:pStyle w:val="7"/>
        <w:pageBreakBefore w:val="0"/>
        <w:widowControl/>
        <w:kinsoku/>
        <w:wordWrap/>
        <w:overflowPunct/>
        <w:topLinePunct w:val="0"/>
        <w:autoSpaceDE/>
        <w:autoSpaceDN/>
        <w:bidi w:val="0"/>
        <w:adjustRightInd/>
        <w:snapToGrid/>
        <w:spacing w:beforeAutospacing="0" w:afterAutospacing="0" w:line="360" w:lineRule="auto"/>
        <w:ind w:firstLine="480"/>
        <w:jc w:val="both"/>
        <w:textAlignment w:val="baseline"/>
        <w:rPr>
          <w:rFonts w:hint="eastAsia" w:ascii="宋体" w:hAnsi="宋体" w:eastAsia="宋体" w:cs="宋体"/>
          <w:color w:val="000000"/>
          <w:shd w:val="clear" w:color="auto" w:fill="FFFFFF"/>
        </w:rPr>
      </w:pPr>
      <w:r>
        <w:rPr>
          <w:rFonts w:hint="eastAsia" w:ascii="宋体" w:hAnsi="宋体" w:eastAsia="宋体" w:cs="宋体"/>
          <w:color w:val="000000"/>
          <w:shd w:val="clear" w:color="auto" w:fill="FFFFFF"/>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7"/>
        <w:pageBreakBefore w:val="0"/>
        <w:widowControl/>
        <w:kinsoku/>
        <w:wordWrap/>
        <w:overflowPunct/>
        <w:topLinePunct w:val="0"/>
        <w:autoSpaceDE/>
        <w:autoSpaceDN/>
        <w:bidi w:val="0"/>
        <w:adjustRightInd/>
        <w:snapToGrid/>
        <w:spacing w:beforeAutospacing="0" w:afterAutospacing="0" w:line="360" w:lineRule="auto"/>
        <w:ind w:firstLine="480"/>
        <w:jc w:val="both"/>
        <w:textAlignment w:val="baseline"/>
        <w:rPr>
          <w:rFonts w:hint="default" w:ascii="宋体" w:hAnsi="宋体" w:eastAsia="宋体" w:cs="宋体"/>
          <w:color w:val="000000"/>
          <w:shd w:val="clear" w:color="auto" w:fill="FFFFFF"/>
          <w:lang w:val="en-US" w:eastAsia="zh-CN"/>
        </w:rPr>
      </w:pPr>
      <w:r>
        <w:rPr>
          <w:rFonts w:hint="eastAsia" w:ascii="宋体" w:hAnsi="宋体" w:eastAsia="宋体" w:cs="宋体"/>
          <w:color w:val="000000"/>
          <w:shd w:val="clear" w:color="auto" w:fill="FFFFFF"/>
          <w:lang w:val="en-US" w:eastAsia="zh-CN"/>
        </w:rPr>
        <w:t>（3）供应商必须具有与本项目采购的货物相应的《医疗器械经营许可证》及《医疗器械产品注册证》（如果国家强制性认证要求的产品还须提供相应的证件）。</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10" w:name="_Toc35393800"/>
      <w:bookmarkStart w:id="11" w:name="_Toc35393631"/>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三、获取采购文件</w:t>
      </w:r>
      <w:bookmarkEnd w:id="8"/>
      <w:bookmarkEnd w:id="9"/>
      <w:bookmarkEnd w:id="10"/>
      <w:bookmarkEnd w:id="11"/>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2</w:t>
      </w:r>
      <w:r>
        <w:rPr>
          <w:rFonts w:hint="eastAsia" w:ascii="宋体" w:hAnsi="宋体" w:cs="宋体"/>
          <w:color w:val="auto"/>
          <w:sz w:val="24"/>
          <w:u w:val="single"/>
        </w:rPr>
        <w:t>年</w:t>
      </w:r>
      <w:r>
        <w:rPr>
          <w:rFonts w:hint="eastAsia" w:ascii="宋体" w:hAnsi="宋体" w:cs="宋体"/>
          <w:color w:val="auto"/>
          <w:sz w:val="24"/>
          <w:u w:val="single"/>
          <w:lang w:val="en-US" w:eastAsia="zh-CN"/>
        </w:rPr>
        <w:t>11</w:t>
      </w:r>
      <w:r>
        <w:rPr>
          <w:rFonts w:hint="eastAsia" w:ascii="宋体" w:hAnsi="宋体" w:cs="宋体"/>
          <w:color w:val="auto"/>
          <w:sz w:val="24"/>
          <w:u w:val="single"/>
        </w:rPr>
        <w:t>月</w:t>
      </w:r>
      <w:r>
        <w:rPr>
          <w:rFonts w:hint="eastAsia" w:ascii="宋体" w:hAnsi="宋体" w:cs="宋体"/>
          <w:color w:val="auto"/>
          <w:sz w:val="24"/>
          <w:u w:val="single"/>
          <w:lang w:val="en-US" w:eastAsia="zh-CN"/>
        </w:rPr>
        <w:t>11</w:t>
      </w:r>
      <w:r>
        <w:rPr>
          <w:rFonts w:hint="eastAsia" w:ascii="宋体" w:hAnsi="宋体" w:cs="宋体"/>
          <w:color w:val="auto"/>
          <w:sz w:val="24"/>
          <w:u w:val="single"/>
        </w:rPr>
        <w:t>日</w:t>
      </w:r>
      <w:r>
        <w:rPr>
          <w:rFonts w:hint="eastAsia" w:ascii="宋体" w:hAnsi="宋体" w:cs="宋体"/>
          <w:color w:val="auto"/>
          <w:sz w:val="24"/>
        </w:rPr>
        <w:t>至</w:t>
      </w:r>
      <w:r>
        <w:rPr>
          <w:rFonts w:hint="eastAsia" w:ascii="宋体" w:hAnsi="宋体" w:cs="宋体"/>
          <w:color w:val="auto"/>
          <w:sz w:val="24"/>
          <w:u w:val="single"/>
          <w:lang w:eastAsia="zh-CN"/>
        </w:rPr>
        <w:t>2022年</w:t>
      </w:r>
      <w:r>
        <w:rPr>
          <w:rFonts w:hint="eastAsia" w:ascii="宋体" w:hAnsi="宋体" w:cs="宋体"/>
          <w:color w:val="auto"/>
          <w:sz w:val="24"/>
          <w:u w:val="single"/>
          <w:lang w:val="en-US" w:eastAsia="zh-CN"/>
        </w:rPr>
        <w:t>11</w:t>
      </w:r>
      <w:r>
        <w:rPr>
          <w:rFonts w:hint="eastAsia" w:ascii="宋体" w:hAnsi="宋体" w:cs="宋体"/>
          <w:color w:val="auto"/>
          <w:sz w:val="24"/>
          <w:u w:val="single"/>
        </w:rPr>
        <w:t>月</w:t>
      </w:r>
      <w:r>
        <w:rPr>
          <w:rFonts w:hint="eastAsia" w:ascii="宋体" w:hAnsi="宋体" w:cs="宋体"/>
          <w:color w:val="auto"/>
          <w:sz w:val="24"/>
          <w:u w:val="single"/>
          <w:lang w:val="en-US" w:eastAsia="zh-CN"/>
        </w:rPr>
        <w:t>18</w:t>
      </w:r>
      <w:r>
        <w:rPr>
          <w:rFonts w:hint="eastAsia" w:ascii="宋体" w:hAnsi="宋体" w:cs="宋体"/>
          <w:color w:val="auto"/>
          <w:sz w:val="24"/>
          <w:u w:val="single"/>
        </w:rPr>
        <w:t>日</w:t>
      </w:r>
      <w:r>
        <w:rPr>
          <w:rFonts w:hint="eastAsia" w:ascii="宋体" w:hAnsi="宋体" w:cs="宋体"/>
          <w:color w:val="auto"/>
          <w:sz w:val="24"/>
        </w:rPr>
        <w:t>，每天上午</w:t>
      </w:r>
      <w:r>
        <w:rPr>
          <w:rFonts w:hint="eastAsia" w:ascii="宋体" w:hAnsi="宋体" w:cs="宋体"/>
          <w:color w:val="auto"/>
          <w:sz w:val="24"/>
          <w:u w:val="single"/>
        </w:rPr>
        <w:t>0:00</w:t>
      </w:r>
      <w:r>
        <w:rPr>
          <w:rFonts w:hint="eastAsia" w:ascii="宋体" w:hAnsi="宋体" w:cs="宋体"/>
          <w:color w:val="auto"/>
          <w:sz w:val="24"/>
        </w:rPr>
        <w:t>至</w:t>
      </w:r>
      <w:r>
        <w:rPr>
          <w:rFonts w:hint="eastAsia" w:ascii="宋体" w:hAnsi="宋体" w:cs="宋体"/>
          <w:color w:val="auto"/>
          <w:sz w:val="24"/>
          <w:u w:val="single"/>
        </w:rPr>
        <w:t>12:00</w:t>
      </w:r>
      <w:r>
        <w:rPr>
          <w:rFonts w:hint="eastAsia" w:ascii="宋体" w:hAnsi="宋体" w:cs="宋体"/>
          <w:color w:val="auto"/>
          <w:sz w:val="24"/>
        </w:rPr>
        <w:t>，下午</w:t>
      </w:r>
      <w:r>
        <w:rPr>
          <w:rFonts w:hint="eastAsia" w:ascii="宋体" w:hAnsi="宋体" w:cs="宋体"/>
          <w:color w:val="auto"/>
          <w:sz w:val="24"/>
          <w:u w:val="single"/>
        </w:rPr>
        <w:t>12:00</w:t>
      </w:r>
      <w:r>
        <w:rPr>
          <w:rFonts w:hint="eastAsia" w:ascii="宋体" w:hAnsi="宋体" w:cs="宋体"/>
          <w:color w:val="auto"/>
          <w:sz w:val="24"/>
        </w:rPr>
        <w:t>至</w:t>
      </w:r>
      <w:r>
        <w:rPr>
          <w:rFonts w:hint="eastAsia" w:ascii="宋体" w:hAnsi="宋体" w:cs="宋体"/>
          <w:color w:val="auto"/>
          <w:sz w:val="24"/>
          <w:u w:val="single"/>
        </w:rPr>
        <w:t>23:59</w:t>
      </w:r>
      <w:r>
        <w:rPr>
          <w:rFonts w:hint="eastAsia" w:ascii="宋体" w:hAnsi="宋体" w:cs="宋体"/>
          <w:color w:val="auto"/>
          <w:sz w:val="24"/>
        </w:rPr>
        <w:t>（北京时间，法定节假日除外 ）。</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地点：</w:t>
      </w:r>
      <w:r>
        <w:rPr>
          <w:rFonts w:hint="eastAsia" w:ascii="宋体" w:hAnsi="宋体" w:cs="宋体"/>
          <w:color w:val="auto"/>
          <w:sz w:val="24"/>
          <w:u w:val="single"/>
        </w:rPr>
        <w:t>远东电子交易平台http://www.gdydzb.com/</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注意：本项目磋商文件只在远东电子交易平台在线上发售，报价供应商在购买采购文件之前，登陆广东远东招标代理有限公司网站（远东电子交易平台http://www.gdydzb.com/）进行网上注册（已注册请忽略，直接登录进行报名与购标操作），具体流程操作见网站“下载专区 ——供应商操作手册”，网上注册相应准备资料如下：加盖公章的有效营业执照副本扫描件、法人姓名与身份证号码。</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符合资格的供应商在网上注册成功后方可报名与购买采购文件，购买方式：网上购买，标书款支付方式只接受支付宝付款，不接受现金或其他方式支付。主要操作过程如下：</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1）注册：在远东电子交易平台(http://www.gdydzb.com/)完成注册（详细可查看下载专区的《供应商操作手册》）；</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2）选择项目：登陆后，在“投标 --&gt;查看采购公告(供应商)”中，搜索到需要参与的项目，并选择此项目。</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3）参与确认：选择“登记参与”，选择相应的标段登记资料（请根据供应商资格提交相应的资料扫描件，如有多个请全部压缩成一个文件再上传），提交后请等待审核；</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4）购买磋商文件：在登记资料通过审核后，请在“购标、响应文件 --&gt;报名下载磋商文件”中选择相应的标段，通过网上支付方式完成支付并下载磋商文件。</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u w:val="single"/>
        </w:rPr>
      </w:pPr>
      <w:r>
        <w:rPr>
          <w:rFonts w:hint="eastAsia" w:ascii="宋体" w:hAnsi="宋体" w:cs="宋体"/>
          <w:color w:val="auto"/>
          <w:sz w:val="24"/>
        </w:rPr>
        <w:t>有关网上注册、报名相关疑问，可至电（代理机构）胡小姐 联系方式：020-83642820-808，邮箱：zgydgb2005@126.com。</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方式：自行下载</w:t>
      </w:r>
    </w:p>
    <w:p>
      <w:pPr>
        <w:pageBreakBefore w:val="0"/>
        <w:kinsoku/>
        <w:wordWrap/>
        <w:overflowPunct/>
        <w:topLinePunct w:val="0"/>
        <w:autoSpaceDE/>
        <w:autoSpaceDN/>
        <w:bidi w:val="0"/>
        <w:adjustRightInd/>
        <w:snapToGrid/>
        <w:spacing w:line="360" w:lineRule="auto"/>
        <w:ind w:firstLine="540"/>
        <w:rPr>
          <w:rFonts w:hint="eastAsia" w:ascii="宋体" w:hAnsi="宋体" w:cs="宋体"/>
          <w:color w:val="auto"/>
          <w:sz w:val="24"/>
        </w:rPr>
      </w:pPr>
      <w:r>
        <w:rPr>
          <w:rFonts w:hint="eastAsia" w:ascii="宋体" w:hAnsi="宋体" w:cs="宋体"/>
          <w:color w:val="auto"/>
          <w:sz w:val="24"/>
        </w:rPr>
        <w:t>售价：300元</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12" w:name="_Toc28359092"/>
      <w:bookmarkStart w:id="13" w:name="_Toc35393801"/>
      <w:bookmarkStart w:id="14" w:name="_Toc28359015"/>
      <w:bookmarkStart w:id="15" w:name="_Toc35393632"/>
    </w:p>
    <w:bookmarkEnd w:id="12"/>
    <w:bookmarkEnd w:id="13"/>
    <w:bookmarkEnd w:id="14"/>
    <w:bookmarkEnd w:id="15"/>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16" w:name="_Toc28359017"/>
      <w:bookmarkStart w:id="17" w:name="_Toc35393803"/>
      <w:bookmarkStart w:id="18" w:name="_Toc35393634"/>
      <w:bookmarkStart w:id="19" w:name="_Toc28359094"/>
      <w:r>
        <w:rPr>
          <w:rFonts w:hint="eastAsia" w:ascii="宋体" w:hAnsi="宋体" w:eastAsia="宋体" w:cs="宋体"/>
          <w:b w:val="0"/>
          <w:color w:val="auto"/>
          <w:sz w:val="24"/>
          <w:szCs w:val="24"/>
        </w:rPr>
        <w:t>四、响应文件提交</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截止时间：</w:t>
      </w:r>
      <w:r>
        <w:rPr>
          <w:rFonts w:hint="eastAsia" w:ascii="宋体" w:hAnsi="宋体" w:cs="宋体"/>
          <w:color w:val="auto"/>
          <w:sz w:val="24"/>
          <w:u w:val="single"/>
        </w:rPr>
        <w:t>202</w:t>
      </w:r>
      <w:r>
        <w:rPr>
          <w:rFonts w:hint="eastAsia" w:ascii="宋体" w:hAnsi="宋体" w:cs="宋体"/>
          <w:color w:val="auto"/>
          <w:sz w:val="24"/>
          <w:u w:val="single"/>
          <w:lang w:val="en-US" w:eastAsia="zh-CN"/>
        </w:rPr>
        <w:t>2</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11</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22</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14</w:t>
      </w:r>
      <w:r>
        <w:rPr>
          <w:rFonts w:hint="eastAsia" w:ascii="宋体" w:hAnsi="宋体" w:cs="宋体"/>
          <w:bCs/>
          <w:color w:val="auto"/>
          <w:sz w:val="24"/>
          <w:u w:val="single"/>
        </w:rPr>
        <w:t>点30分</w:t>
      </w:r>
      <w:r>
        <w:rPr>
          <w:rFonts w:hint="eastAsia" w:ascii="宋体" w:hAnsi="宋体" w:cs="宋体"/>
          <w:bCs/>
          <w:color w:val="auto"/>
          <w:sz w:val="24"/>
        </w:rPr>
        <w:t>（北京时间）</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Cs/>
          <w:color w:val="auto"/>
          <w:sz w:val="24"/>
          <w:u w:val="single"/>
          <w:lang w:eastAsia="zh-CN"/>
        </w:rPr>
      </w:pPr>
      <w:r>
        <w:rPr>
          <w:rFonts w:hint="eastAsia" w:ascii="宋体" w:hAnsi="宋体" w:cs="宋体"/>
          <w:color w:val="auto"/>
          <w:sz w:val="24"/>
        </w:rPr>
        <w:t>地点：</w:t>
      </w:r>
      <w:r>
        <w:rPr>
          <w:rFonts w:hint="eastAsia" w:ascii="宋体" w:hAnsi="宋体" w:cs="宋体"/>
          <w:color w:val="auto"/>
          <w:sz w:val="24"/>
          <w:lang w:eastAsia="zh-CN"/>
        </w:rPr>
        <w:t>广州市越秀区越秀北路222号越良大厦13楼远东开标室</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20" w:name="_Toc35393633"/>
      <w:bookmarkStart w:id="21" w:name="_Toc28359093"/>
      <w:bookmarkStart w:id="22" w:name="_Toc35393802"/>
      <w:bookmarkStart w:id="23" w:name="_Toc28359016"/>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五、开启（</w:t>
      </w:r>
      <w:r>
        <w:rPr>
          <w:rFonts w:hint="eastAsia" w:ascii="宋体" w:hAnsi="宋体" w:eastAsia="宋体" w:cs="宋体"/>
          <w:b w:val="0"/>
          <w:i/>
          <w:color w:val="auto"/>
          <w:sz w:val="24"/>
          <w:szCs w:val="24"/>
        </w:rPr>
        <w:t>竞争性磋商方式必须填写</w:t>
      </w:r>
      <w:r>
        <w:rPr>
          <w:rFonts w:hint="eastAsia" w:ascii="宋体" w:hAnsi="宋体" w:eastAsia="宋体" w:cs="宋体"/>
          <w:b w:val="0"/>
          <w:color w:val="auto"/>
          <w:sz w:val="24"/>
          <w:szCs w:val="24"/>
        </w:rPr>
        <w:t>）</w:t>
      </w:r>
      <w:bookmarkEnd w:id="20"/>
      <w:bookmarkEnd w:id="21"/>
      <w:bookmarkEnd w:id="22"/>
      <w:bookmarkEnd w:id="23"/>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2</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11</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22</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14</w:t>
      </w:r>
      <w:r>
        <w:rPr>
          <w:rFonts w:hint="eastAsia" w:ascii="宋体" w:hAnsi="宋体" w:cs="宋体"/>
          <w:bCs/>
          <w:color w:val="auto"/>
          <w:sz w:val="24"/>
          <w:u w:val="single"/>
        </w:rPr>
        <w:t>点30分</w:t>
      </w:r>
      <w:r>
        <w:rPr>
          <w:rFonts w:hint="eastAsia" w:ascii="宋体" w:hAnsi="宋体" w:cs="宋体"/>
          <w:bCs/>
          <w:color w:val="auto"/>
          <w:sz w:val="24"/>
        </w:rPr>
        <w:t>（北京时间）</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bCs/>
          <w:color w:val="auto"/>
          <w:sz w:val="24"/>
          <w:u w:val="single"/>
          <w:lang w:eastAsia="zh-CN"/>
        </w:rPr>
      </w:pPr>
      <w:r>
        <w:rPr>
          <w:rFonts w:hint="eastAsia" w:ascii="宋体" w:hAnsi="宋体" w:cs="宋体"/>
          <w:color w:val="auto"/>
          <w:sz w:val="24"/>
        </w:rPr>
        <w:t>地点：</w:t>
      </w:r>
      <w:r>
        <w:rPr>
          <w:rFonts w:hint="eastAsia" w:ascii="宋体" w:hAnsi="宋体" w:cs="宋体"/>
          <w:color w:val="auto"/>
          <w:sz w:val="24"/>
          <w:lang w:eastAsia="zh-CN"/>
        </w:rPr>
        <w:t>广州市越秀区越秀北路222号越良大厦13楼远东开标室</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六、公告期限</w:t>
      </w:r>
      <w:bookmarkEnd w:id="16"/>
      <w:bookmarkEnd w:id="17"/>
      <w:bookmarkEnd w:id="18"/>
      <w:bookmarkEnd w:id="19"/>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自本公告发布之日起3个工作日。</w:t>
      </w:r>
    </w:p>
    <w:p>
      <w:pPr>
        <w:pStyle w:val="3"/>
        <w:pageBreakBefore w:val="0"/>
        <w:numPr>
          <w:ilvl w:val="0"/>
          <w:numId w:val="0"/>
        </w:numPr>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lang w:eastAsia="zh-CN"/>
        </w:rPr>
      </w:pPr>
      <w:bookmarkStart w:id="24" w:name="_Toc35393635"/>
      <w:bookmarkStart w:id="25" w:name="_Toc35393804"/>
    </w:p>
    <w:p>
      <w:pPr>
        <w:pStyle w:val="3"/>
        <w:pageBreakBefore w:val="0"/>
        <w:numPr>
          <w:ilvl w:val="0"/>
          <w:numId w:val="0"/>
        </w:numPr>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lang w:eastAsia="zh-CN"/>
        </w:rPr>
        <w:t>七、</w:t>
      </w:r>
      <w:r>
        <w:rPr>
          <w:rFonts w:hint="eastAsia" w:ascii="宋体" w:hAnsi="宋体" w:eastAsia="宋体" w:cs="宋体"/>
          <w:b w:val="0"/>
          <w:color w:val="auto"/>
          <w:sz w:val="24"/>
          <w:szCs w:val="24"/>
        </w:rPr>
        <w:t>其他补充事宜</w:t>
      </w:r>
      <w:bookmarkEnd w:id="24"/>
      <w:bookmarkEnd w:id="25"/>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一）根据广东省财政厅政府采购监管处《关于做好供应商注册登记有关工作的通知》的要求，供应商应在交易中心网站会员专区进行项目投标登记前通过广东省政府采购网（www.gdgpo.gov.cn）进行注册登记（相关事宜详见广东省政府采购网《关于做好供应商注册登记有关工作的通知》）。</w:t>
      </w:r>
    </w:p>
    <w:p>
      <w:pPr>
        <w:pageBreakBefore w:val="0"/>
        <w:kinsoku/>
        <w:wordWrap/>
        <w:overflowPunct/>
        <w:topLinePunct w:val="0"/>
        <w:autoSpaceDE/>
        <w:autoSpaceDN/>
        <w:bidi w:val="0"/>
        <w:adjustRightInd/>
        <w:snapToGrid/>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（二）现场考察及招标答疑会</w:t>
      </w:r>
    </w:p>
    <w:p>
      <w:pPr>
        <w:pageBreakBefore w:val="0"/>
        <w:kinsoku/>
        <w:wordWrap/>
        <w:overflowPunct/>
        <w:topLinePunct w:val="0"/>
        <w:autoSpaceDE/>
        <w:autoSpaceDN/>
        <w:bidi w:val="0"/>
        <w:adjustRightInd/>
        <w:snapToGrid/>
        <w:spacing w:line="360" w:lineRule="auto"/>
        <w:ind w:firstLine="720" w:firstLineChars="300"/>
        <w:rPr>
          <w:rFonts w:hint="eastAsia" w:ascii="宋体" w:hAnsi="宋体" w:cs="宋体"/>
          <w:color w:val="auto"/>
          <w:kern w:val="0"/>
          <w:sz w:val="24"/>
        </w:rPr>
      </w:pPr>
      <w:r>
        <w:rPr>
          <w:rFonts w:hint="eastAsia" w:ascii="宋体" w:hAnsi="宋体" w:cs="宋体"/>
          <w:color w:val="auto"/>
          <w:kern w:val="0"/>
          <w:sz w:val="24"/>
        </w:rPr>
        <w:t>1、本项目不需要现场考察。</w:t>
      </w:r>
    </w:p>
    <w:p>
      <w:pPr>
        <w:pageBreakBefore w:val="0"/>
        <w:kinsoku/>
        <w:wordWrap/>
        <w:overflowPunct/>
        <w:topLinePunct w:val="0"/>
        <w:autoSpaceDE/>
        <w:autoSpaceDN/>
        <w:bidi w:val="0"/>
        <w:adjustRightInd/>
        <w:snapToGrid/>
        <w:spacing w:line="360" w:lineRule="auto"/>
        <w:ind w:firstLine="720" w:firstLineChars="300"/>
        <w:rPr>
          <w:rFonts w:hint="eastAsia" w:ascii="宋体" w:hAnsi="宋体" w:cs="宋体"/>
          <w:color w:val="auto"/>
          <w:kern w:val="0"/>
          <w:sz w:val="24"/>
        </w:rPr>
      </w:pPr>
      <w:r>
        <w:rPr>
          <w:rFonts w:hint="eastAsia" w:ascii="宋体" w:hAnsi="宋体" w:cs="宋体"/>
          <w:color w:val="auto"/>
          <w:kern w:val="0"/>
          <w:sz w:val="24"/>
        </w:rPr>
        <w:t>2、本项目不需要现场招标答疑会。</w:t>
      </w:r>
    </w:p>
    <w:p>
      <w:pPr>
        <w:pStyle w:val="3"/>
        <w:pageBreakBefore w:val="0"/>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bookmarkStart w:id="26" w:name="_Toc28359095"/>
      <w:bookmarkStart w:id="27" w:name="_Toc35393636"/>
      <w:bookmarkStart w:id="28" w:name="_Toc35393805"/>
      <w:bookmarkStart w:id="29" w:name="_Toc28359018"/>
    </w:p>
    <w:p>
      <w:pPr>
        <w:pStyle w:val="3"/>
        <w:pageBreakBefore w:val="0"/>
        <w:numPr>
          <w:ilvl w:val="0"/>
          <w:numId w:val="1"/>
        </w:numPr>
        <w:kinsoku/>
        <w:wordWrap/>
        <w:overflowPunct/>
        <w:topLinePunct w:val="0"/>
        <w:autoSpaceDE/>
        <w:autoSpaceDN/>
        <w:bidi w:val="0"/>
        <w:adjustRightInd/>
        <w:snapToGrid/>
        <w:spacing w:before="0" w:beforeLines="0" w:after="0" w:afterLines="0" w:line="360" w:lineRule="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凡对本次采购提出询问，请按以下方式联系。</w:t>
      </w:r>
      <w:bookmarkEnd w:id="26"/>
      <w:bookmarkEnd w:id="27"/>
      <w:bookmarkEnd w:id="28"/>
      <w:bookmarkEnd w:id="29"/>
    </w:p>
    <w:p>
      <w:pPr>
        <w:numPr>
          <w:ilvl w:val="0"/>
          <w:numId w:val="0"/>
        </w:numPr>
        <w:rPr>
          <w:rFonts w:hint="eastAsia"/>
        </w:rPr>
      </w:pPr>
    </w:p>
    <w:tbl>
      <w:tblPr>
        <w:tblStyle w:val="9"/>
        <w:tblW w:w="9702" w:type="dxa"/>
        <w:jc w:val="center"/>
        <w:tblLayout w:type="fixed"/>
        <w:tblCellMar>
          <w:top w:w="0" w:type="dxa"/>
          <w:left w:w="0" w:type="dxa"/>
          <w:bottom w:w="0" w:type="dxa"/>
          <w:right w:w="0" w:type="dxa"/>
        </w:tblCellMar>
      </w:tblPr>
      <w:tblGrid>
        <w:gridCol w:w="1700"/>
        <w:gridCol w:w="3043"/>
        <w:gridCol w:w="1859"/>
        <w:gridCol w:w="3100"/>
      </w:tblGrid>
      <w:tr>
        <w:tblPrEx>
          <w:tblCellMar>
            <w:top w:w="0" w:type="dxa"/>
            <w:left w:w="0" w:type="dxa"/>
            <w:bottom w:w="0" w:type="dxa"/>
            <w:right w:w="0" w:type="dxa"/>
          </w:tblCellMar>
        </w:tblPrEx>
        <w:trPr>
          <w:trHeight w:val="567" w:hRule="atLeast"/>
          <w:jc w:val="center"/>
        </w:trPr>
        <w:tc>
          <w:tcPr>
            <w:tcW w:w="1700"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hAnsi="宋体" w:cs="宋体"/>
                <w:color w:val="auto"/>
                <w:sz w:val="21"/>
                <w:szCs w:val="21"/>
              </w:rPr>
              <w:t>采购人：</w:t>
            </w:r>
          </w:p>
        </w:tc>
        <w:tc>
          <w:tcPr>
            <w:tcW w:w="3043" w:type="dxa"/>
            <w:noWrap w:val="0"/>
            <w:tcMar>
              <w:top w:w="0" w:type="dxa"/>
              <w:left w:w="108" w:type="dxa"/>
              <w:bottom w:w="0" w:type="dxa"/>
              <w:right w:w="108" w:type="dxa"/>
            </w:tcMar>
            <w:vAlign w:val="top"/>
          </w:tcPr>
          <w:p>
            <w:pPr>
              <w:widowControl/>
              <w:snapToGrid w:val="0"/>
              <w:rPr>
                <w:rFonts w:hint="eastAsia" w:ascii="宋体" w:hAnsi="宋体" w:cs="宋体"/>
                <w:color w:val="auto"/>
                <w:sz w:val="21"/>
                <w:szCs w:val="21"/>
              </w:rPr>
            </w:pPr>
            <w:r>
              <w:rPr>
                <w:rFonts w:hint="eastAsia" w:hAnsi="宋体" w:cs="宋体"/>
                <w:color w:val="auto"/>
                <w:sz w:val="21"/>
                <w:szCs w:val="21"/>
                <w:lang w:val="zh-CN"/>
              </w:rPr>
              <w:t>广州市从化区良口镇中心卫生院</w:t>
            </w:r>
          </w:p>
        </w:tc>
        <w:tc>
          <w:tcPr>
            <w:tcW w:w="1859"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hAnsi="宋体" w:cs="宋体"/>
                <w:color w:val="auto"/>
                <w:sz w:val="21"/>
                <w:szCs w:val="21"/>
              </w:rPr>
              <w:t>采购代理机构：</w:t>
            </w:r>
          </w:p>
        </w:tc>
        <w:tc>
          <w:tcPr>
            <w:tcW w:w="3100" w:type="dxa"/>
            <w:noWrap w:val="0"/>
            <w:tcMar>
              <w:top w:w="0" w:type="dxa"/>
              <w:left w:w="108" w:type="dxa"/>
              <w:bottom w:w="0" w:type="dxa"/>
              <w:right w:w="108" w:type="dxa"/>
            </w:tcMar>
            <w:vAlign w:val="top"/>
          </w:tcPr>
          <w:p>
            <w:pPr>
              <w:widowControl/>
              <w:snapToGrid w:val="0"/>
              <w:rPr>
                <w:rFonts w:hint="eastAsia" w:hAnsi="宋体" w:cs="宋体"/>
                <w:color w:val="auto"/>
                <w:sz w:val="21"/>
                <w:szCs w:val="21"/>
              </w:rPr>
            </w:pPr>
            <w:r>
              <w:rPr>
                <w:rFonts w:hint="eastAsia" w:hAnsi="宋体" w:cs="宋体"/>
                <w:color w:val="auto"/>
                <w:sz w:val="21"/>
                <w:szCs w:val="21"/>
              </w:rPr>
              <w:t>广东远东招标代理有限公司</w:t>
            </w:r>
          </w:p>
        </w:tc>
      </w:tr>
      <w:tr>
        <w:tblPrEx>
          <w:tblCellMar>
            <w:top w:w="0" w:type="dxa"/>
            <w:left w:w="0" w:type="dxa"/>
            <w:bottom w:w="0" w:type="dxa"/>
            <w:right w:w="0" w:type="dxa"/>
          </w:tblCellMar>
        </w:tblPrEx>
        <w:trPr>
          <w:trHeight w:val="567" w:hRule="atLeast"/>
          <w:jc w:val="center"/>
        </w:trPr>
        <w:tc>
          <w:tcPr>
            <w:tcW w:w="1700"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采购人联系人：</w:t>
            </w:r>
          </w:p>
        </w:tc>
        <w:tc>
          <w:tcPr>
            <w:tcW w:w="3043" w:type="dxa"/>
            <w:noWrap w:val="0"/>
            <w:tcMar>
              <w:top w:w="0" w:type="dxa"/>
              <w:left w:w="108" w:type="dxa"/>
              <w:bottom w:w="0" w:type="dxa"/>
              <w:right w:w="108" w:type="dxa"/>
            </w:tcMar>
            <w:vAlign w:val="top"/>
          </w:tcPr>
          <w:p>
            <w:pPr>
              <w:widowControl/>
              <w:snapToGrid w:val="0"/>
              <w:rPr>
                <w:rFonts w:hint="eastAsia" w:ascii="宋体" w:hAnsi="宋体" w:cs="宋体"/>
                <w:color w:val="auto"/>
                <w:sz w:val="21"/>
                <w:szCs w:val="21"/>
              </w:rPr>
            </w:pPr>
            <w:r>
              <w:rPr>
                <w:rFonts w:hint="eastAsia" w:ascii="宋体" w:hAnsi="宋体" w:cs="宋体"/>
                <w:color w:val="auto"/>
                <w:sz w:val="21"/>
                <w:szCs w:val="21"/>
                <w:lang w:eastAsia="zh-CN"/>
              </w:rPr>
              <w:t>王</w:t>
            </w:r>
            <w:r>
              <w:rPr>
                <w:rFonts w:hint="eastAsia" w:ascii="宋体" w:hAnsi="宋体" w:cs="宋体"/>
                <w:color w:val="auto"/>
                <w:sz w:val="21"/>
                <w:szCs w:val="21"/>
              </w:rPr>
              <w:t>先生</w:t>
            </w:r>
          </w:p>
        </w:tc>
        <w:tc>
          <w:tcPr>
            <w:tcW w:w="1859"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代理机构联系人：</w:t>
            </w:r>
          </w:p>
        </w:tc>
        <w:tc>
          <w:tcPr>
            <w:tcW w:w="3100" w:type="dxa"/>
            <w:noWrap w:val="0"/>
            <w:tcMar>
              <w:top w:w="0" w:type="dxa"/>
              <w:left w:w="108" w:type="dxa"/>
              <w:bottom w:w="0" w:type="dxa"/>
              <w:right w:w="108" w:type="dxa"/>
            </w:tcMar>
            <w:vAlign w:val="top"/>
          </w:tcPr>
          <w:p>
            <w:pPr>
              <w:widowControl/>
              <w:snapToGrid w:val="0"/>
              <w:rPr>
                <w:rFonts w:hint="eastAsia" w:ascii="宋体" w:hAnsi="宋体" w:cs="宋体"/>
                <w:color w:val="auto"/>
                <w:sz w:val="21"/>
                <w:szCs w:val="21"/>
              </w:rPr>
            </w:pPr>
            <w:r>
              <w:rPr>
                <w:rFonts w:hint="eastAsia" w:ascii="宋体" w:hAnsi="宋体" w:cs="宋体"/>
                <w:color w:val="auto"/>
                <w:sz w:val="21"/>
                <w:szCs w:val="21"/>
              </w:rPr>
              <w:t>胡小姐</w:t>
            </w:r>
          </w:p>
        </w:tc>
      </w:tr>
      <w:tr>
        <w:tblPrEx>
          <w:tblCellMar>
            <w:top w:w="0" w:type="dxa"/>
            <w:left w:w="0" w:type="dxa"/>
            <w:bottom w:w="0" w:type="dxa"/>
            <w:right w:w="0" w:type="dxa"/>
          </w:tblCellMar>
        </w:tblPrEx>
        <w:trPr>
          <w:trHeight w:val="914" w:hRule="atLeast"/>
          <w:jc w:val="center"/>
        </w:trPr>
        <w:tc>
          <w:tcPr>
            <w:tcW w:w="1700"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联系地址：</w:t>
            </w:r>
          </w:p>
        </w:tc>
        <w:tc>
          <w:tcPr>
            <w:tcW w:w="3043" w:type="dxa"/>
            <w:noWrap w:val="0"/>
            <w:tcMar>
              <w:top w:w="0" w:type="dxa"/>
              <w:left w:w="108" w:type="dxa"/>
              <w:bottom w:w="0" w:type="dxa"/>
              <w:right w:w="108" w:type="dxa"/>
            </w:tcMar>
            <w:vAlign w:val="top"/>
          </w:tcPr>
          <w:p>
            <w:pPr>
              <w:widowControl/>
              <w:snapToGrid w:val="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广州市从化区良口镇新城南路51号</w:t>
            </w:r>
          </w:p>
        </w:tc>
        <w:tc>
          <w:tcPr>
            <w:tcW w:w="1859"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联系地址：</w:t>
            </w:r>
          </w:p>
        </w:tc>
        <w:tc>
          <w:tcPr>
            <w:tcW w:w="3100" w:type="dxa"/>
            <w:noWrap w:val="0"/>
            <w:tcMar>
              <w:top w:w="0" w:type="dxa"/>
              <w:left w:w="108" w:type="dxa"/>
              <w:bottom w:w="0" w:type="dxa"/>
              <w:right w:w="108" w:type="dxa"/>
            </w:tcMar>
            <w:vAlign w:val="top"/>
          </w:tcPr>
          <w:p>
            <w:pPr>
              <w:widowControl/>
              <w:snapToGrid w:val="0"/>
              <w:rPr>
                <w:rFonts w:hint="eastAsia" w:ascii="宋体" w:hAnsi="宋体" w:cs="宋体"/>
                <w:color w:val="auto"/>
                <w:sz w:val="21"/>
                <w:szCs w:val="21"/>
              </w:rPr>
            </w:pPr>
            <w:r>
              <w:rPr>
                <w:rFonts w:hint="eastAsia" w:ascii="宋体" w:hAnsi="宋体" w:cs="宋体"/>
                <w:color w:val="auto"/>
                <w:sz w:val="21"/>
                <w:szCs w:val="21"/>
                <w:lang w:val="zh-CN"/>
              </w:rPr>
              <w:t>广州市越秀区越秀北路222号越良大厦6楼</w:t>
            </w:r>
          </w:p>
        </w:tc>
      </w:tr>
      <w:tr>
        <w:tblPrEx>
          <w:tblCellMar>
            <w:top w:w="0" w:type="dxa"/>
            <w:left w:w="0" w:type="dxa"/>
            <w:bottom w:w="0" w:type="dxa"/>
            <w:right w:w="0" w:type="dxa"/>
          </w:tblCellMar>
        </w:tblPrEx>
        <w:trPr>
          <w:trHeight w:val="567" w:hRule="atLeast"/>
          <w:jc w:val="center"/>
        </w:trPr>
        <w:tc>
          <w:tcPr>
            <w:tcW w:w="1700"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电话：</w:t>
            </w:r>
          </w:p>
        </w:tc>
        <w:tc>
          <w:tcPr>
            <w:tcW w:w="3043" w:type="dxa"/>
            <w:noWrap w:val="0"/>
            <w:tcMar>
              <w:top w:w="0" w:type="dxa"/>
              <w:left w:w="108" w:type="dxa"/>
              <w:bottom w:w="0" w:type="dxa"/>
              <w:right w:w="108" w:type="dxa"/>
            </w:tcMar>
            <w:vAlign w:val="top"/>
          </w:tcPr>
          <w:p>
            <w:pPr>
              <w:widowControl/>
              <w:snapToGrid w:val="0"/>
              <w:rPr>
                <w:rFonts w:ascii="宋体" w:hAnsi="宋体" w:cs="宋体"/>
                <w:color w:val="auto"/>
                <w:sz w:val="21"/>
                <w:szCs w:val="21"/>
              </w:rPr>
            </w:pPr>
            <w:r>
              <w:rPr>
                <w:rFonts w:hint="eastAsia" w:ascii="宋体" w:hAnsi="宋体" w:cs="宋体"/>
                <w:color w:val="auto"/>
                <w:sz w:val="21"/>
                <w:szCs w:val="21"/>
              </w:rPr>
              <w:t>020</w:t>
            </w:r>
            <w:r>
              <w:rPr>
                <w:rFonts w:hint="eastAsia" w:ascii="宋体" w:hAnsi="宋体" w:cs="宋体"/>
                <w:color w:val="auto"/>
                <w:sz w:val="21"/>
                <w:szCs w:val="21"/>
                <w:lang w:val="en-US" w:eastAsia="zh-CN"/>
              </w:rPr>
              <w:t>-</w:t>
            </w:r>
            <w:r>
              <w:rPr>
                <w:rFonts w:hint="eastAsia" w:ascii="宋体" w:hAnsi="宋体" w:cs="宋体"/>
                <w:color w:val="auto"/>
                <w:sz w:val="21"/>
                <w:szCs w:val="21"/>
              </w:rPr>
              <w:t>87851921</w:t>
            </w:r>
          </w:p>
        </w:tc>
        <w:tc>
          <w:tcPr>
            <w:tcW w:w="1859"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电话：</w:t>
            </w:r>
          </w:p>
        </w:tc>
        <w:tc>
          <w:tcPr>
            <w:tcW w:w="3100" w:type="dxa"/>
            <w:noWrap w:val="0"/>
            <w:tcMar>
              <w:top w:w="0" w:type="dxa"/>
              <w:left w:w="108" w:type="dxa"/>
              <w:bottom w:w="0" w:type="dxa"/>
              <w:right w:w="108" w:type="dxa"/>
            </w:tcMar>
            <w:vAlign w:val="top"/>
          </w:tcPr>
          <w:p>
            <w:pPr>
              <w:widowControl/>
              <w:snapToGrid w:val="0"/>
              <w:rPr>
                <w:rFonts w:hint="default" w:ascii="宋体" w:hAnsi="宋体" w:eastAsia="宋体" w:cs="宋体"/>
                <w:color w:val="auto"/>
                <w:sz w:val="21"/>
                <w:szCs w:val="21"/>
                <w:lang w:val="en-US" w:eastAsia="zh-CN"/>
              </w:rPr>
            </w:pPr>
            <w:r>
              <w:rPr>
                <w:rFonts w:hint="eastAsia" w:ascii="宋体" w:hAnsi="宋体" w:cs="宋体"/>
                <w:color w:val="auto"/>
                <w:sz w:val="21"/>
                <w:szCs w:val="21"/>
              </w:rPr>
              <w:t>020-83642820-8</w:t>
            </w:r>
            <w:r>
              <w:rPr>
                <w:rFonts w:hint="eastAsia" w:ascii="宋体" w:hAnsi="宋体" w:cs="宋体"/>
                <w:color w:val="auto"/>
                <w:sz w:val="21"/>
                <w:szCs w:val="21"/>
                <w:lang w:val="en-US" w:eastAsia="zh-CN"/>
              </w:rPr>
              <w:t>79</w:t>
            </w:r>
          </w:p>
        </w:tc>
      </w:tr>
      <w:tr>
        <w:tblPrEx>
          <w:tblCellMar>
            <w:top w:w="0" w:type="dxa"/>
            <w:left w:w="0" w:type="dxa"/>
            <w:bottom w:w="0" w:type="dxa"/>
            <w:right w:w="0" w:type="dxa"/>
          </w:tblCellMar>
        </w:tblPrEx>
        <w:trPr>
          <w:trHeight w:val="567" w:hRule="atLeast"/>
          <w:jc w:val="center"/>
        </w:trPr>
        <w:tc>
          <w:tcPr>
            <w:tcW w:w="1700"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传真：</w:t>
            </w:r>
          </w:p>
        </w:tc>
        <w:tc>
          <w:tcPr>
            <w:tcW w:w="3043" w:type="dxa"/>
            <w:noWrap w:val="0"/>
            <w:tcMar>
              <w:top w:w="0" w:type="dxa"/>
              <w:left w:w="108" w:type="dxa"/>
              <w:bottom w:w="0" w:type="dxa"/>
              <w:right w:w="108" w:type="dxa"/>
            </w:tcMar>
            <w:vAlign w:val="top"/>
          </w:tcPr>
          <w:p>
            <w:pPr>
              <w:widowControl/>
              <w:snapToGrid w:val="0"/>
              <w:rPr>
                <w:rFonts w:ascii="宋体" w:hAnsi="宋体" w:cs="宋体"/>
                <w:color w:val="auto"/>
                <w:sz w:val="21"/>
                <w:szCs w:val="21"/>
              </w:rPr>
            </w:pPr>
            <w:r>
              <w:rPr>
                <w:rFonts w:hint="eastAsia" w:ascii="宋体" w:hAnsi="宋体" w:cs="宋体"/>
                <w:color w:val="auto"/>
                <w:sz w:val="21"/>
                <w:szCs w:val="21"/>
              </w:rPr>
              <w:t>020</w:t>
            </w:r>
            <w:r>
              <w:rPr>
                <w:rFonts w:hint="eastAsia" w:ascii="宋体" w:hAnsi="宋体" w:cs="宋体"/>
                <w:color w:val="auto"/>
                <w:sz w:val="21"/>
                <w:szCs w:val="21"/>
                <w:lang w:val="en-US" w:eastAsia="zh-CN"/>
              </w:rPr>
              <w:t>-</w:t>
            </w:r>
            <w:r>
              <w:rPr>
                <w:rFonts w:hint="eastAsia" w:ascii="宋体" w:hAnsi="宋体" w:cs="宋体"/>
                <w:color w:val="auto"/>
                <w:sz w:val="21"/>
                <w:szCs w:val="21"/>
              </w:rPr>
              <w:t>87851921</w:t>
            </w:r>
          </w:p>
        </w:tc>
        <w:tc>
          <w:tcPr>
            <w:tcW w:w="1859"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ascii="宋体" w:hAnsi="宋体" w:cs="宋体"/>
                <w:color w:val="auto"/>
                <w:sz w:val="21"/>
                <w:szCs w:val="21"/>
              </w:rPr>
              <w:t>传真：</w:t>
            </w:r>
          </w:p>
        </w:tc>
        <w:tc>
          <w:tcPr>
            <w:tcW w:w="3100" w:type="dxa"/>
            <w:noWrap w:val="0"/>
            <w:tcMar>
              <w:top w:w="0" w:type="dxa"/>
              <w:left w:w="108" w:type="dxa"/>
              <w:bottom w:w="0" w:type="dxa"/>
              <w:right w:w="108" w:type="dxa"/>
            </w:tcMar>
            <w:vAlign w:val="top"/>
          </w:tcPr>
          <w:p>
            <w:pPr>
              <w:widowControl/>
              <w:snapToGrid w:val="0"/>
              <w:rPr>
                <w:rFonts w:ascii="宋体" w:hAnsi="宋体" w:cs="宋体"/>
                <w:color w:val="auto"/>
                <w:sz w:val="21"/>
                <w:szCs w:val="21"/>
              </w:rPr>
            </w:pPr>
            <w:r>
              <w:rPr>
                <w:rFonts w:hint="eastAsia" w:ascii="宋体" w:hAnsi="宋体" w:cs="宋体"/>
                <w:color w:val="auto"/>
                <w:sz w:val="21"/>
                <w:szCs w:val="21"/>
              </w:rPr>
              <w:t>020-83642820-822</w:t>
            </w:r>
          </w:p>
        </w:tc>
      </w:tr>
      <w:tr>
        <w:tblPrEx>
          <w:tblCellMar>
            <w:top w:w="0" w:type="dxa"/>
            <w:left w:w="0" w:type="dxa"/>
            <w:bottom w:w="0" w:type="dxa"/>
            <w:right w:w="0" w:type="dxa"/>
          </w:tblCellMar>
        </w:tblPrEx>
        <w:trPr>
          <w:trHeight w:val="567" w:hRule="atLeast"/>
          <w:jc w:val="center"/>
        </w:trPr>
        <w:tc>
          <w:tcPr>
            <w:tcW w:w="1700"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p>
        </w:tc>
        <w:tc>
          <w:tcPr>
            <w:tcW w:w="3043" w:type="dxa"/>
            <w:noWrap w:val="0"/>
            <w:tcMar>
              <w:top w:w="0" w:type="dxa"/>
              <w:left w:w="108" w:type="dxa"/>
              <w:bottom w:w="0" w:type="dxa"/>
              <w:right w:w="108" w:type="dxa"/>
            </w:tcMar>
            <w:vAlign w:val="top"/>
          </w:tcPr>
          <w:p>
            <w:pPr>
              <w:widowControl/>
              <w:snapToGrid w:val="0"/>
              <w:rPr>
                <w:rFonts w:ascii="宋体" w:hAnsi="宋体" w:cs="宋体"/>
                <w:color w:val="auto"/>
                <w:sz w:val="21"/>
                <w:szCs w:val="21"/>
              </w:rPr>
            </w:pPr>
          </w:p>
        </w:tc>
        <w:tc>
          <w:tcPr>
            <w:tcW w:w="1859" w:type="dxa"/>
            <w:noWrap w:val="0"/>
            <w:tcMar>
              <w:top w:w="0" w:type="dxa"/>
              <w:left w:w="108" w:type="dxa"/>
              <w:bottom w:w="0" w:type="dxa"/>
              <w:right w:w="108" w:type="dxa"/>
            </w:tcMar>
            <w:vAlign w:val="top"/>
          </w:tcPr>
          <w:p>
            <w:pPr>
              <w:widowControl/>
              <w:snapToGrid w:val="0"/>
              <w:jc w:val="right"/>
              <w:rPr>
                <w:rFonts w:hint="eastAsia" w:ascii="宋体" w:hAnsi="宋体" w:cs="宋体"/>
                <w:color w:val="auto"/>
                <w:sz w:val="21"/>
                <w:szCs w:val="21"/>
              </w:rPr>
            </w:pPr>
            <w:r>
              <w:rPr>
                <w:rFonts w:hint="eastAsia" w:hAnsi="宋体" w:cs="宋体"/>
                <w:color w:val="auto"/>
                <w:sz w:val="21"/>
                <w:szCs w:val="21"/>
              </w:rPr>
              <w:t>邮箱</w:t>
            </w:r>
            <w:r>
              <w:rPr>
                <w:rFonts w:hint="eastAsia" w:ascii="宋体" w:hAnsi="宋体" w:cs="宋体"/>
                <w:color w:val="auto"/>
                <w:sz w:val="21"/>
                <w:szCs w:val="21"/>
              </w:rPr>
              <w:t>：</w:t>
            </w:r>
          </w:p>
        </w:tc>
        <w:tc>
          <w:tcPr>
            <w:tcW w:w="3100" w:type="dxa"/>
            <w:noWrap w:val="0"/>
            <w:tcMar>
              <w:top w:w="0" w:type="dxa"/>
              <w:left w:w="108" w:type="dxa"/>
              <w:bottom w:w="0" w:type="dxa"/>
              <w:right w:w="108" w:type="dxa"/>
            </w:tcMar>
            <w:vAlign w:val="top"/>
          </w:tcPr>
          <w:p>
            <w:pPr>
              <w:widowControl/>
              <w:snapToGrid w:val="0"/>
              <w:rPr>
                <w:rFonts w:ascii="宋体" w:hAnsi="宋体" w:cs="宋体"/>
                <w:color w:val="auto"/>
                <w:sz w:val="21"/>
                <w:szCs w:val="21"/>
              </w:rPr>
            </w:pPr>
            <w:r>
              <w:rPr>
                <w:rFonts w:hint="eastAsia" w:ascii="宋体" w:hAnsi="宋体" w:cs="宋体"/>
                <w:color w:val="auto"/>
                <w:sz w:val="21"/>
                <w:szCs w:val="21"/>
                <w:lang w:val="en-US" w:eastAsia="zh-CN"/>
              </w:rPr>
              <w:t>z</w:t>
            </w:r>
            <w:r>
              <w:rPr>
                <w:rFonts w:hint="eastAsia" w:ascii="宋体" w:hAnsi="宋体" w:cs="宋体"/>
                <w:color w:val="auto"/>
                <w:sz w:val="21"/>
                <w:szCs w:val="21"/>
              </w:rPr>
              <w:t>gydgb2005@126.com</w:t>
            </w:r>
          </w:p>
        </w:tc>
      </w:tr>
    </w:tbl>
    <w:p>
      <w:pPr>
        <w:spacing w:line="360" w:lineRule="auto"/>
        <w:ind w:firstLine="1159" w:firstLineChars="483"/>
        <w:rPr>
          <w:rFonts w:ascii="宋体" w:hAnsi="宋体"/>
          <w:color w:val="auto"/>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FB7B5B"/>
    <w:multiLevelType w:val="singleLevel"/>
    <w:tmpl w:val="B2FB7B5B"/>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NGEzNTM3YTA3OTRlMzZmOGUyY2M5YjEyNjRkMmQifQ=="/>
  </w:docVars>
  <w:rsids>
    <w:rsidRoot w:val="00000000"/>
    <w:rsid w:val="6EB0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4"/>
      <w:lang w:val="en-US" w:eastAsia="zh-CN" w:bidi="ar-SA"/>
    </w:rPr>
  </w:style>
  <w:style w:type="paragraph" w:styleId="3">
    <w:name w:val="heading 2"/>
    <w:basedOn w:val="1"/>
    <w:next w:val="1"/>
    <w:qFormat/>
    <w:uiPriority w:val="0"/>
    <w:pPr>
      <w:keepNext/>
      <w:keepLines/>
      <w:tabs>
        <w:tab w:val="left" w:pos="720"/>
      </w:tabs>
      <w:spacing w:before="260" w:beforeLines="0" w:after="260" w:afterLines="0" w:line="413"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4">
    <w:name w:val="Body Text"/>
    <w:basedOn w:val="1"/>
    <w:next w:val="1"/>
    <w:qFormat/>
    <w:uiPriority w:val="0"/>
    <w:pPr>
      <w:spacing w:after="120" w:afterLines="0"/>
    </w:pPr>
  </w:style>
  <w:style w:type="paragraph" w:styleId="5">
    <w:name w:val="Body Text Indent"/>
    <w:basedOn w:val="1"/>
    <w:next w:val="6"/>
    <w:qFormat/>
    <w:uiPriority w:val="0"/>
    <w:pPr>
      <w:autoSpaceDE/>
      <w:autoSpaceDN/>
      <w:adjustRightInd/>
      <w:ind w:left="567" w:leftChars="270"/>
      <w:jc w:val="both"/>
    </w:pPr>
    <w:rPr>
      <w:rFonts w:ascii="Times New Roman"/>
      <w:kern w:val="2"/>
      <w:sz w:val="21"/>
      <w:szCs w:val="20"/>
    </w:rPr>
  </w:style>
  <w:style w:type="paragraph" w:styleId="6">
    <w:name w:val="envelope return"/>
    <w:basedOn w:val="1"/>
    <w:qFormat/>
    <w:uiPriority w:val="0"/>
    <w:pPr>
      <w:adjustRightInd w:val="0"/>
      <w:snapToGrid w:val="0"/>
      <w:spacing w:after="200" w:afterLines="0"/>
      <w:jc w:val="left"/>
    </w:pPr>
    <w:rPr>
      <w:rFonts w:ascii="Arial" w:hAnsi="Arial" w:eastAsia="微软雅黑"/>
      <w:kern w:val="0"/>
      <w:sz w:val="22"/>
      <w:szCs w:val="22"/>
    </w:rPr>
  </w:style>
  <w:style w:type="paragraph" w:styleId="7">
    <w:name w:val="Normal (Web)"/>
    <w:basedOn w:val="1"/>
    <w:qFormat/>
    <w:uiPriority w:val="0"/>
    <w:rPr>
      <w:sz w:val="24"/>
    </w:rPr>
  </w:style>
  <w:style w:type="paragraph" w:styleId="8">
    <w:name w:val="Body Text First Indent 2"/>
    <w:basedOn w:val="5"/>
    <w:next w:val="4"/>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2022-11-11T10:04:35Z</dcterms:created>
  <dc:creator>Administrator</dc:creator>
  <cp:lastModifiedBy>Freedom</cp:lastModifiedBy>
  <dcterms:modified xsi:type="dcterms:W3CDTF">2022-11-11T10:05:15Z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E3922A6DB9044AF880EA83DDE54E6698</vt:lpwstr>
  </property>
</Properties>
</file>