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A8C16">
      <w:pPr>
        <w:pStyle w:val="3"/>
        <w:widowControl/>
        <w:spacing w:before="40" w:beforeAutospacing="0" w:after="40" w:afterAutospacing="0" w:line="360" w:lineRule="auto"/>
        <w:ind w:firstLine="803" w:firstLineChars="250"/>
        <w:jc w:val="center"/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</w:rPr>
        <w:t>调研</w:t>
      </w: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  <w:t>要求</w:t>
      </w:r>
      <w:bookmarkStart w:id="0" w:name="_GoBack"/>
      <w:bookmarkEnd w:id="0"/>
    </w:p>
    <w:p w14:paraId="1D6D9C5B">
      <w:pPr>
        <w:pStyle w:val="3"/>
        <w:widowControl/>
        <w:spacing w:before="40" w:beforeAutospacing="0" w:after="40" w:afterAutospacing="0" w:line="360" w:lineRule="auto"/>
        <w:ind w:firstLine="703" w:firstLineChars="250"/>
        <w:rPr>
          <w:rFonts w:hint="default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技术要求</w:t>
      </w:r>
    </w:p>
    <w:p w14:paraId="5ED5DEB0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（一）引用标准（如有最新标准或规范，按最新的执行）</w:t>
      </w:r>
    </w:p>
    <w:p w14:paraId="585A0E4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GB/T778（1.2.3.4.5）-2018《饮用冷水水表和热水水表》</w:t>
      </w:r>
    </w:p>
    <w:p w14:paraId="28CB8A17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CJ266-2008  《饮用水冷水水表安全规则》</w:t>
      </w:r>
    </w:p>
    <w:p w14:paraId="4A47CB32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CJ/T 454-2014《城镇供水水量计量仪表的配备和管理通则》</w:t>
      </w:r>
    </w:p>
    <w:p w14:paraId="4E1C2FC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（二）产品技术性能要求</w:t>
      </w:r>
    </w:p>
    <w:p w14:paraId="1BF5014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1.计量特性</w:t>
      </w:r>
    </w:p>
    <w:p w14:paraId="19B6095D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DN15水表   Q3≥2.5m3/h  R(Q3:Q1) ≥100   Q2:Q1=1.6   Q4=1.25Q3</w:t>
      </w:r>
    </w:p>
    <w:p w14:paraId="3585073B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DN20水表   Q3≥4m3/h    R(Q3:Q1) ≥100   Q2:Q1=1.6   Q4=1.25Q3</w:t>
      </w:r>
    </w:p>
    <w:p w14:paraId="1EA61F6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DN25水表   Q3≥6.3m3/h  R(Q3:Q1) ≥100   Q2:Q1=1.6   Q4=1.25Q3</w:t>
      </w:r>
    </w:p>
    <w:p w14:paraId="6435DF1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DN40水表   Q3≥16m3/h   R(Q3:Q1) ≥100   Q2:Q1=1.6   Q4=1.25Q3</w:t>
      </w:r>
    </w:p>
    <w:p w14:paraId="46EB201F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DN50水表   Q3≥40m3/h   R(Q3:Q1) ≥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shd w:val="clear" w:color="auto" w:fill="FFFFFF"/>
        </w:rPr>
        <w:t>0   Q2:Q1=1.6   Q4=1.25Q3</w:t>
      </w:r>
    </w:p>
    <w:p w14:paraId="0A8F26E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DN80水表   Q3≥63m3/h   R(Q3:Q1) ≥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shd w:val="clear" w:color="auto" w:fill="FFFFFF"/>
        </w:rPr>
        <w:t>0   Q2:Q1=1.6   Q4=1.25Q3</w:t>
      </w:r>
    </w:p>
    <w:p w14:paraId="2BE35471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DN100水表  Q3≥100m3/h  R(Q3:Q1) ≥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shd w:val="clear" w:color="auto" w:fill="FFFFFF"/>
        </w:rPr>
        <w:t>0   Q2:Q1=1.6   Q4=1.25Q3</w:t>
      </w:r>
    </w:p>
    <w:p w14:paraId="4D7A4AA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DN150水表  Q3≥250m3/h  R(Q3:Q1) ≥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shd w:val="clear" w:color="auto" w:fill="FFFFFF"/>
        </w:rPr>
        <w:t>0   Q2:Q1=1.6   Q4=1.25Q3</w:t>
      </w:r>
    </w:p>
    <w:p w14:paraId="2008549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DN200水表  Q3≥400m3/h  R(Q3:Q1) ≥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shd w:val="clear" w:color="auto" w:fill="FFFFFF"/>
        </w:rPr>
        <w:t>0   Q2:Q1=1.6   Q4=1.25Q3</w:t>
      </w:r>
    </w:p>
    <w:p w14:paraId="14F87FB2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最大允许误差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shd w:val="clear" w:color="auto" w:fill="FFFFFF"/>
        </w:rPr>
        <w:t>低区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shd w:val="clear" w:color="auto" w:fill="FFFFFF"/>
        </w:rPr>
        <w:t>Q1≤Q&lt;Q2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shd w:val="clear" w:color="auto" w:fill="FFFFFF"/>
        </w:rPr>
        <w:t>的最大允许误差为±5%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shd w:val="clear" w:color="auto" w:fill="FFFFFF"/>
        </w:rPr>
        <w:t>高区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shd w:val="clear" w:color="auto" w:fill="FFFFFF"/>
        </w:rPr>
        <w:t>Q2≤Q≤Q4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shd w:val="clear" w:color="auto" w:fill="FFFFFF"/>
        </w:rPr>
        <w:t>的最大允许误差为±2%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</w:p>
    <w:p w14:paraId="67B2B845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2.工作压力和压力损失</w:t>
      </w:r>
    </w:p>
    <w:p w14:paraId="64E860FA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水表应能承受至少1.0MPa工作压力。水表压力损失等级不超过△P63，其中包括作为水表部件的滤网。</w:t>
      </w:r>
    </w:p>
    <w:p w14:paraId="5937FEF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3.机械字轮位数</w:t>
      </w:r>
    </w:p>
    <w:p w14:paraId="32DE9CC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指示到m³的位数为5位，即满行度99999m³。计数器的字轮、数字间距应均等，排列高低应一致，字形不得明显倾斜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shd w:val="clear" w:color="auto" w:fill="FFFFFF"/>
        </w:rPr>
        <w:t>且数字应向上移动。</w:t>
      </w:r>
    </w:p>
    <w:p w14:paraId="1FE6BD4F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4.材质与结构要求</w:t>
      </w:r>
    </w:p>
    <w:p w14:paraId="57C1ABAE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4.1壳体</w:t>
      </w:r>
    </w:p>
    <w:p w14:paraId="65463E12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表壳采用球墨铸铁件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或更优材质</w:t>
      </w:r>
      <w:r>
        <w:rPr>
          <w:rFonts w:hint="eastAsia" w:ascii="宋体" w:hAnsi="宋体" w:eastAsia="宋体" w:cs="宋体"/>
          <w:shd w:val="clear" w:color="auto" w:fill="FFFFFF"/>
        </w:rPr>
        <w:t>，符合标准GB\T 1348。</w:t>
      </w:r>
    </w:p>
    <w:p w14:paraId="73AC4841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4.2 管接头、连接螺母</w:t>
      </w:r>
    </w:p>
    <w:p w14:paraId="469365D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水表应配备管接头、连接螺母等连接件。连接件采用304及以上不锈钢材质或黄铜冲压件（ZCuZn40Pb2）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或更优材质</w:t>
      </w:r>
      <w:r>
        <w:rPr>
          <w:rFonts w:hint="eastAsia" w:ascii="宋体" w:hAnsi="宋体" w:eastAsia="宋体" w:cs="宋体"/>
          <w:shd w:val="clear" w:color="auto" w:fill="FFFFFF"/>
        </w:rPr>
        <w:t>。</w:t>
      </w:r>
    </w:p>
    <w:p w14:paraId="64CAD4C6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4.3水表罩子</w:t>
      </w:r>
    </w:p>
    <w:p w14:paraId="64F712C2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水表罩子采用铸造铅黄铜（ZCuZn40Pb2）或304及以上不锈钢材质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或更优材质</w:t>
      </w:r>
      <w:r>
        <w:rPr>
          <w:rFonts w:hint="eastAsia" w:ascii="宋体" w:hAnsi="宋体" w:eastAsia="宋体" w:cs="宋体"/>
          <w:shd w:val="clear" w:color="auto" w:fill="FFFFFF"/>
        </w:rPr>
        <w:t>。</w:t>
      </w:r>
    </w:p>
    <w:p w14:paraId="7FE72859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4.4水表上盖</w:t>
      </w:r>
    </w:p>
    <w:p w14:paraId="7DBCDEDE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水表上盖应能在横向旋转或纵向开启，以满足狭小空间内人工复核水表的要求。</w:t>
      </w:r>
    </w:p>
    <w:p w14:paraId="16D3C760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4.5机芯材料</w:t>
      </w:r>
    </w:p>
    <w:p w14:paraId="5838236C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水表机芯材料应采用符合国家标准的耐磨损的工程塑料。机芯、叶轮等零部件所用聚甲醛树脂（POM）、工程塑料ABS或更优材质（需出具证明），严禁使用回用料等。</w:t>
      </w:r>
    </w:p>
    <w:p w14:paraId="59ED5E18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4.6水表透明窗玻璃材料</w:t>
      </w:r>
    </w:p>
    <w:p w14:paraId="3D42E93F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水表透明窗玻璃材料应为钢化玻璃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或更优材质</w:t>
      </w:r>
      <w:r>
        <w:rPr>
          <w:rFonts w:hint="eastAsia" w:ascii="宋体" w:hAnsi="宋体" w:eastAsia="宋体" w:cs="宋体"/>
          <w:shd w:val="clear" w:color="auto" w:fill="FFFFFF"/>
        </w:rPr>
        <w:t>，符合JB/T 8480-1996。</w:t>
      </w:r>
    </w:p>
    <w:p w14:paraId="4FD790BD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4.7胶圈材质</w:t>
      </w:r>
    </w:p>
    <w:p w14:paraId="4FDB2A8E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采用三元乙丙橡胶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或更优材质</w:t>
      </w:r>
      <w:r>
        <w:rPr>
          <w:rFonts w:hint="eastAsia" w:ascii="宋体" w:hAnsi="宋体" w:eastAsia="宋体" w:cs="宋体"/>
          <w:shd w:val="clear" w:color="auto" w:fill="FFFFFF"/>
        </w:rPr>
        <w:t>。</w:t>
      </w:r>
    </w:p>
    <w:p w14:paraId="325DE81F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4.8卫生与防腐要求</w:t>
      </w:r>
    </w:p>
    <w:p w14:paraId="066FDAE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水表内所有接触水的零部件应采用通常认为是无毒、无污染、无生物活性的材料制造，符合建设行业标准《饮用水冷水水表安全规则（CJ266-2008）》。整体水表的制造材料应抗内、外部腐蚀。</w:t>
      </w:r>
    </w:p>
    <w:p w14:paraId="5CC1483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5.编码要求</w:t>
      </w:r>
    </w:p>
    <w:p w14:paraId="337DA4D5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水表铜盖必须编码，具体编号由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采购人</w:t>
      </w:r>
      <w:r>
        <w:rPr>
          <w:rFonts w:hint="eastAsia" w:ascii="宋体" w:hAnsi="宋体" w:eastAsia="宋体" w:cs="宋体"/>
          <w:shd w:val="clear" w:color="auto" w:fill="FFFFFF"/>
        </w:rPr>
        <w:t xml:space="preserve">提供。且需按用户要求制定“韶关水投”字样 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</w:p>
    <w:p w14:paraId="025AC51C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6.其他</w:t>
      </w:r>
    </w:p>
    <w:p w14:paraId="6C56C3D8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6.1水表必须是全新的、未使用过的，并且是非长期积压的库存商品，完全符合采购要求规定的质量、规格和性能的要求。</w:t>
      </w:r>
    </w:p>
    <w:p w14:paraId="7209AEB2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shd w:val="clear" w:color="auto" w:fill="FFFFFF"/>
        </w:rPr>
        <w:t>6.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shd w:val="clear" w:color="auto" w:fill="FFFFFF"/>
        </w:rPr>
        <w:t>水表在到货前必须经国家法定计量检定机构逐台检验合格，并附有产品合格证、检定证书，采购人将不再另外支付相关费用。</w:t>
      </w:r>
    </w:p>
    <w:p w14:paraId="3B369D0C">
      <w:pPr>
        <w:pStyle w:val="3"/>
        <w:widowControl/>
        <w:spacing w:before="40" w:beforeAutospacing="0" w:after="40" w:afterAutospacing="0" w:line="360" w:lineRule="auto"/>
        <w:ind w:firstLine="703" w:firstLineChars="250"/>
        <w:rPr>
          <w:rFonts w:hint="default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二、商务要求</w:t>
      </w:r>
    </w:p>
    <w:p w14:paraId="5F9A5614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（一）交货期：合同签订后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应在最迟</w:t>
      </w:r>
      <w:r>
        <w:rPr>
          <w:rFonts w:hint="eastAsia" w:ascii="宋体" w:hAnsi="宋体" w:eastAsia="宋体" w:cs="宋体"/>
          <w:shd w:val="clear" w:color="auto" w:fill="FFFFFF"/>
        </w:rPr>
        <w:t>15个自然日内具备交货条件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能力。</w:t>
      </w:r>
      <w:r>
        <w:rPr>
          <w:rFonts w:hint="eastAsia" w:ascii="宋体" w:hAnsi="宋体" w:eastAsia="宋体" w:cs="宋体"/>
          <w:shd w:val="clear" w:color="auto" w:fill="FFFFFF"/>
        </w:rPr>
        <w:t xml:space="preserve"> </w:t>
      </w:r>
    </w:p>
    <w:p w14:paraId="699D75A9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default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二</w:t>
      </w:r>
      <w:r>
        <w:rPr>
          <w:rFonts w:hint="eastAsia" w:ascii="宋体" w:hAnsi="宋体" w:eastAsia="宋体" w:cs="宋体"/>
          <w:shd w:val="clear" w:color="auto" w:fill="FFFFFF"/>
        </w:rPr>
        <w:t>）交货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地点</w:t>
      </w:r>
      <w:r>
        <w:rPr>
          <w:rFonts w:hint="eastAsia" w:ascii="宋体" w:hAnsi="宋体" w:eastAsia="宋体" w:cs="宋体"/>
          <w:shd w:val="clear" w:color="auto" w:fill="FFFFFF"/>
        </w:rPr>
        <w:t>：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广东省韶关市浈江区，具体</w:t>
      </w:r>
      <w:r>
        <w:rPr>
          <w:rFonts w:hint="eastAsia" w:ascii="宋体" w:hAnsi="宋体" w:eastAsia="宋体" w:cs="宋体"/>
          <w:shd w:val="clear" w:color="auto" w:fill="FFFFFF"/>
        </w:rPr>
        <w:t>地点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由采购人指定。</w:t>
      </w:r>
    </w:p>
    <w:p w14:paraId="3264CAB0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三</w:t>
      </w:r>
      <w:r>
        <w:rPr>
          <w:rFonts w:hint="eastAsia" w:ascii="宋体" w:hAnsi="宋体" w:eastAsia="宋体" w:cs="宋体"/>
          <w:shd w:val="clear" w:color="auto" w:fill="FFFFFF"/>
        </w:rPr>
        <w:t>）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质保期</w:t>
      </w:r>
      <w:r>
        <w:rPr>
          <w:rFonts w:hint="eastAsia" w:ascii="宋体" w:hAnsi="宋体" w:eastAsia="宋体" w:cs="宋体"/>
          <w:shd w:val="clear" w:color="auto" w:fill="FFFFFF"/>
        </w:rPr>
        <w:t>：提供至少6年免费质保期。质保期内如果货物出现质量问题，中标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供货商</w:t>
      </w:r>
      <w:r>
        <w:rPr>
          <w:rFonts w:hint="eastAsia" w:ascii="宋体" w:hAnsi="宋体" w:eastAsia="宋体" w:cs="宋体"/>
          <w:shd w:val="clear" w:color="auto" w:fill="FFFFFF"/>
        </w:rPr>
        <w:t>将负责货物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shd w:val="clear" w:color="auto" w:fill="FFFFFF"/>
        </w:rPr>
        <w:t>免费保修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或更换</w:t>
      </w:r>
      <w:r>
        <w:rPr>
          <w:rFonts w:hint="eastAsia" w:ascii="宋体" w:hAnsi="宋体" w:eastAsia="宋体" w:cs="宋体"/>
          <w:shd w:val="clear" w:color="auto" w:fill="FFFFFF"/>
        </w:rPr>
        <w:t xml:space="preserve">服务。 </w:t>
      </w:r>
    </w:p>
    <w:p w14:paraId="2498B565">
      <w:pPr>
        <w:pStyle w:val="3"/>
        <w:widowControl/>
        <w:spacing w:before="40" w:beforeAutospacing="0" w:after="40" w:afterAutospacing="0" w:line="360" w:lineRule="auto"/>
        <w:ind w:firstLine="600" w:firstLineChars="250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四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服务要求：签订合同后，在质保期内，如供应商出现产品质量问题、售后不及时或服务态度差等情形，采购人有权采取退货、不予支付相应货款、扣留全部或部分质保金、单方终止合同等措施，并保留追究供应商赔偿责任的权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F1371"/>
    <w:rsid w:val="64B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qFormat/>
    <w:uiPriority w:val="0"/>
    <w:pPr>
      <w:widowControl w:val="0"/>
      <w:spacing w:after="120" w:afterLines="0"/>
      <w:ind w:left="20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82cc6e81-8502-48c9-bec3-d95ffa73d29c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14F87FB2</paraID>
      <start>6</start>
      <end>7</end>
      <status>modified</status>
      <modifiedWord>：</modifiedWord>
      <trackRevisions>false</trackRevisions>
    </reviewItem>
    <reviewItem>
      <errorID>6df99b37-3bbe-4aea-b037-bacb408a0d55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14F87FB2</paraID>
      <start>9</start>
      <end>10</end>
      <status>modified</status>
      <modifiedWord>（</modifiedWord>
      <trackRevisions>false</trackRevisions>
    </reviewItem>
    <reviewItem>
      <errorID>b4122e58-5a00-4833-9fbb-c4bfbdb7f5fc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14F87FB2</paraID>
      <start>17</start>
      <end>18</end>
      <status>modified</status>
      <modifiedWord>）</modifiedWord>
      <trackRevisions>false</trackRevisions>
    </reviewItem>
    <reviewItem>
      <errorID>a94b4832-fa5b-4358-a8ca-529c021714a9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14F87FB2</paraID>
      <start>29</start>
      <end>30</end>
      <status>modified</status>
      <modifiedWord>；</modifiedWord>
      <trackRevisions>false</trackRevisions>
    </reviewItem>
    <reviewItem>
      <errorID>0799753c-089d-4384-9533-568b43667ff2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14F87FB2</paraID>
      <start>32</start>
      <end>33</end>
      <status>modified</status>
      <modifiedWord>（</modifiedWord>
      <trackRevisions>false</trackRevisions>
    </reviewItem>
    <reviewItem>
      <errorID>479b99cf-1599-4b03-8c25-e6f924c3668d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14F87FB2</paraID>
      <start>40</start>
      <end>41</end>
      <status>modified</status>
      <modifiedWord>）</modifiedWord>
      <trackRevisions>false</trackRevisions>
    </reviewItem>
    <reviewItem>
      <errorID>ec80405a-b9d3-499f-b5b9-a91538d74d5b</errorID>
      <errorWord>．</errorWord>
      <group>L1_Format</group>
      <groupName>格式问题</groupName>
      <ability>L2_HalfPunc_CN</ability>
      <abilityName>全半角问题</abilityName>
      <candidateList>
        <item>。</item>
      </candidateList>
      <explain>文本全半角错误。</explain>
      <paraID>32DE9CC6</paraID>
      <start>55</start>
      <end>56</end>
      <status>modified</status>
      <modifiedWord>。</modifiedWord>
      <trackRevisions>false</trackRevisions>
    </reviewItem>
    <reviewItem>
      <errorID>13ab034d-1238-4f47-a772-45c961d43181</errorID>
      <errorWord>横向旋转或纵</errorWord>
      <group>L1_Grammar</group>
      <groupName>语法问题</groupName>
      <ability>L2_Order</ability>
      <abilityName>语序不当</abilityName>
      <candidateList>
        <item>纵向旋转或横</item>
      </candidateList>
      <explain>句子可能没有遵循时空、逻辑顺序，或者介词、关联词等位置不当。</explain>
      <paraID>7DBCDEDE</paraID>
      <start>7</start>
      <end>13</end>
      <status>unmodified</status>
      <modifiedWord/>
      <trackRevisions>false</trackRevisions>
    </reviewItem>
    <reviewItem>
      <errorID>806fa2aa-a01e-4904-a66f-cde509e5a40c</errorID>
      <errorWord>JB</errorWord>
      <group>L1_Sensitive</group>
      <groupName>敏感问题</groupName>
      <ability>L2_Abuse</ability>
      <abilityName>侮辱言辞</abilityName>
      <candidateList/>
      <explain>【侮辱言辞】句中涉及侮辱性的敏感内容，请注意甄别。</explain>
      <paraID>3D42E93F</paraID>
      <start>23</start>
      <end>25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23b9d9a-48ce-4fc9-8be0-05a8cb130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1127</Words>
  <Characters>1578</Characters>
  <Lines>0</Lines>
  <Paragraphs>0</Paragraphs>
  <TotalTime>0</TotalTime>
  <ScaleCrop>false</ScaleCrop>
  <LinksUpToDate>false</LinksUpToDate>
  <CharactersWithSpaces>1697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2026-06-05T06:59:00Z</dcterms:created>
  <dc:creator>Administrator</dc:creator>
  <cp:lastModifiedBy>bangong</cp:lastModifiedBy>
  <dcterms:modified xsi:type="dcterms:W3CDTF">2026-06-05T07:04:38Z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eyJoZGlkIjoiZjIwMmYzOTE4ZDg0ODkxOGIxNDEwODlmMWJlMzg4OTQiLCJ1c2VySWQiOiIxNTA1OTQ0ODM3In0=</vt:lpwstr>
  </property>
  <property fmtid="{D5CDD505-2E9C-101B-9397-08002B2CF9AE}" pid="4" name="ICV">
    <vt:lpwstr>3D52BF8E972144369B01FF99C3C5B6AB_12</vt:lpwstr>
  </property>
</Properties>
</file>