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440101-2024-22415</w:t>
      </w:r>
    </w:p>
    <w:p>
      <w:pPr>
        <w:pStyle w:val="null3"/>
        <w:jc w:val="center"/>
        <w:outlineLvl w:val="3"/>
      </w:pPr>
      <w:r>
        <w:rPr>
          <w:sz w:val="24"/>
          <w:b/>
        </w:rPr>
        <w:t>采购项目编号：</w:t>
      </w:r>
      <w:r>
        <w:rPr>
          <w:sz w:val="24"/>
          <w:b/>
        </w:rPr>
        <w:t>GDYD240977</w:t>
      </w:r>
    </w:p>
    <w:p>
      <w:pPr>
        <w:pStyle w:val="null3"/>
        <w:jc w:val="center"/>
        <w:outlineLvl w:val="3"/>
      </w:pPr>
      <w:r>
        <w:rPr>
          <w:sz w:val="24"/>
          <w:b/>
        </w:rPr>
        <w:t>项目名称：</w:t>
      </w:r>
      <w:r>
        <w:rPr>
          <w:sz w:val="24"/>
          <w:b/>
        </w:rPr>
        <w:t>赛事专项靶向短信气象服务保障</w:t>
      </w:r>
    </w:p>
    <w:p>
      <w:pPr>
        <w:pStyle w:val="null3"/>
        <w:jc w:val="center"/>
        <w:outlineLvl w:val="3"/>
      </w:pPr>
      <w:r>
        <w:rPr>
          <w:sz w:val="24"/>
          <w:b/>
        </w:rPr>
        <w:t>采购人：</w:t>
      </w:r>
      <w:r>
        <w:rPr>
          <w:sz w:val="24"/>
          <w:b/>
        </w:rPr>
        <w:t>广州市气象台</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广州市气象台</w:t>
      </w:r>
      <w:r>
        <w:rPr/>
        <w:t>的委托，采用</w:t>
      </w:r>
      <w:r>
        <w:rPr/>
        <w:t>公开招标</w:t>
      </w:r>
      <w:r>
        <w:rPr/>
        <w:t>方式组织采购</w:t>
      </w:r>
      <w:r>
        <w:rPr/>
        <w:t>赛事专项靶向短信气象服务保障</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赛事专项靶向短信气象服务保障</w:t>
      </w:r>
    </w:p>
    <w:p>
      <w:pPr>
        <w:pStyle w:val="null3"/>
        <w:ind w:firstLine="480"/>
      </w:pPr>
      <w:r>
        <w:rPr/>
        <w:t>采购计划编号：</w:t>
      </w:r>
      <w:r>
        <w:rPr/>
        <w:t>440101-2024-22415</w:t>
      </w:r>
    </w:p>
    <w:p>
      <w:pPr>
        <w:pStyle w:val="null3"/>
        <w:ind w:firstLine="480"/>
      </w:pPr>
      <w:r>
        <w:rPr/>
        <w:t>采购项目编号：</w:t>
      </w:r>
      <w:r>
        <w:rPr/>
        <w:t>GDYD240977</w:t>
      </w:r>
    </w:p>
    <w:p>
      <w:pPr>
        <w:pStyle w:val="null3"/>
        <w:ind w:firstLine="480"/>
      </w:pPr>
      <w:r>
        <w:rPr/>
        <w:t>采购方式：</w:t>
      </w:r>
      <w:r>
        <w:rPr/>
        <w:t>公开招标</w:t>
      </w:r>
    </w:p>
    <w:p>
      <w:pPr>
        <w:pStyle w:val="null3"/>
        <w:ind w:firstLine="480"/>
      </w:pPr>
      <w:r>
        <w:rPr/>
        <w:t>预算金额：</w:t>
      </w:r>
      <w:r>
        <w:rPr/>
        <w:t>830,000.00</w:t>
      </w:r>
      <w:r>
        <w:rPr/>
        <w:t>元</w:t>
      </w:r>
    </w:p>
    <w:p>
      <w:pPr>
        <w:pStyle w:val="null3"/>
        <w:outlineLvl w:val="3"/>
      </w:pPr>
      <w:r>
        <w:rPr>
          <w:sz w:val="24"/>
          <w:b/>
        </w:rPr>
        <w:t>2.项目内容及需求情况（采购项目技术规格、参数及要求）</w:t>
      </w:r>
    </w:p>
    <w:p>
      <w:pPr>
        <w:pStyle w:val="null3"/>
      </w:pPr>
      <w:r>
        <w:rPr/>
        <w:t>采购包1(赛事专项靶向短信气象服务保障项目):</w:t>
      </w:r>
    </w:p>
    <w:p>
      <w:pPr>
        <w:pStyle w:val="null3"/>
      </w:pPr>
      <w:r>
        <w:rPr/>
        <w:t>采购包预算金额：830,000.00元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赛事专项靶向短信气象服务保障项目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合同履行期限：本项目内容2025年6月30日前完成研发、调试、试运行与业务运行。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采购包1（赛事专项靶向短信气象服务保障项目）：</w:t>
      </w:r>
      <w:r>
        <w:rPr/>
        <w:t>无，本项目不属于专门面向中小企业采购的项目。按照本办法规定预留采购份额无法确保充分供应、充分竞争，或者存在可能影响政府采购目标实现的情形。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采购包1（赛事专项靶向短信气象服务保障项目）：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广州市气象台</w:t>
      </w:r>
    </w:p>
    <w:p>
      <w:pPr>
        <w:pStyle w:val="null3"/>
        <w:ind w:firstLine="480"/>
      </w:pPr>
      <w:r>
        <w:rPr/>
        <w:t xml:space="preserve"> 地址：</w:t>
      </w:r>
      <w:r>
        <w:rPr/>
        <w:t>广州市番禺区南大路植村工业一路68号</w:t>
      </w:r>
    </w:p>
    <w:p>
      <w:pPr>
        <w:pStyle w:val="null3"/>
        <w:ind w:firstLine="480"/>
      </w:pPr>
      <w:r>
        <w:rPr/>
        <w:t xml:space="preserve"> 联系方式：</w:t>
      </w:r>
      <w:r>
        <w:rPr/>
        <w:t>020-66619712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395"/>
        <w:gridCol w:w="543"/>
        <w:gridCol w:w="3922"/>
        <w:gridCol w:w="1446"/>
      </w:tblGrid>
      <w:tr>
        <w:tc>
          <w:tcPr>
            <w:tcW w:type="dxa" w:w="2395"/>
            <w:tcBorders>
              <w:top w:val="single" w:color="000000" w:sz="4"/>
              <w:left w:val="singl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采购内容</w:t>
            </w:r>
          </w:p>
        </w:tc>
        <w:tc>
          <w:tcPr>
            <w:tcW w:type="dxa" w:w="543"/>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数量</w:t>
            </w:r>
          </w:p>
        </w:tc>
        <w:tc>
          <w:tcPr>
            <w:tcW w:type="dxa" w:w="3922"/>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完成期</w:t>
            </w:r>
          </w:p>
        </w:tc>
        <w:tc>
          <w:tcPr>
            <w:tcW w:type="dxa" w:w="1446"/>
            <w:tcBorders>
              <w:top w:val="single" w:color="000000" w:sz="4"/>
              <w:left w:val="none" w:color="000000" w:sz="4"/>
              <w:bottom w:val="double" w:color="000000" w:sz="4"/>
              <w:right w:val="single" w:color="000000" w:sz="4"/>
            </w:tcBorders>
            <w:shd w:fill="EEECE1"/>
            <w:tcMar>
              <w:top w:type="dxa" w:w="0"/>
              <w:left w:type="dxa" w:w="105"/>
              <w:bottom w:type="dxa" w:w="0"/>
              <w:right w:type="dxa" w:w="105"/>
            </w:tcMar>
            <w:vAlign w:val="top"/>
          </w:tcPr>
          <w:p>
            <w:pPr>
              <w:pStyle w:val="null3"/>
              <w:jc w:val="center"/>
            </w:pPr>
            <w:r>
              <w:rPr>
                <w:sz w:val="21"/>
                <w:b/>
              </w:rPr>
              <w:t>最高限价</w:t>
            </w:r>
          </w:p>
        </w:tc>
      </w:tr>
      <w:tr>
        <w:tc>
          <w:tcPr>
            <w:tcW w:type="dxa" w:w="23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赛事专项靶向短信气象服务保障项目</w:t>
            </w:r>
          </w:p>
        </w:tc>
        <w:tc>
          <w:tcPr>
            <w:tcW w:type="dxa" w:w="54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w:t>
            </w:r>
            <w:r>
              <w:rPr>
                <w:sz w:val="21"/>
              </w:rPr>
              <w:t>项</w:t>
            </w:r>
          </w:p>
        </w:tc>
        <w:tc>
          <w:tcPr>
            <w:tcW w:type="dxa" w:w="39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本项目内容</w:t>
            </w:r>
            <w:r>
              <w:rPr>
                <w:sz w:val="21"/>
              </w:rPr>
              <w:t>2025年6月30日</w:t>
            </w:r>
            <w:r>
              <w:rPr>
                <w:sz w:val="21"/>
              </w:rPr>
              <w:t>前完成研发、调试、试运行与业务运行。</w:t>
            </w:r>
          </w:p>
        </w:tc>
        <w:tc>
          <w:tcPr>
            <w:tcW w:type="dxa" w:w="144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5" w:right="-75"/>
              <w:jc w:val="center"/>
            </w:pPr>
            <w:r>
              <w:rPr>
                <w:sz w:val="21"/>
              </w:rPr>
              <w:t>人民币</w:t>
            </w:r>
          </w:p>
          <w:p>
            <w:pPr>
              <w:pStyle w:val="null3"/>
              <w:ind w:left="-45" w:right="-75"/>
              <w:jc w:val="center"/>
            </w:pPr>
            <w:r>
              <w:rPr>
                <w:sz w:val="21"/>
              </w:rPr>
              <w:t>83</w:t>
            </w:r>
            <w:r>
              <w:rPr>
                <w:sz w:val="21"/>
              </w:rPr>
              <w:t>0000</w:t>
            </w:r>
            <w:r>
              <w:rPr>
                <w:sz w:val="21"/>
              </w:rPr>
              <w:t>元</w:t>
            </w:r>
          </w:p>
        </w:tc>
      </w:tr>
    </w:tbl>
    <w:p>
      <w:pPr>
        <w:pStyle w:val="null3"/>
      </w:pPr>
      <w:r>
        <w:rPr/>
        <w:t xml:space="preserve"> </w:t>
      </w:r>
    </w:p>
    <w:p>
      <w:pPr>
        <w:pStyle w:val="null3"/>
      </w:pPr>
      <w:r>
        <w:rPr/>
        <w:t>二、有关说明：</w:t>
      </w:r>
      <w:r>
        <w:br/>
      </w:r>
      <w:r>
        <w:rPr/>
        <w:t xml:space="preserve"> 1.投标人须对本项目的采购标的进行整体投标，任何只对本项目采购标的其中一部分内容、数量进行的投标都被视为无效投标。</w:t>
      </w:r>
      <w:r>
        <w:br/>
      </w:r>
      <w:r>
        <w:rPr/>
        <w:t xml:space="preserve"> 2.采购需求中标注“★”号条款为实质性条款，必须逐条进行响应，有任何一条负偏离的，将导致无效投标。</w:t>
      </w:r>
      <w:r>
        <w:br/>
      </w:r>
      <w:r>
        <w:rPr/>
        <w:t xml:space="preserve"> 3.本项目允许合同分包。</w:t>
      </w:r>
      <w:r>
        <w:br/>
      </w:r>
      <w:r>
        <w:rPr/>
        <w:t xml:space="preserve"> 4.本项目所属行业为“软件和信息技术服务业”。</w:t>
      </w:r>
      <w:r>
        <w:br/>
      </w:r>
      <w:r>
        <w:rPr/>
        <w:t xml:space="preserve"> 5.本次招投标所产生一切费用由中标人承担。</w:t>
      </w:r>
    </w:p>
    <w:p>
      <w:pPr>
        <w:pStyle w:val="null3"/>
      </w:pPr>
      <w:r>
        <w:rPr/>
        <w:t>三、项目基本情况</w:t>
      </w:r>
      <w:r>
        <w:br/>
      </w:r>
      <w:r>
        <w:rPr/>
        <w:t xml:space="preserve">       为解决十五运赛事专项靶向短信服务的时效性、精准度等问题，通过建设赛事专项靶向短信气象服务的相关技术，提高利用信息通信网络传播赛事专项气象灾害预警信息的能力，切实筑牢气象防灾减灾第一道防线，保障赛事专项靶向短信气象服务和相关各项系统的稳定运行。</w:t>
      </w:r>
      <w:r>
        <w:br/>
      </w:r>
      <w:r>
        <w:rPr/>
        <w:t xml:space="preserve">       基于移动、电信、联通三家运营商的靶向短信接口融合构建精准发布渠道层技术，将靶向预警的应用逻辑层独立于具体接口，并保留适当的扩展功能设计，使得赛事专项靶向短信气象服务技术可适应多渠道发布和可扩展性。</w:t>
      </w:r>
    </w:p>
    <w:p>
      <w:pPr>
        <w:pStyle w:val="null3"/>
      </w:pPr>
      <w:r>
        <w:rPr/>
        <w:t>采购包1（赛事专项靶向短信气象服务保障项目）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本项目内容2025年6月30日前完成研发、调试、试运行与业务运行。</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1期：支付比例70%,合同签订后，中标人向采购人提供合同总额70%的等额正式发票，采购人收到发票后5个工作日内按照国库集中支付相关规定办理支付手续，支付合同总额的70%给中标人；</w:t>
            </w:r>
          </w:p>
          <w:p>
            <w:pPr>
              <w:pStyle w:val="null3"/>
            </w:pPr>
            <w:r>
              <w:rPr/>
              <w:t>2期：支付比例30%,项目完成验收后，项目中标人提供合同总额30%的等额正式发票，采购人收到发票后5个工作日内按照国库集中支付相关规定办理支付手续，支付合同总额的30%给中标人。 中标人凭以下有效文件与采购人结算： （1）合同； （2）中标人开具的正式发票； （3）验收证明。 因采购人使用的是财政资金，采购人在前款规定的付款时间为向政府采购支付部门提出办理财政支付申请手续的时间（不含政府财政支付部门审核的时间），在规定时间内提出支付申请手续后即视为采购人已经按期支付。 最终付款方式以合同为准。</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1期：1期：完成项目建设全部内容，提供技术文档、项目开发代码（如有）和系统操作说明。</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其他，1.中标人应具有完成本项目的能力，能为采购人提供技术成熟、质量可靠的服务。 2.提供技术培训1次，采用现场集体培训形式。培训内容包括系统的使用、维护、故障处理。 3.中标人为本项目投入一名项目负责人，应具有同类项目相关研究经验，并具有一定的专业技术能力；中标人为本项目投入一定数量的技术人员，且技术人员具有气象/地理信息/电子/通信类等专业技术能力。</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基本要求</w:t>
            </w:r>
          </w:p>
        </w:tc>
        <w:tc>
          <w:tcPr>
            <w:tcW w:type="dxa" w:w="2076"/>
          </w:tcPr>
          <w:p>
            <w:pPr>
              <w:pStyle w:val="null3"/>
              <w:jc w:val="left"/>
            </w:pPr>
            <w:r>
              <w:rPr/>
              <w:t>1.投标人具有气象业务系统开发经验； 2.投标人能够通过广东省气象数据中心的数据接口取得项目所需的雷达、QPF产品和气象观测等数据； 3.采购人负责提供平台运行所需的软硬件环境。为方便采购人的后期维护和管理，中标人所完成的技术成果，必须能在采购人提供的软硬件环境上运行。</w:t>
            </w:r>
          </w:p>
        </w:tc>
      </w:tr>
      <w:tr>
        <w:tc>
          <w:tcPr>
            <w:tcW w:type="dxa" w:w="2076"/>
          </w:tcPr>
          <w:p/>
        </w:tc>
        <w:tc>
          <w:tcPr>
            <w:tcW w:type="dxa" w:w="2076"/>
          </w:tcPr>
          <w:p>
            <w:pPr>
              <w:pStyle w:val="null3"/>
              <w:jc w:val="center"/>
            </w:pPr>
            <w:r>
              <w:rPr/>
              <w:t>2</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2.投标报价应为人民币含税全包价，包括使用的设备、材料、人力成本、技术服务、验收、培训、质保期服务、售后服务、各项税费及其他相关费用等合同实施及履约过程中可预见和不可预见的一切费用； 3.采购人将不予支付除投标文件及承包合同约定的由投标人承担的风险因素之外的任何补偿。</w:t>
            </w:r>
          </w:p>
        </w:tc>
      </w:tr>
      <w:tr>
        <w:tc>
          <w:tcPr>
            <w:tcW w:type="dxa" w:w="2076"/>
          </w:tcPr>
          <w:p/>
        </w:tc>
        <w:tc>
          <w:tcPr>
            <w:tcW w:type="dxa" w:w="2076"/>
          </w:tcPr>
          <w:p>
            <w:pPr>
              <w:pStyle w:val="null3"/>
              <w:jc w:val="center"/>
            </w:pPr>
            <w:r>
              <w:rPr/>
              <w:t>3</w:t>
            </w:r>
          </w:p>
        </w:tc>
        <w:tc>
          <w:tcPr>
            <w:tcW w:type="dxa" w:w="2076"/>
          </w:tcPr>
          <w:p>
            <w:pPr>
              <w:pStyle w:val="null3"/>
              <w:jc w:val="left"/>
            </w:pPr>
            <w:r>
              <w:rPr/>
              <w:t>知识产权声明</w:t>
            </w:r>
          </w:p>
        </w:tc>
        <w:tc>
          <w:tcPr>
            <w:tcW w:type="dxa" w:w="2076"/>
          </w:tcPr>
          <w:p>
            <w:pPr>
              <w:pStyle w:val="null3"/>
              <w:jc w:val="left"/>
            </w:pPr>
            <w:r>
              <w:rPr/>
              <w:t>中标人必须遵守相应的国家法律法规和规章制度，项目建设及业务应用过程中涉及的一切知识产权纠纷由中标人承担。项目完成后，中标人应及时向采购人提供项目开发代码（如有）。</w:t>
            </w:r>
          </w:p>
        </w:tc>
      </w:tr>
      <w:tr>
        <w:tc>
          <w:tcPr>
            <w:tcW w:type="dxa" w:w="2076"/>
          </w:tcPr>
          <w:p/>
        </w:tc>
        <w:tc>
          <w:tcPr>
            <w:tcW w:type="dxa" w:w="2076"/>
          </w:tcPr>
          <w:p>
            <w:pPr>
              <w:pStyle w:val="null3"/>
              <w:jc w:val="center"/>
            </w:pPr>
            <w:r>
              <w:rPr/>
              <w:t>4</w:t>
            </w:r>
          </w:p>
        </w:tc>
        <w:tc>
          <w:tcPr>
            <w:tcW w:type="dxa" w:w="2076"/>
          </w:tcPr>
          <w:p>
            <w:pPr>
              <w:pStyle w:val="null3"/>
              <w:jc w:val="left"/>
            </w:pPr>
            <w:r>
              <w:rPr/>
              <w:t>质保期及售后服务要求</w:t>
            </w:r>
          </w:p>
        </w:tc>
        <w:tc>
          <w:tcPr>
            <w:tcW w:type="dxa" w:w="2076"/>
          </w:tcPr>
          <w:p>
            <w:pPr>
              <w:pStyle w:val="null3"/>
              <w:jc w:val="left"/>
            </w:pPr>
            <w:r>
              <w:rPr/>
              <w:t>项目完成验收后提供三年的免费质保服务（质保内容包括系统维护、数据获取、计算、中间处理、产品生成制作等）。在质保期内，中标人需提供2名工程师驻场运维，在12小时内完成系统故障修复，并提供24小时的电话、线上支持。</w:t>
            </w:r>
          </w:p>
        </w:tc>
      </w:tr>
      <w:tr>
        <w:tc>
          <w:tcPr>
            <w:tcW w:type="dxa" w:w="2076"/>
          </w:tcPr>
          <w:p/>
        </w:tc>
        <w:tc>
          <w:tcPr>
            <w:tcW w:type="dxa" w:w="2076"/>
          </w:tcPr>
          <w:p>
            <w:pPr>
              <w:pStyle w:val="null3"/>
              <w:jc w:val="center"/>
            </w:pPr>
            <w:r>
              <w:rPr/>
              <w:t>5</w:t>
            </w:r>
          </w:p>
        </w:tc>
        <w:tc>
          <w:tcPr>
            <w:tcW w:type="dxa" w:w="2076"/>
          </w:tcPr>
          <w:p>
            <w:pPr>
              <w:pStyle w:val="null3"/>
              <w:jc w:val="left"/>
            </w:pPr>
            <w:r>
              <w:rPr/>
              <w:t>保密责任</w:t>
            </w:r>
          </w:p>
        </w:tc>
        <w:tc>
          <w:tcPr>
            <w:tcW w:type="dxa" w:w="2076"/>
          </w:tcPr>
          <w:p>
            <w:pPr>
              <w:pStyle w:val="null3"/>
              <w:jc w:val="left"/>
            </w:pPr>
            <w:r>
              <w:rPr/>
              <w:t>采购人和供应商双方恪守技术及商业保密资料的保密责任，不得以任何方式私自向第三方透露对方的业务数据、业务事务及相关技术资料以及一切保密文档，任何一方违反本条款将按中华人民共和国有关法律处罚。</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赛事专项靶向短信气象服务保障项目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830,000.00</w:t>
            </w:r>
          </w:p>
        </w:tc>
        <w:tc>
          <w:tcPr>
            <w:tcW w:type="dxa" w:w="933"/>
          </w:tcPr>
          <w:p>
            <w:pPr>
              <w:pStyle w:val="null3"/>
              <w:jc w:val="right"/>
            </w:pPr>
            <w:r>
              <w:rPr/>
              <w:t>830,000.00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赛事专项靶向短信气象服务保障项目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技术研发需求</w:t>
            </w:r>
            <w:r>
              <w:br/>
            </w:r>
            <w:r>
              <w:rPr/>
              <w:t xml:space="preserve">       通过对多种气象监测要素产品的广州本地化集成应用与接口技术的研发，为赛事专项靶向短信气象服务功能模块提供技术支撑，优化和改进靶向发布辅助工具智能算法，以进一步提高靶向发布功能的时效性。</w:t>
            </w:r>
            <w:r>
              <w:br/>
            </w:r>
            <w:r>
              <w:rPr/>
              <w:t xml:space="preserve">       相关技术设计的整体要基于B/S的技术架构路线，可跨平台部署在Windows/Linux/Unix等不同的操作系统上，满足部署在广州市气象局气象内网中的信息安全和框架技术要求，所研发的技术架构要满足高扩展性，能应用并集成在广州市气象局内部其他系统中，并提供高效调用的接口。</w:t>
            </w:r>
          </w:p>
          <w:p>
            <w:pPr>
              <w:pStyle w:val="null3"/>
            </w:pPr>
            <w:r>
              <w:rPr>
                <w:b/>
              </w:rPr>
              <w:t>1.监测预报技术研发</w:t>
            </w:r>
            <w:r>
              <w:br/>
            </w:r>
            <w:r>
              <w:rPr/>
              <w:t xml:space="preserve">       (1)气象资料综合显示服务技术研发</w:t>
            </w:r>
            <w:r>
              <w:br/>
            </w:r>
            <w:r>
              <w:rPr/>
              <w:t xml:space="preserve">       完成通过广东省气象局大数据平台等接口获取雷达组合反射率、QPF降水（1公里分辨率）、气象自动站降水、广州市分区预警信号生效情况的实时接口数据并确保所获取数据的实时更新。完成上述数据在基于WEBGIS平台上的叠加显示，确保实时组合雷达反射率图、QPF降水图，可播放和查看历史数据。气象自动站降水数据和分区预警信号可叠加显示，可查看历史数据。</w:t>
            </w:r>
            <w:r>
              <w:br/>
            </w:r>
            <w:r>
              <w:rPr/>
              <w:t xml:space="preserve">       (2)降水临近2小时分钟级预报技术产品研发</w:t>
            </w:r>
            <w:r>
              <w:br/>
            </w:r>
            <w:r>
              <w:rPr/>
              <w:t xml:space="preserve">       完成基于国内先进的数值天气预报模型，整合卫星云图、雷达回波、地面观测站等多种数据源，实现根据实时数据自动更新和进行数据分析、模型运算及结果输出的处理算法，该算法需满足分钟级预报的时效性需求，最后形成覆盖广东省区域、时效为未来2小时内每分钟的降水预报产品。</w:t>
            </w:r>
            <w:r>
              <w:br/>
            </w:r>
            <w:r>
              <w:rPr/>
              <w:t xml:space="preserve">       (3)标准化接口技术服务</w:t>
            </w:r>
            <w:r>
              <w:br/>
            </w:r>
            <w:r>
              <w:rPr/>
              <w:t xml:space="preserve">       以上技术、算法和产品均需提供标准的数据格式和API产品接口，并集成到现有系统中。</w:t>
            </w:r>
            <w:r>
              <w:br/>
            </w:r>
            <w:r>
              <w:rPr>
                <w:b/>
              </w:rPr>
              <w:t>2.靶向发布辅助工具技术研发</w:t>
            </w:r>
            <w:r>
              <w:br/>
            </w:r>
            <w:r>
              <w:rPr/>
              <w:t xml:space="preserve">       (1)空间分析技术服务研发</w:t>
            </w:r>
            <w:r>
              <w:br/>
            </w:r>
            <w:r>
              <w:rPr/>
              <w:t xml:space="preserve">       完成基于WEBGIS的空间分析功能(基于地理信息县区、乡镇、村等的行政区划数据)；所提供的地理地图应用需采用广州行政区划地图，支持基础地图切换。多图层需基于同一坐标系和投影方式，且切换图层无瓦片偏移情况。同时提供放大、缩小、复位、移动多种地图操作，提供测距、经纬度网格、区域遮罩、透明度调整多种空间分析辅助工具的技术服务。</w:t>
            </w:r>
            <w:r>
              <w:br/>
            </w:r>
            <w:r>
              <w:rPr/>
              <w:t xml:space="preserve">       (2)地名搜索技术服务研发</w:t>
            </w:r>
            <w:r>
              <w:br/>
            </w:r>
            <w:r>
              <w:rPr/>
              <w:t xml:space="preserve">       完成能按照所输入的地点名称，地图自动搜索定位和区域自动选中功能，支持同时输入多个地名，并能修改和增减的技术服务。</w:t>
            </w:r>
            <w:r>
              <w:br/>
            </w:r>
            <w:r>
              <w:rPr/>
              <w:t xml:space="preserve">       (3)区域圈选智能分析算法研发</w:t>
            </w:r>
            <w:r>
              <w:br/>
            </w:r>
            <w:r>
              <w:rPr/>
              <w:t xml:space="preserve">       完成基于WEBGIS的可任意圈选区域的智能分析算法研发，包括能自动计算圈选区域的面积，可保存为重点区域，可在靶向发布时快速圈选区域。同时基于广州市分镇街行政区域GIS信息，提供分镇街区域快速选择填涂算法技术；基于广州市分镇街预警信号，提供对应街镇区域自动圈选算法技术，可以同时选择单个或多个区域。出现选区重叠的情况可智能合并、选区智能消除。人工可通过圈选消除，在已圈选区域内消除选区，基于智能算法消除选区。</w:t>
            </w:r>
            <w:r>
              <w:br/>
            </w:r>
            <w:r>
              <w:rPr/>
              <w:t xml:space="preserve">       (4)后台靶向发布模板配置技术服务研发</w:t>
            </w:r>
            <w:r>
              <w:br/>
            </w:r>
            <w:r>
              <w:rPr/>
              <w:t xml:space="preserve">       提供可预先通过人工圈选区域，并可选择预填短信内容的模版自主配置。</w:t>
            </w:r>
            <w:r>
              <w:br/>
            </w:r>
            <w:r>
              <w:rPr/>
              <w:t xml:space="preserve">       提供可按照目前行政区划（镇街）圈选区域，并可选择预填短信内容的模板自主配置。</w:t>
            </w:r>
            <w:r>
              <w:br/>
            </w:r>
            <w:r>
              <w:rPr/>
              <w:t xml:space="preserve">       提供可以将历史任务自动转换为模版的模板自主配置。</w:t>
            </w:r>
            <w:r>
              <w:br/>
            </w:r>
            <w:r>
              <w:rPr/>
              <w:t xml:space="preserve">       以上模板设置后，需具备能删除、修改、设置立即发送或定时发送的技术服务。能根据三家运营商不同的持续时长特点，提供统一的持续时长设置。</w:t>
            </w:r>
            <w:r>
              <w:br/>
            </w:r>
            <w:r>
              <w:rPr/>
              <w:t xml:space="preserve">       (5)靶向发布的抄送、审核、测试和终止技术服务研发</w:t>
            </w:r>
            <w:r>
              <w:br/>
            </w:r>
            <w:r>
              <w:rPr/>
              <w:t xml:space="preserve">       完成提供支持临时添加抄送号码、并可根据人工核验携号转网等情况自主修改手机运营商选中情况的发布界面显示和后台管理显示。</w:t>
            </w:r>
            <w:r>
              <w:br/>
            </w:r>
            <w:r>
              <w:rPr/>
              <w:t xml:space="preserve">       配备短信内容、发布区域、面积等信息自动生成和预览，提供审核功能，实现信息经审核后再发布流程的技术服务。</w:t>
            </w:r>
            <w:r>
              <w:br/>
            </w:r>
            <w:r>
              <w:rPr/>
              <w:t xml:space="preserve">       支持生成只针对抄送名单发送的靶向测试短信任务。</w:t>
            </w:r>
            <w:r>
              <w:br/>
            </w:r>
            <w:r>
              <w:rPr/>
              <w:t xml:space="preserve">       靶向任务在开始后，允许中途停止该任务执行。</w:t>
            </w:r>
            <w:r>
              <w:br/>
            </w:r>
            <w:r>
              <w:rPr/>
              <w:t xml:space="preserve">       (6)标准化接口技术服务</w:t>
            </w:r>
            <w:r>
              <w:br/>
            </w:r>
            <w:r>
              <w:rPr/>
              <w:t xml:space="preserve">       以上技术、算法均需提供标准的数据格式和API产品接口，并集成到现有系统中。</w:t>
            </w:r>
            <w:r>
              <w:br/>
            </w:r>
            <w:r>
              <w:rPr>
                <w:b/>
              </w:rPr>
              <w:t>3.靶向短信接口融合技术研发</w:t>
            </w:r>
            <w:r>
              <w:br/>
            </w:r>
            <w:r>
              <w:rPr/>
              <w:t xml:space="preserve">       (1)统一接口技术服务</w:t>
            </w:r>
            <w:r>
              <w:br/>
            </w:r>
            <w:r>
              <w:rPr/>
              <w:t xml:space="preserve">      基于现有的移动、电信、联通三家运营商的靶向短信接口，根据各运营商接口对靶向区域电子围栏的定义差异，对群组定义的差异等，建立统一的交互体验和调度管理接口。</w:t>
            </w:r>
            <w:r>
              <w:br/>
            </w:r>
            <w:r>
              <w:rPr/>
              <w:t xml:space="preserve">       (2)标签配置技术服务</w:t>
            </w:r>
            <w:r>
              <w:br/>
            </w:r>
            <w:r>
              <w:rPr/>
              <w:t xml:space="preserve">      提供三大运营商的实时人群分析标签配置技术服务，需允许修改。并统一三家运营商的发布流程和回查流程，提供和返回一致性的数据结构。</w:t>
            </w:r>
            <w:r>
              <w:br/>
            </w:r>
            <w:r>
              <w:rPr>
                <w:b/>
              </w:rPr>
              <w:t>4.靶向查询技术研发</w:t>
            </w:r>
            <w:r>
              <w:br/>
            </w:r>
            <w:r>
              <w:rPr/>
              <w:t xml:space="preserve">        (1)任务查询和编辑技术服务</w:t>
            </w:r>
            <w:r>
              <w:br/>
            </w:r>
            <w:r>
              <w:rPr/>
              <w:t xml:space="preserve">        提供靶向预警发布任务查询和导出技术服务。按不同账号展示靶向任务详情，包括展示发布账号名称，任务信息，任务编号，发布时间，短信内容等。三家运营商的发布任务数量，成功数量，发送速度对比。基于任务流程的数据记录，可自动调取指定任务流程信息，在地图上重现。</w:t>
            </w:r>
            <w:r>
              <w:br/>
            </w:r>
            <w:r>
              <w:rPr/>
              <w:t xml:space="preserve">        对于线下发布的预警，提供追加覆盖和全量覆盖两种方式的技术服务，一按照系统提供的模板进行导入操作。二支持历史任务合并、整理，手动更新发布数据，支持手动数据修改并保留修改记录。</w:t>
            </w:r>
            <w:r>
              <w:br/>
            </w:r>
            <w:r>
              <w:rPr/>
              <w:t xml:space="preserve">       (2)任务反馈的历史数据库和统计展示技术服务</w:t>
            </w:r>
            <w:r>
              <w:br/>
            </w:r>
            <w:r>
              <w:rPr/>
              <w:t xml:space="preserve">       完成靶向任务历史和任务过程中实时反馈数据的数据入库、显示、查询、统计的技术服务。</w:t>
            </w:r>
            <w:r>
              <w:br/>
            </w:r>
            <w:r>
              <w:rPr/>
              <w:t xml:space="preserve">       提供根据时间段统计数据，采用图表、表格等形式展示统计数据。提供统计历史发布数据技术服务，包括各运营商短信发送成功用户数，短信发送条数，各区县任务发布次数，各时间段发布用户数等。</w:t>
            </w:r>
            <w:r>
              <w:br/>
            </w:r>
            <w:r>
              <w:rPr>
                <w:b/>
              </w:rPr>
              <w:t>5.系统管理技术研发</w:t>
            </w:r>
            <w:r>
              <w:br/>
            </w:r>
            <w:r>
              <w:rPr/>
              <w:t xml:space="preserve">       (1)账号配置技术服务</w:t>
            </w:r>
            <w:r>
              <w:br/>
            </w:r>
            <w:r>
              <w:rPr/>
              <w:t xml:space="preserve">       提供配置各个运营商的账号信息的技术服务，可根据不同运营商不同接口规范，结合地图上圈选功能，配置电子围栏，做经纬度适配；整合各个运营商接口，实现统一配置管理。</w:t>
            </w:r>
            <w:r>
              <w:br/>
            </w:r>
            <w:r>
              <w:rPr/>
              <w:t xml:space="preserve">       (2)账号管理技术服务</w:t>
            </w:r>
            <w:r>
              <w:br/>
            </w:r>
            <w:r>
              <w:rPr/>
              <w:t xml:space="preserve">       提供用户管理和批量处理的技术服务，密码需使用强密码。基于分权分域的设计要求，针对不同的用户、角色、权限，通过权限矩阵，为不同用户赋予不同权限。</w:t>
            </w:r>
            <w:r>
              <w:br/>
            </w:r>
            <w:r>
              <w:rPr>
                <w:b/>
              </w:rPr>
              <w:t>6.赛事专项场馆靶向模板技术研发与数据维护</w:t>
            </w:r>
            <w:r>
              <w:br/>
            </w:r>
            <w:r>
              <w:rPr/>
              <w:t xml:space="preserve">       按照十五运会和残特奥会广州赛区执委会工作部署，完成广州地区赛事场馆的靶向模板建设服务和后续数据的更新维护，包括模板标签、电子围栏、场馆位置定位、场馆名称等关键信息的设置，提供模板自由调用、支持快速自动圈选区域、场馆模版清单列表勾选等技术服务和数据更新。</w:t>
            </w:r>
            <w:r>
              <w:br/>
            </w:r>
            <w:r>
              <w:rPr>
                <w:b/>
              </w:rPr>
              <w:t>7.赛事专项责任人靶向标签化匹配技术研发与数据维护</w:t>
            </w:r>
            <w:r>
              <w:br/>
            </w:r>
            <w:r>
              <w:rPr/>
              <w:t xml:space="preserve">       (1)多种类标签设置和查询技术服务</w:t>
            </w:r>
            <w:r>
              <w:br/>
            </w:r>
            <w:r>
              <w:rPr/>
              <w:t xml:space="preserve">      提供用户标签化管理和匹配的技术服务，包括多种类标签设置、标签管理、标签查询。其中多种类标签设置，包括时间（以年份划分）、行业（如教育、国土等）、区域（市属、各行政区等）、产品（如上下班天气、预警信息等）、外呼（一级、二级带班责任人）以及特殊（如危化品责任人等）等标签。标签管理提供各类标签的录入方式和选择权限。标签查询实现标签用户数据查询的数据服务，提供按用户姓名、手机号码及各标签选择等的查询方式。</w:t>
            </w:r>
            <w:r>
              <w:br/>
            </w:r>
            <w:r>
              <w:rPr/>
              <w:t xml:space="preserve">       (2)责任人标签自动匹配技术服务</w:t>
            </w:r>
            <w:r>
              <w:br/>
            </w:r>
            <w:r>
              <w:rPr/>
              <w:t xml:space="preserve">       提供可通过选择相应的标签组合，快速自动筛选符合条件的责任人清单的技术服务。并提供灵活的标签组合查询方式，支持按照多个标签进行交叉查询，以满足复杂的责任人靶向匹配需求。</w:t>
            </w:r>
            <w:r>
              <w:br/>
            </w:r>
            <w:r>
              <w:rPr/>
              <w:t xml:space="preserve">       (3)数据编辑与展示技术服务</w:t>
            </w:r>
            <w:r>
              <w:br/>
            </w:r>
            <w:r>
              <w:rPr/>
              <w:t xml:space="preserve">       数据编辑与展示的技术服务包括展示标签清单和责任人列表，支持对责任人进行增、删、改、查等操作。并提供直观的界面展示匹配结果，包括责任人的基本信息、所属标签以及联系方式等。</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广州市气象台</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赛事专项靶向短信气象服务保障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采购包1（赛事专项靶向短信气象服务保障项目）：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采购包1（赛事专项靶向短信气象服务保障项目）：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无，本项目不属于专门面向中小企业采购的项目。按照本办法规定预留采购份额无法确保充分供应、充分竞争，或者存在可能影响政府采购目标实现的情形。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采购包1（赛事专项靶向短信气象服务保障项目）：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采购包1(赛事专项靶向短信气象服务保障项目):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技术部分50.0分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项目实施技术方案 (15.0分)</w:t>
            </w:r>
            <w:r>
              <w:rPr/>
              <w:t>，（等次分值选择：</w:t>
            </w:r>
            <w:r>
              <w:rPr/>
              <w:t>0.0;</w:t>
            </w:r>
            <w:r>
              <w:rPr/>
              <w:t>3.0;</w:t>
            </w:r>
            <w:r>
              <w:rPr/>
              <w:t>7.0;</w:t>
            </w:r>
            <w:r>
              <w:rPr/>
              <w:t>11.0;</w:t>
            </w:r>
            <w:r>
              <w:rPr/>
              <w:t>15.0;</w:t>
            </w:r>
            <w:r>
              <w:rPr/>
              <w:t>）</w:t>
            </w:r>
          </w:p>
        </w:tc>
        <w:tc>
          <w:tcPr>
            <w:tcW w:type="dxa" w:w="5076"/>
          </w:tcPr>
          <w:p>
            <w:pPr>
              <w:pStyle w:val="null3"/>
              <w:jc w:val="left"/>
            </w:pPr>
            <w:r>
              <w:rPr/>
              <w:t>根据各投标人提供的实施方案进行评审： 1.具有切实可行的项目实施技术方案，详细具体，针对性强，与项目实际情况相契合，且满足招标文件的要求，得15分； 2.具有较可行的项目实施技术方案，较详细具体，针对性较强，与项目实际情况较相契合，且满足招标文件的要求，得11分； 3.有项目实施技术方案，有一定可行性，且满足招标文件的基本要求，得7分； 4.实施技术方案不够详细、不够全面、不够可行，3分； 5.无相关内容不得分。</w:t>
            </w:r>
          </w:p>
        </w:tc>
      </w:tr>
      <w:tr>
        <w:tc>
          <w:tcPr>
            <w:tcW w:type="dxa" w:w="922"/>
            <w:gridSpan w:val="2"/>
            <w:vMerge/>
          </w:tcPr>
          <w:p/>
        </w:tc>
        <w:tc>
          <w:tcPr>
            <w:tcW w:type="dxa" w:w="2307"/>
          </w:tcPr>
          <w:p>
            <w:pPr>
              <w:pStyle w:val="null3"/>
              <w:jc w:val="left"/>
            </w:pPr>
            <w:r>
              <w:rPr/>
              <w:t>项目工作内容的系统性及合理性 (10.0分)</w:t>
            </w:r>
            <w:r>
              <w:rPr/>
              <w:t>，（等次分值选择：</w:t>
            </w:r>
            <w:r>
              <w:rPr/>
              <w:t>0.0;</w:t>
            </w:r>
            <w:r>
              <w:rPr/>
              <w:t>3.0;</w:t>
            </w:r>
            <w:r>
              <w:rPr/>
              <w:t>7.0;</w:t>
            </w:r>
            <w:r>
              <w:rPr/>
              <w:t>10.0;</w:t>
            </w:r>
            <w:r>
              <w:rPr/>
              <w:t>）</w:t>
            </w:r>
          </w:p>
        </w:tc>
        <w:tc>
          <w:tcPr>
            <w:tcW w:type="dxa" w:w="5076"/>
          </w:tcPr>
          <w:p>
            <w:pPr>
              <w:pStyle w:val="null3"/>
              <w:jc w:val="left"/>
            </w:pPr>
            <w:r>
              <w:rPr/>
              <w:t>根据各投标人对本项目工作内容的系统性及合理性进行评审： 1.内容完善充分、层次结构分明清晰、措施方法齐全、分析合理逻辑性强、符合实际，操作性强，得10分； 2.内容较完善、层次较分明、措施较齐全、分析基本合理，具有一定操作性的，得7分； 3.内容有缺失、措施完整性较差、分析不够合理，得3分； 4.无工作内容不得分。</w:t>
            </w:r>
          </w:p>
        </w:tc>
      </w:tr>
      <w:tr>
        <w:tc>
          <w:tcPr>
            <w:tcW w:type="dxa" w:w="922"/>
            <w:gridSpan w:val="2"/>
            <w:vMerge/>
          </w:tcPr>
          <w:p/>
        </w:tc>
        <w:tc>
          <w:tcPr>
            <w:tcW w:type="dxa" w:w="2307"/>
          </w:tcPr>
          <w:p>
            <w:pPr>
              <w:pStyle w:val="null3"/>
              <w:jc w:val="left"/>
            </w:pPr>
            <w:r>
              <w:rPr/>
              <w:t>对关键点、难点的理解及对策 (10.0分)</w:t>
            </w:r>
            <w:r>
              <w:rPr/>
              <w:t>，（等次分值选择：</w:t>
            </w:r>
            <w:r>
              <w:rPr/>
              <w:t>0.0;</w:t>
            </w:r>
            <w:r>
              <w:rPr/>
              <w:t>3.0;</w:t>
            </w:r>
            <w:r>
              <w:rPr/>
              <w:t>7.0;</w:t>
            </w:r>
            <w:r>
              <w:rPr/>
              <w:t>10.0;</w:t>
            </w:r>
            <w:r>
              <w:rPr/>
              <w:t>）</w:t>
            </w:r>
          </w:p>
        </w:tc>
        <w:tc>
          <w:tcPr>
            <w:tcW w:type="dxa" w:w="5076"/>
          </w:tcPr>
          <w:p>
            <w:pPr>
              <w:pStyle w:val="null3"/>
              <w:jc w:val="left"/>
            </w:pPr>
            <w:r>
              <w:rPr/>
              <w:t>根据各投标人的对关键点、难点的理解及对策进行评审： 1.对于项目的关键点和难点均具有准确的阐述和理解，结合实际需要对项目开展提出具有创见性意见，对未来持续性研究有保障，得10分； 2.对于项目的关键点和难点有较为准确的阐述和理解，结合实际对项目开展提出有一定针对性的意见，得7分； 3.对于项目关键点和难点的阐述与理解有欠缺，结合实际不够，得3分； 4.无关键点、难点的理解及对策，得0分。</w:t>
            </w:r>
          </w:p>
        </w:tc>
      </w:tr>
      <w:tr>
        <w:tc>
          <w:tcPr>
            <w:tcW w:type="dxa" w:w="922"/>
            <w:gridSpan w:val="2"/>
            <w:vMerge/>
          </w:tcPr>
          <w:p/>
        </w:tc>
        <w:tc>
          <w:tcPr>
            <w:tcW w:type="dxa" w:w="2307"/>
          </w:tcPr>
          <w:p>
            <w:pPr>
              <w:pStyle w:val="null3"/>
              <w:jc w:val="left"/>
            </w:pPr>
            <w:r>
              <w:rPr/>
              <w:t>工作进度计划和预期成果 (10.0分)</w:t>
            </w:r>
            <w:r>
              <w:rPr/>
              <w:t>，（等次分值选择：</w:t>
            </w:r>
            <w:r>
              <w:rPr/>
              <w:t>0.0;</w:t>
            </w:r>
            <w:r>
              <w:rPr/>
              <w:t>3.0;</w:t>
            </w:r>
            <w:r>
              <w:rPr/>
              <w:t>7.0;</w:t>
            </w:r>
            <w:r>
              <w:rPr/>
              <w:t>10.0;</w:t>
            </w:r>
            <w:r>
              <w:rPr/>
              <w:t>）</w:t>
            </w:r>
          </w:p>
        </w:tc>
        <w:tc>
          <w:tcPr>
            <w:tcW w:type="dxa" w:w="5076"/>
          </w:tcPr>
          <w:p>
            <w:pPr>
              <w:pStyle w:val="null3"/>
              <w:jc w:val="left"/>
            </w:pPr>
            <w:r>
              <w:rPr/>
              <w:t>根据各投标人的工作进度计划和预期成果进行评审： 1.工作进度安排非常合理，预期成果能够满足招标文件考核指标要求，得10分； 2.工作进度安排较合理，预期成果基本满足招标文件考核指标要求，得7分； 3.工作进度安排有欠缺，预期成果与招标文件考核指标要求有差距，3分； 4.无工作安排，得0分。</w:t>
            </w:r>
          </w:p>
        </w:tc>
      </w:tr>
      <w:tr>
        <w:tc>
          <w:tcPr>
            <w:tcW w:type="dxa" w:w="922"/>
            <w:gridSpan w:val="2"/>
            <w:vMerge/>
          </w:tcPr>
          <w:p/>
        </w:tc>
        <w:tc>
          <w:tcPr>
            <w:tcW w:type="dxa" w:w="2307"/>
          </w:tcPr>
          <w:p>
            <w:pPr>
              <w:pStyle w:val="null3"/>
              <w:jc w:val="left"/>
            </w:pPr>
            <w:r>
              <w:rPr/>
              <w:t>售后服务方案 (5.0分)</w:t>
            </w:r>
            <w:r>
              <w:rPr/>
              <w:t>，（等次分值选择：</w:t>
            </w:r>
            <w:r>
              <w:rPr/>
              <w:t>0.0;</w:t>
            </w:r>
            <w:r>
              <w:rPr/>
              <w:t>1.0;</w:t>
            </w:r>
            <w:r>
              <w:rPr/>
              <w:t>3.0;</w:t>
            </w:r>
            <w:r>
              <w:rPr/>
              <w:t>5.0;</w:t>
            </w:r>
            <w:r>
              <w:rPr/>
              <w:t>）</w:t>
            </w:r>
          </w:p>
        </w:tc>
        <w:tc>
          <w:tcPr>
            <w:tcW w:type="dxa" w:w="5076"/>
          </w:tcPr>
          <w:p>
            <w:pPr>
              <w:pStyle w:val="null3"/>
              <w:jc w:val="left"/>
            </w:pPr>
            <w:r>
              <w:rPr/>
              <w:t>根据各投标人的售后服务方案进行评审： 1.方案详细、全面、可行性强，5分； 2.方案较详细、较全面、有一定可行性，3分； 3.方案不够详细、不够全面、不够可行，1分； 4.未提供不得分。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(6.0分)</w:t>
            </w:r>
          </w:p>
        </w:tc>
        <w:tc>
          <w:tcPr>
            <w:tcW w:type="dxa" w:w="5076"/>
          </w:tcPr>
          <w:p>
            <w:pPr>
              <w:pStyle w:val="null3"/>
              <w:jc w:val="left"/>
            </w:pPr>
            <w:r>
              <w:rPr/>
              <w:t>2022年1月1日至今，投标人承接同类的项目，每一个项目得1分，最高得6分。 备注：同时提供项目合同复印件和项目中标通知书（成交通知书）。上述所有材料均须加盖投标人公章。</w:t>
            </w:r>
          </w:p>
        </w:tc>
      </w:tr>
      <w:tr>
        <w:tc>
          <w:tcPr>
            <w:tcW w:type="dxa" w:w="922"/>
            <w:gridSpan w:val="2"/>
            <w:vMerge/>
          </w:tcPr>
          <w:p/>
        </w:tc>
        <w:tc>
          <w:tcPr>
            <w:tcW w:type="dxa" w:w="2307"/>
          </w:tcPr>
          <w:p>
            <w:pPr>
              <w:pStyle w:val="null3"/>
              <w:jc w:val="left"/>
            </w:pPr>
            <w:r>
              <w:rPr/>
              <w:t>投标人知识产权 (6.0分)</w:t>
            </w:r>
          </w:p>
        </w:tc>
        <w:tc>
          <w:tcPr>
            <w:tcW w:type="dxa" w:w="5076"/>
          </w:tcPr>
          <w:p>
            <w:pPr>
              <w:pStyle w:val="null3"/>
              <w:jc w:val="left"/>
            </w:pPr>
            <w:r>
              <w:rPr/>
              <w:t>具有气象类相关的计算机软件著作权，提供一项得1分，最多得6分，无不得分。 备注：提供证书或相关证明材料复印件。</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职称：具有气象类正高级职称的，得6分；具有气象类高级职称的，得3分；具有气象类中级职称的，得1分；无提供不得分。 备注：提供负责人职称证书复印件和投标截止前6个月内任意一个月投标人为其购买社保的等证明材料。</w:t>
            </w:r>
          </w:p>
        </w:tc>
      </w:tr>
      <w:tr>
        <w:tc>
          <w:tcPr>
            <w:tcW w:type="dxa" w:w="922"/>
            <w:gridSpan w:val="2"/>
            <w:vMerge/>
          </w:tcPr>
          <w:p/>
        </w:tc>
        <w:tc>
          <w:tcPr>
            <w:tcW w:type="dxa" w:w="2307"/>
          </w:tcPr>
          <w:p>
            <w:pPr>
              <w:pStyle w:val="null3"/>
              <w:jc w:val="left"/>
            </w:pPr>
            <w:r>
              <w:rPr/>
              <w:t>项目团队人员中（除项目负责人） (7.0分)</w:t>
            </w:r>
          </w:p>
        </w:tc>
        <w:tc>
          <w:tcPr>
            <w:tcW w:type="dxa" w:w="5076"/>
          </w:tcPr>
          <w:p>
            <w:pPr>
              <w:pStyle w:val="null3"/>
              <w:jc w:val="left"/>
            </w:pPr>
            <w:r>
              <w:rPr/>
              <w:t>项目团队成员中具备气象/地理信息/电子/通信类等专业的每提供1人得1分（1人具有上述多个专业的，不重复计算），其他不得分，最多得7分，无不得分。 备注：提供人员证书复印件和投标截止前6个月内任意一个月投标人为其购买社保的证明材料。</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pPr>
      <w:r>
        <w:rPr>
          <w:sz w:val="24"/>
          <w:b/>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rPr>
        <w:t>项目名称：</w:t>
      </w:r>
    </w:p>
    <w:p>
      <w:pPr>
        <w:pStyle w:val="null3"/>
        <w:ind w:firstLine="632"/>
        <w:jc w:val="both"/>
      </w:pPr>
      <w:r>
        <w:rPr>
          <w:sz w:val="21"/>
          <w:b/>
        </w:rPr>
        <w:t>项目编号：</w:t>
      </w:r>
    </w:p>
    <w:p>
      <w:pPr>
        <w:pStyle w:val="null3"/>
        <w:ind w:firstLine="632"/>
        <w:jc w:val="both"/>
      </w:pPr>
      <w:r>
        <w:rPr>
          <w:sz w:val="21"/>
          <w:b/>
        </w:rPr>
        <w:t>签订日期：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p>
      <w:pPr>
        <w:pStyle w:val="null3"/>
        <w:jc w:val="center"/>
        <w:outlineLvl w:val="0"/>
      </w:pPr>
      <w:r>
        <w:rPr>
          <w:sz w:val="32"/>
          <w:b/>
        </w:rPr>
        <w:t>合同</w:t>
      </w:r>
    </w:p>
    <w:p>
      <w:pPr>
        <w:pStyle w:val="null3"/>
        <w:jc w:val="both"/>
      </w:pPr>
      <w:r>
        <w:rPr>
          <w:sz w:val="21"/>
        </w:rPr>
        <w:t>根据</w:t>
      </w:r>
      <w:r>
        <w:rPr>
          <w:sz w:val="21"/>
          <w:u w:val="single"/>
        </w:rPr>
        <w:t xml:space="preserve">              </w:t>
      </w:r>
      <w:r>
        <w:rPr>
          <w:sz w:val="21"/>
          <w:u w:val="single"/>
        </w:rPr>
        <w:t>项目</w:t>
      </w:r>
      <w:r>
        <w:rPr>
          <w:sz w:val="21"/>
        </w:rPr>
        <w:t>的采购结果，按照《中华人民共和国政府采购法》、《</w:t>
      </w:r>
      <w:r>
        <w:rPr>
          <w:sz w:val="21"/>
        </w:rPr>
        <w:t>中华人民共和国民法典</w:t>
      </w:r>
      <w:r>
        <w:rPr>
          <w:sz w:val="21"/>
        </w:rPr>
        <w:t>》的规定，经双方协商，本着平等互利和诚实信用的原则，一致同意签订本合同如下。</w:t>
      </w:r>
    </w:p>
    <w:p>
      <w:pPr>
        <w:pStyle w:val="null3"/>
        <w:jc w:val="both"/>
      </w:pPr>
      <w:r>
        <w:rPr>
          <w:sz w:val="21"/>
          <w:b/>
        </w:rPr>
        <w:t>一、合同金额</w:t>
      </w:r>
    </w:p>
    <w:p>
      <w:pPr>
        <w:pStyle w:val="null3"/>
        <w:ind w:firstLine="422"/>
        <w:jc w:val="both"/>
      </w:pPr>
      <w:r>
        <w:rPr>
          <w:sz w:val="21"/>
          <w:b/>
        </w:rPr>
        <w:t>合同金额为（大写）：</w:t>
      </w:r>
      <w:r>
        <w:rPr>
          <w:sz w:val="21"/>
          <w:b/>
        </w:rPr>
        <w:t>_________________元（￥_______________元）人民币。</w:t>
      </w:r>
    </w:p>
    <w:p>
      <w:pPr>
        <w:pStyle w:val="null3"/>
        <w:jc w:val="both"/>
      </w:pPr>
      <w:r>
        <w:rPr>
          <w:sz w:val="21"/>
          <w:b/>
        </w:rPr>
        <w:t>二、服务范围</w:t>
      </w:r>
    </w:p>
    <w:p>
      <w:pPr>
        <w:pStyle w:val="null3"/>
        <w:jc w:val="both"/>
      </w:pPr>
      <w:r>
        <w:rPr>
          <w:sz w:val="21"/>
        </w:rPr>
        <w:t>　　甲方聘请乙方提供以下服务：</w:t>
      </w:r>
    </w:p>
    <w:p>
      <w:pPr>
        <w:pStyle w:val="null3"/>
        <w:jc w:val="both"/>
      </w:pPr>
      <w:r>
        <w:rPr>
          <w:sz w:val="21"/>
        </w:rPr>
        <w:t>1．本合同项下的服务指</w:t>
      </w:r>
      <w:r>
        <w:rPr>
          <w:sz w:val="21"/>
          <w:u w:val="single"/>
        </w:rPr>
        <w:t xml:space="preserve">                            </w:t>
      </w:r>
      <w:r>
        <w:rPr>
          <w:sz w:val="21"/>
        </w:rPr>
        <w:t>。</w:t>
      </w:r>
    </w:p>
    <w:p>
      <w:pPr>
        <w:pStyle w:val="null3"/>
        <w:jc w:val="both"/>
      </w:pPr>
      <w:r>
        <w:rPr>
          <w:sz w:val="21"/>
        </w:rPr>
        <w:t>2．......</w:t>
      </w:r>
    </w:p>
    <w:p>
      <w:pPr>
        <w:pStyle w:val="null3"/>
        <w:jc w:val="both"/>
      </w:pPr>
      <w:r>
        <w:rPr>
          <w:sz w:val="21"/>
        </w:rPr>
        <w:t>3．......</w:t>
      </w:r>
    </w:p>
    <w:p>
      <w:pPr>
        <w:pStyle w:val="null3"/>
        <w:jc w:val="both"/>
      </w:pPr>
      <w:r>
        <w:rPr>
          <w:sz w:val="21"/>
          <w:b/>
        </w:rPr>
        <w:t>三、甲方乙方的权利和义务</w:t>
      </w:r>
    </w:p>
    <w:p>
      <w:pPr>
        <w:pStyle w:val="null3"/>
        <w:jc w:val="both"/>
      </w:pPr>
      <w:r>
        <w:rPr>
          <w:sz w:val="21"/>
        </w:rPr>
        <w:t>　　（一）甲方的权利和义务</w:t>
      </w:r>
    </w:p>
    <w:p>
      <w:pPr>
        <w:pStyle w:val="null3"/>
        <w:jc w:val="both"/>
      </w:pPr>
      <w:r>
        <w:rPr>
          <w:sz w:val="21"/>
        </w:rPr>
        <w:t>　　（二）乙方的权利和义务</w:t>
      </w:r>
    </w:p>
    <w:p>
      <w:pPr>
        <w:pStyle w:val="null3"/>
        <w:jc w:val="both"/>
      </w:pPr>
      <w:r>
        <w:rPr>
          <w:sz w:val="21"/>
          <w:b/>
        </w:rPr>
        <w:t>四、服务期间（项目完成期限）</w:t>
      </w:r>
    </w:p>
    <w:p>
      <w:pPr>
        <w:pStyle w:val="null3"/>
        <w:ind w:firstLine="435"/>
        <w:jc w:val="both"/>
      </w:pPr>
      <w:r>
        <w:rPr>
          <w:sz w:val="21"/>
        </w:rPr>
        <w:t>委托服务期间自</w:t>
      </w:r>
      <w:r>
        <w:rPr>
          <w:sz w:val="21"/>
        </w:rPr>
        <w:t>______年______月至______年______月止。</w:t>
      </w:r>
    </w:p>
    <w:p>
      <w:pPr>
        <w:pStyle w:val="null3"/>
        <w:jc w:val="both"/>
      </w:pPr>
      <w:r>
        <w:rPr>
          <w:sz w:val="21"/>
          <w:b/>
        </w:rPr>
        <w:t>五、付款方式</w:t>
      </w:r>
    </w:p>
    <w:p>
      <w:pPr>
        <w:pStyle w:val="null3"/>
        <w:jc w:val="both"/>
      </w:pPr>
      <w:r>
        <w:rPr>
          <w:sz w:val="21"/>
          <w:b/>
        </w:rPr>
        <w:t>六、知识产权产权归属</w:t>
      </w:r>
      <w:r>
        <w:rPr>
          <w:sz w:val="21"/>
          <w:b/>
        </w:rPr>
        <w:t>......</w:t>
      </w:r>
    </w:p>
    <w:p>
      <w:pPr>
        <w:pStyle w:val="null3"/>
        <w:jc w:val="both"/>
      </w:pPr>
      <w:r>
        <w:rPr>
          <w:sz w:val="21"/>
          <w:b/>
        </w:rPr>
        <w:t>七、违约责任与赔偿损失</w:t>
      </w:r>
    </w:p>
    <w:p>
      <w:pPr>
        <w:pStyle w:val="null3"/>
        <w:jc w:val="both"/>
      </w:pPr>
      <w:r>
        <w:rPr>
          <w:sz w:val="21"/>
        </w:rPr>
        <w:t>1)乙方提供的服务不符合采购文件、报价文件或本合同规定的，甲方有权拒收，并且乙方须向甲方方支付本合同总价5%的违约金。</w:t>
      </w:r>
    </w:p>
    <w:p>
      <w:pPr>
        <w:pStyle w:val="null3"/>
        <w:jc w:val="both"/>
      </w:pPr>
      <w:r>
        <w:rPr>
          <w:sz w:val="21"/>
        </w:rPr>
        <w:t>2)乙方未能按本合同规定的交货时间提供服务，从逾期之日起每日按本合同总价3</w:t>
      </w:r>
      <w:r>
        <w:rPr>
          <w:sz w:val="21"/>
        </w:rPr>
        <w:t>‰</w:t>
      </w:r>
      <w:r>
        <w:rPr>
          <w:sz w:val="21"/>
        </w:rPr>
        <w:t>的数额向甲方支付违约金；逾期半个月以上的，甲方有权终止合同，由此造成的甲方经济损失由乙方承担。</w:t>
      </w:r>
    </w:p>
    <w:p>
      <w:pPr>
        <w:pStyle w:val="null3"/>
        <w:jc w:val="both"/>
      </w:pPr>
      <w:r>
        <w:rPr>
          <w:sz w:val="21"/>
        </w:rPr>
        <w:t>3)甲方无正当理由拒收接受服务，到期拒付服务款项的，甲方向乙方偿付本合同总的5%的违约金。甲方人逾期付款，则每日按本合同总价的3</w:t>
      </w:r>
      <w:r>
        <w:rPr>
          <w:sz w:val="21"/>
        </w:rPr>
        <w:t>‰</w:t>
      </w:r>
      <w:r>
        <w:rPr>
          <w:sz w:val="21"/>
        </w:rPr>
        <w:t>向乙方偿付违约金。</w:t>
      </w:r>
    </w:p>
    <w:p>
      <w:pPr>
        <w:pStyle w:val="null3"/>
        <w:jc w:val="both"/>
      </w:pPr>
      <w:r>
        <w:rPr>
          <w:sz w:val="21"/>
        </w:rPr>
        <w:t>4)其它违约责任按《中华人民共和国民法典》处理。</w:t>
      </w:r>
    </w:p>
    <w:p>
      <w:pPr>
        <w:pStyle w:val="null3"/>
        <w:jc w:val="both"/>
      </w:pPr>
      <w:r>
        <w:rPr>
          <w:sz w:val="21"/>
          <w:b/>
        </w:rPr>
        <w:t>八、争端的解决</w:t>
      </w:r>
    </w:p>
    <w:p>
      <w:pPr>
        <w:pStyle w:val="null3"/>
        <w:jc w:val="both"/>
      </w:pPr>
      <w:r>
        <w:rPr>
          <w:sz w:val="21"/>
        </w:rPr>
        <w:t>1)合同执行过程中发生的任何争议，如双方不能通过友好协商解决，按相关法律法规处理。</w:t>
      </w:r>
    </w:p>
    <w:p>
      <w:pPr>
        <w:pStyle w:val="null3"/>
        <w:jc w:val="both"/>
      </w:pPr>
      <w:r>
        <w:rPr>
          <w:sz w:val="21"/>
          <w:b/>
        </w:rPr>
        <w:t>九、不可抗力：</w:t>
      </w: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rPr>
        <w:t>十、税费：</w:t>
      </w:r>
      <w:r>
        <w:rPr>
          <w:sz w:val="21"/>
        </w:rPr>
        <w:t>在中国境内、外发生的与本合同执行有关的一切税费均由乙方负担。</w:t>
      </w:r>
    </w:p>
    <w:p>
      <w:pPr>
        <w:pStyle w:val="null3"/>
        <w:jc w:val="both"/>
      </w:pPr>
      <w:r>
        <w:rPr>
          <w:sz w:val="21"/>
          <w:b/>
        </w:rPr>
        <w:t>十一、其它</w:t>
      </w:r>
    </w:p>
    <w:p>
      <w:pPr>
        <w:pStyle w:val="null3"/>
        <w:jc w:val="both"/>
      </w:pPr>
      <w:r>
        <w:rPr>
          <w:sz w:val="21"/>
        </w:rPr>
        <w:t>1)本合同所有附件、采购文件、投标文件、中标</w:t>
      </w:r>
      <w:r>
        <w:rPr>
          <w:sz w:val="21"/>
        </w:rPr>
        <w:t>通知书</w:t>
      </w:r>
      <w:r>
        <w:rPr>
          <w:sz w:val="21"/>
        </w:rPr>
        <w:t>均为合同的有效组成部分，与本合同具有同等法律效力。</w:t>
      </w:r>
    </w:p>
    <w:p>
      <w:pPr>
        <w:pStyle w:val="null3"/>
        <w:jc w:val="both"/>
      </w:pPr>
      <w:r>
        <w:rPr>
          <w:sz w:val="21"/>
        </w:rPr>
        <w:t>2)在执行本合同的过程中，所有经双方签署确认的文件（包括会议纪要、补充协议、往来信函）即成为本合同的有效组成部分。</w:t>
      </w:r>
    </w:p>
    <w:p>
      <w:pPr>
        <w:pStyle w:val="null3"/>
        <w:jc w:val="both"/>
      </w:pPr>
      <w:r>
        <w:rPr>
          <w:sz w:val="21"/>
        </w:rPr>
        <w:t>3)如一方地址、电话、传真号码有变更，应在变更当日内书面通知对方，否则，应承担相应责任。</w:t>
      </w:r>
    </w:p>
    <w:p>
      <w:pPr>
        <w:pStyle w:val="null3"/>
        <w:jc w:val="both"/>
      </w:pPr>
      <w:r>
        <w:rPr>
          <w:sz w:val="21"/>
        </w:rPr>
        <w:t>4)除甲方事先书面同意外，乙方不得部分或全部转让其应履行的合同项下的义务。</w:t>
      </w:r>
    </w:p>
    <w:p>
      <w:pPr>
        <w:pStyle w:val="null3"/>
        <w:jc w:val="both"/>
      </w:pPr>
      <w:r>
        <w:rPr>
          <w:sz w:val="21"/>
          <w:b/>
        </w:rPr>
        <w:t>十二、合同生效：</w:t>
      </w:r>
    </w:p>
    <w:p>
      <w:pPr>
        <w:pStyle w:val="null3"/>
        <w:jc w:val="both"/>
      </w:pPr>
      <w:r>
        <w:rPr>
          <w:sz w:val="21"/>
        </w:rPr>
        <w:t>1）本合同在甲乙双方法人代表或其授权代表签字盖章后生效。</w:t>
      </w:r>
    </w:p>
    <w:p>
      <w:pPr>
        <w:pStyle w:val="null3"/>
        <w:jc w:val="both"/>
      </w:pPr>
      <w:r>
        <w:rPr>
          <w:sz w:val="21"/>
        </w:rPr>
        <w:t>2）合同一式</w:t>
      </w:r>
      <w:r>
        <w:rPr>
          <w:sz w:val="21"/>
          <w:u w:val="single"/>
        </w:rPr>
        <w:t xml:space="preserve">    </w:t>
      </w:r>
      <w:r>
        <w:rPr>
          <w:sz w:val="21"/>
        </w:rPr>
        <w:t>份。</w:t>
      </w:r>
    </w:p>
    <w:p>
      <w:pPr>
        <w:pStyle w:val="null3"/>
        <w:jc w:val="both"/>
      </w:pPr>
      <w:r>
        <w:rPr>
          <w:sz w:val="21"/>
          <w:b/>
        </w:rPr>
        <w:t>甲方（盖章）：</w:t>
      </w:r>
      <w:r>
        <w:rPr>
          <w:sz w:val="21"/>
          <w:b/>
        </w:rPr>
        <w:t xml:space="preserve">                  </w:t>
      </w:r>
      <w:r>
        <w:rPr>
          <w:sz w:val="21"/>
          <w:b/>
        </w:rPr>
        <w:t>乙方（盖章）：</w:t>
      </w:r>
    </w:p>
    <w:p>
      <w:pPr>
        <w:pStyle w:val="null3"/>
        <w:jc w:val="both"/>
      </w:pPr>
      <w:r>
        <w:rPr>
          <w:sz w:val="21"/>
          <w:b/>
        </w:rPr>
        <w:t>代表：</w:t>
      </w:r>
      <w:r>
        <w:rPr>
          <w:sz w:val="21"/>
          <w:b/>
        </w:rPr>
        <w:t xml:space="preserve">                                </w:t>
      </w:r>
      <w:r>
        <w:rPr>
          <w:sz w:val="21"/>
          <w:b/>
        </w:rPr>
        <w:t>代表：</w:t>
      </w:r>
    </w:p>
    <w:p>
      <w:pPr>
        <w:pStyle w:val="null3"/>
        <w:jc w:val="both"/>
      </w:pPr>
      <w:r>
        <w:rPr>
          <w:sz w:val="21"/>
        </w:rPr>
        <w:t>签定地点：</w:t>
      </w:r>
    </w:p>
    <w:p>
      <w:pPr>
        <w:pStyle w:val="null3"/>
        <w:jc w:val="both"/>
      </w:pPr>
      <w:r>
        <w:rPr>
          <w:sz w:val="21"/>
        </w:rPr>
        <w:t>签定日期：</w:t>
      </w:r>
      <w:r>
        <w:rPr>
          <w:sz w:val="21"/>
        </w:rPr>
        <w:t>年 月</w:t>
      </w:r>
      <w:r>
        <w:rPr>
          <w:sz w:val="21"/>
        </w:rPr>
        <w:t>日</w:t>
      </w:r>
      <w:r>
        <w:rPr>
          <w:sz w:val="21"/>
        </w:rPr>
        <w:t xml:space="preserve">            </w:t>
      </w:r>
      <w:r>
        <w:rPr>
          <w:sz w:val="21"/>
        </w:rPr>
        <w:t>签定日期：</w:t>
      </w:r>
      <w:r>
        <w:rPr>
          <w:sz w:val="21"/>
        </w:rPr>
        <w:t>年月</w:t>
      </w:r>
      <w:r>
        <w:rPr>
          <w:sz w:val="21"/>
        </w:rPr>
        <w:t>日</w:t>
      </w:r>
      <w:r>
        <w:rPr>
          <w:sz w:val="21"/>
        </w:rPr>
        <w:t xml:space="preserve">  </w:t>
      </w:r>
    </w:p>
    <w:p>
      <w:pPr>
        <w:pStyle w:val="null3"/>
        <w:jc w:val="both"/>
      </w:pPr>
      <w:r>
        <w:rPr>
          <w:sz w:val="21"/>
        </w:rPr>
        <w:t xml:space="preserve">                                          </w:t>
      </w:r>
      <w:r>
        <w:rPr>
          <w:sz w:val="21"/>
        </w:rPr>
        <w:t>开户名称：</w:t>
      </w:r>
    </w:p>
    <w:p>
      <w:pPr>
        <w:pStyle w:val="null3"/>
        <w:jc w:val="both"/>
      </w:pPr>
      <w:r>
        <w:rPr>
          <w:sz w:val="21"/>
        </w:rPr>
        <w:t xml:space="preserve">                                          </w:t>
      </w:r>
      <w:r>
        <w:rPr>
          <w:sz w:val="21"/>
        </w:rPr>
        <w:t>银行账号</w:t>
      </w:r>
      <w:r>
        <w:rPr>
          <w:sz w:val="21"/>
        </w:rPr>
        <w:t>：</w:t>
      </w:r>
    </w:p>
    <w:p>
      <w:pPr>
        <w:pStyle w:val="null3"/>
        <w:jc w:val="both"/>
      </w:pPr>
      <w:r>
        <w:rPr>
          <w:sz w:val="21"/>
        </w:rPr>
        <w:t xml:space="preserve">                                          </w:t>
      </w:r>
      <w:r>
        <w:rPr>
          <w:sz w:val="21"/>
        </w:rPr>
        <w:t>开户行：</w:t>
      </w:r>
    </w:p>
    <w:p>
      <w:pPr>
        <w:pStyle w:val="null3"/>
        <w:jc w:val="both"/>
      </w:pPr>
      <w:r>
        <w:rPr>
          <w:sz w:val="21"/>
        </w:rPr>
        <w:t xml:space="preserve"> </w:t>
      </w:r>
    </w:p>
    <w:p>
      <w:pPr>
        <w:pStyle w:val="null3"/>
        <w:jc w:val="both"/>
      </w:pPr>
      <w:r>
        <w:rPr/>
        <w:t xml:space="preserve"> </w:t>
      </w:r>
    </w:p>
    <w:p>
      <w:pPr>
        <w:pStyle w:val="null3"/>
        <w:jc w:val="both"/>
      </w:pPr>
      <w:r>
        <w:rPr/>
        <w:t xml:space="preserve"> </w:t>
      </w:r>
    </w:p>
    <w:p>
      <w:pPr>
        <w:pStyle w:val="null3"/>
        <w:jc w:val="both"/>
      </w:pPr>
      <w:r>
        <w:rPr/>
        <w:t xml:space="preserve"> </w:t>
      </w:r>
    </w:p>
    <w:p>
      <w:pPr>
        <w:pStyle w:val="null3"/>
        <w:jc w:val="both"/>
      </w:pPr>
      <w:r>
        <w:rPr>
          <w:sz w:val="21"/>
        </w:rPr>
        <w:t>合同附件：保密与网络安全协议</w:t>
      </w:r>
    </w:p>
    <w:p>
      <w:pPr>
        <w:pStyle w:val="null3"/>
        <w:jc w:val="center"/>
      </w:pPr>
      <w:r>
        <w:rPr>
          <w:sz w:val="21"/>
        </w:rPr>
        <w:t>保密与网络安全协议</w:t>
      </w:r>
    </w:p>
    <w:p>
      <w:pPr>
        <w:pStyle w:val="null3"/>
        <w:jc w:val="both"/>
      </w:pPr>
      <w:r>
        <w:rPr>
          <w:sz w:val="21"/>
        </w:rPr>
        <w:t>甲方：</w:t>
      </w:r>
    </w:p>
    <w:p>
      <w:pPr>
        <w:pStyle w:val="null3"/>
        <w:jc w:val="both"/>
      </w:pPr>
      <w:r>
        <w:rPr>
          <w:sz w:val="21"/>
        </w:rPr>
        <w:t>乙方：</w:t>
      </w:r>
    </w:p>
    <w:p>
      <w:pPr>
        <w:pStyle w:val="null3"/>
        <w:jc w:val="both"/>
      </w:pPr>
      <w:r>
        <w:rPr>
          <w:sz w:val="21"/>
        </w:rPr>
        <w:t>鉴于：</w:t>
      </w:r>
    </w:p>
    <w:p>
      <w:pPr>
        <w:pStyle w:val="null3"/>
        <w:jc w:val="both"/>
      </w:pPr>
      <w:r>
        <w:rPr>
          <w:sz w:val="21"/>
        </w:rPr>
        <w:t>1.甲方是乙方提供服务的实际需求方；甲方接受乙方正在进行的</w:t>
      </w:r>
      <w:r>
        <w:rPr>
          <w:sz w:val="21"/>
          <w:u w:val="single"/>
        </w:rPr>
        <w:t xml:space="preserve">        </w:t>
      </w:r>
      <w:r>
        <w:rPr>
          <w:sz w:val="21"/>
        </w:rPr>
        <w:t>的服务。（以下简称</w:t>
      </w:r>
      <w:r>
        <w:rPr>
          <w:sz w:val="21"/>
        </w:rPr>
        <w:t>“</w:t>
      </w:r>
      <w:r>
        <w:rPr>
          <w:sz w:val="21"/>
        </w:rPr>
        <w:t>项目</w:t>
      </w:r>
      <w:r>
        <w:rPr>
          <w:sz w:val="21"/>
        </w:rPr>
        <w:t>”</w:t>
      </w:r>
      <w:r>
        <w:rPr>
          <w:sz w:val="21"/>
        </w:rPr>
        <w:t>）；</w:t>
      </w:r>
    </w:p>
    <w:p>
      <w:pPr>
        <w:pStyle w:val="null3"/>
        <w:jc w:val="both"/>
      </w:pPr>
      <w:r>
        <w:rPr>
          <w:sz w:val="21"/>
        </w:rPr>
        <w:t>2.乙方为该项目提供</w:t>
      </w:r>
      <w:r>
        <w:rPr>
          <w:sz w:val="21"/>
          <w:u w:val="single"/>
        </w:rPr>
        <w:t xml:space="preserve">                </w:t>
      </w:r>
      <w:r>
        <w:rPr>
          <w:sz w:val="21"/>
        </w:rPr>
        <w:t>等服务（以下简称</w:t>
      </w:r>
      <w:r>
        <w:rPr>
          <w:sz w:val="21"/>
        </w:rPr>
        <w:t>“</w:t>
      </w:r>
      <w:r>
        <w:rPr>
          <w:sz w:val="21"/>
        </w:rPr>
        <w:t>合作</w:t>
      </w:r>
      <w:r>
        <w:rPr>
          <w:sz w:val="21"/>
        </w:rPr>
        <w:t>”</w:t>
      </w:r>
      <w:r>
        <w:rPr>
          <w:sz w:val="21"/>
        </w:rPr>
        <w:t>）；</w:t>
      </w:r>
    </w:p>
    <w:p>
      <w:pPr>
        <w:pStyle w:val="null3"/>
        <w:jc w:val="both"/>
      </w:pPr>
      <w:r>
        <w:rPr>
          <w:sz w:val="21"/>
        </w:rPr>
        <w:t>3.甲乙双方就该项目合作过程中，乙方为甲方提供服务，甲方在工作过程中向乙方提供有关保密信息，且该保密信息属甲方合法所有，乙方及乙方人员承诺付保密义务；</w:t>
      </w:r>
    </w:p>
    <w:p>
      <w:pPr>
        <w:pStyle w:val="null3"/>
        <w:jc w:val="both"/>
      </w:pPr>
      <w:r>
        <w:rPr>
          <w:sz w:val="21"/>
        </w:rPr>
        <w:t>4.乙方确保在此项目中获取的甲方相关信息（包括但不限于业务系统数据信息、单位及个人隐私信息、相关程序源代码等）仅用于与合作有关的用途和目的。未经甲方书面同意，乙方不得存储、使用、传播、公开此次合作所获取的甲方相关信息。经双方协商，达成本协议。</w:t>
      </w:r>
    </w:p>
    <w:p>
      <w:pPr>
        <w:pStyle w:val="null3"/>
        <w:jc w:val="both"/>
      </w:pPr>
      <w:r>
        <w:rPr>
          <w:sz w:val="21"/>
        </w:rPr>
        <w:t>4.1.本协议所指保密信息是指：</w:t>
      </w:r>
    </w:p>
    <w:p>
      <w:pPr>
        <w:pStyle w:val="null3"/>
        <w:jc w:val="both"/>
      </w:pPr>
      <w:r>
        <w:rPr>
          <w:sz w:val="21"/>
        </w:rPr>
        <w:t>4.1.1.在合作过程中，乙方接触到的相关内容，与合作有关或因合作产生的任何商业、技术、运营数据或其他性质的资料，包括但不限于数据信息及相关程序源代码，</w:t>
      </w:r>
    </w:p>
    <w:p>
      <w:pPr>
        <w:pStyle w:val="null3"/>
        <w:jc w:val="both"/>
      </w:pPr>
      <w:r>
        <w:rPr>
          <w:sz w:val="21"/>
        </w:rPr>
        <w:t>4.1.2.无论以何种形式或载于何种载体，无论在披露时是否以口头、图像或以书面等方式表明其具有保密性。</w:t>
      </w:r>
    </w:p>
    <w:p>
      <w:pPr>
        <w:pStyle w:val="null3"/>
        <w:jc w:val="both"/>
      </w:pPr>
      <w:r>
        <w:rPr>
          <w:sz w:val="21"/>
        </w:rPr>
        <w:t>4.2.上述保密信息可以以数据、文字及记载上述内容的资料、光盘、软件、图书等有形媒介体现，也可通过口头等视听形式传递。</w:t>
      </w:r>
    </w:p>
    <w:p>
      <w:pPr>
        <w:pStyle w:val="null3"/>
        <w:jc w:val="both"/>
      </w:pPr>
      <w:r>
        <w:rPr>
          <w:sz w:val="21"/>
        </w:rPr>
        <w:t>5.甲乙双方履行合同期间，需要遵守但不限于如下保密要求；</w:t>
      </w:r>
    </w:p>
    <w:p>
      <w:pPr>
        <w:pStyle w:val="null3"/>
        <w:jc w:val="both"/>
      </w:pPr>
      <w:r>
        <w:rPr>
          <w:sz w:val="21"/>
        </w:rPr>
        <w:t>5.1.乙方及乙方工作人员不得将接触到的相关内容（包括但不限于甲方业务系统数据信息、单位及个人隐私信息、相关程序源代码等）泄露给他人，不得翻阅与工作无关的文件和资料，不得从事其它与协议无关的工作。</w:t>
      </w:r>
    </w:p>
    <w:p>
      <w:pPr>
        <w:pStyle w:val="null3"/>
        <w:jc w:val="both"/>
      </w:pPr>
      <w:r>
        <w:rPr>
          <w:sz w:val="21"/>
        </w:rPr>
        <w:t>5.2.乙方及乙方工作人员不得擅自记录、复制、拍摄、摘抄、收藏在工作中涉及的秘密和敏感信息，包括系统数据、第三方代码、接口等，不得将工作中涉及的相关项目技术方案及实施规划透露给他人。</w:t>
      </w:r>
    </w:p>
    <w:p>
      <w:pPr>
        <w:pStyle w:val="null3"/>
        <w:jc w:val="both"/>
      </w:pPr>
      <w:r>
        <w:rPr>
          <w:sz w:val="21"/>
        </w:rPr>
        <w:t>5.3.乙方及乙方工作人员不得将在工作中获得的相关信息透露给他人，严禁私自下载、拷贝计算机内数据信息，不得擅自携带记载工作内容的硬盘、U盘和打印资料外出，严禁将系统的程序、口令、密钥等泄露给他人。</w:t>
      </w:r>
    </w:p>
    <w:p>
      <w:pPr>
        <w:pStyle w:val="null3"/>
        <w:jc w:val="both"/>
      </w:pPr>
      <w:r>
        <w:rPr>
          <w:sz w:val="21"/>
        </w:rPr>
        <w:t>5.4.乙方对其参与本项目的员工定期组织保密制度培训，并与其工作人员签订与本协议相同内容的保密协议，确保有关人员遵守本协议。乙方应将参与本项目员工的有关资料（如：身份证复印件、职称证明、项目经验等）给甲方，如需更换员工需事先征得甲方同意并提交相应的资料。</w:t>
      </w:r>
    </w:p>
    <w:p>
      <w:pPr>
        <w:pStyle w:val="null3"/>
        <w:jc w:val="both"/>
      </w:pPr>
      <w:r>
        <w:rPr>
          <w:sz w:val="21"/>
        </w:rPr>
        <w:t>6.上述限制条款不适用于以下情况：</w:t>
      </w:r>
    </w:p>
    <w:p>
      <w:pPr>
        <w:pStyle w:val="null3"/>
        <w:jc w:val="both"/>
      </w:pPr>
      <w:r>
        <w:rPr>
          <w:sz w:val="21"/>
        </w:rPr>
        <w:t>6.1.在签署本协议之时或之前，保密信息已以合法方式属接受方所有；</w:t>
      </w:r>
    </w:p>
    <w:p>
      <w:pPr>
        <w:pStyle w:val="null3"/>
        <w:jc w:val="both"/>
      </w:pPr>
      <w:r>
        <w:rPr>
          <w:sz w:val="21"/>
        </w:rPr>
        <w:t>6.2.保密信息在通知给接受方时，已经公开或能从公开领域获得；</w:t>
      </w:r>
    </w:p>
    <w:p>
      <w:pPr>
        <w:pStyle w:val="null3"/>
        <w:jc w:val="both"/>
      </w:pPr>
      <w:r>
        <w:rPr>
          <w:sz w:val="21"/>
        </w:rPr>
        <w:t>6.3.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pStyle w:val="null3"/>
        <w:jc w:val="both"/>
      </w:pPr>
      <w:r>
        <w:rPr>
          <w:sz w:val="21"/>
        </w:rPr>
        <w:t>6.4.双方均不保证保密信息的精确性与合理性。</w:t>
      </w:r>
    </w:p>
    <w:p>
      <w:pPr>
        <w:pStyle w:val="null3"/>
        <w:jc w:val="both"/>
      </w:pPr>
      <w:r>
        <w:rPr>
          <w:sz w:val="21"/>
        </w:rPr>
        <w:t>6.5.保密信息披露方提供的保密信息，如涉及侵犯第三方知识产权的情况，接受方不对此侵权行为负责，且免于由此产生的索赔。</w:t>
      </w:r>
    </w:p>
    <w:p>
      <w:pPr>
        <w:pStyle w:val="null3"/>
        <w:jc w:val="both"/>
      </w:pPr>
      <w:r>
        <w:rPr>
          <w:sz w:val="21"/>
        </w:rPr>
        <w:t>7.甲乙双方履行合同期间，需要遵守但不限于如下网络安全要求；</w:t>
      </w:r>
    </w:p>
    <w:p>
      <w:pPr>
        <w:pStyle w:val="null3"/>
        <w:jc w:val="both"/>
      </w:pPr>
      <w:r>
        <w:rPr>
          <w:sz w:val="21"/>
        </w:rPr>
        <w:t>7.1.乙方须对甲方涉及到网络安全的工作提供积极的配合与协助，使甲方的工作能够顺利地进行。</w:t>
      </w:r>
    </w:p>
    <w:p>
      <w:pPr>
        <w:pStyle w:val="null3"/>
        <w:jc w:val="both"/>
      </w:pPr>
      <w:r>
        <w:rPr>
          <w:sz w:val="21"/>
        </w:rPr>
        <w:t>7.2.乙方有义务保障相关信息系统安全稳定运行。</w:t>
      </w:r>
    </w:p>
    <w:p>
      <w:pPr>
        <w:pStyle w:val="null3"/>
        <w:jc w:val="both"/>
      </w:pPr>
      <w:r>
        <w:rPr>
          <w:sz w:val="21"/>
        </w:rPr>
        <w:t>7.3.甲方有权要求乙方提供项目相关的技术资料。</w:t>
      </w:r>
    </w:p>
    <w:p>
      <w:pPr>
        <w:pStyle w:val="null3"/>
        <w:jc w:val="both"/>
      </w:pPr>
      <w:r>
        <w:rPr>
          <w:sz w:val="21"/>
        </w:rPr>
        <w:t>7.4.乙方应向甲方提供与网络安全服务、系统运行管理所需的系统资料，如因乙方原因导致项目应急措施延迟或停顿，造成不良影响的，由乙方承担责任。</w:t>
      </w:r>
    </w:p>
    <w:p>
      <w:pPr>
        <w:pStyle w:val="null3"/>
        <w:jc w:val="both"/>
      </w:pPr>
      <w:r>
        <w:rPr>
          <w:sz w:val="21"/>
        </w:rPr>
        <w:t>7.5.乙方应在启动服务前认真填写乙方资料，向甲方通报其信息系统结构、功能和用途、执行本合同的联系人、信息安全负责人和所有管理甲方网络、设备和服务的人员名单和联系方式，并在上述信息发生变化时及时书面通知甲方。因乙方上述人员（包括已经离开乙方的原雇员）的行为而产生的后果均由乙方承担。</w:t>
      </w:r>
    </w:p>
    <w:p>
      <w:pPr>
        <w:pStyle w:val="null3"/>
        <w:jc w:val="both"/>
      </w:pPr>
      <w:r>
        <w:rPr>
          <w:sz w:val="21"/>
        </w:rPr>
        <w:t>7.6.乙方保证向甲方所提供的信息是真实、准确、完整的，没有任何引人误解的陈述，并且具有承担本协议中相关权利义务的能力和资格。</w:t>
      </w:r>
    </w:p>
    <w:p>
      <w:pPr>
        <w:pStyle w:val="null3"/>
        <w:jc w:val="both"/>
      </w:pPr>
      <w:r>
        <w:rPr>
          <w:sz w:val="21"/>
        </w:rPr>
        <w:t>7.7.乙方必须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乙方对其违反上述规定而引起的任何政治责任、法律责任和给甲方造成的经济损失承担全部责任。乙方违反本条款的，甲方有权终止合作，且要求退回全部已支付款项。</w:t>
      </w:r>
    </w:p>
    <w:p>
      <w:pPr>
        <w:pStyle w:val="null3"/>
        <w:jc w:val="both"/>
      </w:pPr>
      <w:r>
        <w:rPr>
          <w:sz w:val="21"/>
        </w:rPr>
        <w:t>7.8.乙方须遵守甲方的安全管理规定，服务器应安装防病毒软件，定期更新补丁，设置复杂的管理员密码，进行必要的系统安全加固。</w:t>
      </w:r>
    </w:p>
    <w:p>
      <w:pPr>
        <w:pStyle w:val="null3"/>
        <w:jc w:val="both"/>
      </w:pPr>
      <w:r>
        <w:rPr>
          <w:sz w:val="21"/>
        </w:rPr>
        <w:t>7.9.乙方如果在服务器上安装软件，所需要的软件版权/许可/使用权由乙方自行解决，乙方应当遵守知识产权保护的相关法律制度。</w:t>
      </w:r>
    </w:p>
    <w:p>
      <w:pPr>
        <w:pStyle w:val="null3"/>
        <w:jc w:val="both"/>
      </w:pPr>
      <w:r>
        <w:rPr>
          <w:sz w:val="21"/>
        </w:rPr>
        <w:t>7.10.乙方不得进行危害网络安全的行为。乙方违反本条款的，甲方有权终止合作，且要求退回全部已支付款项。</w:t>
      </w:r>
    </w:p>
    <w:p>
      <w:pPr>
        <w:pStyle w:val="null3"/>
        <w:jc w:val="both"/>
      </w:pPr>
      <w:r>
        <w:rPr>
          <w:sz w:val="21"/>
        </w:rPr>
        <w:t>7.11.如果甲方利用本协议进行经营活动需要获得国家有关部门的认可或批准的，甲方应获得该有关的认可或批准；如果甲方利用乙方服务开办多个网站的，须保证所有网站均获得国家有关部门的认可或批准。但乙方没有义务审查甲方是否具有前述认可或批准，出现问题也由甲方自行解决或者承担相关责任，与乙方无关。甲方违反本条款的，乙方有权终止合作，且不退还任何已交付款项。</w:t>
      </w:r>
    </w:p>
    <w:p>
      <w:pPr>
        <w:pStyle w:val="null3"/>
        <w:jc w:val="both"/>
      </w:pPr>
      <w:r>
        <w:rPr>
          <w:sz w:val="21"/>
        </w:rPr>
        <w:t>7.12.甲方对存放在服务器上的数据、以及管理服务器的口令、密码的完整性和保密性负责。因甲方维护不当或保密不当致使上述数据、口令、密码等丢失或泄漏所引起的一切损失和后果均由甲方承担。</w:t>
      </w:r>
    </w:p>
    <w:p>
      <w:pPr>
        <w:pStyle w:val="null3"/>
        <w:jc w:val="both"/>
      </w:pPr>
      <w:r>
        <w:rPr>
          <w:sz w:val="21"/>
        </w:rPr>
        <w:t>7.13.系统上线运行前，应由乙方和甲方指定的信息安全测评机构一起进行安全检查测评，通过检查测评后才可上线正式运行。</w:t>
      </w:r>
    </w:p>
    <w:p>
      <w:pPr>
        <w:pStyle w:val="null3"/>
        <w:jc w:val="both"/>
      </w:pPr>
      <w:r>
        <w:rPr>
          <w:sz w:val="21"/>
        </w:rPr>
        <w:t>7.14.发生重大信息安全事件时，乙方有义务协助甲方进行安全事件的处理。如因乙方的不配合而导致出现的任何责任和损失，均由乙方承担。</w:t>
      </w:r>
    </w:p>
    <w:p>
      <w:pPr>
        <w:pStyle w:val="null3"/>
        <w:jc w:val="both"/>
      </w:pPr>
      <w:r>
        <w:rPr>
          <w:sz w:val="21"/>
        </w:rPr>
        <w:t>7.15.乙方负责自己开发和部署的应用系统的安全，对应用系统的操作、更新、配置的安全和可靠性负责，并承担自身数据安全、客户端安全等的相关责任。</w:t>
      </w:r>
    </w:p>
    <w:p>
      <w:pPr>
        <w:pStyle w:val="null3"/>
        <w:jc w:val="both"/>
      </w:pPr>
      <w:r>
        <w:rPr>
          <w:sz w:val="21"/>
        </w:rPr>
        <w:t>7.16.乙方有义务制定相关系统应急预案，并将应急预案纳入甲方的事件响应计划中。</w:t>
      </w:r>
    </w:p>
    <w:p>
      <w:pPr>
        <w:pStyle w:val="null3"/>
        <w:jc w:val="both"/>
      </w:pPr>
      <w:r>
        <w:rPr>
          <w:sz w:val="21"/>
        </w:rPr>
        <w:t>7.17.安全管理责任由甲方负责，甲方应加强安全管理，持续监督方式乙方严格履行安全责任和义务。</w:t>
      </w:r>
    </w:p>
    <w:p>
      <w:pPr>
        <w:pStyle w:val="null3"/>
        <w:jc w:val="both"/>
      </w:pPr>
      <w:r>
        <w:rPr>
          <w:sz w:val="21"/>
        </w:rPr>
        <w:t>7.18.甲方提供给乙方的数据、设备等资源，以及业务系统运行过程中收集、产生、存储的数据和文档等资源属甲方所有。未经甲方授权，乙方不得访问、修改、披露、利用、转让、销毁甲方数据。</w:t>
      </w:r>
    </w:p>
    <w:p>
      <w:pPr>
        <w:pStyle w:val="null3"/>
        <w:jc w:val="both"/>
      </w:pPr>
      <w:r>
        <w:rPr>
          <w:sz w:val="21"/>
        </w:rPr>
        <w:t>7.19.甲方有义务监督乙方严格遵守网络安全政策规定、信息安全等级保护要求、技术标准，落实安全管理和防护措施等工作。</w:t>
      </w:r>
    </w:p>
    <w:p>
      <w:pPr>
        <w:pStyle w:val="null3"/>
        <w:jc w:val="both"/>
      </w:pPr>
      <w:r>
        <w:rPr>
          <w:sz w:val="21"/>
        </w:rPr>
        <w:t>7.20.甲方需同意并书面授权乙方进入甲方机房或系统的运维人员，如乙方变更被授权人的，须及时书面通知甲方，否则甲方根据原授权同意有关人员进入机房或系统而产生的不利后果，由乙方承担。甲方同意，如因情况紧急，甲方授权人员可以要求乙方人员进入机房或系统对其进行操作。乙方人员在甲方（含甲方授权人员）授权之下进行的操作对甲方系统所产生任何影响的，乙方不承担任何责任。</w:t>
      </w:r>
    </w:p>
    <w:p>
      <w:pPr>
        <w:pStyle w:val="null3"/>
        <w:jc w:val="both"/>
      </w:pPr>
      <w:r>
        <w:rPr>
          <w:sz w:val="21"/>
        </w:rPr>
        <w:t>7.21.甲方有义务加强对乙方进行信息安全教育和监管；如需乙方工程师在甲方授权下正确执行或操作甲方系统的安全功能、措施和机制，甲方有责任提供相关的培训。</w:t>
      </w:r>
    </w:p>
    <w:p>
      <w:pPr>
        <w:pStyle w:val="null3"/>
        <w:jc w:val="both"/>
      </w:pPr>
      <w:r>
        <w:rPr>
          <w:sz w:val="21"/>
        </w:rPr>
        <w:t>7.22.乙方需协助甲方通过涉及本合同系统的信息安全等级保护测评及整改，乙方为整改系统所产生费用全部已经包含在本合同中，甲方不需要额外支付。</w:t>
      </w:r>
    </w:p>
    <w:p>
      <w:pPr>
        <w:pStyle w:val="null3"/>
        <w:jc w:val="both"/>
      </w:pPr>
      <w:r>
        <w:rPr>
          <w:sz w:val="21"/>
        </w:rPr>
        <w:t>8.违约责任：</w:t>
      </w:r>
    </w:p>
    <w:p>
      <w:pPr>
        <w:pStyle w:val="null3"/>
        <w:jc w:val="both"/>
      </w:pPr>
      <w:r>
        <w:rPr>
          <w:sz w:val="21"/>
        </w:rPr>
        <w:t>乙方对在履行本协议过程中所接触的工作秘密（包括但不限于协议履行过程中涉及的数据、源代码、技术文档、商业秘密、任何技术性资料、以及甲方为完成本协议提供的任何其他信息资料并且在提供时未说明是公开信息的）承担保密义务。未经甲方书面许可，乙方（包括但不限于乙方员工、代理人、顾问等）不得将从甲方获取的一切资料和信息拿到本协议范围之外使用，否则全部收益归甲方所有，乙方支付已签订资源合同</w:t>
      </w:r>
      <w:r>
        <w:rPr>
          <w:sz w:val="21"/>
        </w:rPr>
        <w:t>30%作为违约金，并另行赔偿甲方因此遭受的全部损失。</w:t>
      </w:r>
    </w:p>
    <w:p>
      <w:pPr>
        <w:pStyle w:val="null3"/>
        <w:jc w:val="both"/>
      </w:pPr>
      <w:r>
        <w:rPr>
          <w:sz w:val="21"/>
        </w:rPr>
        <w:t>9.免责条款：</w:t>
      </w:r>
    </w:p>
    <w:p>
      <w:pPr>
        <w:pStyle w:val="null3"/>
        <w:jc w:val="both"/>
      </w:pPr>
      <w:r>
        <w:rPr>
          <w:sz w:val="21"/>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null3"/>
        <w:jc w:val="both"/>
      </w:pPr>
      <w:r>
        <w:rPr>
          <w:sz w:val="21"/>
        </w:rPr>
        <w:t>10.本协议有效期自主合同</w:t>
      </w:r>
      <w:r>
        <w:rPr>
          <w:sz w:val="21"/>
          <w:u w:val="single"/>
        </w:rPr>
        <w:t xml:space="preserve">           </w:t>
      </w:r>
      <w:r>
        <w:rPr>
          <w:sz w:val="21"/>
        </w:rPr>
        <w:t>签订之日起，至服务期限届满后三年截止。</w:t>
      </w:r>
    </w:p>
    <w:p>
      <w:pPr>
        <w:pStyle w:val="null3"/>
        <w:jc w:val="both"/>
      </w:pPr>
      <w:r>
        <w:rPr>
          <w:sz w:val="21"/>
        </w:rPr>
        <w:t>无论本合同是否切实得到履行或因任何原因变更、解除、终止、失效等，本条款均始终有效。</w:t>
      </w:r>
    </w:p>
    <w:p>
      <w:pPr>
        <w:pStyle w:val="null3"/>
        <w:jc w:val="both"/>
      </w:pPr>
      <w:r>
        <w:rPr>
          <w:sz w:val="21"/>
        </w:rPr>
        <w:t>11.争议的解决：</w:t>
      </w:r>
    </w:p>
    <w:p>
      <w:pPr>
        <w:pStyle w:val="null3"/>
        <w:jc w:val="both"/>
      </w:pPr>
      <w:r>
        <w:rPr>
          <w:sz w:val="21"/>
        </w:rPr>
        <w:t>本协议受中华人民共和国（以下简称</w:t>
      </w:r>
      <w:r>
        <w:rPr>
          <w:sz w:val="21"/>
        </w:rPr>
        <w:t>“</w:t>
      </w:r>
      <w:r>
        <w:rPr>
          <w:sz w:val="21"/>
        </w:rPr>
        <w:t>中国</w:t>
      </w:r>
      <w:r>
        <w:rPr>
          <w:sz w:val="21"/>
        </w:rPr>
        <w:t>”</w:t>
      </w:r>
      <w:r>
        <w:rPr>
          <w:sz w:val="21"/>
        </w:rPr>
        <w:t>）的法律管辖并按照中国的法律进行解释。如双方无法协商解决，应提交甲方所在地人民法院诉讼解决。</w:t>
      </w:r>
    </w:p>
    <w:p>
      <w:pPr>
        <w:pStyle w:val="null3"/>
        <w:jc w:val="both"/>
      </w:pPr>
      <w:r>
        <w:rPr>
          <w:sz w:val="21"/>
        </w:rPr>
        <w:t>11.1.经双方书面确认，任何一方不得变更或修改本协议，国家另有规定的除外。</w:t>
      </w:r>
    </w:p>
    <w:p>
      <w:pPr>
        <w:pStyle w:val="null3"/>
        <w:jc w:val="both"/>
      </w:pPr>
      <w:r>
        <w:rPr>
          <w:sz w:val="21"/>
        </w:rPr>
        <w:t>11.2.本协议未尽事宜，双方可签订补充协议。补充协议为本协议不可分割的一部分，与本协议具有同等法律效力。</w:t>
      </w:r>
    </w:p>
    <w:p>
      <w:pPr>
        <w:pStyle w:val="null3"/>
        <w:jc w:val="both"/>
      </w:pPr>
      <w:r>
        <w:rPr>
          <w:sz w:val="21"/>
        </w:rPr>
        <w:t>12.本协议一式肆份，甲乙双方各贰份，均具有同等法律效力。</w:t>
      </w:r>
    </w:p>
    <w:p>
      <w:pPr>
        <w:pStyle w:val="null3"/>
        <w:jc w:val="both"/>
      </w:pPr>
      <w:r>
        <w:rPr>
          <w:sz w:val="21"/>
        </w:rPr>
        <w:t>13.本协议自双方签字盖章之日起生效。</w:t>
      </w:r>
    </w:p>
    <w:p>
      <w:pPr>
        <w:pStyle w:val="null3"/>
        <w:jc w:val="both"/>
      </w:pPr>
      <w:r>
        <w:rPr>
          <w:sz w:val="21"/>
        </w:rPr>
        <w:t>甲方（盖章）：</w:t>
      </w:r>
      <w:r>
        <w:rPr>
          <w:sz w:val="21"/>
          <w:u w:val="single"/>
        </w:rPr>
        <w:t xml:space="preserve">               </w:t>
      </w:r>
      <w:r>
        <w:rPr>
          <w:sz w:val="21"/>
        </w:rPr>
        <w:t xml:space="preserve">     </w:t>
      </w:r>
      <w:r>
        <w:rPr>
          <w:sz w:val="21"/>
        </w:rPr>
        <w:t>乙方（盖章）：</w:t>
      </w:r>
      <w:r>
        <w:rPr>
          <w:sz w:val="21"/>
          <w:u w:val="single"/>
        </w:rPr>
        <w:t xml:space="preserve">                    </w:t>
      </w:r>
      <w:r>
        <w:rPr>
          <w:sz w:val="21"/>
        </w:rPr>
        <w:t xml:space="preserve">         </w:t>
      </w:r>
    </w:p>
    <w:p>
      <w:pPr>
        <w:pStyle w:val="null3"/>
        <w:jc w:val="both"/>
      </w:pPr>
      <w:r>
        <w:rPr>
          <w:sz w:val="21"/>
        </w:rPr>
        <w:t>法定代表人：</w:t>
      </w:r>
      <w:r>
        <w:rPr>
          <w:sz w:val="21"/>
          <w:u w:val="single"/>
        </w:rPr>
        <w:t xml:space="preserve">          </w:t>
      </w:r>
      <w:r>
        <w:rPr>
          <w:sz w:val="21"/>
        </w:rPr>
        <w:t xml:space="preserve">            </w:t>
      </w:r>
      <w:r>
        <w:rPr>
          <w:sz w:val="21"/>
        </w:rPr>
        <w:t>法定代表人：</w:t>
      </w:r>
      <w:r>
        <w:rPr>
          <w:sz w:val="21"/>
          <w:u w:val="single"/>
        </w:rPr>
        <w:t xml:space="preserve">                        </w:t>
      </w:r>
      <w:r>
        <w:rPr>
          <w:sz w:val="21"/>
        </w:rPr>
        <w:t xml:space="preserve">          </w:t>
      </w:r>
    </w:p>
    <w:p>
      <w:pPr>
        <w:pStyle w:val="null3"/>
        <w:jc w:val="both"/>
      </w:pPr>
      <w:r>
        <w:rPr>
          <w:sz w:val="21"/>
        </w:rPr>
        <w:t>日期：</w:t>
      </w:r>
      <w:r>
        <w:rPr>
          <w:sz w:val="21"/>
          <w:u w:val="single"/>
        </w:rPr>
        <w:t xml:space="preserve">                           </w:t>
      </w:r>
      <w:r>
        <w:rPr>
          <w:sz w:val="21"/>
        </w:rPr>
        <w:t xml:space="preserve"> </w:t>
      </w:r>
      <w:r>
        <w:rPr>
          <w:sz w:val="21"/>
        </w:rPr>
        <w:t>日期：</w:t>
      </w:r>
      <w:r>
        <w:rPr>
          <w:sz w:val="21"/>
          <w:u w:val="single"/>
        </w:rPr>
        <w:t xml:space="preserve">                          </w:t>
      </w:r>
    </w:p>
    <w:p>
      <w:pPr>
        <w:pStyle w:val="null3"/>
        <w:jc w:val="both"/>
      </w:pPr>
      <w:r>
        <w:rPr>
          <w:sz w:val="21"/>
        </w:rPr>
        <w:t>签订日期：</w:t>
      </w:r>
      <w:r>
        <w:rPr>
          <w:sz w:val="21"/>
        </w:rPr>
        <w:t xml:space="preserve">      </w:t>
      </w:r>
      <w:r>
        <w:rPr>
          <w:sz w:val="21"/>
        </w:rPr>
        <w:t>年</w:t>
      </w:r>
      <w:r>
        <w:rPr>
          <w:sz w:val="21"/>
        </w:rPr>
        <w:t xml:space="preserve">  </w:t>
      </w:r>
      <w:r>
        <w:rPr>
          <w:sz w:val="21"/>
        </w:rPr>
        <w:t>月日</w:t>
      </w:r>
      <w:r>
        <w:rPr>
          <w:sz w:val="21"/>
        </w:rPr>
        <w:t xml:space="preserve">            </w:t>
      </w: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440101-2024-22415</w:t>
      </w:r>
    </w:p>
    <w:p>
      <w:pPr>
        <w:pStyle w:val="null3"/>
        <w:jc w:val="center"/>
        <w:outlineLvl w:val="3"/>
      </w:pPr>
      <w:r>
        <w:rPr>
          <w:sz w:val="24"/>
          <w:b/>
        </w:rPr>
        <w:t>采购项目编号：</w:t>
      </w:r>
      <w:r>
        <w:rPr>
          <w:sz w:val="24"/>
          <w:b/>
        </w:rPr>
        <w:t>GDYD240977</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赛事专项靶向短信气象服务保障</w:t>
      </w:r>
      <w:r>
        <w:rPr>
          <w:u w:val="single"/>
        </w:rPr>
        <w:t>”</w:t>
      </w:r>
      <w:r>
        <w:rPr/>
        <w:t>项目的招标[采购项目编号为：</w:t>
      </w:r>
      <w:r>
        <w:rPr>
          <w:u w:val="single"/>
        </w:rPr>
        <w:t>GDYD240977</w:t>
      </w:r>
      <w:r>
        <w:rPr/>
        <w:t>]，我方愿参与投标。</w:t>
      </w:r>
    </w:p>
    <w:p>
      <w:pPr>
        <w:pStyle w:val="null3"/>
        <w:ind w:firstLine="480"/>
      </w:pPr>
      <w:r>
        <w:rPr/>
        <w:t>我方确认收到贵方提供的</w:t>
      </w:r>
      <w:r>
        <w:rPr>
          <w:u w:val="single"/>
        </w:rPr>
        <w:t>“</w:t>
      </w:r>
      <w:r>
        <w:rPr>
          <w:u w:val="single"/>
        </w:rPr>
        <w:t>赛事专项靶向短信气象服务保障</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赛事专项靶向短信气象服务保障</w:t>
      </w:r>
      <w:r>
        <w:rPr/>
        <w:t>”项目采购[采购项目编号为</w:t>
      </w:r>
      <w:r>
        <w:rPr/>
        <w:t>GDYD240977</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广州市气象台</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赛事专项靶向短信气象服务保障</w:t>
      </w:r>
      <w:r>
        <w:rPr/>
        <w:t>招标中获中标（采购项目编号：</w:t>
      </w:r>
      <w:r>
        <w:rPr/>
        <w:t>GDYD240977</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