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宋体"/>
          <w:b/>
          <w:bCs/>
          <w:color w:val="auto"/>
          <w:sz w:val="28"/>
          <w:szCs w:val="28"/>
        </w:rPr>
      </w:pPr>
      <w:r>
        <w:rPr>
          <w:rFonts w:hint="eastAsia" w:ascii="宋体" w:hAnsi="宋体" w:eastAsia="宋体" w:cs="宋体"/>
          <w:b/>
          <w:bCs/>
          <w:color w:val="auto"/>
          <w:sz w:val="28"/>
          <w:szCs w:val="28"/>
        </w:rPr>
        <w:t>韶关市第一人民医院检验、病理检查外送服务项目</w:t>
      </w:r>
      <w:r>
        <w:rPr>
          <w:rFonts w:hint="eastAsia" w:ascii="宋体" w:hAnsi="宋体" w:eastAsia="宋体" w:cs="宋体"/>
          <w:b/>
          <w:bCs/>
          <w:color w:val="auto"/>
          <w:sz w:val="28"/>
          <w:szCs w:val="28"/>
          <w:lang w:val="en-US" w:eastAsia="zh-CN"/>
        </w:rPr>
        <w:t>采购</w:t>
      </w:r>
      <w:r>
        <w:rPr>
          <w:rFonts w:hint="eastAsia" w:ascii="宋体" w:hAnsi="宋体" w:eastAsia="宋体" w:cs="宋体"/>
          <w:b/>
          <w:bCs/>
          <w:color w:val="auto"/>
          <w:sz w:val="28"/>
          <w:szCs w:val="28"/>
        </w:rPr>
        <w:t>需求</w:t>
      </w:r>
    </w:p>
    <w:p>
      <w:pPr>
        <w:tabs>
          <w:tab w:val="left" w:pos="709"/>
        </w:tabs>
        <w:snapToGrid w:val="0"/>
        <w:spacing w:line="360" w:lineRule="auto"/>
        <w:ind w:left="284"/>
        <w:rPr>
          <w:rFonts w:hint="eastAsia" w:ascii="宋体" w:hAnsi="宋体" w:eastAsia="宋体" w:cs="宋体"/>
          <w:b/>
          <w:bCs/>
          <w:color w:val="auto"/>
          <w:sz w:val="24"/>
          <w:szCs w:val="24"/>
        </w:rPr>
      </w:pPr>
      <w:r>
        <w:rPr>
          <w:rFonts w:hint="eastAsia" w:ascii="宋体" w:hAnsi="宋体" w:eastAsia="宋体" w:cs="宋体"/>
          <w:b/>
          <w:bCs/>
          <w:color w:val="auto"/>
          <w:sz w:val="24"/>
          <w:szCs w:val="24"/>
        </w:rPr>
        <w:t>一、项目内容：</w:t>
      </w:r>
    </w:p>
    <w:tbl>
      <w:tblPr>
        <w:tblStyle w:val="6"/>
        <w:tblW w:w="905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30"/>
        <w:gridCol w:w="1845"/>
        <w:gridCol w:w="1245"/>
        <w:gridCol w:w="2004"/>
        <w:gridCol w:w="273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6" w:hRule="atLeast"/>
          <w:jc w:val="center"/>
        </w:trPr>
        <w:tc>
          <w:tcPr>
            <w:tcW w:w="1230" w:type="dxa"/>
            <w:shd w:val="clear" w:color="auto" w:fill="EEECE1"/>
            <w:vAlign w:val="center"/>
          </w:tcPr>
          <w:p>
            <w:pPr>
              <w:spacing w:line="360" w:lineRule="auto"/>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包组编号</w:t>
            </w:r>
          </w:p>
        </w:tc>
        <w:tc>
          <w:tcPr>
            <w:tcW w:w="1845" w:type="dxa"/>
            <w:shd w:val="clear" w:color="auto" w:fill="EEECE1"/>
            <w:vAlign w:val="center"/>
          </w:tcPr>
          <w:p>
            <w:pPr>
              <w:spacing w:line="360" w:lineRule="auto"/>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包组内容</w:t>
            </w:r>
          </w:p>
        </w:tc>
        <w:tc>
          <w:tcPr>
            <w:tcW w:w="1245" w:type="dxa"/>
            <w:shd w:val="clear" w:color="auto" w:fill="EEECE1"/>
            <w:vAlign w:val="center"/>
          </w:tcPr>
          <w:p>
            <w:pPr>
              <w:spacing w:line="360" w:lineRule="auto"/>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中标家数</w:t>
            </w:r>
          </w:p>
        </w:tc>
        <w:tc>
          <w:tcPr>
            <w:tcW w:w="2004" w:type="dxa"/>
            <w:shd w:val="clear" w:color="auto" w:fill="EEECE1"/>
            <w:vAlign w:val="center"/>
          </w:tcPr>
          <w:p>
            <w:pPr>
              <w:spacing w:line="360" w:lineRule="auto"/>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服务期</w:t>
            </w:r>
          </w:p>
        </w:tc>
        <w:tc>
          <w:tcPr>
            <w:tcW w:w="2731" w:type="dxa"/>
            <w:shd w:val="clear" w:color="auto" w:fill="EEECE1"/>
            <w:vAlign w:val="center"/>
          </w:tcPr>
          <w:p>
            <w:pPr>
              <w:spacing w:line="360" w:lineRule="auto"/>
              <w:jc w:val="center"/>
              <w:rPr>
                <w:rFonts w:hint="eastAsia" w:ascii="宋体" w:hAnsi="宋体" w:eastAsia="宋体" w:cs="宋体"/>
                <w:b/>
                <w:color w:val="auto"/>
                <w:sz w:val="24"/>
                <w:szCs w:val="24"/>
              </w:rPr>
            </w:pPr>
            <w:r>
              <w:rPr>
                <w:rFonts w:hint="eastAsia" w:ascii="宋体" w:hAnsi="宋体" w:eastAsia="宋体" w:cs="宋体"/>
                <w:b/>
                <w:bCs/>
                <w:color w:val="auto"/>
                <w:kern w:val="16"/>
                <w:sz w:val="24"/>
                <w:szCs w:val="24"/>
              </w:rPr>
              <w:t>预算金额</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5" w:hRule="atLeast"/>
          <w:jc w:val="center"/>
        </w:trPr>
        <w:tc>
          <w:tcPr>
            <w:tcW w:w="1230" w:type="dxa"/>
            <w:vAlign w:val="center"/>
          </w:tcPr>
          <w:p>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一</w:t>
            </w:r>
          </w:p>
        </w:tc>
        <w:tc>
          <w:tcPr>
            <w:tcW w:w="1845" w:type="dxa"/>
            <w:vAlign w:val="center"/>
          </w:tcPr>
          <w:p>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检验、病理外送检测服务项目1</w:t>
            </w:r>
          </w:p>
        </w:tc>
        <w:tc>
          <w:tcPr>
            <w:tcW w:w="1245" w:type="dxa"/>
            <w:vAlign w:val="center"/>
          </w:tcPr>
          <w:p>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1家</w:t>
            </w:r>
          </w:p>
        </w:tc>
        <w:tc>
          <w:tcPr>
            <w:tcW w:w="2004" w:type="dxa"/>
            <w:vMerge w:val="restart"/>
            <w:vAlign w:val="center"/>
          </w:tcPr>
          <w:p>
            <w:pPr>
              <w:pStyle w:val="9"/>
              <w:spacing w:line="360" w:lineRule="auto"/>
              <w:ind w:firstLine="120"/>
              <w:rPr>
                <w:rFonts w:hint="eastAsia" w:ascii="宋体" w:hAnsi="宋体" w:eastAsia="宋体" w:cs="宋体"/>
                <w:snapToGrid/>
                <w:color w:val="auto"/>
                <w:spacing w:val="0"/>
                <w:kern w:val="2"/>
                <w:sz w:val="24"/>
                <w:szCs w:val="24"/>
              </w:rPr>
            </w:pPr>
            <w:r>
              <w:rPr>
                <w:rFonts w:hint="eastAsia" w:ascii="宋体" w:hAnsi="宋体" w:eastAsia="宋体" w:cs="宋体"/>
                <w:snapToGrid/>
                <w:color w:val="auto"/>
                <w:spacing w:val="0"/>
                <w:kern w:val="2"/>
                <w:sz w:val="24"/>
                <w:szCs w:val="24"/>
              </w:rPr>
              <w:t>签订合同之日起三年或实际检测费用达到采购预算金额合同即自动终止，两者以先到为准。</w:t>
            </w:r>
          </w:p>
        </w:tc>
        <w:tc>
          <w:tcPr>
            <w:tcW w:w="2731" w:type="dxa"/>
            <w:vMerge w:val="restart"/>
            <w:vAlign w:val="center"/>
          </w:tcPr>
          <w:p>
            <w:pPr>
              <w:pStyle w:val="9"/>
              <w:spacing w:line="360" w:lineRule="auto"/>
              <w:ind w:firstLine="120"/>
              <w:rPr>
                <w:rFonts w:hint="eastAsia" w:ascii="宋体" w:hAnsi="宋体" w:eastAsia="宋体" w:cs="宋体"/>
                <w:snapToGrid/>
                <w:color w:val="auto"/>
                <w:spacing w:val="0"/>
                <w:kern w:val="2"/>
                <w:sz w:val="24"/>
                <w:szCs w:val="24"/>
              </w:rPr>
            </w:pPr>
            <w:r>
              <w:rPr>
                <w:rFonts w:hint="eastAsia" w:ascii="宋体" w:hAnsi="宋体" w:eastAsia="宋体" w:cs="宋体"/>
                <w:color w:val="auto"/>
                <w:szCs w:val="24"/>
              </w:rPr>
              <w:t>人民币320</w:t>
            </w:r>
            <w:r>
              <w:rPr>
                <w:rStyle w:val="8"/>
                <w:rFonts w:hint="eastAsia" w:ascii="宋体" w:hAnsi="宋体" w:eastAsia="宋体" w:cs="宋体"/>
                <w:color w:val="auto"/>
                <w:sz w:val="24"/>
                <w:szCs w:val="24"/>
              </w:rPr>
              <w:t>万元/年</w:t>
            </w:r>
            <w:r>
              <w:rPr>
                <w:rStyle w:val="8"/>
                <w:rFonts w:hint="eastAsia" w:ascii="宋体" w:hAnsi="宋体" w:eastAsia="宋体" w:cs="宋体"/>
                <w:color w:val="auto"/>
                <w:sz w:val="24"/>
                <w:szCs w:val="24"/>
              </w:rPr>
              <w:br w:type="textWrapping"/>
            </w:r>
            <w:r>
              <w:rPr>
                <w:rFonts w:hint="eastAsia" w:ascii="宋体" w:hAnsi="宋体" w:eastAsia="宋体" w:cs="宋体"/>
                <w:b/>
                <w:bCs/>
                <w:color w:val="auto"/>
                <w:szCs w:val="24"/>
              </w:rPr>
              <w:t>（按实际检测费用结算）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5" w:hRule="atLeast"/>
          <w:jc w:val="center"/>
        </w:trPr>
        <w:tc>
          <w:tcPr>
            <w:tcW w:w="1230" w:type="dxa"/>
            <w:vAlign w:val="center"/>
          </w:tcPr>
          <w:p>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二</w:t>
            </w:r>
          </w:p>
        </w:tc>
        <w:tc>
          <w:tcPr>
            <w:tcW w:w="1845" w:type="dxa"/>
            <w:vAlign w:val="center"/>
          </w:tcPr>
          <w:p>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检验、病理外送检测服务项目2</w:t>
            </w:r>
          </w:p>
        </w:tc>
        <w:tc>
          <w:tcPr>
            <w:tcW w:w="1245" w:type="dxa"/>
            <w:vAlign w:val="center"/>
          </w:tcPr>
          <w:p>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1家</w:t>
            </w:r>
          </w:p>
        </w:tc>
        <w:tc>
          <w:tcPr>
            <w:tcW w:w="2004" w:type="dxa"/>
            <w:vMerge w:val="continue"/>
            <w:vAlign w:val="center"/>
          </w:tcPr>
          <w:p>
            <w:pPr>
              <w:pStyle w:val="9"/>
              <w:spacing w:line="360" w:lineRule="auto"/>
              <w:ind w:firstLine="120"/>
              <w:rPr>
                <w:rFonts w:hint="eastAsia" w:ascii="宋体" w:hAnsi="宋体" w:eastAsia="宋体" w:cs="宋体"/>
                <w:snapToGrid/>
                <w:color w:val="auto"/>
                <w:spacing w:val="0"/>
                <w:kern w:val="2"/>
                <w:sz w:val="24"/>
                <w:szCs w:val="24"/>
              </w:rPr>
            </w:pPr>
          </w:p>
        </w:tc>
        <w:tc>
          <w:tcPr>
            <w:tcW w:w="2731" w:type="dxa"/>
            <w:vMerge w:val="continue"/>
            <w:vAlign w:val="center"/>
          </w:tcPr>
          <w:p>
            <w:pPr>
              <w:pStyle w:val="9"/>
              <w:spacing w:line="360" w:lineRule="auto"/>
              <w:ind w:firstLine="120"/>
              <w:rPr>
                <w:rFonts w:hint="eastAsia" w:ascii="宋体" w:hAnsi="宋体" w:eastAsia="宋体" w:cs="宋体"/>
                <w:color w:val="auto"/>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5" w:hRule="atLeast"/>
          <w:jc w:val="center"/>
        </w:trPr>
        <w:tc>
          <w:tcPr>
            <w:tcW w:w="1230" w:type="dxa"/>
            <w:vAlign w:val="center"/>
          </w:tcPr>
          <w:p>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三</w:t>
            </w:r>
          </w:p>
        </w:tc>
        <w:tc>
          <w:tcPr>
            <w:tcW w:w="1845" w:type="dxa"/>
            <w:vAlign w:val="center"/>
          </w:tcPr>
          <w:p>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检验、病理外送检测服务项目3</w:t>
            </w:r>
          </w:p>
        </w:tc>
        <w:tc>
          <w:tcPr>
            <w:tcW w:w="1245" w:type="dxa"/>
            <w:vAlign w:val="center"/>
          </w:tcPr>
          <w:p>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1家</w:t>
            </w:r>
          </w:p>
        </w:tc>
        <w:tc>
          <w:tcPr>
            <w:tcW w:w="2004" w:type="dxa"/>
            <w:vMerge w:val="continue"/>
            <w:vAlign w:val="center"/>
          </w:tcPr>
          <w:p>
            <w:pPr>
              <w:pStyle w:val="9"/>
              <w:spacing w:line="360" w:lineRule="auto"/>
              <w:ind w:firstLine="120"/>
              <w:rPr>
                <w:rFonts w:hint="eastAsia" w:ascii="宋体" w:hAnsi="宋体" w:eastAsia="宋体" w:cs="宋体"/>
                <w:snapToGrid/>
                <w:color w:val="auto"/>
                <w:spacing w:val="0"/>
                <w:kern w:val="2"/>
                <w:sz w:val="24"/>
                <w:szCs w:val="24"/>
              </w:rPr>
            </w:pPr>
          </w:p>
        </w:tc>
        <w:tc>
          <w:tcPr>
            <w:tcW w:w="2731" w:type="dxa"/>
            <w:vMerge w:val="continue"/>
            <w:vAlign w:val="center"/>
          </w:tcPr>
          <w:p>
            <w:pPr>
              <w:pStyle w:val="9"/>
              <w:spacing w:line="360" w:lineRule="auto"/>
              <w:ind w:firstLine="120"/>
              <w:rPr>
                <w:rFonts w:hint="eastAsia" w:ascii="宋体" w:hAnsi="宋体" w:eastAsia="宋体" w:cs="宋体"/>
                <w:color w:val="auto"/>
                <w:szCs w:val="24"/>
              </w:rPr>
            </w:pPr>
          </w:p>
        </w:tc>
      </w:tr>
    </w:tbl>
    <w:p>
      <w:pPr>
        <w:pStyle w:val="4"/>
        <w:tabs>
          <w:tab w:val="left" w:pos="540"/>
        </w:tabs>
        <w:adjustRightInd w:val="0"/>
        <w:snapToGrid w:val="0"/>
        <w:spacing w:line="360" w:lineRule="auto"/>
        <w:ind w:firstLine="480" w:firstLineChars="200"/>
        <w:rPr>
          <w:rFonts w:hint="eastAsia" w:hAnsi="宋体" w:eastAsia="宋体" w:cs="宋体"/>
          <w:bCs/>
          <w:color w:val="auto"/>
          <w:sz w:val="24"/>
          <w:szCs w:val="24"/>
        </w:rPr>
      </w:pPr>
      <w:r>
        <w:rPr>
          <w:rFonts w:hint="eastAsia" w:hAnsi="宋体" w:eastAsia="宋体" w:cs="宋体"/>
          <w:bCs/>
          <w:color w:val="auto"/>
          <w:sz w:val="24"/>
          <w:szCs w:val="24"/>
        </w:rPr>
        <w:t>注：1、</w:t>
      </w:r>
      <w:r>
        <w:rPr>
          <w:rFonts w:hint="eastAsia" w:hAnsi="宋体" w:eastAsia="宋体" w:cs="宋体"/>
          <w:bCs/>
          <w:color w:val="auto"/>
          <w:sz w:val="24"/>
          <w:szCs w:val="24"/>
          <w:lang w:val="en-US" w:eastAsia="zh-CN"/>
        </w:rPr>
        <w:t>投标人</w:t>
      </w:r>
      <w:r>
        <w:rPr>
          <w:rFonts w:hint="eastAsia" w:hAnsi="宋体" w:eastAsia="宋体" w:cs="宋体"/>
          <w:bCs/>
          <w:color w:val="auto"/>
          <w:sz w:val="24"/>
          <w:szCs w:val="24"/>
        </w:rPr>
        <w:t>可以选择其中一个包组响应，也可同时对多个或全部包组响应，但必须对同一包组的全部内容进行响应。每个包组的</w:t>
      </w:r>
      <w:r>
        <w:rPr>
          <w:rFonts w:hint="eastAsia" w:hAnsi="宋体" w:eastAsia="宋体" w:cs="宋体"/>
          <w:bCs/>
          <w:color w:val="auto"/>
          <w:sz w:val="24"/>
          <w:szCs w:val="24"/>
          <w:lang w:val="en-US" w:eastAsia="zh-CN"/>
        </w:rPr>
        <w:t>投标</w:t>
      </w:r>
      <w:r>
        <w:rPr>
          <w:rFonts w:hint="eastAsia" w:hAnsi="宋体" w:eastAsia="宋体" w:cs="宋体"/>
          <w:bCs/>
          <w:color w:val="auto"/>
          <w:sz w:val="24"/>
          <w:szCs w:val="24"/>
        </w:rPr>
        <w:t>文件必须单独制作并单独密封包装。</w:t>
      </w:r>
    </w:p>
    <w:p>
      <w:pPr>
        <w:pStyle w:val="4"/>
        <w:tabs>
          <w:tab w:val="left" w:pos="540"/>
        </w:tabs>
        <w:adjustRightInd w:val="0"/>
        <w:snapToGrid w:val="0"/>
        <w:spacing w:line="360" w:lineRule="auto"/>
        <w:ind w:firstLine="480" w:firstLineChars="200"/>
        <w:rPr>
          <w:rFonts w:hint="eastAsia" w:hAnsi="宋体" w:eastAsia="宋体" w:cs="宋体"/>
          <w:bCs/>
          <w:color w:val="auto"/>
          <w:sz w:val="24"/>
          <w:szCs w:val="24"/>
        </w:rPr>
      </w:pPr>
      <w:r>
        <w:rPr>
          <w:rFonts w:hint="eastAsia" w:hAnsi="宋体" w:eastAsia="宋体" w:cs="宋体"/>
          <w:bCs/>
          <w:color w:val="auto"/>
          <w:sz w:val="24"/>
          <w:szCs w:val="24"/>
        </w:rPr>
        <w:t>2、本项目兼投不兼中，每个</w:t>
      </w:r>
      <w:r>
        <w:rPr>
          <w:rFonts w:hint="eastAsia" w:hAnsi="宋体" w:eastAsia="宋体" w:cs="宋体"/>
          <w:bCs/>
          <w:color w:val="auto"/>
          <w:sz w:val="24"/>
          <w:szCs w:val="24"/>
          <w:lang w:eastAsia="zh-CN"/>
        </w:rPr>
        <w:t>投标人</w:t>
      </w:r>
      <w:r>
        <w:rPr>
          <w:rFonts w:hint="eastAsia" w:hAnsi="宋体" w:eastAsia="宋体" w:cs="宋体"/>
          <w:bCs/>
          <w:color w:val="auto"/>
          <w:sz w:val="24"/>
          <w:szCs w:val="24"/>
        </w:rPr>
        <w:t>最多只能被确定为1个子包的第一</w:t>
      </w:r>
      <w:r>
        <w:rPr>
          <w:rFonts w:hint="eastAsia" w:hAnsi="宋体" w:eastAsia="宋体" w:cs="宋体"/>
          <w:bCs/>
          <w:color w:val="auto"/>
          <w:sz w:val="24"/>
          <w:szCs w:val="24"/>
          <w:lang w:eastAsia="zh-CN"/>
        </w:rPr>
        <w:t>中标候选人</w:t>
      </w:r>
      <w:r>
        <w:rPr>
          <w:rFonts w:hint="eastAsia" w:hAnsi="宋体" w:eastAsia="宋体" w:cs="宋体"/>
          <w:bCs/>
          <w:color w:val="auto"/>
          <w:sz w:val="24"/>
          <w:szCs w:val="24"/>
        </w:rPr>
        <w:t>。本项目按子包的顺序进行评审，依次按照评标总得分由高到低的顺序，每包组推荐一名</w:t>
      </w:r>
      <w:r>
        <w:rPr>
          <w:rFonts w:hint="eastAsia" w:hAnsi="宋体" w:eastAsia="宋体" w:cs="宋体"/>
          <w:bCs/>
          <w:color w:val="auto"/>
          <w:sz w:val="24"/>
          <w:szCs w:val="24"/>
          <w:lang w:eastAsia="zh-CN"/>
        </w:rPr>
        <w:t>中标候选人</w:t>
      </w:r>
      <w:r>
        <w:rPr>
          <w:rFonts w:hint="eastAsia" w:hAnsi="宋体" w:eastAsia="宋体" w:cs="宋体"/>
          <w:bCs/>
          <w:color w:val="auto"/>
          <w:sz w:val="24"/>
          <w:szCs w:val="24"/>
        </w:rPr>
        <w:t>。已获得子包一的第一</w:t>
      </w:r>
      <w:r>
        <w:rPr>
          <w:rFonts w:hint="eastAsia" w:hAnsi="宋体" w:eastAsia="宋体" w:cs="宋体"/>
          <w:bCs/>
          <w:color w:val="auto"/>
          <w:sz w:val="24"/>
          <w:szCs w:val="24"/>
          <w:lang w:eastAsia="zh-CN"/>
        </w:rPr>
        <w:t>中标候选人</w:t>
      </w:r>
      <w:r>
        <w:rPr>
          <w:rFonts w:hint="eastAsia" w:hAnsi="宋体" w:eastAsia="宋体" w:cs="宋体"/>
          <w:bCs/>
          <w:color w:val="auto"/>
          <w:sz w:val="24"/>
          <w:szCs w:val="24"/>
        </w:rPr>
        <w:t>资格的，将不具有子包二的候选人推荐资格；子包二从具有</w:t>
      </w:r>
      <w:r>
        <w:rPr>
          <w:rFonts w:hint="eastAsia" w:hAnsi="宋体" w:eastAsia="宋体" w:cs="宋体"/>
          <w:bCs/>
          <w:color w:val="auto"/>
          <w:sz w:val="24"/>
          <w:szCs w:val="24"/>
          <w:lang w:eastAsia="zh-CN"/>
        </w:rPr>
        <w:t>中标候选人</w:t>
      </w:r>
      <w:r>
        <w:rPr>
          <w:rFonts w:hint="eastAsia" w:hAnsi="宋体" w:eastAsia="宋体" w:cs="宋体"/>
          <w:bCs/>
          <w:color w:val="auto"/>
          <w:sz w:val="24"/>
          <w:szCs w:val="24"/>
        </w:rPr>
        <w:t>资格的</w:t>
      </w:r>
      <w:r>
        <w:rPr>
          <w:rFonts w:hint="eastAsia" w:hAnsi="宋体" w:eastAsia="宋体" w:cs="宋体"/>
          <w:bCs/>
          <w:color w:val="auto"/>
          <w:sz w:val="24"/>
          <w:szCs w:val="24"/>
          <w:lang w:eastAsia="zh-CN"/>
        </w:rPr>
        <w:t>投标人</w:t>
      </w:r>
      <w:r>
        <w:rPr>
          <w:rFonts w:hint="eastAsia" w:hAnsi="宋体" w:eastAsia="宋体" w:cs="宋体"/>
          <w:bCs/>
          <w:color w:val="auto"/>
          <w:sz w:val="24"/>
          <w:szCs w:val="24"/>
        </w:rPr>
        <w:t>中，排名最高的投标</w:t>
      </w:r>
      <w:r>
        <w:rPr>
          <w:rFonts w:hint="eastAsia" w:hAnsi="宋体" w:eastAsia="宋体" w:cs="宋体"/>
          <w:bCs/>
          <w:color w:val="auto"/>
          <w:sz w:val="24"/>
          <w:szCs w:val="24"/>
          <w:lang w:eastAsia="zh-CN"/>
        </w:rPr>
        <w:t>投标人</w:t>
      </w:r>
      <w:r>
        <w:rPr>
          <w:rFonts w:hint="eastAsia" w:hAnsi="宋体" w:eastAsia="宋体" w:cs="宋体"/>
          <w:bCs/>
          <w:color w:val="auto"/>
          <w:sz w:val="24"/>
          <w:szCs w:val="24"/>
        </w:rPr>
        <w:t>为第一</w:t>
      </w:r>
      <w:r>
        <w:rPr>
          <w:rFonts w:hint="eastAsia" w:hAnsi="宋体" w:eastAsia="宋体" w:cs="宋体"/>
          <w:bCs/>
          <w:color w:val="auto"/>
          <w:sz w:val="24"/>
          <w:szCs w:val="24"/>
          <w:lang w:eastAsia="zh-CN"/>
        </w:rPr>
        <w:t>中标候选人</w:t>
      </w:r>
      <w:r>
        <w:rPr>
          <w:rFonts w:hint="eastAsia" w:hAnsi="宋体" w:eastAsia="宋体" w:cs="宋体"/>
          <w:bCs/>
          <w:color w:val="auto"/>
          <w:sz w:val="24"/>
          <w:szCs w:val="24"/>
        </w:rPr>
        <w:t>，排名次高的投标</w:t>
      </w:r>
      <w:r>
        <w:rPr>
          <w:rFonts w:hint="eastAsia" w:hAnsi="宋体" w:eastAsia="宋体" w:cs="宋体"/>
          <w:bCs/>
          <w:color w:val="auto"/>
          <w:sz w:val="24"/>
          <w:szCs w:val="24"/>
          <w:lang w:val="en-US" w:eastAsia="zh-CN"/>
        </w:rPr>
        <w:t>人</w:t>
      </w:r>
      <w:r>
        <w:rPr>
          <w:rFonts w:hint="eastAsia" w:hAnsi="宋体" w:eastAsia="宋体" w:cs="宋体"/>
          <w:bCs/>
          <w:color w:val="auto"/>
          <w:sz w:val="24"/>
          <w:szCs w:val="24"/>
        </w:rPr>
        <w:t>为第二</w:t>
      </w:r>
      <w:r>
        <w:rPr>
          <w:rFonts w:hint="eastAsia" w:hAnsi="宋体" w:eastAsia="宋体" w:cs="宋体"/>
          <w:bCs/>
          <w:color w:val="auto"/>
          <w:sz w:val="24"/>
          <w:szCs w:val="24"/>
          <w:lang w:eastAsia="zh-CN"/>
        </w:rPr>
        <w:t>中标候选人</w:t>
      </w:r>
      <w:r>
        <w:rPr>
          <w:rFonts w:hint="eastAsia" w:hAnsi="宋体" w:eastAsia="宋体" w:cs="宋体"/>
          <w:bCs/>
          <w:color w:val="auto"/>
          <w:sz w:val="24"/>
          <w:szCs w:val="24"/>
        </w:rPr>
        <w:t>，以此类推。</w:t>
      </w:r>
    </w:p>
    <w:p>
      <w:pPr>
        <w:pStyle w:val="4"/>
        <w:tabs>
          <w:tab w:val="left" w:pos="540"/>
        </w:tabs>
        <w:adjustRightInd w:val="0"/>
        <w:snapToGrid w:val="0"/>
        <w:spacing w:line="360" w:lineRule="auto"/>
        <w:rPr>
          <w:rFonts w:hint="eastAsia" w:hAnsi="宋体" w:eastAsia="宋体" w:cs="宋体"/>
          <w:b/>
          <w:color w:val="auto"/>
          <w:sz w:val="24"/>
          <w:szCs w:val="24"/>
        </w:rPr>
      </w:pPr>
      <w:r>
        <w:rPr>
          <w:rFonts w:hint="eastAsia" w:hAnsi="宋体" w:eastAsia="宋体" w:cs="宋体"/>
          <w:b/>
          <w:color w:val="auto"/>
          <w:sz w:val="24"/>
          <w:szCs w:val="24"/>
        </w:rPr>
        <w:t>二、项目技术规格、参数及要求：</w:t>
      </w:r>
    </w:p>
    <w:p>
      <w:pPr>
        <w:pStyle w:val="4"/>
        <w:tabs>
          <w:tab w:val="left" w:pos="540"/>
        </w:tabs>
        <w:adjustRightInd w:val="0"/>
        <w:snapToGrid w:val="0"/>
        <w:spacing w:line="360" w:lineRule="auto"/>
        <w:ind w:firstLine="480" w:firstLineChars="200"/>
        <w:rPr>
          <w:rFonts w:hint="eastAsia" w:ascii="宋体" w:hAnsi="宋体" w:eastAsia="宋体" w:cs="宋体"/>
          <w:bCs/>
          <w:color w:val="auto"/>
          <w:sz w:val="24"/>
          <w:szCs w:val="24"/>
        </w:rPr>
      </w:pPr>
      <w:r>
        <w:rPr>
          <w:rFonts w:hint="eastAsia" w:hAnsi="宋体" w:eastAsia="宋体" w:cs="宋体"/>
          <w:bCs/>
          <w:color w:val="auto"/>
          <w:sz w:val="24"/>
          <w:szCs w:val="24"/>
        </w:rPr>
        <w:t>韶关市第一人民医院根据临床科室的实际诊疗需求，就其所需的部分医学检验、病理技术服务项目进行公开招标采购，采购人将本院未能开展的检验、病理</w:t>
      </w:r>
      <w:r>
        <w:rPr>
          <w:rFonts w:hint="eastAsia" w:hAnsi="宋体" w:eastAsia="宋体" w:cs="宋体"/>
          <w:bCs/>
          <w:color w:val="auto"/>
          <w:sz w:val="24"/>
          <w:szCs w:val="24"/>
          <w:lang w:val="en-US" w:eastAsia="zh-CN"/>
        </w:rPr>
        <w:t>检查</w:t>
      </w:r>
      <w:r>
        <w:rPr>
          <w:rFonts w:hint="eastAsia" w:ascii="宋体" w:hAnsi="宋体" w:eastAsia="宋体" w:cs="宋体"/>
          <w:bCs/>
          <w:color w:val="auto"/>
          <w:sz w:val="24"/>
          <w:szCs w:val="24"/>
        </w:rPr>
        <w:t>项目进行外送检测，采购人随机分配外送检测项目给各中标人，采购人无法保证每家中标人的工作量，请各投标人自行考虑。</w:t>
      </w:r>
      <w:r>
        <w:rPr>
          <w:rFonts w:hint="eastAsia" w:ascii="宋体" w:hAnsi="宋体" w:eastAsia="宋体" w:cs="宋体"/>
          <w:color w:val="auto"/>
          <w:sz w:val="24"/>
          <w:szCs w:val="24"/>
        </w:rPr>
        <w:t>本项目</w:t>
      </w:r>
      <w:r>
        <w:rPr>
          <w:rFonts w:hint="eastAsia" w:ascii="宋体" w:hAnsi="宋体" w:eastAsia="宋体" w:cs="宋体"/>
          <w:bCs/>
          <w:color w:val="auto"/>
          <w:sz w:val="24"/>
          <w:szCs w:val="24"/>
        </w:rPr>
        <w:t>总预算金额约为人民币320万元/年，</w:t>
      </w:r>
      <w:r>
        <w:rPr>
          <w:rFonts w:hint="eastAsia" w:ascii="宋体" w:hAnsi="宋体" w:eastAsia="宋体" w:cs="宋体"/>
          <w:color w:val="auto"/>
          <w:sz w:val="24"/>
          <w:szCs w:val="24"/>
        </w:rPr>
        <w:t>签订合同之日起三年或实际检测费用达到采购预算金额合同即自动终止，两者以先到为准。</w:t>
      </w:r>
    </w:p>
    <w:p>
      <w:pPr>
        <w:pStyle w:val="4"/>
        <w:tabs>
          <w:tab w:val="left" w:pos="540"/>
        </w:tabs>
        <w:adjustRightInd w:val="0"/>
        <w:snapToGrid w:val="0"/>
        <w:spacing w:line="360" w:lineRule="auto"/>
        <w:rPr>
          <w:rFonts w:hint="eastAsia" w:ascii="宋体" w:hAnsi="宋体" w:eastAsia="宋体" w:cs="宋体"/>
          <w:b/>
          <w:color w:val="auto"/>
          <w:sz w:val="24"/>
          <w:szCs w:val="24"/>
        </w:rPr>
      </w:pPr>
      <w:r>
        <w:rPr>
          <w:rFonts w:hint="eastAsia" w:ascii="宋体" w:hAnsi="宋体" w:eastAsia="宋体" w:cs="宋体"/>
          <w:bCs/>
          <w:color w:val="auto"/>
          <w:sz w:val="24"/>
          <w:szCs w:val="24"/>
        </w:rPr>
        <w:t>三、</w:t>
      </w:r>
      <w:r>
        <w:rPr>
          <w:rFonts w:hint="eastAsia" w:ascii="宋体" w:hAnsi="宋体" w:eastAsia="宋体" w:cs="宋体"/>
          <w:b/>
          <w:color w:val="auto"/>
          <w:sz w:val="24"/>
          <w:szCs w:val="24"/>
        </w:rPr>
        <w:t>采购项目内容</w:t>
      </w:r>
    </w:p>
    <w:p>
      <w:pPr>
        <w:pStyle w:val="4"/>
        <w:numPr>
          <w:ilvl w:val="0"/>
          <w:numId w:val="1"/>
        </w:numPr>
        <w:tabs>
          <w:tab w:val="left" w:pos="420"/>
        </w:tabs>
        <w:adjustRightInd w:val="0"/>
        <w:snapToGrid w:val="0"/>
        <w:spacing w:line="360" w:lineRule="auto"/>
        <w:rPr>
          <w:rFonts w:hint="eastAsia" w:ascii="宋体" w:hAnsi="宋体" w:eastAsia="宋体" w:cs="宋体"/>
          <w:b/>
          <w:color w:val="auto"/>
          <w:sz w:val="24"/>
          <w:szCs w:val="24"/>
        </w:rPr>
      </w:pPr>
      <w:r>
        <w:rPr>
          <w:rFonts w:hint="eastAsia" w:ascii="宋体" w:hAnsi="宋体" w:eastAsia="宋体" w:cs="宋体"/>
          <w:b/>
          <w:color w:val="auto"/>
          <w:sz w:val="24"/>
          <w:szCs w:val="24"/>
        </w:rPr>
        <w:t>外送检测服务项目清单</w:t>
      </w:r>
    </w:p>
    <w:tbl>
      <w:tblPr>
        <w:tblStyle w:val="6"/>
        <w:tblW w:w="8590" w:type="dxa"/>
        <w:tblInd w:w="-1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2698"/>
        <w:gridCol w:w="3368"/>
        <w:gridCol w:w="1800"/>
      </w:tblGrid>
      <w:tr>
        <w:tblPrEx>
          <w:tblCellMar>
            <w:top w:w="0" w:type="dxa"/>
            <w:left w:w="108" w:type="dxa"/>
            <w:bottom w:w="0" w:type="dxa"/>
            <w:right w:w="108" w:type="dxa"/>
          </w:tblCellMar>
        </w:tblPrEx>
        <w:trPr>
          <w:trHeight w:val="471" w:hRule="atLeast"/>
        </w:trPr>
        <w:tc>
          <w:tcPr>
            <w:tcW w:w="724" w:type="dxa"/>
          </w:tcPr>
          <w:p>
            <w:pPr>
              <w:tabs>
                <w:tab w:val="left" w:pos="420"/>
              </w:tabs>
              <w:adjustRightInd w:val="0"/>
              <w:snapToGrid w:val="0"/>
              <w:jc w:val="right"/>
              <w:rPr>
                <w:rFonts w:ascii="宋体" w:hAnsi="宋体" w:eastAsia="宋体" w:cs="宋体"/>
                <w:b/>
                <w:color w:val="auto"/>
                <w:sz w:val="24"/>
                <w:szCs w:val="24"/>
              </w:rPr>
            </w:pPr>
            <w:r>
              <w:rPr>
                <w:rFonts w:hint="eastAsia" w:ascii="宋体" w:hAnsi="宋体" w:eastAsia="宋体" w:cs="宋体"/>
                <w:b/>
                <w:color w:val="auto"/>
                <w:sz w:val="24"/>
                <w:szCs w:val="24"/>
              </w:rPr>
              <w:t>序号</w:t>
            </w:r>
          </w:p>
        </w:tc>
        <w:tc>
          <w:tcPr>
            <w:tcW w:w="2698" w:type="dxa"/>
            <w:vAlign w:val="center"/>
          </w:tcPr>
          <w:p>
            <w:pPr>
              <w:tabs>
                <w:tab w:val="left" w:pos="420"/>
              </w:tabs>
              <w:adjustRightInd w:val="0"/>
              <w:snapToGrid w:val="0"/>
              <w:jc w:val="center"/>
              <w:rPr>
                <w:rFonts w:ascii="宋体" w:hAnsi="宋体" w:eastAsia="宋体" w:cs="宋体"/>
                <w:b/>
                <w:color w:val="auto"/>
                <w:sz w:val="24"/>
                <w:szCs w:val="24"/>
              </w:rPr>
            </w:pPr>
            <w:r>
              <w:rPr>
                <w:rFonts w:hint="eastAsia" w:ascii="宋体" w:hAnsi="宋体" w:eastAsia="宋体" w:cs="宋体"/>
                <w:b/>
                <w:color w:val="auto"/>
                <w:sz w:val="24"/>
                <w:szCs w:val="24"/>
              </w:rPr>
              <w:t>套单名称</w:t>
            </w:r>
          </w:p>
        </w:tc>
        <w:tc>
          <w:tcPr>
            <w:tcW w:w="3368" w:type="dxa"/>
            <w:vAlign w:val="center"/>
          </w:tcPr>
          <w:p>
            <w:pPr>
              <w:tabs>
                <w:tab w:val="left" w:pos="420"/>
              </w:tabs>
              <w:adjustRightInd w:val="0"/>
              <w:snapToGrid w:val="0"/>
              <w:jc w:val="center"/>
              <w:rPr>
                <w:rFonts w:ascii="宋体" w:hAnsi="宋体" w:eastAsia="宋体" w:cs="宋体"/>
                <w:b/>
                <w:color w:val="auto"/>
                <w:sz w:val="24"/>
                <w:szCs w:val="24"/>
              </w:rPr>
            </w:pPr>
            <w:r>
              <w:rPr>
                <w:rFonts w:hint="eastAsia" w:ascii="宋体" w:hAnsi="宋体" w:eastAsia="宋体" w:cs="宋体"/>
                <w:b/>
                <w:color w:val="auto"/>
                <w:sz w:val="24"/>
                <w:szCs w:val="24"/>
              </w:rPr>
              <w:t>项目名称</w:t>
            </w:r>
          </w:p>
        </w:tc>
        <w:tc>
          <w:tcPr>
            <w:tcW w:w="1800" w:type="dxa"/>
            <w:vAlign w:val="center"/>
          </w:tcPr>
          <w:p>
            <w:pPr>
              <w:tabs>
                <w:tab w:val="left" w:pos="420"/>
              </w:tabs>
              <w:adjustRightInd w:val="0"/>
              <w:snapToGrid w:val="0"/>
              <w:jc w:val="center"/>
              <w:rPr>
                <w:rFonts w:ascii="宋体" w:hAnsi="宋体" w:eastAsia="宋体" w:cs="宋体"/>
                <w:b/>
                <w:color w:val="auto"/>
                <w:sz w:val="24"/>
                <w:szCs w:val="24"/>
              </w:rPr>
            </w:pPr>
            <w:r>
              <w:rPr>
                <w:rFonts w:hint="eastAsia" w:ascii="宋体" w:hAnsi="宋体" w:eastAsia="宋体" w:cs="宋体"/>
                <w:b/>
                <w:color w:val="auto"/>
                <w:sz w:val="24"/>
                <w:szCs w:val="24"/>
              </w:rPr>
              <w:t>最高单价限价</w:t>
            </w:r>
            <w:r>
              <w:rPr>
                <w:rFonts w:hint="eastAsia" w:ascii="宋体" w:hAnsi="宋体" w:eastAsia="宋体" w:cs="宋体"/>
                <w:b/>
                <w:color w:val="auto"/>
                <w:sz w:val="24"/>
                <w:szCs w:val="24"/>
              </w:rPr>
              <w:br w:type="textWrapping"/>
            </w:r>
            <w:r>
              <w:rPr>
                <w:rFonts w:hint="eastAsia" w:ascii="宋体" w:hAnsi="宋体" w:eastAsia="宋体" w:cs="宋体"/>
                <w:b/>
                <w:color w:val="auto"/>
                <w:sz w:val="24"/>
                <w:szCs w:val="24"/>
              </w:rPr>
              <w:t>（人民币 元/次）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唐氏综合征筛查I期（9-13+6周）</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血清人绒毛膜促性腺激素测定-化学发光法</w:t>
            </w:r>
          </w:p>
        </w:tc>
        <w:tc>
          <w:tcPr>
            <w:tcW w:w="1800" w:type="dxa"/>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lang w:bidi="ar"/>
              </w:rPr>
              <w:t>53.58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唐氏综合征筛查I期（9-13+6周）</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唐氏综合症筛查</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唐氏综合征筛查II期（15-20+6周）</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雌三醇测定-化学发光法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48.88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唐氏综合征筛查II期（15-20+6周）</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唐氏综合症筛查</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促红细胞生成素（EPO)</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促红细胞生成素测定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84.6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血浆凝血因子二项测定（仪器法)</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血浆凝血因子活性测定-仪器法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血友病筛查四项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血浆凝血酶原时间测定(PT)-仪器法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26.32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血友病筛查四项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活化部分凝血活酶时间测定(APTT)-仪器法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19.74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血友病筛查四项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血浆凝血因子活性测定-仪器法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地高辛测定</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血清药物浓度测定-单抗法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骨型碱性磷酸酶</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血清骨型碱性磷酸酶质量测定-放免法或酶免法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维生素B12(VitB12)</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血清维生素测定-化学发光法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55.94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总铁结合力</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铁测定-比色法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总铁结合力</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血清总铁结合力测定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甲状旁腺激素</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甲状旁腺激素测定-化学发光法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53.58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降钙素</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降钙素测定-化学发光法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53.58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真菌1.3-B-D葡聚糖检测（G试验）</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真菌D-葡聚糖检测</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169.2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尿17-羟皮质类固醇测定</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尿17-羟皮质类固醇测定-化学发光法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尿17-酮皮质类固醇测定</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尿17-酮类固醇测定-化学发光法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尿香草苦杏仁酸(VMA)测定色谱法</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尿香草苦杏仁酸(VMA)测定-色谱法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70.5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硫酸去氢表雄酮</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血清脱氢表雄酮及硫酸酯测定-化学发光法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53.58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生长激素</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血清生长激素测定-化学发光法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54.52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生长激素(0min)</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血清生长激素测定-化学发光法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54.52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生长激素(30min)</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血清生长激素测定-化学发光法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54.52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生长激素(60min)</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血清生长激素测定-化学发光法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54.52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生长激素(90min)</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血清生长激素测定-化学发光法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54.52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生长激素(120min)</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血清生长激素测定-化学发光法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54.52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促肾上腺皮质激素(ACTH) 4PM</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血清促肾上腺皮质激素测定-化学发光法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54.52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促肾上腺皮质激素(ACTH) 8AM</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血清促肾上腺皮质激素测定-化学发光法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54.52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铜蓝蛋白</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铜蓝蛋白测定-各种免疫学方法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普乐可复(FK506)</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血清药物浓度测定-色谱法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苯妥英钠（大仑丁）</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血清药物浓度测定-色谱法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苯巴比妥（鲁米那）</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血清药物浓度测定-单抗法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卡马西平</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血清药物浓度测定-单抗法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丙戊酸</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血清药物浓度测定-多抗法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环孢霉素</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血清药物浓度测定-色谱法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万古霉素</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血清药物浓度测定-单抗法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促肾上腺皮质激素(ACTH)</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血清促肾上腺皮质激素测定-化学发光法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54.52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高血压三项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血浆肾素活性测定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37.6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高血压三项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血管紧张素I测定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43.24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高血压三项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血管紧张素II测定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43.24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HBV拉米呋啶耐药基因检测</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乙型肝炎病毒基因YMDD变异测定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肺炎支原体抗体二项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肺炎支原体血清学试验-凝集法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肺炎衣原体抗体二项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肺炎衣原体抗体检测</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58.28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骨髓涂片检查（细胞学检查+1项细胞化学染色+彩色图文报告）</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骨髓涂片细胞学检验</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108.1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骨髓涂片检查（细胞学检查+1项细胞化学染色+彩色图文报告）</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骨髓特殊染色及酶组织化学染色检查</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28.2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骨髓涂片检查（细胞学检查+1项细胞化学染色+彩色图文报告）</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显微摄影术</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MDS/AA相关CD系列检测（15CD）</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血细胞簇分化抗原（CD）系列检测-流式细胞仪法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56.4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红细胞CD55、CD59评估（2CD)</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血细胞簇分化抗原（CD）系列检测-流式细胞仪法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56.4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抗心磷脂抗体三项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抗心磷脂抗体测定(ACA)</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21.62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粒细胞CD55、CD59评估（3CD)</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血细胞簇分化抗原（CD）系列检测-流式细胞仪法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56.4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钩端螺旋体抗体lgG</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钩端螺旋体病血清学试验</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28.2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T淋巴细胞亚群（CD3、4、8）</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血细胞簇分化抗原（CD）系列检测-流式细胞仪法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56.4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XRCC1基因多态性检测</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脱氧核糖核酸(DNA)测序</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GSTP1基因多态性检测</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脱氧核糖核酸(DNA)测序</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MTHFR基因多态性检测</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脱氧核糖核酸(DNA)测序</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FVIII:C活性测定</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血浆凝血因子活性测定-仪器法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特殊染色</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特殊染色及酶组织化学染色诊断</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k链</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轻链KAPPA、LAMBDA定量(K-LC,λ-LC)</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γ链</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轻链KAPPA、LAMBDA定量(K-LC,λ-LC)</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FIX:C活性测定</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血浆凝血因子活性测定-仪器法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封闭抗体（定性）</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白细胞特异性和组织相关融性(HLA)抗体检测</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血清免疫固定电泳5项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免疫固定电泳</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氨茶碱测定</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血清药物浓度测定-单抗法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a-丁酸奈酚酯酶染色</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骨髓特殊染色及酶组织化学染色检查</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28.2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过碘酸-雪夫（PAS)染色</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骨髓特殊染色及酶组织化学染色检查</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28.2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高灵敏HCV-RNA检测</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丙型肝炎RNA测定-定量(内标法)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519.35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乙型肝炎病毒核心抗体IgM</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乙型肝炎核心IgM抗体测定(Anti-HBcIgM)-定性法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血型单特异性抗体鉴定</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血型单特异性抗体鉴定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甲状腺微粒体抗体</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抗甲状腺微粒体抗体测定(TMAb)-化学发光法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43.24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促甲状腺素受体抗体自身抗体</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促甲状腺素受体抗体测定-化学发光法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糖尿病自身抗体三项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糖尿病自身抗体测定-免疫印迹法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119.86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25-羟基维生素D</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25羟维生素D测定-色谱法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84.6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新生儿疾病筛查（代谢疾病+新筛三项）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葡萄糖6-磷酸脱氢酶荧光斑点试验</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新生儿疾病筛查（代谢疾病+新筛三项）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血游离脂肪酸测定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8.46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新生儿疾病筛查（代谢疾病+新筛三项）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血清各类氨基酸测定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新生儿疾病筛查（代谢疾病+新筛三项）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血清促甲状腺激素测定-化学发光法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37.6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游离雌三醇</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雌三醇测定-化学发光法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48.88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结核杆菌(TB-DNA）定性</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各类病原体DNA测定-定性</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75.2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胎儿染色体非整倍体检测</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唐氏综合症筛查-胎儿21-三体综合征基因检测筛查</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1602.7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康孕-染色体检测-5M</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脱氧核糖核酸(DNA)测序</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康孕-染色体检测-100K</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脱氧核糖核酸(DNA)测序</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遗传性耳聋4个常见基因检测</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耳聋基因芯片筛查和诊断</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383.52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新生儿48种遗传代谢病检测（串联质谱法）</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脱氧核糖核酸(DNA)测序</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Pmseq感染病原高通量基因检测</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脱氧核糖核酸(DNA)测序</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肿瘤化疗用药指导基因检测</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脱氧核糖核酸(DNA)测序</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遗传性肿瘤基因检测女性套餐</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脱氧核糖核酸(DNA)测序</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遗传性肿瘤基因检测男性套餐</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脱氧核糖核酸(DNA)测序</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遗传性乳腺癌/卵巢癌基因检测(21个基因)</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脱氧核糖核酸(DNA)测序</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遗传性结直肠癌基因检测(14个基因)</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脱氧核糖核酸(DNA)测序</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安孕可单基因遗传病携带者筛查100种</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脱氧核糖核酸(DNA)测序</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NIFTY全因1.0</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脱氧核糖核酸(DNA)测序</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成人安全用药基因检测</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脱氧核糖核酸(DNA)测序</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儿童安全用药基因检测</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脱氧核糖核酸(DNA)测序</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Oseq-EGFR基因检测</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脱氧核糖核酸(DNA)测序</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地贫高通量测序基因检测-产科专用免费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韶关市免费地贫高通量测序基因检测</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百日咳杆菌核酸测序鉴定</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脱氧核糖核酸(DNA)测序</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人肠道病毒基因测序分型</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印迹杂交技术</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促甲状腺素受体刺激性抗体</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促甲状腺素受体抗体测定-化学发光法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病原体微生物高通量基因测序</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脱氧核糖核酸(DNA)测序</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血清肿瘤相关物质(TM)</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肿瘤相关抗原测定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高血压四项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醛固酮测定-化学发光法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53.58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高血压四项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血浆肾素活性测定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37.6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高血压四项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血管紧张素I测定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43.24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高血压四项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血管紧张素II测定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43.24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肝纤维化四项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血清Ⅳ型胶原测定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27.26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肝纤维化四项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血清Ⅲ型胶原测定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27.26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肝纤维化四项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血清层粘连蛋白测定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37.6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肝纤维化四项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血清透明质酸酶测定-化学发光法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47.94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皮质醇(0AM)</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血浆皮质醇测定-化学发光法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51.7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皮质醇(8AM)</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血浆皮质醇测定-化学发光法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51.7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皮质醇(4PM)</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血浆皮质醇测定-化学发光法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51.7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胃功能四项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胃蛋白酶原I测定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66.74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胃功能四项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胃蛋白酶原II测定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66.74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胃功能四项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胃泌素测定-各种免疫学方法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过敏原筛查</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总IgE测定-化学发光法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55.94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过敏原筛查</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特殊变应原(多价变应原)筛查-各种免疫学方法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28.2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醛固酮(卧位)</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醛固酮测定-化学发光法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53.58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醛固酮(立位)</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醛固酮测定-化学发光法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53.58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醛固酮(基础)</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醛固酮测定-化学发光法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53.58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醛固酮(激发)</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醛固酮测定-化学发光法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53.58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呼吸道多种病原体靶向测序</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各类病原体DNA测定-定量</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150.4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胰岛素样生长因子1（IGF-1）精准检测</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类胰岛素样生长因子测定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86.48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诺如病毒+轮状病毒A核酸定性检测（儿童）</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各类病原体RNA测定(核酸恒温扩增法)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127.84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腺病毒核酸检测</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各类病原体DNA测定-定性</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75.2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自身免疫性脑炎8项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脑脊液寡克隆电泳分析</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自身免疫性脑炎6项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脑脊液寡克隆电泳分析</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自身免疫性脑炎12项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脑脊液寡克隆电泳分析</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抗神经节乙酰胆碱受体抗体(gAChg)</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脑脊液寡克隆电泳分析</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抗谷氨酸受体抗体IgG(AMPA1)</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脑脊液寡克隆电泳分析</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抗谷氨酸受体抗体IgG(AMPA2)</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脑脊液寡克隆电泳分析</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抗水通道蛋白4抗体（AQP4）</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脑脊液寡克隆电泳分析</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抗接触蛋白关联蛋白2抗体IgG(CASPR-2)</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脑脊液寡克隆电泳分析</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抗多巴胺受体2抗体IgG(DRD2)</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脑脊液寡克隆电泳分析</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抗二缩氨酸相似蛋白6抗体IgG(DPPX)</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脑脊液寡克隆电泳分析</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抗γ-氨基丁酸A型受体抗体(GABAaR)</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脑脊液寡克隆电泳分析</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抗γ-氨基丁酸B型受体抗体IgG(GABAaR)</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脑脊液寡克隆电泳分析</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抗谷氨酸脱羧酶2抗体IgG(GAD65)</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脑脊液寡克隆电泳分析</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抗胶质纤维酸性蛋白抗体(GFAP)</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脑脊液寡克隆电泳分析</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抗甘氨酸受体1抗体IgG(G1yR1)</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脑脊液寡克隆电泳分析</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抗IgLON家族蛋白5抗体IgG(IgLON)</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脑脊液寡克隆电泳分析</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抗Ke1ch蛋白11抗体(KLHL11)</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脑脊液寡克隆电泳分析</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抗富亮氨酸胶质瘤失活蛋白1抗体IgG(LGI-1)</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脑脊液寡克隆电泳分析</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抗促代谢谷氨酸受体1抗体IgG(mG1uR1)</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脑脊液寡克隆电泳分析</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抗代谢性谷氨酸受体5抗体IgG(mG1uR1)</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脑脊液寡克隆电泳分析</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抗髓鞘少突胶质细胞糖蛋白抗体(MOG)</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脑脊液寡克隆电泳分析</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抗突触蛋白-3α抗体IgG(Neurexin-3α)</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脑脊液寡克隆电泳分析</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抗谷氨酸受体抗体IgG(NMDAR)</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脑脊液寡克隆电泳分析</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ＣＤ4细胞ＡＴＰ释放试验</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CD4细胞ATP释放试验-荧光素酶法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1182.52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上呼吸道７１种病原体靶向测序</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各类病原体DNA测定-定量</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150.4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风疹病毒定性(IgG)</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各类病原体DNA测定-定性</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75.2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水痘-带状包疹病毒定性</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各类病原体DNA测定-定性</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75.2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微小病毒B19-IgM抗体</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其它病毒的血清学诊断</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微小病毒B19-IgG抗体</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其它病毒的血清学诊断</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麻疹病毒抗体二项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病毒血清学试验</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军团菌抗体IgM</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细菌抗体测定-各种免疫学方法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43.24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（水痘）带状疱疹病毒IgM抗体</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水痘-带状疱疹病毒抗体测定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35.72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（水痘）带状疱疹病毒IgG抗体</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水痘-带状疱疹病毒抗体测定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35.72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抗精子抗体定量</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抗精子抗体测定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性激素结合球蛋白</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性激素结合球蛋白测定-各种免疫学方法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52.64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巨细胞病毒抗体IgG定性</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巨细胞病毒抗体测定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54.52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抗线粒体抗体亚型2、4、9</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抗线粒体抗体测定(AMA)-免疫学法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抗肾小球基底膜抗体</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抗肾小球基底膜抗体测定-各种免疫学方法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抗角蛋白抗体</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抗角蛋白抗体(AKA)测定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75.2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抗蛋白酶3抗体</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抗中性粒细胞胞浆抗体测定(ANCA)-免疫学法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56.4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抗甲状腺过氧化物酶抗体</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抗甲状腺过氧化物酶抗体（TPOAb）检测-化学发光法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52.64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抗中性粒细胞包浆抗体</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抗中性粒细胞胞浆抗体测定(ANCA)-免疫学法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56.4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IgG抗A效价测定</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血型抗体效价测定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IgG抗B效价测定</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血型抗体效价测定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脑寄生虫全套</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弓形体抗体测定-各种免疫学方法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24.44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脑寄生虫全套</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各种寄生虫免疫学检查-凝集法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儿茶芬胺（尿）</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尿儿茶酚胺测定-色谱法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84.6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儿茶芬胺(血）</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尿儿茶酚胺测定-色谱法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84.6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弓形虫IgM抗体定量</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弓形体抗体测定-化学发光法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47.94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弓形虫IgG抗体定量</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弓形体抗体测定-化学发光法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47.94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风疹病毒IgM抗体定量</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风疹病毒抗体测定-化学发光法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47.94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风疹病毒IgG抗体定量</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风疹病毒抗体测定-化学发光法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47.94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巨细胞病毒IgG抗体定量</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巨细胞病毒抗体测定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54.52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单纯疱疹病毒I型IgG抗体定量</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单纯疱疹病毒抗体测定-各种免疫学方法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24.44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单纯疱疹病毒I型IgM抗体定性</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单纯疱疹病毒抗体测定-各种免疫学方法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24.44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单纯疱疹病毒II型IgG抗体定量</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单纯疱疹病毒抗体测定-各种免疫学方法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24.44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单纯疱疹病毒II型IgM抗体定性</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单纯疱疹病毒抗体测定-各种免疫学方法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24.44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人附睾蛋白(HE)测定(HE4)</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人附睾蛋白(HE4)测定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79.9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鳞癌细胞抗原</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鳞状细胞癌相关抗原测定(SCC)-化学发光法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17a羟基孕酮</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17a羟基孕酮测定-化学发光法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53.58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优生定量检测</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弓形体抗体测定-化学发光法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47.94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优生定量检测</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风疹病毒抗体测定-化学发光法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47.94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优生定量检测</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巨细胞病毒抗体测定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54.52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白血病/淋巴瘤/MDS免疫分型(40抗体)</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血细胞簇分化抗原（CD）系列检测-流式细胞仪法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56.4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硫酸去氢表雄酮</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血清脱氢表雄酮及硫酸酯测定-化学发光法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53.58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雄烯二酮</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雄烯二酮测定-化学发光法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43.24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骨钙素（OST）</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血清骨钙素测定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37.6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尿游离皮质醇</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24小时尿游离皮质醇测定-化学发光法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51.7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曲霉菌抗原检测(GM试验）</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真菌D-葡聚糖检测</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169.2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巨细胞病毒IgM抗体定量</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巨细胞病毒抗体测定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54.52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胰岛素样生长因子测定-1</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类胰岛素样生长因子测定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86.48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遗传代谢病筛查45种（串联质谱）</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血游离脂肪酸测定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8.46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遗传代谢病筛查45种（串联质谱）</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血清各类氨基酸测定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产科地贫筛查(免费)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产科地贫筛查（免费）</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地贫筛查</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血红蛋白电泳-全自动仪器法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38.54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地贫筛查+血常规</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血常规-五分类</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地贫筛查+血常规</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血红蛋白电泳-全自动仪器法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38.54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血管炎五项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抗中性粒细胞胞浆抗体测定(ANCA)-免疫学法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56.4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自身免疫性肝病</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抗核抗体测定(ANA)-定性法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31.96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自身免疫性肝病</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抗线粒体抗体测定(AMA)-免疫学法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自身免疫性肝病</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抗线粒体抗体测定(AMA)-免疫印迹法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28.2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自身免疫性肝病</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抗组织细胞抗体测定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自身免疫性肝病</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抗可溶性肝抗原/肝-胰抗原抗体(SLA/LP)测定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自身免疫性肝病</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抗肝肾微粒体抗体(LKM)测定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自身免疫性肝病</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抗肝细胞溶质抗原I型抗体测定(LC-1)</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66.74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血清胸苷激酶（TK1)测定</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血清胸苷激酶（TK1)测定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免疫固定电泳7项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免疫固定电泳</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男肿瘤标志物12项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癌胚抗原测定(CEA)-化学发光法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64.86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男肿瘤标志物12项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甲胎蛋白测定(AFP)-化学发光法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64.86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男肿瘤标志物12项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总前列腺特异性抗原测定(TPSA)-化学发光法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76.14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男肿瘤标志物12项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游离前列腺特异性抗原测定(FPSA)-化学发光法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84.6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男肿瘤标志物12项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神经元特异性烯醇化酶测定(NSE)-化学发光法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65.8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男肿瘤标志物12项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细胞角蛋白19片段测定（CTFRA21-1)-化学发光法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84.6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男肿瘤标志物12项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糖类抗原测定-化学发光法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男肿瘤标志物12项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鳞状细胞癌相关抗原测定(SCC)-化学发光法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女肿瘤标志物12项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特异β人绒毛膜促性腺激素测定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44.18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女肿瘤标志物12项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癌胚抗原测定(CEA)-化学发光法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64.86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女肿瘤标志物12项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甲胎蛋白测定(AFP)-化学发光法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64.86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女肿瘤标志物12项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神经元特异性烯醇化酶测定(NSE)-化学发光法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65.8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女肿瘤标志物12项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细胞角蛋白19片段测定（CTFRA21-1)-化学发光法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84.6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女肿瘤标志物12项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糖类抗原测定-化学发光法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女肿瘤标志物12项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鳞状细胞癌相关抗原测定(SCC)-化学发光法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女肿瘤标志物12项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人附睾蛋白(HE4)测定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79.9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蛋白C活性</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血浆蛋白C活性测定(PC)</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65.8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蛋白S活性</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血浆蛋白S测定(PS)</w:t>
            </w:r>
          </w:p>
        </w:tc>
        <w:tc>
          <w:tcPr>
            <w:tcW w:w="1800" w:type="dxa"/>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lang w:bidi="ar"/>
              </w:rPr>
              <w:t>188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胃泌素释放肽前体(ProGRP)测定</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胃泌素释放肽前体（ProGRP)测定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53.58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EB两项(VCA-IgA;EA-IgA)</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EB病毒抗体测定-各种免疫学方法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男性多肿瘤标志物12项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胃蛋白酶原I测定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66.74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男性多肿瘤标志物12项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胃蛋白酶原II测定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66.74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男性多肿瘤标志物12项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胃泌素释放肽前体（ProGRP)测定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53.58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男性多肿瘤标志物12项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细胞角蛋白19片段测定（CTFRA21-1)-化学发光法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84.6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男性多肿瘤标志物12项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糖类抗原测定-化学发光法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女性多肿瘤标志物12项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胃蛋白酶原I测定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66.74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女性多肿瘤标志物12项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胃蛋白酶原II测定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66.74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女性多肿瘤标志物12项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胃泌素释放肽前体（ProGRP)测定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53.58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女性多肿瘤标志物12项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细胞角蛋白19片段测定（CTFRA21-1)-化学发光法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84.6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女性多肿瘤标志物12项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糖类抗原测定-化学发光法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广东省胎儿无创DNA检查</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广东省胎儿无创DNA检查</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1002.7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广东省唐氏筛查Ⅰ期(免费)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广东省唐氏筛查Ⅰ期（免费）</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广东省唐氏筛查Ⅱ期(免费)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广东省唐氏筛查Ⅱ期（免费）</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遗传代谢病筛查45种（气相色谱）</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血游离脂肪酸测定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8.46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遗传代谢病筛查45种（气相色谱）</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血清各类氨基酸测定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病原体抗体9项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呼吸道合胞病毒抗体测定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37.6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病原体抗体9项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副流感病毒抗体测定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37.6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病原体抗体9项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腺病毒抗体测定-各种免疫学方法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病原体抗体9项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病毒血清学试验</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病原体抗体9项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肺炎衣原体抗体检测</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58.28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病原体抗体9项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其它病毒的血清学诊断</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骨标志物三项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血清骨钙素测定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37.6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骨标志物三项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总I型胶原氨基端延长肽(PINP)检测-化学发光法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79.9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骨标志物三项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β胶原特殊系列(β-CrossLaps)检测-化学发光法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63.92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贫血三项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血清铁蛋白测定-化学发光法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贫血三项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叶酸测定-化学发光法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55.94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贫血三项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血清维生素测定-化学发光法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55.94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无创胎儿染色体非整倍体产前DNA检测</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唐氏综合症筛查-胎儿21-三体综合征基因检测筛查</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1602.7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血汞定量检测</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微量元素测定-原子吸收法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尿汞定量检测</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血清药物浓度测定-多抗法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微量元素5项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微量元素测定-原子吸收法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淋巴细胞亚群(CD3;4;8;19;NK)</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血细胞簇分化抗原（CD）系列检测-流式细胞仪法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56.4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胰岛素样生长因子结合蛋白</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类胰岛素样生长因子测定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86.48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血浆脂蛋白磷脂酶A2（Lp—PLA2）测定</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血浆脂蛋白磷脂酶A2（Lp-PLA2）测定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167.8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脑脊液寡克隆区带分析</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脑脊液寡克隆电泳分析</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脆性X综合症</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脆X综合症基因诊断</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56.4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染色体微阵列(CMA)分析HD</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脱氧核糖核酸(DNA)测序</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RhD血型抗体效价</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血型单特异性抗体鉴定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耳聋基因芯片筛查和诊断</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耳聋基因芯片筛查和诊断</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383.52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抗缪勒管激素检测</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白细胞特异性和组织相关融性(HLA)抗体检测</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外周血染色体核型分析(G带;R带;400带)</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培养细胞的染色体分析</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223.72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骨髓染色体核型分析G+R带400带</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培养细胞的染色体分析</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223.72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丙型肝炎病毒基因分型(测序法)</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丙型肝炎病毒（HCV）基因分型</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pStyle w:val="4"/>
              <w:tabs>
                <w:tab w:val="left" w:pos="420"/>
              </w:tabs>
              <w:adjustRightInd w:val="0"/>
              <w:snapToGrid w:val="0"/>
              <w:jc w:val="center"/>
              <w:rPr>
                <w:rFonts w:hint="eastAsia" w:hAnsi="宋体" w:eastAsia="宋体" w:cs="宋体"/>
                <w:bCs/>
                <w:color w:val="auto"/>
                <w:sz w:val="24"/>
                <w:szCs w:val="24"/>
              </w:rPr>
            </w:pPr>
            <w:r>
              <w:rPr>
                <w:rFonts w:hint="eastAsia" w:hAnsi="宋体" w:eastAsia="宋体" w:cs="宋体"/>
                <w:bCs/>
                <w:color w:val="auto"/>
                <w:sz w:val="24"/>
                <w:szCs w:val="24"/>
              </w:rPr>
              <w:t>丙型肝炎病毒基因分型(PCR法)</w:t>
            </w:r>
          </w:p>
        </w:tc>
        <w:tc>
          <w:tcPr>
            <w:tcW w:w="3368" w:type="dxa"/>
            <w:vAlign w:val="center"/>
          </w:tcPr>
          <w:p>
            <w:pPr>
              <w:pStyle w:val="4"/>
              <w:tabs>
                <w:tab w:val="left" w:pos="420"/>
              </w:tabs>
              <w:adjustRightInd w:val="0"/>
              <w:snapToGrid w:val="0"/>
              <w:jc w:val="center"/>
              <w:rPr>
                <w:rFonts w:hint="eastAsia" w:hAnsi="宋体" w:eastAsia="宋体" w:cs="宋体"/>
                <w:bCs/>
                <w:color w:val="auto"/>
                <w:sz w:val="24"/>
                <w:szCs w:val="24"/>
              </w:rPr>
            </w:pPr>
            <w:r>
              <w:rPr>
                <w:rFonts w:hint="eastAsia" w:hAnsi="宋体" w:eastAsia="宋体" w:cs="宋体"/>
                <w:bCs/>
                <w:color w:val="auto"/>
                <w:sz w:val="24"/>
                <w:szCs w:val="24"/>
              </w:rPr>
              <w:t>丙型肝炎病毒（HCV）基因分型</w:t>
            </w:r>
          </w:p>
        </w:tc>
        <w:tc>
          <w:tcPr>
            <w:tcW w:w="1800" w:type="dxa"/>
            <w:vAlign w:val="center"/>
          </w:tcPr>
          <w:p>
            <w:pPr>
              <w:widowControl/>
              <w:jc w:val="center"/>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122.2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血小板抗体CD4</w:t>
            </w:r>
            <w:r>
              <w:rPr>
                <w:rFonts w:ascii="宋体" w:hAnsi="宋体" w:eastAsia="宋体" w:cs="宋体"/>
                <w:bCs/>
                <w:color w:val="auto"/>
                <w:sz w:val="24"/>
                <w:szCs w:val="24"/>
              </w:rPr>
              <w:t>1</w:t>
            </w:r>
            <w:r>
              <w:rPr>
                <w:rFonts w:hint="eastAsia" w:ascii="宋体" w:hAnsi="宋体" w:eastAsia="宋体" w:cs="宋体"/>
                <w:bCs/>
                <w:color w:val="auto"/>
                <w:sz w:val="24"/>
                <w:szCs w:val="24"/>
              </w:rPr>
              <w:t>(IgG)</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抗血液细胞抗体测定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JAK2 V617F基因</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脱氧核糖核酸(DNA)测序</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JAK2基因</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脱氧核糖核酸(DNA)测序</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白血病融合基因(BCR-ABL1 P210)检测</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白血病融合基因分型-Real-time PCR(实时荧光定量PCR)</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463.42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白血病融合基因(BCR-ABL1 P230)</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白血病融合基因分型-Real-time PCR(实时荧光定量PCR)</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463.42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EB病毒四项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EB病毒抗体测定-各种免疫学方法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抗乙酰胆碱受体抗体测定</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抗乙酰胆碱受体抗体测定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42.3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总IgE</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总IgE测定-化学发光法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55.94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生殖支原体SAT检测</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各类病原体RNA测定(核酸恒温扩增法)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127.84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泌尿生殖感染检测四项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各类病原体RNA测定(核酸恒温扩增法)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127.84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泌尿生殖感染检测四项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细菌抗原分析</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84.6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手足口病SAT两项检测(A16型、71型)</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Real-time PCR （实时荧光定量PCR）</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127.84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结核分枝杆菌RNA检测</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各类病原体RNA测定(核酸恒温扩增法)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127.84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染色体芯片分析遗传缺限检测（低分辩60K）</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脱氧核糖核酸(DNA)测序</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IgG4</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免疫球蛋白亚类(IgG4)定量测定(酶免法)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115.62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EGFR基因突变</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脱氧核糖核酸(DNA)测序</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抗磷脂酶A2受体抗体</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血浆脂蛋白磷脂酶A2（Lp-PLA2）测定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167.8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糖化血清蛋白</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血清果糖胺测定-化学法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FGFR3基因突变检测</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脱氧核糖核酸(DNA)测序</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氯吡格雷药物相关基因多态性检测</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脱氧核糖核酸(DNA)测序</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炎症因子组套</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各种白介素测定-化学发光法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75.2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炎症因子组套</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肿瘤坏死因子测定(TNF)-化学发光法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61.1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产科广东省早孕期筛查</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广东省早孕期筛查</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产科广东省中孕期筛查</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广东省中孕期筛查</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无创NIPT-plus</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染色体分析</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169.2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外周血淋巴细胞微核分析</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外周血细胞染色体检查</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169.2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糖类抗原CA72-4</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糖类抗原测定-化学发光法</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超氧化物歧化酶</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超氧化物歧化酶（SOD)测定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25.38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流产胚胎或绒毛染色体非整倍数分析检测</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培养绒毛羊水细胞的染色体分析</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1163.72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结核分枝杆菌检测QFT</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干扰素测定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37.6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结核分枝杆菌检测QFT</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群体反应抗体检测</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巨细胞病毒DNA测定</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巨细胞病毒（CMV)DNA测定</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101.52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ascii="宋体" w:hAnsi="宋体" w:eastAsia="宋体" w:cs="宋体"/>
                <w:bCs/>
                <w:color w:val="auto"/>
                <w:sz w:val="24"/>
                <w:szCs w:val="24"/>
              </w:rPr>
              <w:t>BP180抗体</w:t>
            </w:r>
            <w:r>
              <w:rPr>
                <w:rFonts w:hint="eastAsia" w:ascii="宋体" w:hAnsi="宋体" w:eastAsia="宋体" w:cs="宋体"/>
                <w:bCs/>
                <w:color w:val="auto"/>
                <w:sz w:val="24"/>
                <w:szCs w:val="24"/>
              </w:rPr>
              <w:t>检测</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大疱性皮肤疾病检测</w:t>
            </w:r>
          </w:p>
        </w:tc>
        <w:tc>
          <w:tcPr>
            <w:tcW w:w="1800" w:type="dxa"/>
            <w:vAlign w:val="center"/>
          </w:tcPr>
          <w:p>
            <w:pPr>
              <w:widowControl/>
              <w:jc w:val="center"/>
              <w:textAlignment w:val="center"/>
              <w:rPr>
                <w:rFonts w:ascii="宋体" w:hAnsi="宋体" w:eastAsia="宋体" w:cs="宋体"/>
                <w:b/>
                <w:color w:val="auto"/>
                <w:sz w:val="24"/>
                <w:szCs w:val="24"/>
              </w:rPr>
            </w:pPr>
            <w:r>
              <w:rPr>
                <w:rFonts w:hint="eastAsia" w:ascii="宋体" w:hAnsi="宋体" w:eastAsia="宋体" w:cs="宋体"/>
                <w:color w:val="auto"/>
                <w:kern w:val="0"/>
                <w:sz w:val="24"/>
                <w:szCs w:val="24"/>
                <w:lang w:bidi="ar"/>
              </w:rPr>
              <w:t>84.6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tcPr>
          <w:p>
            <w:pPr>
              <w:jc w:val="center"/>
              <w:rPr>
                <w:rFonts w:ascii="宋体" w:hAnsi="宋体" w:eastAsia="宋体" w:cs="宋体"/>
                <w:color w:val="auto"/>
                <w:sz w:val="24"/>
                <w:szCs w:val="24"/>
              </w:rPr>
            </w:pPr>
            <w:r>
              <w:rPr>
                <w:rFonts w:hint="eastAsia" w:ascii="宋体" w:hAnsi="宋体" w:eastAsia="宋体" w:cs="宋体"/>
                <w:color w:val="auto"/>
                <w:sz w:val="24"/>
                <w:szCs w:val="24"/>
              </w:rPr>
              <w:t>别嘌醇药物过敏基因检测</w:t>
            </w:r>
          </w:p>
        </w:tc>
        <w:tc>
          <w:tcPr>
            <w:tcW w:w="3368" w:type="dxa"/>
          </w:tcPr>
          <w:p>
            <w:pPr>
              <w:ind w:firstLine="960" w:firstLineChars="400"/>
              <w:rPr>
                <w:rFonts w:ascii="宋体" w:hAnsi="宋体" w:eastAsia="宋体" w:cs="宋体"/>
                <w:color w:val="auto"/>
                <w:sz w:val="24"/>
                <w:szCs w:val="24"/>
              </w:rPr>
            </w:pPr>
            <w:r>
              <w:rPr>
                <w:rFonts w:hint="eastAsia" w:ascii="宋体" w:hAnsi="宋体" w:eastAsia="宋体" w:cs="宋体"/>
                <w:color w:val="auto"/>
                <w:sz w:val="24"/>
                <w:szCs w:val="24"/>
              </w:rPr>
              <w:t>HLA-B*5801位点检测</w:t>
            </w:r>
          </w:p>
        </w:tc>
        <w:tc>
          <w:tcPr>
            <w:tcW w:w="1800" w:type="dxa"/>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lang w:bidi="ar"/>
              </w:rPr>
              <w:t>460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tcPr>
          <w:p>
            <w:pPr>
              <w:jc w:val="center"/>
              <w:rPr>
                <w:rFonts w:ascii="宋体" w:hAnsi="宋体" w:eastAsia="宋体" w:cs="宋体"/>
                <w:color w:val="auto"/>
                <w:sz w:val="24"/>
                <w:szCs w:val="24"/>
              </w:rPr>
            </w:pPr>
            <w:r>
              <w:rPr>
                <w:rFonts w:hint="eastAsia" w:ascii="宋体" w:hAnsi="宋体" w:eastAsia="宋体" w:cs="宋体"/>
                <w:color w:val="auto"/>
                <w:sz w:val="24"/>
                <w:szCs w:val="24"/>
              </w:rPr>
              <w:t>卡马西平药物过敏基因</w:t>
            </w:r>
          </w:p>
        </w:tc>
        <w:tc>
          <w:tcPr>
            <w:tcW w:w="3368" w:type="dxa"/>
          </w:tcPr>
          <w:p>
            <w:pPr>
              <w:rPr>
                <w:rFonts w:ascii="宋体" w:hAnsi="宋体" w:eastAsia="宋体" w:cs="宋体"/>
                <w:color w:val="auto"/>
                <w:sz w:val="24"/>
                <w:szCs w:val="24"/>
              </w:rPr>
            </w:pPr>
            <w:r>
              <w:rPr>
                <w:rFonts w:hint="eastAsia" w:ascii="宋体" w:hAnsi="宋体" w:eastAsia="宋体" w:cs="宋体"/>
                <w:color w:val="auto"/>
                <w:sz w:val="24"/>
                <w:szCs w:val="24"/>
              </w:rPr>
              <w:t>HLA-B*1502、HLA-A*3101位点检测</w:t>
            </w:r>
          </w:p>
        </w:tc>
        <w:tc>
          <w:tcPr>
            <w:tcW w:w="1800" w:type="dxa"/>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lang w:bidi="ar"/>
              </w:rPr>
              <w:t>460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甲胎蛋白异质体比率AFP-L3%</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肝癌检测</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79.90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不孕不育自身抗体五项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抗精子抗体，抗子宫内膜抗体，抗心磷脂抗体，抗HCG抗体，抗卵巢抗体</w:t>
            </w:r>
          </w:p>
          <w:p>
            <w:pPr>
              <w:tabs>
                <w:tab w:val="left" w:pos="420"/>
              </w:tabs>
              <w:adjustRightInd w:val="0"/>
              <w:snapToGrid w:val="0"/>
              <w:jc w:val="center"/>
              <w:rPr>
                <w:rFonts w:ascii="宋体" w:hAnsi="宋体" w:eastAsia="宋体" w:cs="宋体"/>
                <w:bCs/>
                <w:color w:val="auto"/>
                <w:sz w:val="24"/>
                <w:szCs w:val="24"/>
              </w:rPr>
            </w:pP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246.09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人细小病毒（B19-DNA)定性</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color w:val="auto"/>
                <w:sz w:val="24"/>
                <w:szCs w:val="24"/>
              </w:rPr>
              <w:t>用于 B19 感染的早期诊断。</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75.2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结核感染T细胞检测(T-SPOT.TB)</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color w:val="auto"/>
                <w:sz w:val="24"/>
                <w:szCs w:val="24"/>
              </w:rPr>
              <w:t>用于临床辅助结核病的诊断。</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347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tcPr>
          <w:p>
            <w:pPr>
              <w:ind w:firstLine="120" w:firstLineChars="50"/>
              <w:rPr>
                <w:rFonts w:ascii="宋体" w:hAnsi="宋体" w:eastAsia="宋体" w:cs="宋体"/>
                <w:color w:val="auto"/>
                <w:sz w:val="24"/>
                <w:szCs w:val="24"/>
              </w:rPr>
            </w:pPr>
            <w:r>
              <w:rPr>
                <w:rFonts w:hint="eastAsia" w:ascii="宋体" w:hAnsi="宋体" w:eastAsia="宋体" w:cs="宋体"/>
                <w:color w:val="auto"/>
                <w:sz w:val="24"/>
                <w:szCs w:val="24"/>
              </w:rPr>
              <w:t>尿液有机酸分析</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color w:val="auto"/>
                <w:sz w:val="24"/>
                <w:szCs w:val="24"/>
              </w:rPr>
              <w:t>用于有机酸代谢病的诊断。</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260.19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tcPr>
          <w:p>
            <w:pPr>
              <w:ind w:firstLine="240" w:firstLineChars="100"/>
              <w:rPr>
                <w:rFonts w:ascii="宋体" w:hAnsi="宋体" w:eastAsia="宋体" w:cs="宋体"/>
                <w:color w:val="auto"/>
                <w:sz w:val="24"/>
                <w:szCs w:val="24"/>
              </w:rPr>
            </w:pPr>
            <w:r>
              <w:rPr>
                <w:rFonts w:hint="eastAsia" w:ascii="宋体" w:hAnsi="宋体" w:eastAsia="宋体" w:cs="宋体"/>
                <w:color w:val="auto"/>
                <w:sz w:val="24"/>
                <w:szCs w:val="24"/>
              </w:rPr>
              <w:t>百日咳杆菌核酸检测</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color w:val="auto"/>
                <w:sz w:val="24"/>
                <w:szCs w:val="24"/>
              </w:rPr>
              <w:t>辅助诊断百日咳杆菌感染</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75.2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tcPr>
          <w:p>
            <w:pPr>
              <w:rPr>
                <w:rFonts w:ascii="宋体" w:hAnsi="宋体" w:eastAsia="宋体" w:cs="宋体"/>
                <w:color w:val="auto"/>
                <w:sz w:val="24"/>
                <w:szCs w:val="24"/>
              </w:rPr>
            </w:pPr>
            <w:r>
              <w:rPr>
                <w:rFonts w:hint="eastAsia" w:ascii="宋体" w:hAnsi="宋体" w:eastAsia="宋体" w:cs="宋体"/>
                <w:color w:val="auto"/>
                <w:sz w:val="24"/>
                <w:szCs w:val="24"/>
              </w:rPr>
              <w:t>肝癌三联检</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肝癌检测</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144.76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tcPr>
          <w:p>
            <w:pPr>
              <w:rPr>
                <w:rFonts w:ascii="宋体" w:hAnsi="宋体" w:eastAsia="宋体" w:cs="宋体"/>
                <w:color w:val="auto"/>
                <w:sz w:val="24"/>
                <w:szCs w:val="24"/>
              </w:rPr>
            </w:pPr>
            <w:r>
              <w:rPr>
                <w:rFonts w:hint="eastAsia" w:ascii="宋体" w:hAnsi="宋体" w:eastAsia="宋体" w:cs="宋体"/>
                <w:color w:val="auto"/>
                <w:sz w:val="24"/>
                <w:szCs w:val="24"/>
              </w:rPr>
              <w:t>人体营养素-元素15项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color w:val="auto"/>
                <w:sz w:val="24"/>
                <w:szCs w:val="24"/>
              </w:rPr>
              <w:t>全血镁、全血钙、全血钒、全血铬、全血锰、全血铁、全血钴、全血镍、全血铜、全血锌、全血硒、全血铷、全血钼、全血镉、全血铅</w:t>
            </w:r>
          </w:p>
        </w:tc>
        <w:tc>
          <w:tcPr>
            <w:tcW w:w="1800" w:type="dxa"/>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lang w:bidi="ar"/>
              </w:rPr>
              <w:t>123.61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tcPr>
          <w:p>
            <w:pPr>
              <w:rPr>
                <w:rFonts w:ascii="宋体" w:hAnsi="宋体" w:eastAsia="宋体" w:cs="宋体"/>
                <w:color w:val="auto"/>
                <w:sz w:val="24"/>
                <w:szCs w:val="24"/>
              </w:rPr>
            </w:pPr>
            <w:r>
              <w:rPr>
                <w:rFonts w:hint="eastAsia" w:ascii="宋体" w:hAnsi="宋体" w:eastAsia="宋体" w:cs="宋体"/>
                <w:color w:val="auto"/>
                <w:sz w:val="24"/>
                <w:szCs w:val="24"/>
              </w:rPr>
              <w:t>中枢神经系统脱髓鞘抗体4项</w:t>
            </w:r>
          </w:p>
        </w:tc>
        <w:tc>
          <w:tcPr>
            <w:tcW w:w="3368" w:type="dxa"/>
            <w:vAlign w:val="center"/>
          </w:tcPr>
          <w:p>
            <w:pPr>
              <w:tabs>
                <w:tab w:val="left" w:pos="420"/>
              </w:tabs>
              <w:adjustRightInd w:val="0"/>
              <w:snapToGrid w:val="0"/>
              <w:jc w:val="center"/>
              <w:rPr>
                <w:rFonts w:ascii="宋体" w:hAnsi="宋体" w:eastAsia="宋体" w:cs="宋体"/>
                <w:color w:val="auto"/>
                <w:sz w:val="24"/>
                <w:szCs w:val="24"/>
              </w:rPr>
            </w:pPr>
            <w:r>
              <w:rPr>
                <w:rFonts w:hint="eastAsia" w:ascii="宋体" w:hAnsi="宋体" w:eastAsia="宋体" w:cs="宋体"/>
                <w:color w:val="auto"/>
                <w:sz w:val="24"/>
                <w:szCs w:val="24"/>
              </w:rPr>
              <w:t>QP4、MOG、GFAP、MBP</w:t>
            </w:r>
          </w:p>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color w:val="auto"/>
                <w:sz w:val="24"/>
                <w:szCs w:val="24"/>
              </w:rPr>
              <w:t>抗NMO/AQP4抗体IgG，抗MOG抗体IgG，抗MBP抗体IgG</w:t>
            </w:r>
          </w:p>
        </w:tc>
        <w:tc>
          <w:tcPr>
            <w:tcW w:w="1800" w:type="dxa"/>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lang w:bidi="ar"/>
              </w:rPr>
              <w:t>1021.6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tcPr>
          <w:p>
            <w:pPr>
              <w:rPr>
                <w:rFonts w:ascii="宋体" w:hAnsi="宋体" w:eastAsia="宋体" w:cs="宋体"/>
                <w:color w:val="auto"/>
                <w:sz w:val="24"/>
                <w:szCs w:val="24"/>
              </w:rPr>
            </w:pPr>
            <w:r>
              <w:rPr>
                <w:rFonts w:hint="eastAsia" w:ascii="宋体" w:hAnsi="宋体" w:eastAsia="宋体" w:cs="宋体"/>
                <w:color w:val="auto"/>
                <w:sz w:val="24"/>
                <w:szCs w:val="24"/>
              </w:rPr>
              <w:t>脑脊液免疫定量及蛋白分析</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color w:val="auto"/>
                <w:sz w:val="24"/>
                <w:szCs w:val="24"/>
                <w:shd w:val="clear" w:color="auto" w:fill="FFFFFF"/>
              </w:rPr>
              <w:t>对某些CNS疾病的诊断、疗效观察和预后判断。</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639.20</w:t>
            </w:r>
          </w:p>
        </w:tc>
      </w:tr>
      <w:tr>
        <w:tblPrEx>
          <w:tblCellMar>
            <w:top w:w="0" w:type="dxa"/>
            <w:left w:w="108" w:type="dxa"/>
            <w:bottom w:w="0" w:type="dxa"/>
            <w:right w:w="108" w:type="dxa"/>
          </w:tblCellMar>
        </w:tblPrEx>
        <w:trPr>
          <w:trHeight w:val="29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tcPr>
          <w:p>
            <w:pPr>
              <w:rPr>
                <w:rFonts w:ascii="宋体" w:hAnsi="宋体" w:eastAsia="宋体" w:cs="宋体"/>
                <w:color w:val="auto"/>
                <w:sz w:val="24"/>
                <w:szCs w:val="24"/>
              </w:rPr>
            </w:pPr>
            <w:r>
              <w:rPr>
                <w:rFonts w:hint="eastAsia" w:ascii="宋体" w:hAnsi="宋体" w:eastAsia="宋体" w:cs="宋体"/>
                <w:color w:val="auto"/>
                <w:sz w:val="24"/>
                <w:szCs w:val="24"/>
              </w:rPr>
              <w:t>腹泻八项</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color w:val="auto"/>
                <w:sz w:val="24"/>
                <w:szCs w:val="24"/>
              </w:rPr>
              <w:t>艰难梭菌(CD)DNA定性检测，空肠弯曲杆菌(CJ)DNA定性检测，轮状病毒(RV)DNA定性检测，沙门氏菌(SM)DNA定性检测，腺病毒(AdV)DNA定性，诺如病毒(NoV)RNA定性，星状病毒(AstV)RNA定性检测，札如病毒(SV)RNA定性检测</w:t>
            </w:r>
          </w:p>
        </w:tc>
        <w:tc>
          <w:tcPr>
            <w:tcW w:w="1800" w:type="dxa"/>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lang w:bidi="ar"/>
              </w:rPr>
              <w:t>376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tcPr>
          <w:p>
            <w:pPr>
              <w:rPr>
                <w:rFonts w:ascii="宋体" w:hAnsi="宋体" w:eastAsia="宋体" w:cs="宋体"/>
                <w:color w:val="auto"/>
                <w:sz w:val="24"/>
                <w:szCs w:val="24"/>
              </w:rPr>
            </w:pPr>
            <w:r>
              <w:rPr>
                <w:rFonts w:hint="eastAsia" w:ascii="宋体" w:hAnsi="宋体" w:eastAsia="宋体" w:cs="宋体"/>
                <w:color w:val="auto"/>
                <w:sz w:val="24"/>
                <w:szCs w:val="24"/>
              </w:rPr>
              <w:t>B族链球菌DNA定量检测</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color w:val="auto"/>
                <w:sz w:val="24"/>
                <w:szCs w:val="24"/>
              </w:rPr>
              <w:t>各类病原体DNA测定-定量</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150.4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tcPr>
          <w:p>
            <w:pPr>
              <w:rPr>
                <w:rFonts w:ascii="宋体" w:hAnsi="宋体" w:eastAsia="宋体" w:cs="宋体"/>
                <w:color w:val="auto"/>
                <w:sz w:val="24"/>
                <w:szCs w:val="24"/>
              </w:rPr>
            </w:pPr>
            <w:r>
              <w:rPr>
                <w:rFonts w:hint="eastAsia" w:ascii="宋体" w:hAnsi="宋体" w:eastAsia="宋体" w:cs="宋体"/>
                <w:color w:val="auto"/>
                <w:sz w:val="24"/>
                <w:szCs w:val="24"/>
              </w:rPr>
              <w:t>无创肝癌筛查基因检测（单筛）</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bCs/>
                <w:color w:val="auto"/>
                <w:sz w:val="24"/>
                <w:szCs w:val="24"/>
              </w:rPr>
              <w:t>对原发性肝癌辅助诊断</w:t>
            </w:r>
          </w:p>
        </w:tc>
        <w:tc>
          <w:tcPr>
            <w:tcW w:w="1800" w:type="dxa"/>
            <w:vAlign w:val="center"/>
          </w:tcPr>
          <w:p>
            <w:pPr>
              <w:widowControl/>
              <w:jc w:val="center"/>
              <w:textAlignment w:val="center"/>
              <w:rPr>
                <w:rFonts w:ascii="宋体" w:hAnsi="宋体" w:eastAsia="宋体" w:cs="宋体"/>
                <w:bCs/>
                <w:color w:val="auto"/>
                <w:sz w:val="24"/>
                <w:szCs w:val="24"/>
              </w:rPr>
            </w:pPr>
            <w:r>
              <w:rPr>
                <w:rFonts w:hint="eastAsia" w:ascii="宋体" w:hAnsi="宋体" w:eastAsia="宋体" w:cs="宋体"/>
                <w:color w:val="auto"/>
                <w:kern w:val="0"/>
                <w:sz w:val="24"/>
                <w:szCs w:val="24"/>
                <w:lang w:bidi="ar"/>
              </w:rPr>
              <w:t>1380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724" w:type="dxa"/>
          </w:tcPr>
          <w:p>
            <w:pPr>
              <w:pStyle w:val="10"/>
              <w:numPr>
                <w:ilvl w:val="0"/>
                <w:numId w:val="2"/>
              </w:numPr>
              <w:tabs>
                <w:tab w:val="left" w:pos="420"/>
              </w:tabs>
              <w:adjustRightInd w:val="0"/>
              <w:snapToGrid w:val="0"/>
              <w:ind w:firstLineChars="0"/>
              <w:jc w:val="center"/>
              <w:rPr>
                <w:rFonts w:ascii="宋体" w:hAnsi="宋体" w:cs="宋体"/>
                <w:bCs/>
                <w:color w:val="auto"/>
                <w:sz w:val="24"/>
                <w:szCs w:val="24"/>
              </w:rPr>
            </w:pPr>
          </w:p>
        </w:tc>
        <w:tc>
          <w:tcPr>
            <w:tcW w:w="2698" w:type="dxa"/>
          </w:tcPr>
          <w:p>
            <w:pPr>
              <w:rPr>
                <w:rFonts w:ascii="宋体" w:hAnsi="宋体" w:eastAsia="宋体" w:cs="宋体"/>
                <w:color w:val="auto"/>
                <w:sz w:val="24"/>
                <w:szCs w:val="24"/>
              </w:rPr>
            </w:pPr>
            <w:r>
              <w:rPr>
                <w:rFonts w:hint="eastAsia" w:ascii="宋体" w:hAnsi="宋体" w:eastAsia="宋体" w:cs="宋体"/>
                <w:color w:val="auto"/>
                <w:sz w:val="24"/>
                <w:szCs w:val="24"/>
              </w:rPr>
              <w:t>人乳头瘤病毒核酸测定</w:t>
            </w:r>
          </w:p>
        </w:tc>
        <w:tc>
          <w:tcPr>
            <w:tcW w:w="3368" w:type="dxa"/>
            <w:vAlign w:val="center"/>
          </w:tcPr>
          <w:p>
            <w:pPr>
              <w:tabs>
                <w:tab w:val="left" w:pos="420"/>
              </w:tabs>
              <w:adjustRightInd w:val="0"/>
              <w:snapToGrid w:val="0"/>
              <w:jc w:val="center"/>
              <w:rPr>
                <w:rFonts w:ascii="宋体" w:hAnsi="宋体" w:eastAsia="宋体" w:cs="宋体"/>
                <w:bCs/>
                <w:color w:val="auto"/>
                <w:sz w:val="24"/>
                <w:szCs w:val="24"/>
              </w:rPr>
            </w:pPr>
            <w:r>
              <w:rPr>
                <w:rFonts w:hint="eastAsia" w:ascii="宋体" w:hAnsi="宋体" w:eastAsia="宋体" w:cs="宋体"/>
                <w:color w:val="auto"/>
                <w:sz w:val="24"/>
                <w:szCs w:val="24"/>
              </w:rPr>
              <w:t>人乳头瘤病毒核酸测定</w:t>
            </w:r>
          </w:p>
        </w:tc>
        <w:tc>
          <w:tcPr>
            <w:tcW w:w="1800" w:type="dxa"/>
            <w:vAlign w:val="center"/>
          </w:tcPr>
          <w:p>
            <w:pPr>
              <w:widowControl/>
              <w:jc w:val="center"/>
              <w:textAlignment w:val="center"/>
              <w:rPr>
                <w:rFonts w:ascii="宋体" w:hAnsi="宋体" w:eastAsia="宋体" w:cs="宋体"/>
                <w:color w:val="auto"/>
                <w:kern w:val="0"/>
                <w:sz w:val="24"/>
                <w:szCs w:val="24"/>
                <w:lang w:bidi="ar"/>
              </w:rPr>
            </w:pPr>
            <w:r>
              <w:rPr>
                <w:rFonts w:hint="eastAsia" w:ascii="宋体" w:hAnsi="宋体" w:eastAsia="宋体" w:cs="宋体"/>
                <w:bCs/>
                <w:color w:val="auto"/>
                <w:sz w:val="24"/>
                <w:szCs w:val="24"/>
              </w:rPr>
              <w:t>146.64</w:t>
            </w:r>
          </w:p>
        </w:tc>
      </w:tr>
    </w:tbl>
    <w:p>
      <w:pPr>
        <w:pStyle w:val="4"/>
        <w:numPr>
          <w:ilvl w:val="0"/>
          <w:numId w:val="1"/>
        </w:numPr>
        <w:tabs>
          <w:tab w:val="left" w:pos="420"/>
        </w:tabs>
        <w:adjustRightInd w:val="0"/>
        <w:snapToGrid w:val="0"/>
        <w:spacing w:line="360" w:lineRule="auto"/>
        <w:rPr>
          <w:rFonts w:hint="eastAsia" w:ascii="宋体" w:hAnsi="宋体" w:eastAsia="宋体" w:cs="宋体"/>
          <w:b/>
          <w:color w:val="auto"/>
          <w:sz w:val="24"/>
          <w:szCs w:val="24"/>
        </w:rPr>
      </w:pPr>
      <w:r>
        <w:rPr>
          <w:rFonts w:hint="eastAsia" w:ascii="宋体" w:hAnsi="宋体" w:eastAsia="宋体" w:cs="宋体"/>
          <w:b/>
          <w:color w:val="auto"/>
          <w:sz w:val="24"/>
          <w:szCs w:val="24"/>
        </w:rPr>
        <w:t>外送检测服务项目内容</w:t>
      </w:r>
    </w:p>
    <w:p>
      <w:pPr>
        <w:spacing w:line="360" w:lineRule="auto"/>
        <w:rPr>
          <w:rFonts w:ascii="宋体" w:hAnsi="宋体" w:eastAsia="宋体" w:cs="宋体"/>
          <w:b/>
          <w:bCs/>
          <w:color w:val="auto"/>
          <w:sz w:val="24"/>
          <w:szCs w:val="24"/>
        </w:rPr>
      </w:pPr>
      <w:r>
        <w:rPr>
          <w:rFonts w:hint="eastAsia" w:ascii="宋体" w:hAnsi="宋体" w:eastAsia="宋体" w:cs="宋体"/>
          <w:b/>
          <w:bCs/>
          <w:color w:val="auto"/>
          <w:sz w:val="24"/>
          <w:szCs w:val="24"/>
        </w:rPr>
        <w:t>（1）血液病肿瘤检测平台</w:t>
      </w:r>
    </w:p>
    <w:p>
      <w:pPr>
        <w:spacing w:line="360" w:lineRule="auto"/>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利用流式细胞学，FISH、RT-PCR定量检测平台、一代测序平台、二代测序平台、全基因组扫描等多种技术对血液病肿瘤中的血液、骨髓、等多种类型的标本的进行基因检测。</w:t>
      </w:r>
    </w:p>
    <w:p>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（2）细胞病理平台</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1）甲状腺细针穿刺液基细胞学诊断。</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2）部分细胞病理学分子病理检测。</w:t>
      </w:r>
    </w:p>
    <w:p>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（3）肾脏病理平台</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开展肾脏光镜、肾脏荧光、肾脏免疫组化、肾脏电镜、肾脏图文等项目。</w:t>
      </w:r>
    </w:p>
    <w:p>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（4）病理科肿瘤靶向用药平台</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利用FISH、RT-PCR定量检测平台、一代测序与二代测序平台，针对已知指南（如NCCN指南）中指出可用于指导靶向用药的各基因进行检测：例如非小细胞肺癌必须包括EGFR； ALK； ROS1； RET； KRAS； MET； BRAF；NRAS；PIK3CA；RET； HER2； NTRK1,2,3；MAP2K1；MTOR；AKT1等基因检测； TMB，PDL-1用药指导；子宫内膜癌分子分型等，综合为各癌种患者提供分子分型或靶向药物以及化疗药物用药提示。</w:t>
      </w:r>
    </w:p>
    <w:p>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（5）化学发光平台</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主要检测全血、血清、尿液、腹水等生物样本中的激素、蛋白和一些小分子物质，开展包括血清药物浓度监测、肿瘤标志物检测、内分泌相关分析、儿童生长发育、孕产相关检测、优生定量及乙肝五项定量检测等项目。</w:t>
      </w:r>
    </w:p>
    <w:p>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（6）放射免疫平台</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检测项目主要包括肿瘤、肝纤维化、高血压、激素类、科研检测系列、血清/尿蛋白电泳等。</w:t>
      </w:r>
    </w:p>
    <w:p>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（7）临床生化、理化分析平台</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检测项目主要包括肝功能、肾功能、血脂、心肌酶、糖尿病系列、离子、免疫球蛋白、风湿三项、胃蛋白酶原、同型半胱氨酸、贫血、骨代谢、肿瘤标志物、降钙素原等，涉及的标本类型：包括血液、尿液、脑脊液、胸腹水等标本。</w:t>
      </w:r>
    </w:p>
    <w:p>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（8）临床微生物平台</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检测项目主要包括普通细菌培养(需氧/厌氧）、血培养（需氧/厌氧）、支原体培养、B群链球菌培养、抗生素敏感性试验、肥达氏反应、外斐氏反应、尿液毒品五项、艰难梭菌抗原及毒素A和B检测等。细菌培养涉及的标本类型：血液、脑脊液、尿液、下呼吸道标本，粪便、眼耳鼻喉标本，脓液、无菌体液、生殖器标本等可疑细菌感染病灶标本。</w:t>
      </w:r>
    </w:p>
    <w:p>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（9）分子遗传平台</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运用下一代基因测序技术（NGS）检测神经纤维瘤、结节硬化症、多囊肾等，涉及多个复杂基因的疾病、运用Sanger法基因测序技术检测点突变，如肝豆状核变性相关的ATP7B基因测序、运用多重连接酶依赖性探针扩增（MLPA）检测缺失突变、重复突变，如DMD、SRY、SMN1基因检测。</w:t>
      </w:r>
    </w:p>
    <w:p>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(10)细胞遗传平台</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检测项目主要包括外周血染色体核型分析、骨髓染色体核型分析、外周血染色体核型分析（肿瘤）、高分辨染色体核型分析、新生儿脐带血染色体核型分析、外周血淋巴细胞微核试验、外周血淋巴细胞染色体畸变分析、Fanconi贫血细胞遗传学检测。</w:t>
      </w:r>
    </w:p>
    <w:p>
      <w:pPr>
        <w:spacing w:line="360" w:lineRule="auto"/>
        <w:rPr>
          <w:rFonts w:ascii="宋体" w:hAnsi="宋体" w:eastAsia="宋体" w:cs="宋体"/>
          <w:color w:val="auto"/>
          <w:sz w:val="24"/>
          <w:szCs w:val="24"/>
        </w:rPr>
      </w:pPr>
      <w:r>
        <w:rPr>
          <w:rFonts w:hint="eastAsia" w:ascii="宋体" w:hAnsi="宋体" w:eastAsia="宋体" w:cs="宋体"/>
          <w:color w:val="auto"/>
          <w:sz w:val="24"/>
          <w:szCs w:val="24"/>
        </w:rPr>
        <w:t>(11)</w:t>
      </w:r>
      <w:r>
        <w:rPr>
          <w:rFonts w:hint="eastAsia" w:ascii="宋体" w:hAnsi="宋体" w:eastAsia="宋体" w:cs="宋体"/>
          <w:color w:val="auto"/>
          <w:sz w:val="24"/>
          <w:szCs w:val="24"/>
        </w:rPr>
        <w:tab/>
      </w:r>
      <w:r>
        <w:rPr>
          <w:rFonts w:hint="eastAsia" w:ascii="宋体" w:hAnsi="宋体" w:eastAsia="宋体" w:cs="宋体"/>
          <w:color w:val="auto"/>
          <w:sz w:val="24"/>
          <w:szCs w:val="24"/>
        </w:rPr>
        <w:t>临床血液、流式细胞平台</w:t>
      </w:r>
    </w:p>
    <w:p>
      <w:pPr>
        <w:spacing w:line="360" w:lineRule="auto"/>
        <w:ind w:firstLine="480" w:firstLineChars="200"/>
        <w:rPr>
          <w:rFonts w:hint="eastAsia" w:ascii="宋体" w:hAnsi="宋体" w:eastAsia="宋体" w:cs="宋体"/>
          <w:bCs w:val="0"/>
          <w:color w:val="auto"/>
          <w:sz w:val="24"/>
          <w:szCs w:val="24"/>
        </w:rPr>
      </w:pPr>
      <w:r>
        <w:rPr>
          <w:rFonts w:hint="eastAsia" w:ascii="宋体" w:hAnsi="宋体" w:eastAsia="宋体" w:cs="宋体"/>
          <w:color w:val="auto"/>
          <w:sz w:val="24"/>
          <w:szCs w:val="24"/>
        </w:rPr>
        <w:t>检测项目主要包括血常规和产前血型血清学检测、地中海贫血疾病和G-6PD酶缺陷相关的检查项目，包括红细胞孵育渗透脆性试验、血红蛋白成分分析（碱性血红蛋白电泳法）、血红蛋白成分分析（高效液相色谱法）和红细胞G-6PD酶活性检测；血液系统疾病相关的细胞形态学诊断服务，检测项目包括外周血和骨髓涂片的细胞形态学检查和各种化学染色辅助诊断；以及流式细胞的一些相关检测项目等。</w:t>
      </w:r>
    </w:p>
    <w:p>
      <w:pPr>
        <w:pStyle w:val="4"/>
        <w:tabs>
          <w:tab w:val="left" w:pos="420"/>
        </w:tabs>
        <w:adjustRightInd w:val="0"/>
        <w:snapToGrid w:val="0"/>
        <w:spacing w:line="360" w:lineRule="auto"/>
        <w:rPr>
          <w:rFonts w:hAnsi="宋体" w:eastAsia="宋体" w:cs="宋体"/>
          <w:b/>
          <w:color w:val="auto"/>
          <w:sz w:val="24"/>
          <w:szCs w:val="24"/>
        </w:rPr>
      </w:pPr>
      <w:r>
        <w:rPr>
          <w:rFonts w:hint="eastAsia" w:hAnsi="宋体" w:eastAsia="宋体" w:cs="宋体"/>
          <w:b/>
          <w:color w:val="auto"/>
          <w:sz w:val="24"/>
          <w:szCs w:val="24"/>
        </w:rPr>
        <w:t>3.外送检测服务项目内容要求</w:t>
      </w:r>
    </w:p>
    <w:p>
      <w:pPr>
        <w:pStyle w:val="4"/>
        <w:numPr>
          <w:ilvl w:val="0"/>
          <w:numId w:val="3"/>
        </w:numPr>
        <w:tabs>
          <w:tab w:val="left" w:pos="420"/>
        </w:tabs>
        <w:adjustRightInd w:val="0"/>
        <w:snapToGrid w:val="0"/>
        <w:spacing w:line="360" w:lineRule="auto"/>
        <w:rPr>
          <w:rFonts w:hAnsi="宋体" w:eastAsia="宋体" w:cs="宋体"/>
          <w:b/>
          <w:color w:val="auto"/>
          <w:sz w:val="24"/>
          <w:szCs w:val="24"/>
        </w:rPr>
      </w:pPr>
      <w:r>
        <w:rPr>
          <w:rFonts w:hint="eastAsia" w:hAnsi="宋体" w:eastAsia="宋体" w:cs="宋体"/>
          <w:b/>
          <w:color w:val="auto"/>
          <w:sz w:val="24"/>
          <w:szCs w:val="24"/>
        </w:rPr>
        <w:t>标本接收</w:t>
      </w:r>
    </w:p>
    <w:p>
      <w:pPr>
        <w:pStyle w:val="4"/>
        <w:numPr>
          <w:ilvl w:val="0"/>
          <w:numId w:val="4"/>
        </w:numPr>
        <w:tabs>
          <w:tab w:val="left" w:pos="420"/>
        </w:tabs>
        <w:adjustRightInd w:val="0"/>
        <w:snapToGrid w:val="0"/>
        <w:spacing w:line="360" w:lineRule="auto"/>
        <w:ind w:left="425" w:firstLine="480" w:firstLineChars="200"/>
        <w:rPr>
          <w:rFonts w:hAnsi="宋体" w:eastAsia="宋体" w:cs="宋体"/>
          <w:bCs/>
          <w:color w:val="auto"/>
          <w:sz w:val="24"/>
          <w:szCs w:val="24"/>
        </w:rPr>
      </w:pPr>
      <w:r>
        <w:rPr>
          <w:rFonts w:hint="eastAsia" w:hAnsi="宋体" w:eastAsia="宋体" w:cs="宋体"/>
          <w:bCs/>
          <w:color w:val="auto"/>
          <w:sz w:val="24"/>
          <w:szCs w:val="24"/>
        </w:rPr>
        <w:t>必须配置专用保温箱，保温箱必须有相应的温度记录表，每周至少一次的清洁消毒，保证标本的质量。</w:t>
      </w:r>
    </w:p>
    <w:p>
      <w:pPr>
        <w:pStyle w:val="4"/>
        <w:numPr>
          <w:ilvl w:val="0"/>
          <w:numId w:val="4"/>
        </w:numPr>
        <w:tabs>
          <w:tab w:val="left" w:pos="420"/>
        </w:tabs>
        <w:adjustRightInd w:val="0"/>
        <w:snapToGrid w:val="0"/>
        <w:spacing w:line="360" w:lineRule="auto"/>
        <w:ind w:left="425" w:firstLine="480" w:firstLineChars="200"/>
        <w:rPr>
          <w:rFonts w:hAnsi="宋体" w:eastAsia="宋体" w:cs="宋体"/>
          <w:bCs/>
          <w:color w:val="auto"/>
          <w:sz w:val="24"/>
          <w:szCs w:val="24"/>
        </w:rPr>
      </w:pPr>
      <w:r>
        <w:rPr>
          <w:rFonts w:hint="eastAsia" w:hAnsi="宋体" w:eastAsia="宋体" w:cs="宋体"/>
          <w:bCs/>
          <w:color w:val="auto"/>
          <w:sz w:val="24"/>
          <w:szCs w:val="24"/>
        </w:rPr>
        <w:t>每周七天（含周日）的上门接收标本的服务，时间为8：30至17：30。遇特殊标本可机动收取。</w:t>
      </w:r>
    </w:p>
    <w:p>
      <w:pPr>
        <w:pStyle w:val="4"/>
        <w:numPr>
          <w:ilvl w:val="0"/>
          <w:numId w:val="4"/>
        </w:numPr>
        <w:tabs>
          <w:tab w:val="left" w:pos="420"/>
        </w:tabs>
        <w:adjustRightInd w:val="0"/>
        <w:snapToGrid w:val="0"/>
        <w:spacing w:line="360" w:lineRule="auto"/>
        <w:ind w:left="425" w:firstLine="480" w:firstLineChars="200"/>
        <w:rPr>
          <w:rFonts w:hAnsi="宋体" w:eastAsia="宋体" w:cs="宋体"/>
          <w:bCs/>
          <w:color w:val="auto"/>
          <w:sz w:val="24"/>
          <w:szCs w:val="24"/>
        </w:rPr>
      </w:pPr>
      <w:r>
        <w:rPr>
          <w:rFonts w:hint="eastAsia" w:hAnsi="宋体" w:eastAsia="宋体" w:cs="宋体"/>
          <w:bCs/>
          <w:color w:val="auto"/>
          <w:sz w:val="24"/>
          <w:szCs w:val="24"/>
        </w:rPr>
        <w:t>规范标本接收、登记和包装流程，保证标本质量和安全，确保标本顺利交接，方便查核。</w:t>
      </w:r>
    </w:p>
    <w:p>
      <w:pPr>
        <w:pStyle w:val="4"/>
        <w:numPr>
          <w:ilvl w:val="0"/>
          <w:numId w:val="4"/>
        </w:numPr>
        <w:tabs>
          <w:tab w:val="left" w:pos="420"/>
        </w:tabs>
        <w:adjustRightInd w:val="0"/>
        <w:snapToGrid w:val="0"/>
        <w:spacing w:line="360" w:lineRule="auto"/>
        <w:ind w:left="425" w:firstLine="480" w:firstLineChars="200"/>
        <w:rPr>
          <w:rFonts w:hAnsi="宋体" w:eastAsia="宋体" w:cs="宋体"/>
          <w:bCs/>
          <w:color w:val="auto"/>
          <w:sz w:val="24"/>
          <w:szCs w:val="24"/>
        </w:rPr>
      </w:pPr>
      <w:r>
        <w:rPr>
          <w:rFonts w:hint="eastAsia" w:hAnsi="宋体" w:eastAsia="宋体" w:cs="宋体"/>
          <w:bCs/>
          <w:color w:val="auto"/>
          <w:sz w:val="24"/>
          <w:szCs w:val="24"/>
        </w:rPr>
        <w:t>标本接收人员负责标本质量的初检、标识的核对，标本的接收登记及包装储存。</w:t>
      </w:r>
    </w:p>
    <w:p>
      <w:pPr>
        <w:pStyle w:val="4"/>
        <w:numPr>
          <w:ilvl w:val="0"/>
          <w:numId w:val="3"/>
        </w:numPr>
        <w:tabs>
          <w:tab w:val="left" w:pos="420"/>
        </w:tabs>
        <w:adjustRightInd w:val="0"/>
        <w:snapToGrid w:val="0"/>
        <w:spacing w:line="360" w:lineRule="auto"/>
        <w:rPr>
          <w:rFonts w:hAnsi="宋体" w:eastAsia="宋体" w:cs="宋体"/>
          <w:b/>
          <w:color w:val="auto"/>
          <w:sz w:val="24"/>
          <w:szCs w:val="24"/>
        </w:rPr>
      </w:pPr>
      <w:r>
        <w:rPr>
          <w:rFonts w:hint="eastAsia" w:hAnsi="宋体" w:eastAsia="宋体" w:cs="宋体"/>
          <w:b/>
          <w:color w:val="auto"/>
          <w:sz w:val="24"/>
          <w:szCs w:val="24"/>
        </w:rPr>
        <w:t>结果及时</w:t>
      </w:r>
    </w:p>
    <w:p>
      <w:pPr>
        <w:pStyle w:val="4"/>
        <w:numPr>
          <w:ilvl w:val="0"/>
          <w:numId w:val="5"/>
        </w:numPr>
        <w:tabs>
          <w:tab w:val="left" w:pos="420"/>
        </w:tabs>
        <w:adjustRightInd w:val="0"/>
        <w:snapToGrid w:val="0"/>
        <w:spacing w:line="360" w:lineRule="auto"/>
        <w:ind w:firstLine="480" w:firstLineChars="200"/>
        <w:rPr>
          <w:rFonts w:hAnsi="宋体" w:eastAsia="宋体" w:cs="宋体"/>
          <w:bCs/>
          <w:color w:val="auto"/>
          <w:sz w:val="24"/>
          <w:szCs w:val="24"/>
        </w:rPr>
      </w:pPr>
      <w:r>
        <w:rPr>
          <w:rFonts w:hint="eastAsia" w:hAnsi="宋体" w:eastAsia="宋体" w:cs="宋体"/>
          <w:bCs/>
          <w:color w:val="auto"/>
          <w:sz w:val="24"/>
          <w:szCs w:val="24"/>
        </w:rPr>
        <w:t>为保证检验结果实时网络传送，实现实验室数据的汇总、储存、传输功能，中标人须与医院信息系统对接（所产生的费用由中标人承担），使医务人员可以随时调阅，保证病人的资料的准确性和检验结果的及时性，并提供系统使用的必要培训与技术支持。</w:t>
      </w:r>
    </w:p>
    <w:p>
      <w:pPr>
        <w:pStyle w:val="4"/>
        <w:numPr>
          <w:ilvl w:val="0"/>
          <w:numId w:val="5"/>
        </w:numPr>
        <w:tabs>
          <w:tab w:val="left" w:pos="420"/>
        </w:tabs>
        <w:adjustRightInd w:val="0"/>
        <w:snapToGrid w:val="0"/>
        <w:spacing w:line="360" w:lineRule="auto"/>
        <w:ind w:firstLine="480" w:firstLineChars="200"/>
        <w:rPr>
          <w:rFonts w:hAnsi="宋体" w:eastAsia="宋体" w:cs="宋体"/>
          <w:bCs/>
          <w:color w:val="auto"/>
          <w:sz w:val="24"/>
          <w:szCs w:val="24"/>
        </w:rPr>
      </w:pPr>
      <w:r>
        <w:rPr>
          <w:rFonts w:hint="eastAsia" w:hAnsi="宋体" w:eastAsia="宋体" w:cs="宋体"/>
          <w:bCs/>
          <w:color w:val="auto"/>
          <w:sz w:val="24"/>
          <w:szCs w:val="24"/>
        </w:rPr>
        <w:t>检验结果如无法实时网络传送的，中标人须及时（自检测之日起7个工作日内）把检验结果送给采购人，所产生的费用由中标人承担。</w:t>
      </w:r>
    </w:p>
    <w:p>
      <w:pPr>
        <w:pStyle w:val="4"/>
        <w:numPr>
          <w:ilvl w:val="0"/>
          <w:numId w:val="3"/>
        </w:numPr>
        <w:tabs>
          <w:tab w:val="left" w:pos="420"/>
        </w:tabs>
        <w:adjustRightInd w:val="0"/>
        <w:snapToGrid w:val="0"/>
        <w:spacing w:line="360" w:lineRule="auto"/>
        <w:rPr>
          <w:rFonts w:hAnsi="宋体" w:eastAsia="宋体" w:cs="宋体"/>
          <w:b/>
          <w:color w:val="auto"/>
          <w:sz w:val="24"/>
          <w:szCs w:val="24"/>
        </w:rPr>
      </w:pPr>
      <w:r>
        <w:rPr>
          <w:rFonts w:hint="eastAsia" w:hAnsi="宋体" w:eastAsia="宋体" w:cs="宋体"/>
          <w:b/>
          <w:color w:val="auto"/>
          <w:sz w:val="24"/>
          <w:szCs w:val="24"/>
        </w:rPr>
        <w:t>科室辅助</w:t>
      </w:r>
    </w:p>
    <w:p>
      <w:pPr>
        <w:pStyle w:val="4"/>
        <w:numPr>
          <w:ilvl w:val="0"/>
          <w:numId w:val="6"/>
        </w:numPr>
        <w:tabs>
          <w:tab w:val="left" w:pos="420"/>
        </w:tabs>
        <w:adjustRightInd w:val="0"/>
        <w:snapToGrid w:val="0"/>
        <w:spacing w:line="360" w:lineRule="auto"/>
        <w:ind w:firstLine="480" w:firstLineChars="200"/>
        <w:rPr>
          <w:rFonts w:hAnsi="宋体" w:eastAsia="宋体" w:cs="宋体"/>
          <w:bCs/>
          <w:color w:val="auto"/>
          <w:sz w:val="24"/>
          <w:szCs w:val="24"/>
        </w:rPr>
      </w:pPr>
      <w:r>
        <w:rPr>
          <w:rFonts w:hint="eastAsia" w:hAnsi="宋体" w:eastAsia="宋体" w:cs="宋体"/>
          <w:bCs/>
          <w:color w:val="auto"/>
          <w:sz w:val="24"/>
          <w:szCs w:val="24"/>
        </w:rPr>
        <w:t>每年提供1-3个名额给检验科、病理科人员到中标人的主要实验室免费进修，提高检验、病理人员的专业技能。</w:t>
      </w:r>
    </w:p>
    <w:p>
      <w:pPr>
        <w:pStyle w:val="4"/>
        <w:numPr>
          <w:ilvl w:val="0"/>
          <w:numId w:val="6"/>
        </w:numPr>
        <w:tabs>
          <w:tab w:val="left" w:pos="420"/>
        </w:tabs>
        <w:adjustRightInd w:val="0"/>
        <w:snapToGrid w:val="0"/>
        <w:spacing w:line="360" w:lineRule="auto"/>
        <w:ind w:firstLine="480" w:firstLineChars="200"/>
        <w:rPr>
          <w:rFonts w:hAnsi="宋体" w:eastAsia="宋体" w:cs="宋体"/>
          <w:bCs/>
          <w:color w:val="auto"/>
          <w:sz w:val="24"/>
          <w:szCs w:val="24"/>
        </w:rPr>
      </w:pPr>
      <w:r>
        <w:rPr>
          <w:rFonts w:hint="eastAsia" w:hAnsi="宋体" w:eastAsia="宋体" w:cs="宋体"/>
          <w:bCs/>
          <w:color w:val="auto"/>
          <w:sz w:val="24"/>
          <w:szCs w:val="24"/>
        </w:rPr>
        <w:t>每年2次或以上邀请国内专家到医院讲课，协助举办学术活动及协助采购人完成2篇国家级学术论文。</w:t>
      </w:r>
    </w:p>
    <w:p>
      <w:pPr>
        <w:pStyle w:val="4"/>
        <w:numPr>
          <w:ilvl w:val="0"/>
          <w:numId w:val="6"/>
        </w:numPr>
        <w:tabs>
          <w:tab w:val="left" w:pos="420"/>
        </w:tabs>
        <w:adjustRightInd w:val="0"/>
        <w:snapToGrid w:val="0"/>
        <w:spacing w:line="360" w:lineRule="auto"/>
        <w:ind w:firstLine="480" w:firstLineChars="200"/>
        <w:rPr>
          <w:rFonts w:hAnsi="宋体" w:eastAsia="宋体" w:cs="宋体"/>
          <w:bCs/>
          <w:color w:val="auto"/>
          <w:sz w:val="24"/>
          <w:szCs w:val="24"/>
        </w:rPr>
      </w:pPr>
      <w:r>
        <w:rPr>
          <w:rFonts w:hint="eastAsia" w:hAnsi="宋体" w:eastAsia="宋体" w:cs="宋体"/>
          <w:bCs/>
          <w:color w:val="auto"/>
          <w:sz w:val="24"/>
          <w:szCs w:val="24"/>
        </w:rPr>
        <w:t>协助设计、制作各种类型健康宣传资料。</w:t>
      </w:r>
    </w:p>
    <w:p>
      <w:pPr>
        <w:pStyle w:val="4"/>
        <w:numPr>
          <w:ilvl w:val="0"/>
          <w:numId w:val="3"/>
        </w:numPr>
        <w:tabs>
          <w:tab w:val="left" w:pos="420"/>
        </w:tabs>
        <w:adjustRightInd w:val="0"/>
        <w:snapToGrid w:val="0"/>
        <w:spacing w:line="360" w:lineRule="auto"/>
        <w:rPr>
          <w:rFonts w:hAnsi="宋体" w:eastAsia="宋体" w:cs="宋体"/>
          <w:b/>
          <w:color w:val="auto"/>
          <w:sz w:val="24"/>
          <w:szCs w:val="24"/>
        </w:rPr>
      </w:pPr>
      <w:r>
        <w:rPr>
          <w:rFonts w:hint="eastAsia" w:hAnsi="宋体" w:eastAsia="宋体" w:cs="宋体"/>
          <w:b/>
          <w:color w:val="auto"/>
          <w:sz w:val="24"/>
          <w:szCs w:val="24"/>
        </w:rPr>
        <w:t>结果查询</w:t>
      </w:r>
    </w:p>
    <w:p>
      <w:pPr>
        <w:pStyle w:val="4"/>
        <w:numPr>
          <w:ilvl w:val="0"/>
          <w:numId w:val="7"/>
        </w:numPr>
        <w:tabs>
          <w:tab w:val="left" w:pos="420"/>
        </w:tabs>
        <w:adjustRightInd w:val="0"/>
        <w:snapToGrid w:val="0"/>
        <w:spacing w:line="360" w:lineRule="auto"/>
        <w:ind w:firstLine="480" w:firstLineChars="200"/>
        <w:rPr>
          <w:rFonts w:hAnsi="宋体" w:eastAsia="宋体" w:cs="宋体"/>
          <w:bCs/>
          <w:color w:val="auto"/>
          <w:sz w:val="24"/>
          <w:szCs w:val="24"/>
        </w:rPr>
      </w:pPr>
      <w:r>
        <w:rPr>
          <w:rFonts w:hint="eastAsia" w:hAnsi="宋体" w:eastAsia="宋体" w:cs="宋体"/>
          <w:bCs/>
          <w:color w:val="auto"/>
          <w:sz w:val="24"/>
          <w:szCs w:val="24"/>
        </w:rPr>
        <w:t>提供网上查询账号以供随时查询进度和结果。</w:t>
      </w:r>
    </w:p>
    <w:p>
      <w:pPr>
        <w:pStyle w:val="4"/>
        <w:numPr>
          <w:ilvl w:val="0"/>
          <w:numId w:val="7"/>
        </w:numPr>
        <w:tabs>
          <w:tab w:val="left" w:pos="420"/>
        </w:tabs>
        <w:adjustRightInd w:val="0"/>
        <w:snapToGrid w:val="0"/>
        <w:spacing w:line="360" w:lineRule="auto"/>
        <w:ind w:firstLine="480" w:firstLineChars="200"/>
        <w:rPr>
          <w:rFonts w:hAnsi="宋体" w:eastAsia="宋体" w:cs="宋体"/>
          <w:bCs/>
          <w:color w:val="auto"/>
          <w:sz w:val="24"/>
          <w:szCs w:val="24"/>
        </w:rPr>
      </w:pPr>
      <w:r>
        <w:rPr>
          <w:rFonts w:hint="eastAsia" w:hAnsi="宋体" w:eastAsia="宋体" w:cs="宋体"/>
          <w:bCs/>
          <w:color w:val="auto"/>
          <w:sz w:val="24"/>
          <w:szCs w:val="24"/>
        </w:rPr>
        <w:t>提供400、800电话随时服务，危急值专人电话跟进，确保患者检测信息与临床医生的畅通。</w:t>
      </w:r>
    </w:p>
    <w:p>
      <w:pPr>
        <w:pStyle w:val="4"/>
        <w:tabs>
          <w:tab w:val="left" w:pos="540"/>
        </w:tabs>
        <w:adjustRightInd w:val="0"/>
        <w:snapToGrid w:val="0"/>
        <w:spacing w:line="360" w:lineRule="auto"/>
        <w:rPr>
          <w:rFonts w:hint="eastAsia" w:hAnsi="宋体" w:eastAsia="宋体" w:cs="宋体"/>
          <w:b/>
          <w:bCs w:val="0"/>
          <w:color w:val="auto"/>
          <w:sz w:val="24"/>
          <w:szCs w:val="24"/>
        </w:rPr>
      </w:pPr>
      <w:r>
        <w:rPr>
          <w:rFonts w:hint="eastAsia" w:hAnsi="宋体" w:eastAsia="宋体" w:cs="宋体"/>
          <w:b/>
          <w:bCs w:val="0"/>
          <w:color w:val="auto"/>
          <w:sz w:val="24"/>
          <w:szCs w:val="24"/>
        </w:rPr>
        <w:t>四、服务要求</w:t>
      </w:r>
    </w:p>
    <w:p>
      <w:pPr>
        <w:pStyle w:val="4"/>
        <w:numPr>
          <w:ilvl w:val="0"/>
          <w:numId w:val="8"/>
        </w:numPr>
        <w:tabs>
          <w:tab w:val="left" w:pos="420"/>
          <w:tab w:val="left" w:pos="540"/>
        </w:tabs>
        <w:adjustRightInd w:val="0"/>
        <w:snapToGrid w:val="0"/>
        <w:spacing w:line="360" w:lineRule="auto"/>
        <w:ind w:firstLine="480" w:firstLineChars="200"/>
        <w:rPr>
          <w:rFonts w:hAnsi="宋体" w:eastAsia="宋体" w:cs="宋体"/>
          <w:bCs/>
          <w:color w:val="auto"/>
          <w:sz w:val="24"/>
          <w:szCs w:val="24"/>
        </w:rPr>
      </w:pPr>
      <w:r>
        <w:rPr>
          <w:rFonts w:hint="eastAsia" w:hAnsi="宋体" w:eastAsia="宋体" w:cs="宋体"/>
          <w:bCs/>
          <w:color w:val="auto"/>
          <w:sz w:val="24"/>
          <w:szCs w:val="24"/>
        </w:rPr>
        <w:t>投标人保证按国家检验规范进行操作，并对标本的检验报告承担相应的责任。</w:t>
      </w:r>
    </w:p>
    <w:p>
      <w:pPr>
        <w:pStyle w:val="4"/>
        <w:numPr>
          <w:ilvl w:val="0"/>
          <w:numId w:val="8"/>
        </w:numPr>
        <w:tabs>
          <w:tab w:val="left" w:pos="420"/>
          <w:tab w:val="left" w:pos="540"/>
        </w:tabs>
        <w:adjustRightInd w:val="0"/>
        <w:snapToGrid w:val="0"/>
        <w:spacing w:line="360" w:lineRule="auto"/>
        <w:ind w:firstLine="480" w:firstLineChars="200"/>
        <w:rPr>
          <w:rFonts w:hAnsi="宋体" w:eastAsia="宋体" w:cs="宋体"/>
          <w:bCs/>
          <w:color w:val="auto"/>
          <w:sz w:val="24"/>
          <w:szCs w:val="24"/>
        </w:rPr>
      </w:pPr>
      <w:r>
        <w:rPr>
          <w:rFonts w:hint="eastAsia" w:hAnsi="宋体" w:eastAsia="宋体" w:cs="宋体"/>
          <w:bCs/>
          <w:color w:val="auto"/>
          <w:sz w:val="24"/>
          <w:szCs w:val="24"/>
        </w:rPr>
        <w:t>中标人有为用户保密的义务，未经同意不得向第三方泄露委托检验的项目、检验的内容、检验的结果。不允许联系采购人医务人员、工作人员对检验项目进行推销、承诺回扣等。</w:t>
      </w:r>
    </w:p>
    <w:p>
      <w:pPr>
        <w:pStyle w:val="4"/>
        <w:numPr>
          <w:ilvl w:val="0"/>
          <w:numId w:val="8"/>
        </w:numPr>
        <w:tabs>
          <w:tab w:val="left" w:pos="420"/>
          <w:tab w:val="left" w:pos="540"/>
        </w:tabs>
        <w:adjustRightInd w:val="0"/>
        <w:snapToGrid w:val="0"/>
        <w:spacing w:line="360" w:lineRule="auto"/>
        <w:ind w:firstLine="480" w:firstLineChars="200"/>
        <w:rPr>
          <w:rFonts w:hAnsi="宋体" w:eastAsia="宋体" w:cs="宋体"/>
          <w:bCs/>
          <w:color w:val="auto"/>
          <w:sz w:val="24"/>
          <w:szCs w:val="24"/>
        </w:rPr>
      </w:pPr>
      <w:r>
        <w:rPr>
          <w:rFonts w:hint="eastAsia" w:hAnsi="宋体" w:eastAsia="宋体" w:cs="宋体"/>
          <w:bCs/>
          <w:color w:val="auto"/>
          <w:sz w:val="24"/>
          <w:szCs w:val="24"/>
        </w:rPr>
        <w:t>本项目检测样本、检测数据的所有权、使用权为用户所有，未经许可不得挪作它用。中标人须按照国家、按用户要求妥善保存及销毁检验后样本。保证检验结果的公正性，不受任何诱使或压力对检验结果进行修正及更改。</w:t>
      </w:r>
    </w:p>
    <w:p>
      <w:pPr>
        <w:numPr>
          <w:ilvl w:val="0"/>
          <w:numId w:val="9"/>
        </w:numPr>
        <w:spacing w:line="360" w:lineRule="auto"/>
        <w:ind w:left="420"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服务期限：签订合同之日起三年或实际检测费用达到采购预算金额合同即自动终止，两者以先到为准。服务质量考核达不到要求，采购单位有权终止合约。采购单位有权根据临床需求及医院发展需求决定检验项目及数量。</w:t>
      </w:r>
    </w:p>
    <w:p>
      <w:pPr>
        <w:numPr>
          <w:ilvl w:val="0"/>
          <w:numId w:val="9"/>
        </w:numPr>
        <w:spacing w:line="360" w:lineRule="auto"/>
        <w:ind w:left="420" w:firstLine="480" w:firstLineChars="200"/>
        <w:rPr>
          <w:rFonts w:hint="eastAsia" w:ascii="宋体" w:hAnsi="宋体" w:eastAsia="宋体" w:cs="宋体"/>
          <w:b w:val="0"/>
          <w:color w:val="auto"/>
          <w:kern w:val="2"/>
          <w:sz w:val="24"/>
          <w:szCs w:val="24"/>
        </w:rPr>
      </w:pPr>
      <w:r>
        <w:rPr>
          <w:rFonts w:hint="eastAsia" w:ascii="宋体" w:hAnsi="宋体" w:eastAsia="宋体" w:cs="宋体"/>
          <w:b w:val="0"/>
          <w:color w:val="auto"/>
          <w:kern w:val="2"/>
          <w:sz w:val="24"/>
          <w:szCs w:val="24"/>
        </w:rPr>
        <w:t>采购单位有权根据检验项目方法学价格、下浮率及临床需求等因素分配检验项目。</w:t>
      </w:r>
    </w:p>
    <w:p>
      <w:pPr>
        <w:pStyle w:val="4"/>
        <w:tabs>
          <w:tab w:val="left" w:pos="540"/>
        </w:tabs>
        <w:adjustRightInd w:val="0"/>
        <w:snapToGrid w:val="0"/>
        <w:spacing w:line="360" w:lineRule="auto"/>
        <w:rPr>
          <w:rFonts w:hint="eastAsia" w:hAnsi="宋体" w:eastAsia="宋体" w:cs="宋体"/>
          <w:b/>
          <w:bCs w:val="0"/>
          <w:color w:val="auto"/>
          <w:sz w:val="24"/>
          <w:szCs w:val="24"/>
        </w:rPr>
      </w:pPr>
      <w:r>
        <w:rPr>
          <w:rFonts w:hint="eastAsia" w:hAnsi="宋体" w:eastAsia="宋体" w:cs="宋体"/>
          <w:b/>
          <w:bCs w:val="0"/>
          <w:color w:val="auto"/>
          <w:sz w:val="24"/>
          <w:szCs w:val="24"/>
          <w:lang w:val="en-US" w:eastAsia="zh-CN"/>
        </w:rPr>
        <w:t>五</w:t>
      </w:r>
      <w:r>
        <w:rPr>
          <w:rFonts w:hint="eastAsia" w:hAnsi="宋体" w:eastAsia="宋体" w:cs="宋体"/>
          <w:b/>
          <w:bCs w:val="0"/>
          <w:color w:val="auto"/>
          <w:sz w:val="24"/>
          <w:szCs w:val="24"/>
        </w:rPr>
        <w:t>、报价要求</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1、报价要求：此次报价方式为下浮率报价，供应商对服务费支付方案提供一个统一的下浮率。</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2、报价采用投报“下浮率（%）”的方式，既：反馈报价=最高单价限价×【1-报价下浮率（%）】，下浮率报价区间为0%-100%，保留两位小数（如13.66%）。例如下浮率是13.66%，则结算价=最高单价限价×（1-13.66%）×实际检测次数。</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color w:val="auto"/>
          <w:sz w:val="24"/>
          <w:szCs w:val="24"/>
        </w:rPr>
      </w:pPr>
      <w:r>
        <w:rPr>
          <w:rFonts w:hint="eastAsia" w:ascii="宋体" w:hAnsi="宋体" w:eastAsia="宋体" w:cs="宋体"/>
          <w:b w:val="0"/>
          <w:bCs/>
          <w:sz w:val="24"/>
          <w:szCs w:val="24"/>
        </w:rPr>
        <w:t>3、报价包括但不限于：完成本项目所有服务内容的费用，包括人工费、检测（验）费、材料费、设备使用费、各种税务费、必须的辅助材料费及合同实施过程中应预见和不可预见费用等全部费用。</w:t>
      </w: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pPr>
                          <w:r>
                            <w:fldChar w:fldCharType="begin"/>
                          </w:r>
                          <w:r>
                            <w:instrText xml:space="preserve"> PAGE  \* MERGEFORMAT </w:instrText>
                          </w:r>
                          <w:r>
                            <w:fldChar w:fldCharType="separate"/>
                          </w:r>
                          <w:r>
                            <w:t>1</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7EE330"/>
    <w:multiLevelType w:val="singleLevel"/>
    <w:tmpl w:val="A97EE330"/>
    <w:lvl w:ilvl="0" w:tentative="0">
      <w:start w:val="4"/>
      <w:numFmt w:val="decimal"/>
      <w:suff w:val="nothing"/>
      <w:lvlText w:val="%1、"/>
      <w:lvlJc w:val="left"/>
    </w:lvl>
  </w:abstractNum>
  <w:abstractNum w:abstractNumId="1">
    <w:nsid w:val="B67005E0"/>
    <w:multiLevelType w:val="singleLevel"/>
    <w:tmpl w:val="B67005E0"/>
    <w:lvl w:ilvl="0" w:tentative="0">
      <w:start w:val="1"/>
      <w:numFmt w:val="decimal"/>
      <w:lvlText w:val="(%1)"/>
      <w:lvlJc w:val="left"/>
      <w:pPr>
        <w:ind w:left="425" w:hanging="425"/>
      </w:pPr>
      <w:rPr>
        <w:rFonts w:hint="default"/>
      </w:rPr>
    </w:lvl>
  </w:abstractNum>
  <w:abstractNum w:abstractNumId="2">
    <w:nsid w:val="BE1B47AC"/>
    <w:multiLevelType w:val="singleLevel"/>
    <w:tmpl w:val="BE1B47AC"/>
    <w:lvl w:ilvl="0" w:tentative="0">
      <w:start w:val="1"/>
      <w:numFmt w:val="decimal"/>
      <w:lvlText w:val="%1."/>
      <w:lvlJc w:val="left"/>
      <w:pPr>
        <w:ind w:left="425" w:hanging="425"/>
      </w:pPr>
      <w:rPr>
        <w:rFonts w:hint="default"/>
      </w:rPr>
    </w:lvl>
  </w:abstractNum>
  <w:abstractNum w:abstractNumId="3">
    <w:nsid w:val="E16437C5"/>
    <w:multiLevelType w:val="singleLevel"/>
    <w:tmpl w:val="E16437C5"/>
    <w:lvl w:ilvl="0" w:tentative="0">
      <w:start w:val="1"/>
      <w:numFmt w:val="decimal"/>
      <w:lvlText w:val="%1)"/>
      <w:lvlJc w:val="left"/>
      <w:pPr>
        <w:ind w:left="425" w:hanging="425"/>
      </w:pPr>
      <w:rPr>
        <w:rFonts w:hint="default"/>
      </w:rPr>
    </w:lvl>
  </w:abstractNum>
  <w:abstractNum w:abstractNumId="4">
    <w:nsid w:val="E37E2AC1"/>
    <w:multiLevelType w:val="singleLevel"/>
    <w:tmpl w:val="E37E2AC1"/>
    <w:lvl w:ilvl="0" w:tentative="0">
      <w:start w:val="1"/>
      <w:numFmt w:val="decimal"/>
      <w:lvlText w:val="%1)"/>
      <w:lvlJc w:val="left"/>
      <w:pPr>
        <w:ind w:left="425" w:hanging="425"/>
      </w:pPr>
      <w:rPr>
        <w:rFonts w:hint="default"/>
      </w:rPr>
    </w:lvl>
  </w:abstractNum>
  <w:abstractNum w:abstractNumId="5">
    <w:nsid w:val="136F3E7C"/>
    <w:multiLevelType w:val="singleLevel"/>
    <w:tmpl w:val="136F3E7C"/>
    <w:lvl w:ilvl="0" w:tentative="0">
      <w:start w:val="1"/>
      <w:numFmt w:val="decimal"/>
      <w:lvlText w:val="%1)"/>
      <w:lvlJc w:val="left"/>
      <w:pPr>
        <w:ind w:left="425" w:hanging="425"/>
      </w:pPr>
      <w:rPr>
        <w:rFonts w:hint="default"/>
      </w:rPr>
    </w:lvl>
  </w:abstractNum>
  <w:abstractNum w:abstractNumId="6">
    <w:nsid w:val="3BE57AE0"/>
    <w:multiLevelType w:val="singleLevel"/>
    <w:tmpl w:val="3BE57AE0"/>
    <w:lvl w:ilvl="0" w:tentative="0">
      <w:start w:val="1"/>
      <w:numFmt w:val="decimal"/>
      <w:lvlText w:val="%1."/>
      <w:lvlJc w:val="left"/>
      <w:pPr>
        <w:ind w:left="425" w:hanging="425"/>
      </w:pPr>
      <w:rPr>
        <w:rFonts w:hint="default"/>
      </w:rPr>
    </w:lvl>
  </w:abstractNum>
  <w:abstractNum w:abstractNumId="7">
    <w:nsid w:val="41801542"/>
    <w:multiLevelType w:val="multilevel"/>
    <w:tmpl w:val="41801542"/>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64C5BC57"/>
    <w:multiLevelType w:val="singleLevel"/>
    <w:tmpl w:val="64C5BC57"/>
    <w:lvl w:ilvl="0" w:tentative="0">
      <w:start w:val="1"/>
      <w:numFmt w:val="decimal"/>
      <w:lvlText w:val="%1)"/>
      <w:lvlJc w:val="left"/>
      <w:pPr>
        <w:ind w:left="425" w:hanging="425"/>
      </w:pPr>
      <w:rPr>
        <w:rFonts w:hint="default"/>
      </w:rPr>
    </w:lvl>
  </w:abstractNum>
  <w:num w:numId="1">
    <w:abstractNumId w:val="2"/>
  </w:num>
  <w:num w:numId="2">
    <w:abstractNumId w:val="7"/>
  </w:num>
  <w:num w:numId="3">
    <w:abstractNumId w:val="1"/>
  </w:num>
  <w:num w:numId="4">
    <w:abstractNumId w:val="4"/>
  </w:num>
  <w:num w:numId="5">
    <w:abstractNumId w:val="3"/>
  </w:num>
  <w:num w:numId="6">
    <w:abstractNumId w:val="5"/>
  </w:num>
  <w:num w:numId="7">
    <w:abstractNumId w:val="8"/>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xOWI0MDAyMWQ0Y2NkMWZiMWQyY2RjNDRhNGUyN2MifQ=="/>
  </w:docVars>
  <w:rsids>
    <w:rsidRoot w:val="00EC43FA"/>
    <w:rsid w:val="000064B0"/>
    <w:rsid w:val="00155C0F"/>
    <w:rsid w:val="00321E0C"/>
    <w:rsid w:val="00606828"/>
    <w:rsid w:val="00C475E0"/>
    <w:rsid w:val="00C6189D"/>
    <w:rsid w:val="00CE74B8"/>
    <w:rsid w:val="00EC43FA"/>
    <w:rsid w:val="00F1181D"/>
    <w:rsid w:val="018B2CA4"/>
    <w:rsid w:val="02044192"/>
    <w:rsid w:val="06EA7DD7"/>
    <w:rsid w:val="0BB7109E"/>
    <w:rsid w:val="148F2059"/>
    <w:rsid w:val="1ED11214"/>
    <w:rsid w:val="1FF22329"/>
    <w:rsid w:val="21CF291C"/>
    <w:rsid w:val="27683BC2"/>
    <w:rsid w:val="29C56CC2"/>
    <w:rsid w:val="2A061F81"/>
    <w:rsid w:val="2A484107"/>
    <w:rsid w:val="363819F5"/>
    <w:rsid w:val="385E4443"/>
    <w:rsid w:val="3B83667B"/>
    <w:rsid w:val="42F07955"/>
    <w:rsid w:val="46597DED"/>
    <w:rsid w:val="4AE07386"/>
    <w:rsid w:val="51124F26"/>
    <w:rsid w:val="55A751E1"/>
    <w:rsid w:val="56F7060E"/>
    <w:rsid w:val="5CC737D1"/>
    <w:rsid w:val="66CB0BDC"/>
    <w:rsid w:val="6D816E4A"/>
    <w:rsid w:val="6DED022D"/>
    <w:rsid w:val="714275DF"/>
    <w:rsid w:val="729C05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Calibri" w:cs="Times New Roman"/>
      <w:kern w:val="2"/>
      <w:sz w:val="21"/>
      <w:szCs w:val="22"/>
      <w:lang w:val="en-US" w:eastAsia="zh-CN" w:bidi="ar-SA"/>
    </w:rPr>
  </w:style>
  <w:style w:type="paragraph" w:styleId="2">
    <w:name w:val="heading 1"/>
    <w:basedOn w:val="1"/>
    <w:next w:val="1"/>
    <w:qFormat/>
    <w:uiPriority w:val="0"/>
    <w:pPr>
      <w:keepNext/>
      <w:widowControl/>
      <w:jc w:val="left"/>
      <w:outlineLvl w:val="0"/>
    </w:pPr>
    <w:rPr>
      <w:b/>
      <w:bCs/>
      <w:kern w:val="0"/>
      <w:sz w:val="24"/>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3"/>
    <w:qFormat/>
    <w:uiPriority w:val="0"/>
    <w:pPr>
      <w:jc w:val="left"/>
    </w:pPr>
    <w:rPr>
      <w:rFonts w:asciiTheme="minorHAnsi" w:hAnsiTheme="minorHAnsi" w:eastAsiaTheme="minorEastAsia" w:cstheme="minorBidi"/>
      <w:szCs w:val="24"/>
    </w:rPr>
  </w:style>
  <w:style w:type="paragraph" w:styleId="4">
    <w:name w:val="Plain Text"/>
    <w:basedOn w:val="1"/>
    <w:next w:val="1"/>
    <w:qFormat/>
    <w:uiPriority w:val="99"/>
    <w:rPr>
      <w:rFonts w:ascii="宋体" w:hAnsi="Courier New" w:cs="Courier New"/>
      <w:szCs w:val="21"/>
    </w:rPr>
  </w:style>
  <w:style w:type="paragraph" w:styleId="5">
    <w:name w:val="footer"/>
    <w:basedOn w:val="1"/>
    <w:qFormat/>
    <w:uiPriority w:val="0"/>
    <w:pPr>
      <w:tabs>
        <w:tab w:val="center" w:pos="4153"/>
        <w:tab w:val="right" w:pos="8306"/>
      </w:tabs>
      <w:snapToGrid w:val="0"/>
      <w:jc w:val="left"/>
    </w:pPr>
    <w:rPr>
      <w:sz w:val="18"/>
    </w:rPr>
  </w:style>
  <w:style w:type="character" w:styleId="8">
    <w:name w:val="annotation reference"/>
    <w:qFormat/>
    <w:uiPriority w:val="0"/>
    <w:rPr>
      <w:sz w:val="21"/>
      <w:szCs w:val="21"/>
    </w:rPr>
  </w:style>
  <w:style w:type="paragraph" w:customStyle="1" w:styleId="9">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styleId="10">
    <w:name w:val="List Paragraph"/>
    <w:basedOn w:val="1"/>
    <w:qFormat/>
    <w:uiPriority w:val="99"/>
    <w:pPr>
      <w:ind w:firstLine="420" w:firstLineChars="200"/>
    </w:pPr>
    <w:rPr>
      <w:rFonts w:eastAsia="宋体"/>
      <w:szCs w:val="24"/>
    </w:rPr>
  </w:style>
  <w:style w:type="paragraph" w:customStyle="1" w:styleId="11">
    <w:name w:val="表格文字"/>
    <w:basedOn w:val="1"/>
    <w:qFormat/>
    <w:uiPriority w:val="0"/>
    <w:pPr>
      <w:spacing w:before="25" w:after="25" w:line="300" w:lineRule="auto"/>
    </w:pPr>
    <w:rPr>
      <w:rFonts w:ascii="宋体" w:hAnsi="宋体"/>
      <w:spacing w:val="10"/>
      <w:sz w:val="24"/>
    </w:rPr>
  </w:style>
  <w:style w:type="paragraph" w:customStyle="1" w:styleId="12">
    <w:name w:val="Revision"/>
    <w:hidden/>
    <w:unhideWhenUsed/>
    <w:qFormat/>
    <w:uiPriority w:val="99"/>
    <w:rPr>
      <w:rFonts w:ascii="Calibri" w:hAnsi="Calibri" w:eastAsia="Calibri" w:cs="Times New Roman"/>
      <w:kern w:val="2"/>
      <w:sz w:val="21"/>
      <w:szCs w:val="22"/>
      <w:lang w:val="en-US" w:eastAsia="zh-CN" w:bidi="ar-SA"/>
    </w:rPr>
  </w:style>
  <w:style w:type="character" w:customStyle="1" w:styleId="13">
    <w:name w:val="批注文字 字符"/>
    <w:basedOn w:val="7"/>
    <w:link w:val="3"/>
    <w:qFormat/>
    <w:uiPriority w:val="0"/>
    <w:rPr>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2238</Words>
  <Characters>12758</Characters>
  <Lines>106</Lines>
  <Paragraphs>29</Paragraphs>
  <TotalTime>5</TotalTime>
  <ScaleCrop>false</ScaleCrop>
  <LinksUpToDate>false</LinksUpToDate>
  <CharactersWithSpaces>14967</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2023-10-26T01:41:00Z</dcterms:created>
  <dc:creator>Administrator</dc:creator>
  <cp:lastModifiedBy>bangong</cp:lastModifiedBy>
  <dcterms:modified xsi:type="dcterms:W3CDTF">2023-12-04T08:14:13Z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BD1F5A880B104BC39C7D36445404811C</vt:lpwstr>
  </property>
</Properties>
</file>