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rPr>
          <w:rFonts w:ascii="仿宋" w:hAnsi="仿宋" w:eastAsia="仿宋" w:cs="宋体"/>
          <w:b/>
          <w:bCs/>
          <w:kern w:val="0"/>
          <w:sz w:val="36"/>
          <w:szCs w:val="36"/>
        </w:rPr>
      </w:pPr>
      <w:r>
        <w:rPr>
          <w:rFonts w:hint="eastAsia" w:ascii="仿宋" w:hAnsi="仿宋" w:eastAsia="仿宋" w:cs="宋体"/>
          <w:b/>
          <w:bCs/>
          <w:kern w:val="0"/>
          <w:sz w:val="36"/>
          <w:szCs w:val="36"/>
        </w:rPr>
        <w:t>附件二：反馈意见报告格式</w:t>
      </w:r>
      <w:bookmarkStart w:id="1" w:name="_GoBack"/>
      <w:bookmarkEnd w:id="1"/>
    </w:p>
    <w:p>
      <w:pPr>
        <w:widowControl/>
        <w:spacing w:before="100" w:beforeAutospacing="1" w:after="100" w:afterAutospacing="1"/>
        <w:jc w:val="center"/>
        <w:rPr>
          <w:rFonts w:ascii="仿宋" w:hAnsi="仿宋" w:eastAsia="仿宋" w:cs="宋体"/>
          <w:kern w:val="0"/>
          <w:sz w:val="36"/>
          <w:szCs w:val="36"/>
        </w:rPr>
      </w:pPr>
    </w:p>
    <w:p>
      <w:pPr>
        <w:widowControl/>
        <w:spacing w:before="100" w:beforeAutospacing="1" w:after="100" w:afterAutospacing="1"/>
        <w:jc w:val="center"/>
        <w:rPr>
          <w:rFonts w:ascii="仿宋" w:hAnsi="仿宋" w:eastAsia="仿宋" w:cs="宋体"/>
          <w:kern w:val="0"/>
          <w:sz w:val="36"/>
          <w:szCs w:val="36"/>
        </w:rPr>
      </w:pPr>
    </w:p>
    <w:p>
      <w:pPr>
        <w:widowControl/>
        <w:spacing w:before="100" w:beforeAutospacing="1" w:after="100" w:afterAutospacing="1" w:line="360" w:lineRule="auto"/>
        <w:jc w:val="center"/>
        <w:rPr>
          <w:rFonts w:ascii="宋体" w:hAnsi="宋体" w:cs="宋体"/>
          <w:b/>
          <w:bCs/>
          <w:kern w:val="0"/>
          <w:sz w:val="48"/>
          <w:szCs w:val="48"/>
        </w:rPr>
      </w:pPr>
      <w:r>
        <w:rPr>
          <w:rFonts w:hint="eastAsia" w:ascii="宋体" w:hAnsi="宋体" w:cs="宋体"/>
          <w:b/>
          <w:bCs/>
          <w:kern w:val="0"/>
          <w:sz w:val="48"/>
          <w:szCs w:val="48"/>
          <w:lang w:eastAsia="zh-CN"/>
        </w:rPr>
        <w:t>韶关市第一人民医院检验、病理检查外送服务项目</w:t>
      </w:r>
      <w:r>
        <w:rPr>
          <w:rFonts w:hint="eastAsia" w:ascii="宋体" w:hAnsi="宋体" w:cs="宋体"/>
          <w:b/>
          <w:bCs/>
          <w:kern w:val="0"/>
          <w:sz w:val="48"/>
          <w:szCs w:val="48"/>
        </w:rPr>
        <w:t>采购需求调查反馈意见报告</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36"/>
          <w:szCs w:val="36"/>
        </w:rPr>
      </w:pPr>
      <w:r>
        <w:rPr>
          <w:rFonts w:hint="eastAsia" w:ascii="仿宋" w:hAnsi="仿宋" w:eastAsia="仿宋" w:cs="宋体"/>
          <w:kern w:val="0"/>
          <w:sz w:val="28"/>
          <w:szCs w:val="28"/>
        </w:rPr>
        <w:t xml:space="preserve">          </w:t>
      </w:r>
      <w:r>
        <w:rPr>
          <w:rFonts w:hint="eastAsia" w:ascii="仿宋" w:hAnsi="仿宋" w:eastAsia="仿宋" w:cs="宋体"/>
          <w:kern w:val="0"/>
          <w:sz w:val="36"/>
          <w:szCs w:val="36"/>
        </w:rPr>
        <w:t xml:space="preserve">  公司名称（盖章）：</w:t>
      </w:r>
    </w:p>
    <w:p>
      <w:pPr>
        <w:pStyle w:val="3"/>
        <w:ind w:firstLine="0" w:firstLineChars="0"/>
        <w:rPr>
          <w:rFonts w:ascii="仿宋" w:hAnsi="仿宋" w:eastAsia="仿宋" w:cs="宋体"/>
          <w:kern w:val="0"/>
          <w:sz w:val="36"/>
          <w:szCs w:val="36"/>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b/>
          <w:bCs/>
          <w:kern w:val="0"/>
          <w:sz w:val="28"/>
          <w:szCs w:val="28"/>
        </w:rPr>
        <w:sectPr>
          <w:footerReference r:id="rId3" w:type="default"/>
          <w:pgSz w:w="11906" w:h="16838"/>
          <w:pgMar w:top="1440" w:right="1558" w:bottom="1440" w:left="1576" w:header="851" w:footer="992" w:gutter="0"/>
          <w:cols w:space="720" w:num="1"/>
          <w:docGrid w:type="lines" w:linePitch="312" w:charSpace="0"/>
        </w:sect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附件1</w:t>
      </w:r>
    </w:p>
    <w:p>
      <w:pPr>
        <w:pStyle w:val="3"/>
        <w:ind w:firstLine="0" w:firstLineChars="0"/>
        <w:jc w:val="center"/>
        <w:rPr>
          <w:rFonts w:ascii="仿宋" w:hAnsi="仿宋" w:eastAsia="仿宋" w:cs="宋体"/>
          <w:b/>
          <w:bCs/>
          <w:kern w:val="0"/>
          <w:sz w:val="28"/>
          <w:szCs w:val="28"/>
        </w:rPr>
      </w:pPr>
      <w:r>
        <w:rPr>
          <w:rFonts w:hint="eastAsia" w:ascii="仿宋" w:hAnsi="仿宋" w:eastAsia="仿宋" w:cs="宋体"/>
          <w:b/>
          <w:bCs/>
          <w:sz w:val="36"/>
          <w:szCs w:val="36"/>
        </w:rPr>
        <w:t>企业营业执照</w:t>
      </w:r>
    </w:p>
    <w:p>
      <w:pPr>
        <w:pStyle w:val="3"/>
        <w:ind w:firstLine="0" w:firstLineChars="0"/>
        <w:rPr>
          <w:rFonts w:ascii="仿宋" w:hAnsi="仿宋" w:eastAsia="仿宋" w:cs="宋体"/>
          <w:kern w:val="0"/>
          <w:sz w:val="28"/>
          <w:szCs w:val="28"/>
        </w:rPr>
      </w:pPr>
    </w:p>
    <w:p>
      <w:pPr>
        <w:pStyle w:val="3"/>
        <w:spacing w:line="360" w:lineRule="auto"/>
        <w:ind w:firstLine="0" w:firstLineChars="0"/>
        <w:rPr>
          <w:rFonts w:ascii="仿宋" w:hAnsi="仿宋" w:eastAsia="仿宋" w:cs="宋体"/>
          <w:kern w:val="0"/>
          <w:sz w:val="28"/>
          <w:szCs w:val="28"/>
        </w:rPr>
      </w:pPr>
      <w:r>
        <w:rPr>
          <w:rFonts w:hint="eastAsia" w:ascii="仿宋" w:hAnsi="仿宋" w:eastAsia="仿宋" w:cs="宋体"/>
          <w:kern w:val="0"/>
          <w:sz w:val="28"/>
          <w:szCs w:val="28"/>
        </w:rPr>
        <w:t>致：</w:t>
      </w:r>
      <w:r>
        <w:rPr>
          <w:rFonts w:hint="eastAsia" w:ascii="仿宋" w:hAnsi="仿宋" w:eastAsia="仿宋" w:cs="仿宋"/>
          <w:color w:val="000000"/>
          <w:sz w:val="28"/>
          <w:szCs w:val="28"/>
        </w:rPr>
        <w:t>广东远东招标代理有限公司</w:t>
      </w:r>
    </w:p>
    <w:p>
      <w:pPr>
        <w:widowControl/>
        <w:spacing w:after="150" w:line="360" w:lineRule="auto"/>
        <w:ind w:firstLine="420"/>
        <w:jc w:val="left"/>
        <w:rPr>
          <w:rFonts w:ascii="仿宋" w:hAnsi="仿宋" w:eastAsia="仿宋" w:cs="宋体"/>
          <w:kern w:val="0"/>
          <w:sz w:val="28"/>
          <w:szCs w:val="28"/>
        </w:rPr>
      </w:pPr>
    </w:p>
    <w:p>
      <w:pPr>
        <w:widowControl/>
        <w:spacing w:after="150" w:line="360" w:lineRule="auto"/>
        <w:ind w:firstLine="420"/>
        <w:jc w:val="left"/>
        <w:rPr>
          <w:rFonts w:ascii="仿宋" w:hAnsi="仿宋" w:eastAsia="仿宋" w:cs="宋体"/>
          <w:kern w:val="0"/>
          <w:sz w:val="28"/>
          <w:szCs w:val="28"/>
        </w:rPr>
      </w:pPr>
      <w:r>
        <w:rPr>
          <w:rFonts w:hint="eastAsia" w:ascii="仿宋" w:hAnsi="仿宋" w:eastAsia="仿宋" w:cs="宋体"/>
          <w:kern w:val="0"/>
          <w:sz w:val="28"/>
          <w:szCs w:val="28"/>
        </w:rPr>
        <w:t xml:space="preserve"> 根据</w:t>
      </w:r>
      <w:r>
        <w:rPr>
          <w:rFonts w:hint="eastAsia" w:ascii="仿宋" w:hAnsi="仿宋" w:eastAsia="仿宋" w:cs="宋体"/>
          <w:kern w:val="0"/>
          <w:sz w:val="28"/>
          <w:szCs w:val="28"/>
          <w:lang w:eastAsia="zh-CN"/>
        </w:rPr>
        <w:t>韶关市第一人民医院检验、病理检查外送服务项目</w:t>
      </w:r>
      <w:r>
        <w:rPr>
          <w:rFonts w:hint="eastAsia" w:ascii="仿宋" w:hAnsi="仿宋" w:eastAsia="仿宋" w:cs="宋体"/>
          <w:kern w:val="0"/>
          <w:sz w:val="28"/>
          <w:szCs w:val="28"/>
        </w:rPr>
        <w:t>采购需求调查咨询公告内容，我公司现按公告内容提交反馈意见。</w:t>
      </w:r>
    </w:p>
    <w:p>
      <w:pPr>
        <w:widowControl/>
        <w:spacing w:after="150" w:line="360" w:lineRule="auto"/>
        <w:ind w:firstLine="420"/>
        <w:jc w:val="left"/>
        <w:rPr>
          <w:rFonts w:ascii="仿宋" w:hAnsi="仿宋" w:eastAsia="仿宋" w:cs="仿宋"/>
          <w:kern w:val="0"/>
          <w:sz w:val="28"/>
          <w:szCs w:val="28"/>
        </w:rPr>
      </w:pPr>
      <w:r>
        <w:rPr>
          <w:rFonts w:hint="eastAsia" w:ascii="仿宋" w:hAnsi="仿宋" w:eastAsia="仿宋" w:cs="仿宋"/>
          <w:kern w:val="0"/>
          <w:sz w:val="28"/>
          <w:szCs w:val="28"/>
        </w:rPr>
        <w:t>联系方法：</w:t>
      </w:r>
      <w:r>
        <w:rPr>
          <w:rFonts w:hint="eastAsia" w:ascii="仿宋" w:hAnsi="仿宋" w:eastAsia="仿宋" w:cs="仿宋"/>
          <w:kern w:val="0"/>
          <w:sz w:val="28"/>
          <w:szCs w:val="28"/>
          <w:u w:val="single"/>
        </w:rPr>
        <w:t>（包括但不限于：联系人、联系电话、手机、传真、电子邮箱等）</w:t>
      </w:r>
    </w:p>
    <w:p>
      <w:pPr>
        <w:widowControl/>
        <w:spacing w:after="150" w:line="360" w:lineRule="auto"/>
        <w:ind w:firstLine="420"/>
        <w:jc w:val="left"/>
        <w:rPr>
          <w:rFonts w:ascii="仿宋" w:hAnsi="仿宋" w:eastAsia="仿宋" w:cs="宋体"/>
          <w:sz w:val="28"/>
          <w:szCs w:val="28"/>
        </w:rPr>
      </w:pPr>
      <w:r>
        <w:rPr>
          <w:rFonts w:hint="eastAsia" w:ascii="仿宋" w:hAnsi="仿宋" w:eastAsia="仿宋" w:cs="宋体"/>
          <w:sz w:val="28"/>
          <w:szCs w:val="28"/>
        </w:rPr>
        <w:t xml:space="preserve"> 后</w:t>
      </w:r>
      <w:r>
        <w:rPr>
          <w:rFonts w:hint="eastAsia" w:ascii="仿宋" w:hAnsi="仿宋" w:eastAsia="仿宋" w:cs="仿宋"/>
          <w:kern w:val="0"/>
          <w:sz w:val="28"/>
          <w:szCs w:val="28"/>
        </w:rPr>
        <w:t>附</w:t>
      </w:r>
      <w:r>
        <w:rPr>
          <w:rFonts w:hint="eastAsia" w:ascii="仿宋" w:hAnsi="仿宋" w:eastAsia="仿宋" w:cs="宋体"/>
          <w:sz w:val="28"/>
          <w:szCs w:val="28"/>
        </w:rPr>
        <w:t>企业营业执照副本复印件 </w:t>
      </w:r>
    </w:p>
    <w:p>
      <w:pPr>
        <w:widowControl/>
        <w:spacing w:after="150" w:line="360" w:lineRule="auto"/>
        <w:ind w:firstLine="420"/>
        <w:jc w:val="right"/>
        <w:rPr>
          <w:rFonts w:ascii="仿宋" w:hAnsi="仿宋" w:eastAsia="仿宋" w:cs="仿宋"/>
          <w:kern w:val="0"/>
          <w:sz w:val="28"/>
          <w:szCs w:val="28"/>
        </w:rPr>
      </w:pPr>
    </w:p>
    <w:p>
      <w:pPr>
        <w:widowControl/>
        <w:spacing w:after="150" w:line="360" w:lineRule="auto"/>
        <w:ind w:firstLine="420"/>
        <w:jc w:val="right"/>
        <w:rPr>
          <w:rFonts w:ascii="仿宋" w:hAnsi="仿宋" w:eastAsia="仿宋" w:cs="仿宋"/>
          <w:kern w:val="0"/>
          <w:sz w:val="28"/>
          <w:szCs w:val="28"/>
        </w:rPr>
      </w:pPr>
    </w:p>
    <w:p>
      <w:pPr>
        <w:widowControl/>
        <w:spacing w:after="150" w:line="360" w:lineRule="auto"/>
        <w:ind w:firstLine="420"/>
        <w:jc w:val="right"/>
        <w:rPr>
          <w:rFonts w:hint="eastAsia" w:ascii="仿宋" w:hAnsi="仿宋" w:eastAsia="仿宋" w:cs="仿宋"/>
          <w:kern w:val="0"/>
          <w:sz w:val="28"/>
          <w:szCs w:val="28"/>
        </w:rPr>
      </w:pPr>
    </w:p>
    <w:p>
      <w:pPr>
        <w:widowControl/>
        <w:spacing w:after="150" w:line="360" w:lineRule="auto"/>
        <w:ind w:firstLine="420"/>
        <w:jc w:val="right"/>
        <w:rPr>
          <w:rFonts w:ascii="仿宋" w:hAnsi="仿宋" w:eastAsia="仿宋" w:cs="仿宋"/>
          <w:kern w:val="0"/>
          <w:sz w:val="28"/>
          <w:szCs w:val="28"/>
        </w:rPr>
      </w:pPr>
      <w:r>
        <w:rPr>
          <w:rFonts w:hint="eastAsia" w:ascii="仿宋" w:hAnsi="仿宋" w:eastAsia="仿宋" w:cs="仿宋"/>
          <w:kern w:val="0"/>
          <w:sz w:val="28"/>
          <w:szCs w:val="28"/>
        </w:rPr>
        <w:t>公司名称：</w:t>
      </w:r>
      <w:r>
        <w:rPr>
          <w:rFonts w:hint="eastAsia" w:ascii="仿宋" w:hAnsi="仿宋" w:eastAsia="仿宋" w:cs="仿宋"/>
          <w:kern w:val="0"/>
          <w:sz w:val="28"/>
          <w:szCs w:val="28"/>
          <w:u w:val="single"/>
        </w:rPr>
        <w:t>（全称并加盖单位公章）</w:t>
      </w:r>
    </w:p>
    <w:p>
      <w:pPr>
        <w:widowControl/>
        <w:spacing w:after="150" w:line="360" w:lineRule="auto"/>
        <w:ind w:firstLine="420"/>
        <w:jc w:val="right"/>
        <w:rPr>
          <w:rFonts w:ascii="仿宋" w:hAnsi="仿宋" w:eastAsia="仿宋" w:cs="仿宋"/>
          <w:kern w:val="0"/>
          <w:sz w:val="28"/>
          <w:szCs w:val="28"/>
        </w:rPr>
      </w:pPr>
      <w:r>
        <w:rPr>
          <w:rFonts w:hint="eastAsia" w:ascii="仿宋" w:hAnsi="仿宋" w:eastAsia="仿宋" w:cs="仿宋"/>
          <w:kern w:val="0"/>
          <w:sz w:val="28"/>
          <w:szCs w:val="28"/>
        </w:rPr>
        <w:t>日期：</w:t>
      </w:r>
      <w:r>
        <w:rPr>
          <w:rFonts w:hint="eastAsia" w:ascii="仿宋" w:hAnsi="仿宋" w:eastAsia="仿宋" w:cs="仿宋"/>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w:t>
      </w:r>
      <w:r>
        <w:rPr>
          <w:rFonts w:hint="eastAsia" w:ascii="仿宋" w:hAnsi="仿宋" w:eastAsia="仿宋" w:cs="仿宋"/>
          <w:kern w:val="0"/>
          <w:sz w:val="28"/>
          <w:szCs w:val="28"/>
        </w:rPr>
        <w:t>日</w:t>
      </w:r>
    </w:p>
    <w:p>
      <w:pPr>
        <w:pStyle w:val="3"/>
        <w:spacing w:line="360" w:lineRule="auto"/>
        <w:ind w:firstLine="0" w:firstLineChars="0"/>
        <w:rPr>
          <w:rFonts w:ascii="仿宋" w:hAnsi="仿宋" w:eastAsia="仿宋" w:cs="仿宋"/>
          <w:kern w:val="0"/>
          <w:sz w:val="28"/>
          <w:szCs w:val="28"/>
        </w:rPr>
      </w:pPr>
    </w:p>
    <w:p>
      <w:pPr>
        <w:widowControl/>
        <w:spacing w:after="150"/>
        <w:rPr>
          <w:rFonts w:ascii="仿宋" w:hAnsi="仿宋" w:eastAsia="仿宋" w:cs="宋体"/>
          <w:kern w:val="0"/>
          <w:sz w:val="24"/>
        </w:rPr>
      </w:pPr>
      <w:r>
        <w:rPr>
          <w:rFonts w:ascii="宋体" w:hAnsi="宋体" w:eastAsia="仿宋" w:cs="宋体"/>
          <w:b/>
          <w:bCs/>
          <w:kern w:val="0"/>
        </w:rPr>
        <w:t> </w:t>
      </w:r>
    </w:p>
    <w:p>
      <w:pPr>
        <w:pStyle w:val="3"/>
        <w:ind w:firstLine="0" w:firstLineChars="0"/>
        <w:rPr>
          <w:rFonts w:ascii="仿宋" w:hAnsi="仿宋" w:eastAsia="仿宋" w:cs="宋体"/>
          <w:kern w:val="0"/>
          <w:sz w:val="28"/>
          <w:szCs w:val="28"/>
        </w:rPr>
      </w:pPr>
      <w:r>
        <w:rPr>
          <w:rFonts w:ascii="宋体" w:hAnsi="宋体" w:eastAsia="仿宋" w:cs="宋体"/>
          <w:b/>
          <w:bCs/>
          <w:kern w:val="0"/>
        </w:rPr>
        <w:t> </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sz w:val="28"/>
          <w:szCs w:val="28"/>
        </w:rPr>
      </w:pPr>
      <w:r>
        <w:rPr>
          <w:rFonts w:hint="eastAsia" w:ascii="仿宋" w:hAnsi="仿宋" w:eastAsia="仿宋" w:cs="宋体"/>
          <w:sz w:val="36"/>
          <w:szCs w:val="36"/>
        </w:rPr>
        <w:t xml:space="preserve">            </w:t>
      </w:r>
      <w:r>
        <w:rPr>
          <w:rFonts w:hint="eastAsia" w:ascii="仿宋" w:hAnsi="仿宋" w:eastAsia="仿宋" w:cs="宋体"/>
          <w:sz w:val="28"/>
          <w:szCs w:val="28"/>
        </w:rPr>
        <w:t xml:space="preserve"> </w:t>
      </w:r>
    </w:p>
    <w:p>
      <w:pPr>
        <w:pStyle w:val="3"/>
        <w:ind w:firstLine="0" w:firstLineChars="0"/>
        <w:rPr>
          <w:rFonts w:ascii="仿宋" w:hAnsi="仿宋" w:eastAsia="仿宋" w:cs="宋体"/>
          <w:sz w:val="36"/>
          <w:szCs w:val="36"/>
        </w:r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2</w:t>
      </w: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《医疗机构执业许可证》</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kern w:val="0"/>
          <w:sz w:val="28"/>
          <w:szCs w:val="28"/>
        </w:rPr>
        <w:t>供应商必须具有有效的《医疗机构执业许可证》。</w:t>
      </w:r>
    </w:p>
    <w:p>
      <w:pPr>
        <w:pStyle w:val="3"/>
        <w:ind w:firstLine="0" w:firstLineChars="0"/>
        <w:rPr>
          <w:rFonts w:ascii="仿宋" w:hAnsi="仿宋" w:eastAsia="仿宋" w:cs="宋体"/>
          <w:sz w:val="36"/>
          <w:szCs w:val="36"/>
        </w:r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3</w:t>
      </w: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企业简介</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4</w:t>
      </w: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相关产业发展情况</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kern w:val="0"/>
          <w:sz w:val="28"/>
          <w:szCs w:val="28"/>
        </w:rPr>
        <w:t>注：供应商应针对本项目提供相关产业发展情况说明，附件相关佐证材料（如有）。</w:t>
      </w:r>
    </w:p>
    <w:p>
      <w:pPr>
        <w:pStyle w:val="3"/>
        <w:ind w:firstLine="0" w:firstLineChars="0"/>
        <w:rPr>
          <w:rFonts w:ascii="仿宋" w:hAnsi="仿宋" w:eastAsia="仿宋" w:cs="宋体"/>
          <w:kern w:val="0"/>
          <w:sz w:val="28"/>
          <w:szCs w:val="28"/>
        </w:rPr>
      </w:pPr>
    </w:p>
    <w:p>
      <w:pPr>
        <w:rPr>
          <w:rFonts w:ascii="仿宋" w:hAnsi="仿宋" w:eastAsia="仿宋"/>
          <w:sz w:val="32"/>
          <w:szCs w:val="32"/>
        </w:rPr>
      </w:pPr>
      <w:r>
        <w:rPr>
          <w:rFonts w:hint="eastAsia" w:ascii="仿宋" w:hAnsi="仿宋" w:eastAsia="仿宋"/>
          <w:sz w:val="32"/>
          <w:szCs w:val="32"/>
        </w:rPr>
        <w:t>1.现有产品的技术路线、工艺水平、技术水平或行业的发展历程、行业现状等：</w:t>
      </w:r>
    </w:p>
    <w:p>
      <w:pPr>
        <w:rPr>
          <w:sz w:val="32"/>
          <w:szCs w:val="32"/>
        </w:rPr>
      </w:pPr>
    </w:p>
    <w:p>
      <w:pPr>
        <w:rPr>
          <w:sz w:val="32"/>
          <w:szCs w:val="32"/>
        </w:rPr>
      </w:pPr>
    </w:p>
    <w:p>
      <w:pPr>
        <w:rPr>
          <w:sz w:val="32"/>
          <w:szCs w:val="32"/>
        </w:rPr>
      </w:pPr>
    </w:p>
    <w:p>
      <w:pPr>
        <w:rPr>
          <w:sz w:val="32"/>
          <w:szCs w:val="32"/>
        </w:rPr>
      </w:pPr>
    </w:p>
    <w:p>
      <w:pPr>
        <w:rPr>
          <w:rFonts w:ascii="仿宋" w:hAnsi="仿宋" w:eastAsia="仿宋"/>
          <w:sz w:val="32"/>
          <w:szCs w:val="32"/>
        </w:rPr>
      </w:pPr>
      <w:r>
        <w:rPr>
          <w:rFonts w:hint="eastAsia" w:ascii="仿宋" w:hAnsi="仿宋" w:eastAsia="仿宋"/>
          <w:sz w:val="32"/>
          <w:szCs w:val="32"/>
        </w:rPr>
        <w:t>2.可能涉及的企业资质、产品资质、人员资质：</w:t>
      </w:r>
    </w:p>
    <w:p>
      <w:pPr>
        <w:rPr>
          <w:sz w:val="32"/>
          <w:szCs w:val="32"/>
        </w:rPr>
      </w:pPr>
    </w:p>
    <w:p>
      <w:pPr>
        <w:rPr>
          <w:sz w:val="32"/>
          <w:szCs w:val="32"/>
        </w:rPr>
      </w:pPr>
    </w:p>
    <w:p>
      <w:pPr>
        <w:rPr>
          <w:sz w:val="32"/>
          <w:szCs w:val="32"/>
        </w:rPr>
      </w:pPr>
    </w:p>
    <w:p>
      <w:pPr>
        <w:rPr>
          <w:sz w:val="32"/>
          <w:szCs w:val="32"/>
        </w:rPr>
      </w:pPr>
    </w:p>
    <w:p>
      <w:pPr>
        <w:rPr>
          <w:rFonts w:ascii="仿宋" w:hAnsi="仿宋" w:eastAsia="仿宋"/>
          <w:sz w:val="32"/>
          <w:szCs w:val="32"/>
        </w:rPr>
      </w:pPr>
      <w:r>
        <w:rPr>
          <w:rFonts w:hint="eastAsia" w:ascii="仿宋" w:hAnsi="仿宋" w:eastAsia="仿宋"/>
          <w:sz w:val="32"/>
          <w:szCs w:val="32"/>
        </w:rPr>
        <w:t>3.涉及的相关标准和规范：</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5</w:t>
      </w:r>
    </w:p>
    <w:p>
      <w:pPr>
        <w:pStyle w:val="3"/>
        <w:ind w:firstLine="0" w:firstLineChars="0"/>
        <w:jc w:val="center"/>
        <w:rPr>
          <w:rFonts w:ascii="仿宋" w:hAnsi="仿宋" w:eastAsia="仿宋" w:cs="宋体"/>
          <w:b/>
          <w:bCs/>
          <w:kern w:val="0"/>
          <w:sz w:val="36"/>
          <w:szCs w:val="36"/>
        </w:rPr>
      </w:pPr>
      <w:r>
        <w:rPr>
          <w:rFonts w:hint="eastAsia" w:ascii="仿宋" w:hAnsi="仿宋" w:eastAsia="仿宋" w:cs="宋体"/>
          <w:b/>
          <w:bCs/>
          <w:sz w:val="36"/>
          <w:szCs w:val="36"/>
        </w:rPr>
        <w:t>市场供给情况</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kern w:val="0"/>
          <w:sz w:val="28"/>
          <w:szCs w:val="28"/>
        </w:rPr>
        <w:t>注：供应商应针对本项目提供市场供给情况说明，附件相关佐证材料（如有）。</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sz w:val="28"/>
          <w:szCs w:val="28"/>
        </w:rPr>
      </w:pPr>
      <w:r>
        <w:rPr>
          <w:rFonts w:hint="eastAsia" w:ascii="仿宋" w:hAnsi="仿宋" w:eastAsia="仿宋" w:cs="宋体"/>
          <w:sz w:val="28"/>
          <w:szCs w:val="28"/>
        </w:rPr>
        <w:t xml:space="preserve"> </w:t>
      </w:r>
    </w:p>
    <w:p>
      <w:pPr>
        <w:rPr>
          <w:rFonts w:ascii="仿宋" w:hAnsi="仿宋" w:eastAsia="仿宋"/>
          <w:sz w:val="32"/>
          <w:szCs w:val="32"/>
        </w:rPr>
      </w:pPr>
      <w:r>
        <w:rPr>
          <w:rFonts w:hint="eastAsia" w:ascii="仿宋" w:hAnsi="仿宋" w:eastAsia="仿宋"/>
          <w:sz w:val="32"/>
          <w:szCs w:val="32"/>
        </w:rPr>
        <w:t>1.市场竞争程度：</w:t>
      </w:r>
    </w:p>
    <w:p>
      <w:pPr>
        <w:rPr>
          <w:sz w:val="32"/>
          <w:szCs w:val="32"/>
        </w:rPr>
      </w:pPr>
    </w:p>
    <w:p>
      <w:pPr>
        <w:rPr>
          <w:sz w:val="32"/>
          <w:szCs w:val="32"/>
        </w:rPr>
      </w:pPr>
    </w:p>
    <w:p>
      <w:pPr>
        <w:rPr>
          <w:sz w:val="32"/>
          <w:szCs w:val="32"/>
        </w:rPr>
      </w:pPr>
    </w:p>
    <w:p>
      <w:pPr>
        <w:rPr>
          <w:sz w:val="32"/>
          <w:szCs w:val="32"/>
        </w:rPr>
      </w:pPr>
    </w:p>
    <w:p>
      <w:pPr>
        <w:numPr>
          <w:ilvl w:val="0"/>
          <w:numId w:val="1"/>
        </w:numPr>
        <w:rPr>
          <w:rFonts w:ascii="仿宋" w:hAnsi="仿宋" w:eastAsia="仿宋"/>
          <w:sz w:val="32"/>
          <w:szCs w:val="32"/>
        </w:rPr>
      </w:pPr>
      <w:r>
        <w:rPr>
          <w:rFonts w:hint="eastAsia" w:ascii="仿宋" w:hAnsi="仿宋" w:eastAsia="仿宋"/>
          <w:sz w:val="32"/>
          <w:szCs w:val="32"/>
        </w:rPr>
        <w:t>价格水平或价格构成：</w:t>
      </w:r>
    </w:p>
    <w:p>
      <w:pPr>
        <w:pStyle w:val="2"/>
      </w:pPr>
    </w:p>
    <w:p>
      <w:pPr>
        <w:spacing w:line="360" w:lineRule="auto"/>
        <w:jc w:val="left"/>
        <w:rPr>
          <w:rFonts w:ascii="仿宋" w:hAnsi="仿宋" w:eastAsia="仿宋"/>
          <w:b/>
          <w:bCs/>
          <w:sz w:val="24"/>
        </w:rPr>
      </w:pPr>
    </w:p>
    <w:p>
      <w:pPr>
        <w:pStyle w:val="2"/>
        <w:jc w:val="center"/>
        <w:rPr>
          <w:rFonts w:ascii="仿宋" w:hAnsi="仿宋" w:eastAsia="仿宋"/>
        </w:rPr>
      </w:pPr>
      <w:r>
        <w:rPr>
          <w:rFonts w:hint="eastAsia" w:ascii="仿宋" w:hAnsi="仿宋" w:eastAsia="仿宋"/>
          <w:b w:val="0"/>
          <w:bCs w:val="0"/>
        </w:rPr>
        <w:t>2.1</w:t>
      </w:r>
      <w:r>
        <w:rPr>
          <w:rFonts w:hint="eastAsia" w:ascii="仿宋" w:hAnsi="仿宋" w:eastAsia="仿宋"/>
        </w:rPr>
        <w:t>整体下浮率报价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jc w:val="center"/>
              <w:rPr>
                <w:rFonts w:hint="eastAsia" w:eastAsia="宋体"/>
                <w:lang w:eastAsia="zh-CN"/>
              </w:rPr>
            </w:pPr>
            <w:r>
              <w:rPr>
                <w:rFonts w:hint="eastAsia" w:ascii="仿宋" w:hAnsi="仿宋" w:eastAsia="仿宋"/>
                <w:sz w:val="24"/>
                <w:lang w:eastAsia="zh-CN"/>
              </w:rPr>
              <w:t>韶关市第一人民医院检验、病理检查外送服务项目</w:t>
            </w:r>
          </w:p>
        </w:tc>
        <w:tc>
          <w:tcPr>
            <w:tcW w:w="2130" w:type="dxa"/>
          </w:tcPr>
          <w:p>
            <w:pPr>
              <w:jc w:val="center"/>
              <w:rPr>
                <w:b/>
                <w:bCs/>
              </w:rPr>
            </w:pPr>
            <w:r>
              <w:rPr>
                <w:rFonts w:hint="eastAsia"/>
                <w:b/>
                <w:bCs/>
              </w:rPr>
              <w:t>服务年限</w:t>
            </w:r>
          </w:p>
        </w:tc>
        <w:tc>
          <w:tcPr>
            <w:tcW w:w="2131" w:type="dxa"/>
          </w:tcPr>
          <w:p>
            <w:pPr>
              <w:jc w:val="center"/>
              <w:rPr>
                <w:b/>
                <w:bCs/>
              </w:rPr>
            </w:pPr>
            <w:r>
              <w:rPr>
                <w:rFonts w:hint="eastAsia"/>
                <w:b/>
                <w:bCs/>
              </w:rPr>
              <w:t>统一下浮率（%）</w:t>
            </w:r>
          </w:p>
        </w:tc>
        <w:tc>
          <w:tcPr>
            <w:tcW w:w="2131" w:type="dxa"/>
          </w:tcPr>
          <w:p>
            <w:pPr>
              <w:jc w:val="cente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tc>
        <w:tc>
          <w:tcPr>
            <w:tcW w:w="2130" w:type="dxa"/>
          </w:tcPr>
          <w:p>
            <w:pPr>
              <w:jc w:val="center"/>
            </w:pPr>
            <w:r>
              <w:rPr>
                <w:rFonts w:hint="eastAsia"/>
              </w:rPr>
              <w:t>一年</w:t>
            </w:r>
          </w:p>
        </w:tc>
        <w:tc>
          <w:tcPr>
            <w:tcW w:w="2131" w:type="dxa"/>
          </w:tcPr>
          <w:p/>
        </w:tc>
        <w:tc>
          <w:tcPr>
            <w:tcW w:w="21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tc>
        <w:tc>
          <w:tcPr>
            <w:tcW w:w="2130" w:type="dxa"/>
          </w:tcPr>
          <w:p>
            <w:pPr>
              <w:jc w:val="center"/>
            </w:pPr>
            <w:r>
              <w:rPr>
                <w:rFonts w:hint="eastAsia"/>
              </w:rPr>
              <w:t>两年</w:t>
            </w:r>
          </w:p>
        </w:tc>
        <w:tc>
          <w:tcPr>
            <w:tcW w:w="2131" w:type="dxa"/>
          </w:tcPr>
          <w:p/>
        </w:tc>
        <w:tc>
          <w:tcPr>
            <w:tcW w:w="21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tc>
        <w:tc>
          <w:tcPr>
            <w:tcW w:w="2130" w:type="dxa"/>
          </w:tcPr>
          <w:p>
            <w:pPr>
              <w:jc w:val="center"/>
            </w:pPr>
            <w:r>
              <w:rPr>
                <w:rFonts w:hint="eastAsia"/>
              </w:rPr>
              <w:t>三年</w:t>
            </w:r>
          </w:p>
        </w:tc>
        <w:tc>
          <w:tcPr>
            <w:tcW w:w="2131" w:type="dxa"/>
          </w:tcPr>
          <w:p/>
        </w:tc>
        <w:tc>
          <w:tcPr>
            <w:tcW w:w="2131" w:type="dxa"/>
          </w:tcPr>
          <w:p/>
        </w:tc>
      </w:tr>
    </w:tbl>
    <w:p>
      <w:pPr>
        <w:spacing w:line="360" w:lineRule="auto"/>
        <w:jc w:val="left"/>
        <w:rPr>
          <w:rFonts w:ascii="仿宋" w:hAnsi="仿宋" w:eastAsia="仿宋"/>
          <w:sz w:val="24"/>
        </w:rPr>
      </w:pPr>
      <w:r>
        <w:rPr>
          <w:rFonts w:hint="eastAsia" w:ascii="仿宋" w:hAnsi="仿宋" w:eastAsia="仿宋"/>
          <w:b/>
          <w:bCs/>
          <w:sz w:val="24"/>
        </w:rPr>
        <w:t>注：1、</w:t>
      </w:r>
      <w:r>
        <w:rPr>
          <w:rFonts w:hint="eastAsia" w:ascii="仿宋" w:hAnsi="仿宋" w:eastAsia="仿宋"/>
          <w:sz w:val="24"/>
        </w:rPr>
        <w:t>供应商必须对本项目的进行下浮率报价，如有缺漏，视为不完整且无效，仅供参考。</w:t>
      </w:r>
    </w:p>
    <w:p>
      <w:pPr>
        <w:spacing w:line="360" w:lineRule="auto"/>
        <w:ind w:firstLine="482" w:firstLineChars="200"/>
        <w:jc w:val="left"/>
        <w:rPr>
          <w:rFonts w:ascii="仿宋" w:hAnsi="仿宋" w:eastAsia="仿宋"/>
          <w:sz w:val="24"/>
        </w:rPr>
      </w:pPr>
      <w:r>
        <w:rPr>
          <w:rFonts w:ascii="仿宋" w:hAnsi="仿宋" w:eastAsia="仿宋"/>
          <w:b/>
          <w:bCs/>
          <w:sz w:val="24"/>
        </w:rPr>
        <w:t>2</w:t>
      </w:r>
      <w:r>
        <w:rPr>
          <w:rFonts w:hint="eastAsia" w:ascii="仿宋" w:hAnsi="仿宋" w:eastAsia="仿宋"/>
          <w:b/>
          <w:bCs/>
          <w:sz w:val="24"/>
        </w:rPr>
        <w:t>、报价应为人民币含税全包价</w:t>
      </w:r>
      <w:r>
        <w:rPr>
          <w:rFonts w:hint="eastAsia" w:ascii="仿宋" w:hAnsi="仿宋" w:eastAsia="仿宋"/>
          <w:sz w:val="24"/>
        </w:rPr>
        <w:t>，完成本项目所有服务内容的费用，包括人工费、检测（验）费、材料费、设备使用费、各种税务费、必须的辅助材料费及合同实施过程中应预见和不可预见费用等全部费用。</w:t>
      </w:r>
    </w:p>
    <w:p>
      <w:pPr>
        <w:pStyle w:val="4"/>
      </w:pPr>
    </w:p>
    <w:p>
      <w:pPr>
        <w:rPr>
          <w:rFonts w:ascii="仿宋" w:hAnsi="仿宋" w:eastAsia="仿宋"/>
          <w:sz w:val="32"/>
          <w:szCs w:val="32"/>
        </w:rPr>
      </w:pPr>
      <w:r>
        <w:rPr>
          <w:rFonts w:hint="eastAsia" w:ascii="仿宋" w:hAnsi="仿宋" w:eastAsia="仿宋"/>
          <w:sz w:val="32"/>
          <w:szCs w:val="32"/>
        </w:rPr>
        <w:t>3.履约能力、售后服务能力：</w:t>
      </w: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6</w:t>
      </w: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 xml:space="preserve"> 同类采购项目历史成交信息</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kern w:val="0"/>
          <w:sz w:val="28"/>
          <w:szCs w:val="28"/>
        </w:rPr>
        <w:t>注：</w:t>
      </w:r>
      <w:bookmarkStart w:id="0" w:name="_Hlk147864893"/>
      <w:r>
        <w:rPr>
          <w:rFonts w:hint="eastAsia" w:ascii="仿宋" w:hAnsi="仿宋" w:eastAsia="仿宋"/>
          <w:sz w:val="28"/>
          <w:szCs w:val="28"/>
        </w:rPr>
        <w:t>提供中标通知书或采购合同，同时提供相应的服务清单</w:t>
      </w:r>
      <w:bookmarkEnd w:id="0"/>
      <w:r>
        <w:rPr>
          <w:rFonts w:hint="eastAsia" w:ascii="仿宋" w:hAnsi="仿宋" w:eastAsia="仿宋" w:cs="宋体"/>
          <w:kern w:val="0"/>
          <w:sz w:val="28"/>
          <w:szCs w:val="28"/>
        </w:rPr>
        <w:t>。</w:t>
      </w:r>
    </w:p>
    <w:tbl>
      <w:tblPr>
        <w:tblStyle w:val="9"/>
        <w:tblW w:w="8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4"/>
        <w:gridCol w:w="1830"/>
        <w:gridCol w:w="2016"/>
        <w:gridCol w:w="1890"/>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344" w:type="dxa"/>
            <w:shd w:val="clear" w:color="auto" w:fill="auto"/>
            <w:vAlign w:val="center"/>
          </w:tcPr>
          <w:p>
            <w:pPr>
              <w:pStyle w:val="3"/>
              <w:ind w:firstLine="0" w:firstLineChars="0"/>
              <w:rPr>
                <w:rFonts w:ascii="仿宋" w:hAnsi="仿宋" w:eastAsia="仿宋"/>
                <w:b/>
                <w:bCs/>
                <w:sz w:val="24"/>
              </w:rPr>
            </w:pPr>
            <w:r>
              <w:rPr>
                <w:rFonts w:hint="eastAsia" w:ascii="仿宋" w:hAnsi="仿宋" w:eastAsia="仿宋" w:cs="宋体"/>
                <w:sz w:val="28"/>
                <w:szCs w:val="28"/>
              </w:rPr>
              <w:t xml:space="preserve"> </w:t>
            </w:r>
            <w:r>
              <w:rPr>
                <w:rFonts w:hint="eastAsia" w:ascii="仿宋" w:hAnsi="仿宋" w:eastAsia="仿宋"/>
                <w:b/>
                <w:bCs/>
                <w:sz w:val="24"/>
              </w:rPr>
              <w:t>序号</w:t>
            </w:r>
          </w:p>
        </w:tc>
        <w:tc>
          <w:tcPr>
            <w:tcW w:w="1830" w:type="dxa"/>
            <w:shd w:val="clear" w:color="auto" w:fill="auto"/>
            <w:vAlign w:val="center"/>
          </w:tcPr>
          <w:p>
            <w:pPr>
              <w:jc w:val="center"/>
              <w:rPr>
                <w:rFonts w:ascii="仿宋" w:hAnsi="仿宋" w:eastAsia="仿宋"/>
                <w:b/>
                <w:bCs/>
                <w:sz w:val="24"/>
              </w:rPr>
            </w:pPr>
            <w:r>
              <w:rPr>
                <w:rFonts w:hint="eastAsia" w:ascii="仿宋" w:hAnsi="仿宋" w:eastAsia="仿宋"/>
                <w:b/>
                <w:bCs/>
                <w:sz w:val="24"/>
              </w:rPr>
              <w:t>采购人</w:t>
            </w:r>
          </w:p>
        </w:tc>
        <w:tc>
          <w:tcPr>
            <w:tcW w:w="2016" w:type="dxa"/>
            <w:shd w:val="clear" w:color="auto" w:fill="auto"/>
            <w:vAlign w:val="center"/>
          </w:tcPr>
          <w:p>
            <w:pPr>
              <w:jc w:val="center"/>
              <w:rPr>
                <w:rFonts w:ascii="仿宋" w:hAnsi="仿宋" w:eastAsia="仿宋"/>
                <w:b/>
                <w:bCs/>
                <w:sz w:val="24"/>
              </w:rPr>
            </w:pPr>
            <w:r>
              <w:rPr>
                <w:rFonts w:hint="eastAsia" w:ascii="仿宋" w:hAnsi="仿宋" w:eastAsia="仿宋"/>
                <w:b/>
                <w:bCs/>
                <w:sz w:val="24"/>
              </w:rPr>
              <w:t>项目名称</w:t>
            </w:r>
          </w:p>
        </w:tc>
        <w:tc>
          <w:tcPr>
            <w:tcW w:w="1890" w:type="dxa"/>
            <w:shd w:val="clear" w:color="auto" w:fill="auto"/>
            <w:vAlign w:val="center"/>
          </w:tcPr>
          <w:p>
            <w:pPr>
              <w:jc w:val="center"/>
              <w:rPr>
                <w:rFonts w:ascii="仿宋" w:hAnsi="仿宋" w:eastAsia="仿宋"/>
                <w:b/>
                <w:bCs/>
                <w:sz w:val="24"/>
              </w:rPr>
            </w:pPr>
            <w:r>
              <w:rPr>
                <w:rFonts w:hint="eastAsia" w:ascii="仿宋" w:hAnsi="仿宋" w:eastAsia="仿宋"/>
                <w:b/>
                <w:bCs/>
                <w:sz w:val="24"/>
              </w:rPr>
              <w:t>中标价（元）</w:t>
            </w:r>
          </w:p>
        </w:tc>
        <w:tc>
          <w:tcPr>
            <w:tcW w:w="1869" w:type="dxa"/>
            <w:shd w:val="clear" w:color="auto" w:fill="auto"/>
            <w:vAlign w:val="center"/>
          </w:tcPr>
          <w:p>
            <w:pPr>
              <w:jc w:val="center"/>
              <w:rPr>
                <w:rFonts w:ascii="仿宋" w:hAnsi="仿宋" w:eastAsia="仿宋"/>
                <w:b/>
                <w:bCs/>
                <w:sz w:val="24"/>
              </w:rPr>
            </w:pPr>
            <w:r>
              <w:rPr>
                <w:rFonts w:hint="eastAsia" w:ascii="仿宋" w:hAnsi="仿宋" w:eastAsia="仿宋"/>
                <w:b/>
                <w:bCs/>
                <w:sz w:val="24"/>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344" w:type="dxa"/>
            <w:shd w:val="clear" w:color="auto" w:fill="auto"/>
            <w:vAlign w:val="center"/>
          </w:tcPr>
          <w:p>
            <w:pPr>
              <w:jc w:val="center"/>
              <w:rPr>
                <w:rFonts w:ascii="仿宋" w:hAnsi="仿宋" w:eastAsia="仿宋"/>
                <w:sz w:val="24"/>
              </w:rPr>
            </w:pPr>
          </w:p>
        </w:tc>
        <w:tc>
          <w:tcPr>
            <w:tcW w:w="1830" w:type="dxa"/>
            <w:shd w:val="clear" w:color="auto" w:fill="auto"/>
            <w:vAlign w:val="center"/>
          </w:tcPr>
          <w:p>
            <w:pPr>
              <w:jc w:val="center"/>
              <w:rPr>
                <w:rFonts w:ascii="仿宋" w:hAnsi="仿宋" w:eastAsia="仿宋"/>
                <w:sz w:val="24"/>
              </w:rPr>
            </w:pPr>
          </w:p>
        </w:tc>
        <w:tc>
          <w:tcPr>
            <w:tcW w:w="2016" w:type="dxa"/>
            <w:shd w:val="clear" w:color="auto" w:fill="auto"/>
            <w:vAlign w:val="center"/>
          </w:tcPr>
          <w:p>
            <w:pPr>
              <w:jc w:val="center"/>
              <w:rPr>
                <w:rFonts w:ascii="仿宋" w:hAnsi="仿宋" w:eastAsia="仿宋"/>
                <w:sz w:val="24"/>
              </w:rPr>
            </w:pPr>
          </w:p>
        </w:tc>
        <w:tc>
          <w:tcPr>
            <w:tcW w:w="1890" w:type="dxa"/>
            <w:shd w:val="clear" w:color="auto" w:fill="auto"/>
            <w:vAlign w:val="center"/>
          </w:tcPr>
          <w:p>
            <w:pPr>
              <w:jc w:val="center"/>
              <w:rPr>
                <w:rFonts w:ascii="仿宋" w:hAnsi="仿宋" w:eastAsia="仿宋"/>
                <w:sz w:val="24"/>
              </w:rPr>
            </w:pPr>
          </w:p>
        </w:tc>
        <w:tc>
          <w:tcPr>
            <w:tcW w:w="1869" w:type="dxa"/>
            <w:shd w:val="clear" w:color="auto" w:fill="auto"/>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1344" w:type="dxa"/>
            <w:shd w:val="clear" w:color="auto" w:fill="auto"/>
            <w:vAlign w:val="center"/>
          </w:tcPr>
          <w:p>
            <w:pPr>
              <w:jc w:val="center"/>
              <w:rPr>
                <w:rFonts w:ascii="仿宋" w:hAnsi="仿宋" w:eastAsia="仿宋"/>
                <w:sz w:val="24"/>
              </w:rPr>
            </w:pPr>
          </w:p>
        </w:tc>
        <w:tc>
          <w:tcPr>
            <w:tcW w:w="1830" w:type="dxa"/>
            <w:shd w:val="clear" w:color="auto" w:fill="auto"/>
            <w:vAlign w:val="center"/>
          </w:tcPr>
          <w:p>
            <w:pPr>
              <w:jc w:val="center"/>
              <w:rPr>
                <w:rFonts w:ascii="仿宋" w:hAnsi="仿宋" w:eastAsia="仿宋"/>
                <w:sz w:val="24"/>
              </w:rPr>
            </w:pPr>
          </w:p>
        </w:tc>
        <w:tc>
          <w:tcPr>
            <w:tcW w:w="2016" w:type="dxa"/>
            <w:shd w:val="clear" w:color="auto" w:fill="auto"/>
            <w:vAlign w:val="center"/>
          </w:tcPr>
          <w:p>
            <w:pPr>
              <w:jc w:val="center"/>
              <w:rPr>
                <w:rFonts w:ascii="仿宋" w:hAnsi="仿宋" w:eastAsia="仿宋"/>
                <w:sz w:val="24"/>
              </w:rPr>
            </w:pPr>
          </w:p>
        </w:tc>
        <w:tc>
          <w:tcPr>
            <w:tcW w:w="1890" w:type="dxa"/>
            <w:shd w:val="clear" w:color="auto" w:fill="auto"/>
            <w:vAlign w:val="center"/>
          </w:tcPr>
          <w:p>
            <w:pPr>
              <w:jc w:val="center"/>
              <w:rPr>
                <w:rFonts w:ascii="仿宋" w:hAnsi="仿宋" w:eastAsia="仿宋"/>
                <w:sz w:val="24"/>
              </w:rPr>
            </w:pPr>
          </w:p>
        </w:tc>
        <w:tc>
          <w:tcPr>
            <w:tcW w:w="1869" w:type="dxa"/>
            <w:shd w:val="clear" w:color="auto" w:fill="auto"/>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344" w:type="dxa"/>
            <w:shd w:val="clear" w:color="auto" w:fill="auto"/>
            <w:vAlign w:val="center"/>
          </w:tcPr>
          <w:p>
            <w:pPr>
              <w:jc w:val="center"/>
              <w:rPr>
                <w:rFonts w:ascii="仿宋" w:hAnsi="仿宋" w:eastAsia="仿宋"/>
                <w:sz w:val="24"/>
              </w:rPr>
            </w:pPr>
          </w:p>
        </w:tc>
        <w:tc>
          <w:tcPr>
            <w:tcW w:w="1830" w:type="dxa"/>
            <w:shd w:val="clear" w:color="auto" w:fill="auto"/>
            <w:vAlign w:val="center"/>
          </w:tcPr>
          <w:p>
            <w:pPr>
              <w:jc w:val="center"/>
              <w:rPr>
                <w:rFonts w:ascii="仿宋" w:hAnsi="仿宋" w:eastAsia="仿宋"/>
                <w:sz w:val="24"/>
              </w:rPr>
            </w:pPr>
          </w:p>
        </w:tc>
        <w:tc>
          <w:tcPr>
            <w:tcW w:w="2016" w:type="dxa"/>
            <w:shd w:val="clear" w:color="auto" w:fill="auto"/>
            <w:vAlign w:val="center"/>
          </w:tcPr>
          <w:p>
            <w:pPr>
              <w:jc w:val="center"/>
              <w:rPr>
                <w:rFonts w:ascii="仿宋" w:hAnsi="仿宋" w:eastAsia="仿宋"/>
                <w:sz w:val="24"/>
              </w:rPr>
            </w:pPr>
          </w:p>
        </w:tc>
        <w:tc>
          <w:tcPr>
            <w:tcW w:w="1890" w:type="dxa"/>
            <w:shd w:val="clear" w:color="auto" w:fill="auto"/>
            <w:vAlign w:val="center"/>
          </w:tcPr>
          <w:p>
            <w:pPr>
              <w:jc w:val="center"/>
              <w:rPr>
                <w:rFonts w:ascii="仿宋" w:hAnsi="仿宋" w:eastAsia="仿宋"/>
                <w:sz w:val="24"/>
              </w:rPr>
            </w:pPr>
          </w:p>
        </w:tc>
        <w:tc>
          <w:tcPr>
            <w:tcW w:w="1869" w:type="dxa"/>
            <w:shd w:val="clear" w:color="auto" w:fill="auto"/>
            <w:vAlign w:val="center"/>
          </w:tcPr>
          <w:p>
            <w:pPr>
              <w:jc w:val="center"/>
              <w:rPr>
                <w:rFonts w:ascii="仿宋" w:hAnsi="仿宋" w:eastAsia="仿宋"/>
                <w:sz w:val="24"/>
              </w:rPr>
            </w:pPr>
          </w:p>
        </w:tc>
      </w:tr>
    </w:tbl>
    <w:p>
      <w:pPr>
        <w:pStyle w:val="3"/>
        <w:ind w:firstLine="0" w:firstLineChars="0"/>
        <w:rPr>
          <w:rFonts w:ascii="仿宋" w:hAnsi="仿宋" w:eastAsia="仿宋" w:cs="宋体"/>
          <w:kern w:val="0"/>
          <w:sz w:val="28"/>
          <w:szCs w:val="28"/>
        </w:rPr>
      </w:pPr>
    </w:p>
    <w:p>
      <w:pPr>
        <w:pStyle w:val="3"/>
        <w:ind w:firstLine="0" w:firstLineChars="0"/>
        <w:rPr>
          <w:rFonts w:hint="eastAsia" w:ascii="仿宋" w:hAnsi="仿宋" w:eastAsia="仿宋" w:cs="宋体"/>
          <w:kern w:val="0"/>
          <w:sz w:val="28"/>
          <w:szCs w:val="28"/>
        </w:rPr>
      </w:pPr>
    </w:p>
    <w:p>
      <w:pPr>
        <w:pStyle w:val="3"/>
        <w:ind w:firstLine="0" w:firstLineChars="0"/>
        <w:rPr>
          <w:rFonts w:ascii="仿宋" w:hAnsi="仿宋" w:eastAsia="仿宋" w:cs="宋体"/>
          <w:b/>
          <w:bCs/>
          <w:kern w:val="0"/>
          <w:sz w:val="28"/>
          <w:szCs w:val="28"/>
        </w:rPr>
      </w:pPr>
      <w:r>
        <w:rPr>
          <w:rFonts w:hint="eastAsia" w:ascii="仿宋" w:hAnsi="仿宋" w:eastAsia="仿宋" w:cs="宋体"/>
          <w:b/>
          <w:bCs/>
          <w:kern w:val="0"/>
          <w:sz w:val="28"/>
          <w:szCs w:val="28"/>
        </w:rPr>
        <w:t>附件</w:t>
      </w:r>
      <w:r>
        <w:rPr>
          <w:rFonts w:ascii="仿宋" w:hAnsi="仿宋" w:eastAsia="仿宋" w:cs="宋体"/>
          <w:b/>
          <w:bCs/>
          <w:kern w:val="0"/>
          <w:sz w:val="28"/>
          <w:szCs w:val="28"/>
        </w:rPr>
        <w:t>7</w:t>
      </w: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 xml:space="preserve">后续采购情况 </w:t>
      </w:r>
    </w:p>
    <w:p>
      <w:pPr>
        <w:rPr>
          <w:rFonts w:ascii="仿宋" w:hAnsi="仿宋" w:eastAsia="仿宋"/>
          <w:sz w:val="32"/>
          <w:szCs w:val="32"/>
        </w:rPr>
      </w:pPr>
    </w:p>
    <w:p>
      <w:pPr>
        <w:rPr>
          <w:rFonts w:ascii="仿宋" w:hAnsi="仿宋" w:eastAsia="仿宋" w:cs="Arial"/>
          <w:color w:val="191919"/>
          <w:sz w:val="32"/>
          <w:szCs w:val="32"/>
        </w:rPr>
      </w:pPr>
      <w:r>
        <w:rPr>
          <w:rFonts w:hint="eastAsia" w:ascii="仿宋" w:hAnsi="仿宋" w:eastAsia="仿宋"/>
          <w:sz w:val="32"/>
          <w:szCs w:val="32"/>
        </w:rPr>
        <w:t>1.</w:t>
      </w:r>
      <w:r>
        <w:rPr>
          <w:rFonts w:ascii="仿宋" w:hAnsi="仿宋" w:eastAsia="仿宋"/>
          <w:sz w:val="32"/>
          <w:szCs w:val="32"/>
        </w:rPr>
        <w:t>可能涉及的运行维护</w:t>
      </w:r>
      <w:r>
        <w:rPr>
          <w:rFonts w:ascii="仿宋" w:hAnsi="仿宋" w:eastAsia="仿宋" w:cs="Arial"/>
          <w:color w:val="191919"/>
          <w:sz w:val="32"/>
          <w:szCs w:val="32"/>
        </w:rPr>
        <w:t>、升级更新、备品备件、耗材等</w:t>
      </w:r>
      <w:r>
        <w:rPr>
          <w:rFonts w:hint="eastAsia" w:ascii="仿宋" w:hAnsi="仿宋" w:eastAsia="仿宋" w:cs="Arial"/>
          <w:color w:val="191919"/>
          <w:sz w:val="32"/>
          <w:szCs w:val="32"/>
        </w:rPr>
        <w:t>情况：</w:t>
      </w: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p>
    <w:p>
      <w:pPr>
        <w:pStyle w:val="3"/>
        <w:ind w:firstLine="0" w:firstLineChars="0"/>
        <w:rPr>
          <w:rFonts w:ascii="仿宋" w:hAnsi="仿宋" w:eastAsia="仿宋" w:cs="宋体"/>
          <w:kern w:val="0"/>
          <w:sz w:val="28"/>
          <w:szCs w:val="28"/>
        </w:rPr>
      </w:pPr>
      <w:r>
        <w:rPr>
          <w:rFonts w:hint="eastAsia" w:ascii="仿宋" w:hAnsi="仿宋" w:eastAsia="仿宋" w:cs="宋体"/>
          <w:kern w:val="0"/>
          <w:sz w:val="28"/>
          <w:szCs w:val="28"/>
        </w:rPr>
        <w:t>注：供应商应针对本项目提供可能涉及的运行维护、升级更新、备品备件、耗材等后续采购情况说明，附件相关佐证材料（如有）。</w:t>
      </w: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附件</w:t>
      </w:r>
      <w:r>
        <w:rPr>
          <w:rFonts w:ascii="仿宋" w:hAnsi="仿宋" w:eastAsia="仿宋" w:cs="宋体"/>
          <w:b/>
          <w:bCs/>
          <w:sz w:val="36"/>
          <w:szCs w:val="36"/>
        </w:rPr>
        <w:t>8</w:t>
      </w:r>
      <w:r>
        <w:rPr>
          <w:rFonts w:hint="eastAsia" w:ascii="仿宋" w:hAnsi="仿宋" w:eastAsia="仿宋" w:cs="宋体"/>
          <w:b/>
          <w:bCs/>
          <w:sz w:val="36"/>
          <w:szCs w:val="36"/>
        </w:rPr>
        <w:t>承诺书</w:t>
      </w:r>
    </w:p>
    <w:p>
      <w:pPr>
        <w:pStyle w:val="3"/>
        <w:ind w:firstLine="0" w:firstLineChars="0"/>
        <w:jc w:val="center"/>
        <w:rPr>
          <w:rFonts w:hint="eastAsia" w:ascii="仿宋" w:hAnsi="仿宋" w:eastAsia="仿宋" w:cs="宋体"/>
          <w:b/>
          <w:bCs/>
          <w:sz w:val="36"/>
          <w:szCs w:val="36"/>
        </w:rPr>
      </w:pPr>
    </w:p>
    <w:p>
      <w:pPr>
        <w:pStyle w:val="8"/>
        <w:shd w:val="clear" w:color="auto" w:fill="FFFFFF"/>
        <w:spacing w:before="0" w:beforeAutospacing="0" w:after="0" w:afterAutospacing="0" w:line="360" w:lineRule="auto"/>
        <w:rPr>
          <w:rFonts w:ascii="华文仿宋" w:hAnsi="华文仿宋" w:eastAsia="华文仿宋"/>
          <w:color w:val="454545"/>
          <w:sz w:val="28"/>
          <w:szCs w:val="28"/>
        </w:rPr>
      </w:pPr>
      <w:r>
        <w:rPr>
          <w:rFonts w:hint="eastAsia" w:ascii="华文仿宋" w:hAnsi="华文仿宋" w:eastAsia="华文仿宋"/>
          <w:color w:val="454545"/>
          <w:sz w:val="28"/>
          <w:szCs w:val="28"/>
        </w:rPr>
        <w:t>韶关市第一人民医院、广东远东招标代理有限公司：</w:t>
      </w:r>
    </w:p>
    <w:p>
      <w:pPr>
        <w:pStyle w:val="8"/>
        <w:shd w:val="clear" w:color="auto" w:fill="FFFFFF"/>
        <w:spacing w:before="0" w:beforeAutospacing="0" w:after="0" w:afterAutospacing="0" w:line="360" w:lineRule="auto"/>
        <w:ind w:firstLine="560" w:firstLineChars="200"/>
        <w:rPr>
          <w:rFonts w:hint="eastAsia" w:ascii="华文仿宋" w:hAnsi="华文仿宋" w:eastAsia="华文仿宋"/>
          <w:color w:val="454545"/>
          <w:sz w:val="28"/>
          <w:szCs w:val="28"/>
        </w:rPr>
      </w:pPr>
      <w:r>
        <w:rPr>
          <w:rFonts w:hint="eastAsia" w:ascii="华文仿宋" w:hAnsi="华文仿宋" w:eastAsia="华文仿宋"/>
          <w:color w:val="454545"/>
          <w:sz w:val="28"/>
          <w:szCs w:val="28"/>
        </w:rPr>
        <w:t>为规范采购活动，保证市场调研活动公平、公正、公开，防止在调研环节发生违法现象，我公司做出以下承诺：</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一、提供市场调研资料秉承实事求是的原则，对报价、参数、配置等信息负责。</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二、对该项目的市场调研只使用本公司名义进行报价，未与其他公司串通报价、哄抬价格，也未使用与本公司有相同法人或相同管理、业务人员的其他公司名义报价。</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三、诚信正当交易，不掺杂掺假、以假充真、以次充好、以不合格冒充合格。</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四、不可在采购任何环节，对贵方人员进行送钱、送礼品等可能违反公平采购的行为。</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五、经证实存在违反上述承诺的事实，贵方有权采取终止合作，列入黑名单，追究相关责任等措施。</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六、承诺一经作出，始终有效。</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 </w:t>
      </w:r>
    </w:p>
    <w:p>
      <w:pPr>
        <w:pStyle w:val="8"/>
        <w:shd w:val="clear" w:color="auto" w:fill="FFFFFF"/>
        <w:spacing w:before="0" w:beforeAutospacing="0" w:after="0" w:afterAutospacing="0" w:line="360" w:lineRule="auto"/>
        <w:rPr>
          <w:rFonts w:hint="eastAsia" w:ascii="华文仿宋" w:hAnsi="华文仿宋" w:eastAsia="华文仿宋"/>
          <w:color w:val="454545"/>
          <w:sz w:val="28"/>
          <w:szCs w:val="28"/>
        </w:rPr>
      </w:pPr>
      <w:r>
        <w:rPr>
          <w:rFonts w:hint="eastAsia" w:ascii="华文仿宋" w:hAnsi="华文仿宋" w:eastAsia="华文仿宋"/>
          <w:color w:val="454545"/>
          <w:sz w:val="28"/>
          <w:szCs w:val="28"/>
        </w:rPr>
        <w:t> </w:t>
      </w:r>
    </w:p>
    <w:p>
      <w:pPr>
        <w:pStyle w:val="8"/>
        <w:shd w:val="clear" w:color="auto" w:fill="FFFFFF"/>
        <w:spacing w:before="0" w:beforeAutospacing="0" w:after="0" w:afterAutospacing="0" w:line="360" w:lineRule="auto"/>
        <w:jc w:val="right"/>
        <w:rPr>
          <w:rFonts w:hint="eastAsia" w:ascii="华文仿宋" w:hAnsi="华文仿宋" w:eastAsia="华文仿宋"/>
          <w:color w:val="454545"/>
          <w:sz w:val="28"/>
          <w:szCs w:val="28"/>
        </w:rPr>
      </w:pPr>
      <w:r>
        <w:rPr>
          <w:rFonts w:hint="eastAsia" w:ascii="华文仿宋" w:hAnsi="华文仿宋" w:eastAsia="华文仿宋"/>
          <w:color w:val="454545"/>
          <w:sz w:val="28"/>
          <w:szCs w:val="28"/>
        </w:rPr>
        <w:t>公司名称（盖章）：</w:t>
      </w:r>
    </w:p>
    <w:p>
      <w:pPr>
        <w:pStyle w:val="8"/>
        <w:shd w:val="clear" w:color="auto" w:fill="FFFFFF"/>
        <w:spacing w:before="0" w:beforeAutospacing="0" w:after="0" w:afterAutospacing="0" w:line="360" w:lineRule="auto"/>
        <w:ind w:right="1120"/>
        <w:jc w:val="center"/>
        <w:rPr>
          <w:rFonts w:hint="eastAsia" w:ascii="华文仿宋" w:hAnsi="华文仿宋" w:eastAsia="华文仿宋"/>
          <w:color w:val="454545"/>
          <w:sz w:val="28"/>
          <w:szCs w:val="28"/>
        </w:rPr>
      </w:pPr>
      <w:r>
        <w:rPr>
          <w:rFonts w:hint="eastAsia" w:ascii="华文仿宋" w:hAnsi="华文仿宋" w:eastAsia="华文仿宋"/>
          <w:color w:val="454545"/>
          <w:sz w:val="28"/>
          <w:szCs w:val="28"/>
        </w:rPr>
        <w:t xml:space="preserve"> </w:t>
      </w:r>
      <w:r>
        <w:rPr>
          <w:rFonts w:ascii="华文仿宋" w:hAnsi="华文仿宋" w:eastAsia="华文仿宋"/>
          <w:color w:val="454545"/>
          <w:sz w:val="28"/>
          <w:szCs w:val="28"/>
        </w:rPr>
        <w:t xml:space="preserve">                                     </w:t>
      </w:r>
      <w:r>
        <w:rPr>
          <w:rFonts w:hint="eastAsia" w:ascii="华文仿宋" w:hAnsi="华文仿宋" w:eastAsia="华文仿宋"/>
          <w:color w:val="454545"/>
          <w:sz w:val="28"/>
          <w:szCs w:val="28"/>
        </w:rPr>
        <w:t>日期：</w:t>
      </w:r>
    </w:p>
    <w:p>
      <w:pPr>
        <w:pStyle w:val="3"/>
        <w:ind w:firstLine="0" w:firstLineChars="0"/>
        <w:rPr>
          <w:rFonts w:ascii="仿宋" w:hAnsi="仿宋" w:eastAsia="仿宋" w:cs="宋体"/>
          <w:b/>
          <w:bCs/>
          <w:kern w:val="0"/>
          <w:sz w:val="28"/>
          <w:szCs w:val="28"/>
        </w:rPr>
        <w:sectPr>
          <w:pgSz w:w="11906" w:h="16838"/>
          <w:pgMar w:top="1440" w:right="1800" w:bottom="1440" w:left="1800" w:header="851" w:footer="992" w:gutter="0"/>
          <w:cols w:space="425" w:num="1"/>
          <w:docGrid w:type="lines" w:linePitch="312" w:charSpace="0"/>
        </w:sectPr>
      </w:pPr>
    </w:p>
    <w:p>
      <w:pPr>
        <w:pStyle w:val="3"/>
        <w:ind w:firstLine="0" w:firstLineChars="0"/>
        <w:jc w:val="center"/>
        <w:rPr>
          <w:rFonts w:ascii="仿宋" w:hAnsi="仿宋" w:eastAsia="仿宋" w:cs="宋体"/>
          <w:b/>
          <w:bCs/>
          <w:sz w:val="36"/>
          <w:szCs w:val="36"/>
        </w:rPr>
      </w:pPr>
      <w:r>
        <w:rPr>
          <w:rFonts w:hint="eastAsia" w:ascii="仿宋" w:hAnsi="仿宋" w:eastAsia="仿宋" w:cs="宋体"/>
          <w:b/>
          <w:bCs/>
          <w:sz w:val="36"/>
          <w:szCs w:val="36"/>
        </w:rPr>
        <w:t>附件</w:t>
      </w:r>
      <w:r>
        <w:rPr>
          <w:rFonts w:ascii="仿宋" w:hAnsi="仿宋" w:eastAsia="仿宋" w:cs="宋体"/>
          <w:b/>
          <w:bCs/>
          <w:sz w:val="36"/>
          <w:szCs w:val="36"/>
        </w:rPr>
        <w:t>9</w:t>
      </w:r>
      <w:r>
        <w:rPr>
          <w:rFonts w:hint="eastAsia" w:ascii="仿宋" w:hAnsi="仿宋" w:eastAsia="仿宋" w:cs="宋体"/>
          <w:b/>
          <w:bCs/>
          <w:sz w:val="36"/>
          <w:szCs w:val="36"/>
        </w:rPr>
        <w:t>其他相关情况</w:t>
      </w:r>
    </w:p>
    <w:tbl>
      <w:tblPr>
        <w:tblStyle w:val="9"/>
        <w:tblW w:w="10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882"/>
        <w:gridCol w:w="2019"/>
        <w:gridCol w:w="1811"/>
        <w:gridCol w:w="1869"/>
        <w:gridCol w:w="1766"/>
        <w:gridCol w:w="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序号</w:t>
            </w:r>
          </w:p>
        </w:tc>
        <w:tc>
          <w:tcPr>
            <w:tcW w:w="1882"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拟外送检验项目</w:t>
            </w:r>
          </w:p>
        </w:tc>
        <w:tc>
          <w:tcPr>
            <w:tcW w:w="2019"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方法学</w:t>
            </w:r>
          </w:p>
        </w:tc>
        <w:tc>
          <w:tcPr>
            <w:tcW w:w="1811"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最高单价限价</w:t>
            </w:r>
            <w:r>
              <w:rPr>
                <w:rFonts w:hint="eastAsia" w:ascii="宋体" w:hAnsi="宋体" w:cs="宋体"/>
                <w:b/>
                <w:szCs w:val="21"/>
              </w:rPr>
              <w:br w:type="textWrapping"/>
            </w:r>
            <w:r>
              <w:rPr>
                <w:rFonts w:hint="eastAsia" w:ascii="宋体" w:hAnsi="宋体" w:cs="宋体"/>
                <w:b/>
                <w:szCs w:val="21"/>
              </w:rPr>
              <w:t>（人民币 元/次）</w:t>
            </w:r>
          </w:p>
        </w:tc>
        <w:tc>
          <w:tcPr>
            <w:tcW w:w="1869"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方法学能否完成（完成打“√”，不能完成打“✕”）</w:t>
            </w:r>
          </w:p>
        </w:tc>
        <w:tc>
          <w:tcPr>
            <w:tcW w:w="1766"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不能完成是否有替代项目，标注收费价格及检测方法</w:t>
            </w:r>
          </w:p>
        </w:tc>
        <w:tc>
          <w:tcPr>
            <w:tcW w:w="519" w:type="dxa"/>
            <w:vAlign w:val="center"/>
          </w:tcPr>
          <w:p>
            <w:pPr>
              <w:tabs>
                <w:tab w:val="left" w:pos="420"/>
              </w:tabs>
              <w:adjustRightInd w:val="0"/>
              <w:snapToGrid w:val="0"/>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left="0" w:firstLine="0"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唐氏综合征筛查I期（9-13+6周）</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血清人绒毛膜促性腺激素测定-化学发光法</w:t>
            </w:r>
          </w:p>
        </w:tc>
        <w:tc>
          <w:tcPr>
            <w:tcW w:w="1811" w:type="dxa"/>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唐氏综合征筛查I期（9-13+6周）</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唐氏综合症筛查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唐氏综合征筛查II期（15-20+6周）</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雌三醇测定-化学发光法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48.88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唐氏综合征筛查II期（15-20+6周）</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唐氏综合症筛查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促红细胞生成素（EPO)</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促红细胞生成素测定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血浆凝血因子二项测定（仪器法)</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血浆凝血因子活性测定-仪器法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血友病筛查四项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血浆凝血酶原时间测定(PT)-仪器法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26.32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血友病筛查四项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活化部分凝血活酶时间测定(APTT)-仪器法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19.74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血友病筛查四项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血浆凝血因子活性测定-仪器法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地高辛测定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血清药物浓度测定-单抗法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235</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骨型碱性磷酸酶</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血清骨型碱性磷酸酶质量测定-放免法或酶免法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47</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维生素B12(VitB12)</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血清维生素测定-化学发光法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55.94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总铁结合力</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铁测定-比色法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总铁结合力</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血清总铁结合力测定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甲状旁腺激素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甲状旁腺激素测定-化学发光法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降钙素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降钙素测定-化学发光法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真菌1.3-B-D葡聚糖检测（G试验）</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真菌D-葡聚糖检测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169.2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尿17-羟皮质类固醇测定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尿17-羟皮质类固醇测定-化学发光法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尿17-酮皮质类固醇测定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尿17-酮类固醇测定-化学发光法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尿香草苦杏仁酸(VMA)测定色谱法</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尿香草苦杏仁酸(VMA)测定-色谱法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70.5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硫酸去氢表雄酮</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血清脱氢表雄酮及硫酸酯测定-化学发光法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生长激素(0min)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生长激素(30min)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生长激素(60min)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生长激素(90min)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生长激素(120min)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血清生长激素测定-化学发光法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促肾上腺皮质激素(ACTH) 4PM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血清促肾上腺皮质激素测定-化学发光法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促肾上腺皮质激素(ACTH) 8AM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血清促肾上腺皮质激素测定-化学发光法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铜蓝蛋白</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铜蓝蛋白测定-各种免疫学方法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普乐可复(FK506)</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苯妥英钠（大仑丁）</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94</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苯巴比妥（鲁米那）</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血清药物浓度测定-单抗法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235</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卡马西平</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血清药物浓度测定-单抗法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235</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丙戊酸</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血清药物浓度测定-多抗法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122.2</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环孢霉素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94</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万古霉素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血清药物浓度测定-单抗法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235</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促肾上腺皮质激素(ACTH)</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血清促肾上腺皮质激素测定-化学发光法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血浆肾素活性测定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血管紧张素I测定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血管紧张素II测定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HBV拉米呋啶耐药基因检测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乙型肝炎病毒基因YMDD变异测定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131.6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肺炎支原体抗体二项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肺炎支原体血清学试验-凝集法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肺炎衣原体抗体二项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肺炎衣原体抗体检测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58.28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骨髓涂片检查（细胞学检查+1项细胞化学染色+彩色图文报告）</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骨髓涂片细胞学检验</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108.1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骨髓涂片检查（细胞学检查+1项细胞化学染色+彩色图文报告）</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骨髓特殊染色及酶组织化学染色检查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骨髓涂片检查（细胞学检查+1项细胞化学染色+彩色图文报告）</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显微摄影术</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MDS/AA相关CD系列检测（15CD）</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红细胞CD55、CD59评估（2CD)</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抗心磷脂抗体三项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抗心磷脂抗体测定(ACA)</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21.62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粒细胞CD55、CD59评估（3CD)</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钩端螺旋体抗体lgG</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钩端螺旋体病血清学试验</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T淋巴细胞亚群（CD3、4、8）</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XRCC1基因多态性检测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GSTP1基因多态性检测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MTHFR基因多态性检测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FVIII:C活性测定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血浆凝血因子活性测定-仪器法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特殊染色</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特殊染色及酶组织化学染色诊断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k链</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轻链KAPPA、LAMBDA定量(K-LC,λ-LC)</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γ链</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轻链KAPPA、LAMBDA定量(K-LC,λ-LC)</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FIX:C活性测定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血浆凝血因子活性测定-仪器法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封闭抗体（定性）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白细胞特异性和组织相关融性(HLA)抗体检测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310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血清免疫固定电泳5项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免疫固定电泳</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氨茶碱测定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血清药物浓度测定-单抗法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235</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a-丁酸奈酚酯酶染色</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骨髓特殊染色及酶组织化学染色检查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过碘酸-雪夫（PAS)染色</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骨髓特殊染色及酶组织化学染色检查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高灵敏HCV-RNA检测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丙型肝炎RNA测定-定量(内标法)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519.35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乙型肝炎病毒核心抗体IgM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乙型肝炎核心IgM抗体测定(Anti-HBcIgM)-定性法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血型单特异性抗体鉴定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血型单特异性抗体鉴定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甲状腺微粒体抗体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抗甲状腺微粒体抗体测定(TMAb)-化学发光法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促甲状腺素受体抗体自身抗体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促甲状腺素受体抗体测定-化学发光法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糖尿病自身抗体三项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糖尿病自身抗体测定-免疫印迹法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119.86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25-羟基维生素D</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25羟维生素D测定-色谱法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新生儿疾病筛查（代谢疾病+新筛三项）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葡萄糖6-磷酸脱氢酶荧光斑点试验</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新生儿疾病筛查（代谢疾病+新筛三项）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血游离脂肪酸测定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新生儿疾病筛查（代谢疾病+新筛三项）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血清各类氨基酸测定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新生儿疾病筛查（代谢疾病+新筛三项）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血清促甲状腺激素测定-化学发光法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游离雌三醇</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雌三醇测定-化学发光法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48.88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结核杆菌(TB-DNA）定性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各类病原体DNA测定-定性</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胎儿染色体非整倍体检测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唐氏综合症筛查-胎儿21-三体综合征基因检测筛查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1602.7</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康孕-染色体检测-5M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康孕-染色体检测-100K</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遗传性耳聋4个常见基因检测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耳聋基因芯片筛查和诊断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383.52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新生儿48种遗传代谢病检测（串联质谱法）</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Pmseq感染病原高通量基因检测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肿瘤化疗用药指导基因检测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遗传性肿瘤基因检测女性套餐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遗传性肿瘤基因检测男性套餐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遗传性乳腺癌/卵巢癌基因检测(21个基因)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遗传性结直肠癌基因检测(14个基因)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安孕可单基因遗传病携带者筛查100种</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NIFTY全因1.0</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成人安全用药基因检测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儿童安全用药基因检测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Oseq-EGFR基因检测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地贫高通量测序基因检测-产科专用免费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韶关市免费地贫高通量测序基因检测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百日咳杆菌核酸测序鉴定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人肠道病毒基因测序分型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印迹杂交技术</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促甲状腺素受体刺激性抗体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促甲状腺素受体抗体测定-化学发光法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病原体微生物高通量基因测序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血清肿瘤相关物质(TM)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肿瘤相关抗原测定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血浆肾素活性测定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37.6</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血管紧张素I测定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高血压四项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血管紧张素II测定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肝纤维化四项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血清Ⅳ型胶原测定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27.26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肝纤维化四项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血清Ⅲ型胶原测定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27.26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肝纤维化四项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血清层粘连蛋白测定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肝纤维化四项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血清透明质酸酶测定-化学发光法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皮质醇(0AM)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血浆皮质醇测定-化学发光法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51.7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皮质醇(8AM)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血浆皮质醇测定-化学发光法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51.7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皮质醇(4PM)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血浆皮质醇测定-化学发光法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51.7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胃功能四项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胃功能四项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胃功能四项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胃泌素测定-各种免疫学方法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14.1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过敏原筛查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总IgE测定-化学发光法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55.94</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过敏原筛查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特殊变应原(多价变应原)筛查-各种免疫学方法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醛固酮(卧位)</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醛固酮(立位)</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醛固酮(基础)</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醛固酮(激发)</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醛固酮测定-化学发光法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呼吸道多种病原体靶向测序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150.4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胰岛素样生长因子1（IGF-1）精准检测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类胰岛素样生长因子测定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86.48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诺如病毒+轮状病毒A核酸定性检测（儿童）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各类病原体RNA测定(核酸恒温扩增法)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127.84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腺病毒核酸检测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各类病原体DNA测定-定性</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自身免疫性脑炎8项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自身免疫性脑炎6项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自身免疫性脑炎12项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抗神经节乙酰胆碱受体抗体(gAChg)</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抗谷氨酸受体抗体IgG(AMPA1)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抗谷氨酸受体抗体IgG(AMPA2)</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抗水通道蛋白4抗体（AQP4）</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159.8</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抗接触蛋白关联蛋白2抗体IgG(CASPR-2)</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抗多巴胺受体2抗体IgG(DRD2)</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抗二缩氨酸相似蛋白6抗体IgG(DPPX)</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抗γ-氨基丁酸A型受体抗体(GABAaR)</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抗γ-氨基丁酸B型受体抗体IgG(GABAaR)</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抗谷氨酸脱羧酶2抗体IgG(GAD65)</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159.8</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抗胶质纤维酸性蛋白抗体(GFAP)</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抗甘氨酸受体1抗体IgG(G1yR1)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抗IgLON家族蛋白5抗体IgG(IgLON)</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抗Ke1ch蛋白11抗体(KLHL11)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抗富亮氨酸胶质瘤失活蛋白1抗体IgG(LGI-1)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抗促代谢谷氨酸受体1抗体IgG(mG1uR1)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抗代谢性谷氨酸受体5抗体IgG(mG1uR1)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抗髓鞘少突胶质细胞糖蛋白抗体(MOG)</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抗突触蛋白-3α抗体IgG(Neurexin-3α)</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抗谷氨酸受体抗体IgG(NMDAR)</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ＣＤ4细胞ＡＴＰ释放试验</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CD4细胞ATP释放试验-荧光素酶法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1182.52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上呼吸道７１种病原体靶向测序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150.4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风疹病毒定性(IgG)</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各类病原体DNA测定-定性</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75.2</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水痘-带状包疹病毒定性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各类病原体DNA测定-定性</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微小病毒B19-IgM抗体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其它病毒的血清学诊断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微小病毒B19-IgG抗体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其它病毒的血清学诊断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麻疹病毒抗体二项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病毒血清学试验</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军团菌抗体IgM</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细菌抗体测定-各种免疫学方法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（水痘）带状疱疹病毒IgM抗体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水痘-带状疱疹病毒抗体测定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35.72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（水痘）带状疱疹病毒IgG抗体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水痘-带状疱疹病毒抗体测定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35.72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抗精子抗体定量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抗精子抗体测定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10.34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性激素结合球蛋白</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性激素结合球蛋白测定-各种免疫学方法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52.64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巨细胞病毒抗体IgG定性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抗线粒体抗体亚型2、4、9</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抗线粒体抗体测定(AMA)-免疫学法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14.1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抗肾小球基底膜抗体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抗肾小球基底膜抗体测定-各种免疫学方法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抗角蛋白抗体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抗角蛋白抗体(AKA)测定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抗蛋白酶3抗体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抗中性粒细胞胞浆抗体测定(ANCA)-免疫学法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抗甲状腺过氧化物酶抗体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抗甲状腺过氧化物酶抗体（TPOAb）检测-化学发光法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52.64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抗中性粒细胞包浆抗体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抗中性粒细胞胞浆抗体测定(ANCA)-免疫学法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IgG抗A效价测定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血型抗体效价测定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IgG抗B效价测定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血型抗体效价测定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脑寄生虫全套</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弓形体抗体测定-各种免疫学方法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24.44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脑寄生虫全套</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各种寄生虫免疫学检查-凝集法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儿茶芬胺（尿）</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尿儿茶酚胺测定-色谱法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儿茶芬胺(血）</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尿儿茶酚胺测定-色谱法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弓形虫IgM抗体定量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弓形体抗体测定-化学发光法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弓形虫IgG抗体定量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弓形体抗体测定-化学发光法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风疹病毒IgM抗体定量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风疹病毒IgG抗体定量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巨细胞病毒IgG抗体定量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单纯疱疹病毒I型IgG抗体定量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24.44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单纯疱疹病毒I型IgM抗体定性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24.44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单纯疱疹病毒II型IgG抗体定量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24.44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单纯疱疹病毒II型IgM抗体定性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单纯疱疹病毒抗体测定-各种免疫学方法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24.44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人附睾蛋白(HE)测定(HE4)</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人附睾蛋白(HE4)测定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79.9</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鳞癌细胞抗原</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鳞状细胞癌相关抗原测定(SCC)-化学发光法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103.4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17a羟基孕酮</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17a羟基孕酮测定-化学发光法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优生定量检测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弓形体抗体测定-化学发光法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优生定量检测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风疹病毒抗体测定-化学发光法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优生定量检测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白血病/淋巴瘤/MDS免疫分型(40抗体)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硫酸去氢表雄酮</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血清脱氢表雄酮及硫酸酯测定-化学发光法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雄烯二酮</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雄烯二酮测定-化学发光法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43.24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骨钙素（OST）</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血清骨钙素测定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尿游离皮质醇</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24小时尿游离皮质醇测定-化学发光法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51.7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曲霉菌抗原检测(GM试验）</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真菌D-葡聚糖检测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169.2</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巨细胞病毒IgM抗体定量</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54.52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胰岛素样生长因子测定-1</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类胰岛素样生长因子测定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86.48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遗传代谢病筛查45种（串联质谱）</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血游离脂肪酸测定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遗传代谢病筛查45种（串联质谱）</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血清各类氨基酸测定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产科地贫筛查(免费)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产科地贫筛查（免费）</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地贫筛查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血红蛋白电泳-全自动仪器法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38.54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地贫筛查+血常规</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血常规-五分类</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地贫筛查+血常规</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血红蛋白电泳-全自动仪器法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38.54</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color w:val="000000" w:themeColor="text1"/>
                <w:szCs w:val="21"/>
                <w14:textFill>
                  <w14:solidFill>
                    <w14:schemeClr w14:val="tx1"/>
                  </w14:solidFill>
                </w14:textFill>
              </w:rPr>
              <w:t>血管炎五项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抗中性粒细胞胞浆抗体测定(ANCA)-免疫学法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抗核抗体测定(ANA)-定性法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31.96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抗线粒体抗体测定(AMA)-免疫学法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14.1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抗线粒体抗体测定(AMA)-免疫印迹法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28.2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抗组织细胞抗体测定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抗可溶性肝抗原/肝-胰抗原抗体(SLA/LP)测定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抗肝肾微粒体抗体(LKM)测定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自身免疫性肝病</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抗肝细胞溶质抗原I型抗体测定(LC-1)</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血清胸苷激酶（TK1)测定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血清胸苷激酶（TK1)测定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141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免疫固定电泳7项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免疫固定电泳</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癌胚抗原测定(CEA)-化学发光法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64.86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甲胎蛋白测定(AFP)-化学发光法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64.86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总前列腺特异性抗原测定(TPSA)-化学发光法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76.14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游离前列腺特异性抗原测定(FPSA)-化学发光法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神经元特异性烯醇化酶测定(NSE)-化学发光法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细胞角蛋白19片段测定（CTFRA21-1)-化学发光法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117.5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鳞状细胞癌相关抗原测定(SCC)-化学发光法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103.4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特异β人绒毛膜促性腺激素测定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44.18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癌胚抗原测定(CEA)-化学发光法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64.86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甲胎蛋白测定(AFP)-化学发光法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64.86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神经元特异性烯醇化酶测定(NSE)-化学发光法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细胞角蛋白19片段测定（CTFRA21-1)-化学发光法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117.5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鳞状细胞癌相关抗原测定(SCC)-化学发光法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103.4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人附睾蛋白(HE4)测定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79.9</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蛋白C活性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血浆蛋白C活性测定(PC)</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蛋白S活性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血浆蛋白S测定(PS)</w:t>
            </w:r>
          </w:p>
        </w:tc>
        <w:tc>
          <w:tcPr>
            <w:tcW w:w="1811" w:type="dxa"/>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胃泌素释放肽前体(ProGRP)测定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胃泌素释放肽前体（ProGRP)测定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EB两项(VCA-IgA;EA-IgA)</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EB病毒抗体测定-各种免疫学方法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胃泌素释放肽前体（ProGRP)测定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细胞角蛋白19片段测定（CTFRA21-1)-化学发光法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84.6</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男性多肿瘤标志物12项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117.5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胃蛋白酶原II测定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66.74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胃泌素释放肽前体（ProGRP)测定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53.58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细胞角蛋白19片段测定（CTFRA21-1)-化学发光法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kern w:val="0"/>
                <w:szCs w:val="21"/>
                <w:lang w:bidi="ar"/>
              </w:rPr>
              <w:t>84.6</w:t>
            </w:r>
          </w:p>
        </w:tc>
        <w:tc>
          <w:tcPr>
            <w:tcW w:w="1869" w:type="dxa"/>
            <w:vAlign w:val="center"/>
          </w:tcPr>
          <w:p>
            <w:pPr>
              <w:widowControl/>
              <w:jc w:val="center"/>
              <w:textAlignment w:val="center"/>
              <w:rPr>
                <w:rFonts w:ascii="宋体" w:hAnsi="宋体" w:cs="宋体"/>
                <w:kern w:val="0"/>
                <w:szCs w:val="21"/>
                <w:lang w:bidi="ar"/>
              </w:rPr>
            </w:pPr>
          </w:p>
        </w:tc>
        <w:tc>
          <w:tcPr>
            <w:tcW w:w="1766" w:type="dxa"/>
            <w:vAlign w:val="center"/>
          </w:tcPr>
          <w:p>
            <w:pPr>
              <w:widowControl/>
              <w:jc w:val="center"/>
              <w:textAlignment w:val="center"/>
              <w:rPr>
                <w:rFonts w:ascii="宋体" w:hAnsi="宋体" w:cs="宋体"/>
                <w:kern w:val="0"/>
                <w:szCs w:val="21"/>
                <w:lang w:bidi="ar"/>
              </w:rPr>
            </w:pPr>
          </w:p>
        </w:tc>
        <w:tc>
          <w:tcPr>
            <w:tcW w:w="519" w:type="dxa"/>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女性多肿瘤标志物12项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117.5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广东省胎儿无创DNA检查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广东省胎儿无创DNA检查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1002.7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广东省唐氏筛查Ⅰ期(免费)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广东省唐氏筛查Ⅰ期（免费）</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广东省唐氏筛查Ⅱ期(免费)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广东省唐氏筛查Ⅱ期（免费）</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遗传代谢病筛查45种（气相色谱）</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血游离脂肪酸测定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遗传代谢病筛查45种（气相色谱）</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血清各类氨基酸测定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呼吸道合胞病毒抗体测定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副流感病毒抗体测定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腺病毒抗体测定-各种免疫学方法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病毒血清学试验</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肺炎衣原体抗体检测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58.28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病原体抗体9项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其它病毒的血清学诊断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骨标志物三项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血清骨钙素测定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骨标志物三项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总I型胶原氨基端延长肽(PINP)检测-化学发光法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79.9</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骨标志物三项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β胶原特殊系列(β-CrossLaps)检测-化学发光法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63.92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贫血三项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血清铁蛋白测定-化学发光法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贫血三项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叶酸测定-化学发光法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55.94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贫血三项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血清维生素测定-化学发光法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55.94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无创胎儿染色体非整倍体产前DNA检测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唐氏综合症筛查-胎儿21-三体综合征基因检测筛查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themeColor="text1"/>
                <w:kern w:val="0"/>
                <w:szCs w:val="21"/>
                <w:lang w:bidi="ar"/>
                <w14:textFill>
                  <w14:solidFill>
                    <w14:schemeClr w14:val="tx1"/>
                  </w14:solidFill>
                </w14:textFill>
              </w:rPr>
              <w:t>1602.7</w:t>
            </w:r>
          </w:p>
        </w:tc>
        <w:tc>
          <w:tcPr>
            <w:tcW w:w="186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1766"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51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血汞定量检测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微量元素测定-原子吸收法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尿汞定量检测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血清药物浓度测定-多抗法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122.2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微量元素5项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微量元素测定-原子吸收法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淋巴细胞亚群(CD3;4;8;19;NK)</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血细胞簇分化抗原（CD）系列检测-流式细胞仪法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胰岛素样生长因子结合蛋白</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类胰岛素样生长因子测定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86.48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血浆脂蛋白磷脂酶A2（Lp—PLA2）测定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血浆脂蛋白磷脂酶A2（Lp-PLA2）测定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167.8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脑脊液寡克隆区带分析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脑脊液寡克隆电泳分析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159.8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脆性X综合症</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脆X综合症基因诊断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56.4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染色体微阵列(CMA)分析HD</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RhD血型抗体效价</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血型单特异性抗体鉴定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耳聋基因芯片筛查和诊断</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耳聋基因芯片筛查和诊断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383.52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抗缪勒管激素检测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白细胞特异性和组织相关融性(HLA)抗体检测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themeColor="text1"/>
                <w:kern w:val="0"/>
                <w:szCs w:val="21"/>
                <w:lang w:bidi="ar"/>
                <w14:textFill>
                  <w14:solidFill>
                    <w14:schemeClr w14:val="tx1"/>
                  </w14:solidFill>
                </w14:textFill>
              </w:rPr>
              <w:t>310</w:t>
            </w:r>
          </w:p>
        </w:tc>
        <w:tc>
          <w:tcPr>
            <w:tcW w:w="186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1766"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51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外周血染色体核型分析(G带;R带;400带)</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培养细胞的染色体分析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223.72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骨髓染色体核型分析G+R带400带</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培养细胞的染色体分析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223.72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丙型肝炎病毒基因分型(测序法)</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丙型肝炎病毒（HCV）基因分型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122.2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pStyle w:val="5"/>
              <w:tabs>
                <w:tab w:val="left" w:pos="420"/>
              </w:tabs>
              <w:adjustRightInd w:val="0"/>
              <w:snapToGrid w:val="0"/>
              <w:jc w:val="center"/>
              <w:rPr>
                <w:rFonts w:hAnsi="宋体" w:cs="宋体"/>
                <w:bCs/>
              </w:rPr>
            </w:pPr>
            <w:r>
              <w:rPr>
                <w:rFonts w:hint="eastAsia" w:hAnsi="宋体" w:cs="宋体"/>
                <w:bCs/>
              </w:rPr>
              <w:t>丙型肝炎病毒基因分型(PCR法)</w:t>
            </w:r>
          </w:p>
        </w:tc>
        <w:tc>
          <w:tcPr>
            <w:tcW w:w="2019" w:type="dxa"/>
            <w:vAlign w:val="center"/>
          </w:tcPr>
          <w:p>
            <w:pPr>
              <w:pStyle w:val="5"/>
              <w:tabs>
                <w:tab w:val="left" w:pos="420"/>
              </w:tabs>
              <w:adjustRightInd w:val="0"/>
              <w:snapToGrid w:val="0"/>
              <w:jc w:val="center"/>
              <w:rPr>
                <w:rFonts w:hAnsi="宋体" w:cs="宋体"/>
                <w:bCs/>
              </w:rPr>
            </w:pPr>
            <w:r>
              <w:rPr>
                <w:rFonts w:hint="eastAsia" w:hAnsi="宋体" w:cs="宋体"/>
                <w:bCs/>
              </w:rPr>
              <w:t>丙型肝炎病毒（HCV）基因分型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122.2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血小板抗体CD41(IgG)</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抗血液细胞抗体测定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JAK2 V617F基因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JAK2基因</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白血病融合基因(BCR-ABL1 P210)检测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白血病融合基因分型-Real-time PCR(实时荧光定量PCR)</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463.42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白血病融合基因(BCR-ABL1 P230)</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白血病融合基因分型-Real-time PCR(实时荧光定量PCR)</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463.42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EB病毒四项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EB病毒抗体测定-各种免疫学方法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18.8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抗乙酰胆碱受体抗体测定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抗乙酰胆碱受体抗体测定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42.3</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总IgE</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总IgE测定-化学发光法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55.94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生殖支原体SAT检测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各类病原体RNA测定(核酸恒温扩增法)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127.84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泌尿生殖感染检测四项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各类病原体RNA测定(核酸恒温扩增法)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127.84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泌尿生殖感染检测四项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细菌抗原分析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手足口病SAT两项检测(A16型、71型)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Real-time PCR （实时荧光定量PCR）</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127.84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结核分枝杆菌RNA检测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各类病原体RNA测定(核酸恒温扩增法)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themeColor="text1"/>
                <w:kern w:val="0"/>
                <w:szCs w:val="21"/>
                <w:lang w:bidi="ar"/>
                <w14:textFill>
                  <w14:solidFill>
                    <w14:schemeClr w14:val="tx1"/>
                  </w14:solidFill>
                </w14:textFill>
              </w:rPr>
              <w:t>127.84</w:t>
            </w:r>
          </w:p>
        </w:tc>
        <w:tc>
          <w:tcPr>
            <w:tcW w:w="186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1766"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51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染色体芯片分析遗传缺限检测（低分辩60K）</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IgG4</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免疫球蛋白亚类(IgG4)定量测定(酶免法)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115.62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EGFR基因突变</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抗磷脂酶A2受体抗体</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血浆脂蛋白磷脂酶A2（Lp-PLA2）测定</w:t>
            </w:r>
          </w:p>
        </w:tc>
        <w:tc>
          <w:tcPr>
            <w:tcW w:w="1811" w:type="dxa"/>
            <w:vAlign w:val="center"/>
          </w:tcPr>
          <w:p>
            <w:pPr>
              <w:widowControl/>
              <w:jc w:val="center"/>
              <w:textAlignment w:val="center"/>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167.8</w:t>
            </w:r>
          </w:p>
        </w:tc>
        <w:tc>
          <w:tcPr>
            <w:tcW w:w="186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1766"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51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糖化血清蛋白</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血清果糖胺测定-化学法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11.28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FGFR3基因突变检测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氯吡格雷药物相关基因多态性检测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脱氧核糖核酸(DNA)测序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230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炎症因子组套</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各种白介素测定-化学发光法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炎症因子组套</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肿瘤坏死因子测定(TNF)-化学发光法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61.1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产科广东省早孕期筛查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广东省早孕期筛查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产科广东省中孕期筛查</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广东省中孕期筛查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无创NIPT-plus</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染色体分析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169.2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外周血淋巴细胞微核分析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外周血细胞染色体检查</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169.2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糖类抗原CA72-4</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糖类抗原测定-化学发光法</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117.5</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超氧化物歧化酶</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超氧化物歧化酶（SOD)测定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25.38</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流产胚胎或绒毛染色体非整倍数分析检测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培养绒毛羊水细胞的染色体分析</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1163.72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结核分枝杆菌检测QFT</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干扰素测定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结核分枝杆菌检测QFT</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群体反应抗体检测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themeColor="text1"/>
                <w:kern w:val="0"/>
                <w:szCs w:val="21"/>
                <w:lang w:bidi="ar"/>
                <w14:textFill>
                  <w14:solidFill>
                    <w14:schemeClr w14:val="tx1"/>
                  </w14:solidFill>
                </w14:textFill>
              </w:rPr>
              <w:t>500</w:t>
            </w:r>
          </w:p>
        </w:tc>
        <w:tc>
          <w:tcPr>
            <w:tcW w:w="186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1766"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c>
          <w:tcPr>
            <w:tcW w:w="519"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巨细胞病毒DNA测定</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巨细胞病毒（CMV)DNA测定</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101.52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BP180抗体检测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大疱性皮肤疾病检测</w:t>
            </w:r>
          </w:p>
        </w:tc>
        <w:tc>
          <w:tcPr>
            <w:tcW w:w="1811" w:type="dxa"/>
            <w:vAlign w:val="center"/>
          </w:tcPr>
          <w:p>
            <w:pPr>
              <w:widowControl/>
              <w:jc w:val="center"/>
              <w:textAlignment w:val="center"/>
              <w:rPr>
                <w:rFonts w:ascii="宋体" w:hAnsi="宋体" w:cs="宋体"/>
                <w:b/>
                <w:color w:val="000000" w:themeColor="text1"/>
                <w:szCs w:val="21"/>
                <w14:textFill>
                  <w14:solidFill>
                    <w14:schemeClr w14:val="tx1"/>
                  </w14:solidFill>
                </w14:textFill>
              </w:rPr>
            </w:pPr>
            <w:r>
              <w:rPr>
                <w:rFonts w:hint="eastAsia" w:ascii="宋体" w:hAnsi="宋体" w:cs="宋体"/>
                <w:color w:val="000000"/>
                <w:kern w:val="0"/>
                <w:szCs w:val="21"/>
                <w:lang w:bidi="ar"/>
              </w:rPr>
              <w:t>84.6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别嘌醇药物过敏基因检测</w:t>
            </w:r>
          </w:p>
        </w:tc>
        <w:tc>
          <w:tcPr>
            <w:tcW w:w="2019" w:type="dxa"/>
            <w:vAlign w:val="center"/>
          </w:tcPr>
          <w:p>
            <w:pPr>
              <w:jc w:val="center"/>
              <w:rPr>
                <w:rFonts w:ascii="宋体" w:hAnsi="宋体" w:cs="宋体"/>
                <w:szCs w:val="21"/>
              </w:rPr>
            </w:pPr>
            <w:r>
              <w:rPr>
                <w:rFonts w:hint="eastAsia" w:ascii="宋体" w:hAnsi="宋体" w:cs="宋体"/>
                <w:szCs w:val="21"/>
              </w:rPr>
              <w:t>HLA-B*5801位点检测</w:t>
            </w:r>
          </w:p>
        </w:tc>
        <w:tc>
          <w:tcPr>
            <w:tcW w:w="1811" w:type="dxa"/>
            <w:vAlign w:val="center"/>
          </w:tcPr>
          <w:p>
            <w:pPr>
              <w:widowControl/>
              <w:jc w:val="center"/>
              <w:textAlignment w:val="center"/>
              <w:rPr>
                <w:rFonts w:ascii="宋体" w:hAnsi="宋体" w:cs="宋体"/>
                <w:szCs w:val="21"/>
              </w:rPr>
            </w:pPr>
            <w:r>
              <w:rPr>
                <w:rFonts w:hint="eastAsia" w:ascii="宋体" w:hAnsi="宋体" w:cs="宋体"/>
                <w:color w:val="000000"/>
                <w:kern w:val="0"/>
                <w:szCs w:val="21"/>
                <w:lang w:bidi="ar"/>
              </w:rPr>
              <w:t>460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卡马西平药物过敏基因</w:t>
            </w:r>
          </w:p>
        </w:tc>
        <w:tc>
          <w:tcPr>
            <w:tcW w:w="2019" w:type="dxa"/>
            <w:vAlign w:val="center"/>
          </w:tcPr>
          <w:p>
            <w:pPr>
              <w:jc w:val="center"/>
              <w:rPr>
                <w:rFonts w:ascii="宋体" w:hAnsi="宋体" w:cs="宋体"/>
                <w:szCs w:val="21"/>
              </w:rPr>
            </w:pPr>
            <w:r>
              <w:rPr>
                <w:rFonts w:hint="eastAsia" w:ascii="宋体" w:hAnsi="宋体" w:cs="宋体"/>
                <w:szCs w:val="21"/>
              </w:rPr>
              <w:t>HLA-B*1502、HLA-A*3101位点检测</w:t>
            </w:r>
          </w:p>
        </w:tc>
        <w:tc>
          <w:tcPr>
            <w:tcW w:w="1811" w:type="dxa"/>
            <w:vAlign w:val="center"/>
          </w:tcPr>
          <w:p>
            <w:pPr>
              <w:widowControl/>
              <w:jc w:val="center"/>
              <w:textAlignment w:val="center"/>
              <w:rPr>
                <w:rFonts w:ascii="宋体" w:hAnsi="宋体" w:cs="宋体"/>
                <w:szCs w:val="21"/>
              </w:rPr>
            </w:pPr>
            <w:r>
              <w:rPr>
                <w:rFonts w:hint="eastAsia" w:ascii="宋体" w:hAnsi="宋体" w:cs="宋体"/>
                <w:color w:val="000000"/>
                <w:kern w:val="0"/>
                <w:szCs w:val="21"/>
                <w:lang w:bidi="ar"/>
              </w:rPr>
              <w:t>460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甲胎蛋白异质体比率AFP-L3%</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肝癌检测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79.90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不孕不育自身抗体五项</w:t>
            </w:r>
          </w:p>
        </w:tc>
        <w:tc>
          <w:tcPr>
            <w:tcW w:w="2019" w:type="dxa"/>
            <w:vAlign w:val="center"/>
          </w:tcPr>
          <w:p>
            <w:pPr>
              <w:tabs>
                <w:tab w:val="left" w:pos="420"/>
              </w:tabs>
              <w:adjustRightInd w:val="0"/>
              <w:snapToGrid w:val="0"/>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抗精子抗体，抗子宫内膜抗体，抗心磷脂抗体，抗HCG抗体，抗卵巢抗体</w:t>
            </w:r>
          </w:p>
          <w:p>
            <w:pPr>
              <w:tabs>
                <w:tab w:val="left" w:pos="420"/>
              </w:tabs>
              <w:adjustRightInd w:val="0"/>
              <w:snapToGrid w:val="0"/>
              <w:jc w:val="center"/>
              <w:rPr>
                <w:rFonts w:ascii="宋体" w:hAnsi="宋体" w:cs="宋体"/>
                <w:bCs/>
                <w:szCs w:val="21"/>
              </w:rPr>
            </w:pP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246.09</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人细小病毒（B19-DNA)定性</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231F20"/>
                <w:szCs w:val="21"/>
              </w:rPr>
              <w:t>用于 B19 感染的早期诊断。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结核感染T细胞检测(T-SPOT.TB)</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231F20"/>
                <w:szCs w:val="21"/>
              </w:rPr>
              <w:t>用于临床辅助结核病的诊断。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347</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尿液有机酸分析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231F20"/>
                <w:szCs w:val="21"/>
              </w:rPr>
              <w:t>用于有机酸代谢病的诊断。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260.19</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百日咳杆菌核酸检测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231F20"/>
                <w:szCs w:val="21"/>
              </w:rPr>
              <w:t>辅助诊断百日咳杆菌感染</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75.2</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肝癌三联检</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肝癌检测</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144.76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人体营养素-元素15项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000000" w:themeColor="text1"/>
                <w:szCs w:val="21"/>
                <w14:textFill>
                  <w14:solidFill>
                    <w14:schemeClr w14:val="tx1"/>
                  </w14:solidFill>
                </w14:textFill>
              </w:rPr>
              <w:t>全血镁、全血钙、全血钒、全血铬、全血锰、全血铁、全血钴、全血镍、全血铜、全血锌、全血硒、全血铷、全血钼、全血镉、全血铅</w:t>
            </w:r>
          </w:p>
        </w:tc>
        <w:tc>
          <w:tcPr>
            <w:tcW w:w="1811" w:type="dxa"/>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123.61</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中枢神经系统脱髓鞘抗体4项</w:t>
            </w:r>
          </w:p>
        </w:tc>
        <w:tc>
          <w:tcPr>
            <w:tcW w:w="2019" w:type="dxa"/>
            <w:vAlign w:val="center"/>
          </w:tcPr>
          <w:p>
            <w:pPr>
              <w:tabs>
                <w:tab w:val="left" w:pos="420"/>
              </w:tabs>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QP4、MOG、GFAP、MBP</w:t>
            </w:r>
          </w:p>
          <w:p>
            <w:pPr>
              <w:tabs>
                <w:tab w:val="left" w:pos="420"/>
              </w:tabs>
              <w:adjustRightInd w:val="0"/>
              <w:snapToGrid w:val="0"/>
              <w:jc w:val="center"/>
              <w:rPr>
                <w:rFonts w:ascii="宋体" w:hAnsi="宋体" w:cs="宋体"/>
                <w:bCs/>
                <w:szCs w:val="21"/>
              </w:rPr>
            </w:pPr>
            <w:r>
              <w:rPr>
                <w:rFonts w:hint="eastAsia" w:ascii="宋体" w:hAnsi="宋体" w:cs="宋体"/>
                <w:color w:val="000000" w:themeColor="text1"/>
                <w:szCs w:val="21"/>
                <w14:textFill>
                  <w14:solidFill>
                    <w14:schemeClr w14:val="tx1"/>
                  </w14:solidFill>
                </w14:textFill>
              </w:rPr>
              <w:t>抗NMO/AQP4抗体IgG，抗MOG抗体IgG，抗MBP抗体IgG</w:t>
            </w:r>
          </w:p>
        </w:tc>
        <w:tc>
          <w:tcPr>
            <w:tcW w:w="1811" w:type="dxa"/>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1021.6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脑脊液免疫定量及蛋白分析</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000000"/>
                <w:szCs w:val="21"/>
                <w:shd w:val="clear" w:color="auto" w:fill="FFFFFF"/>
              </w:rPr>
              <w:t>对某些CNS疾病的诊断、疗效观察和预后判断。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639.20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腹泻八项</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000000" w:themeColor="text1"/>
                <w:szCs w:val="21"/>
                <w14:textFill>
                  <w14:solidFill>
                    <w14:schemeClr w14:val="tx1"/>
                  </w14:solidFill>
                </w14:textFill>
              </w:rPr>
              <w:t>艰难梭菌(CD)DNA定性检测，空肠弯曲杆菌(CJ)DNA定性检测，轮状病毒(RV)DNA定性检测，沙门氏菌(SM)DNA定性检测，腺病毒(AdV)DNA定性，诺如病毒(NoV)RNA定性，星状病毒(AstV)RNA定性检测，札如病毒(SV)RNA定性检测</w:t>
            </w:r>
          </w:p>
        </w:tc>
        <w:tc>
          <w:tcPr>
            <w:tcW w:w="1811" w:type="dxa"/>
            <w:vAlign w:val="center"/>
          </w:tcPr>
          <w:p>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kern w:val="0"/>
                <w:szCs w:val="21"/>
                <w:lang w:bidi="ar"/>
              </w:rPr>
              <w:t>376</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right"/>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B族链球菌DNA定量检测</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color w:val="231F20"/>
                <w:szCs w:val="21"/>
              </w:rPr>
              <w:t>各类病原体DNA测定-定量</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150.4</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szCs w:val="21"/>
              </w:rPr>
            </w:pPr>
            <w:r>
              <w:rPr>
                <w:rFonts w:hint="eastAsia" w:ascii="宋体" w:hAnsi="宋体" w:cs="宋体"/>
                <w:szCs w:val="21"/>
              </w:rPr>
              <w:t>无创肝癌筛查基因检测（单筛）</w:t>
            </w:r>
          </w:p>
        </w:tc>
        <w:tc>
          <w:tcPr>
            <w:tcW w:w="2019" w:type="dxa"/>
            <w:vAlign w:val="center"/>
          </w:tcPr>
          <w:p>
            <w:pPr>
              <w:tabs>
                <w:tab w:val="left" w:pos="420"/>
              </w:tabs>
              <w:adjustRightInd w:val="0"/>
              <w:snapToGrid w:val="0"/>
              <w:jc w:val="center"/>
              <w:rPr>
                <w:rFonts w:ascii="宋体" w:hAnsi="宋体" w:cs="宋体"/>
                <w:bCs/>
                <w:szCs w:val="21"/>
              </w:rPr>
            </w:pPr>
            <w:r>
              <w:rPr>
                <w:rFonts w:hint="eastAsia" w:ascii="宋体" w:hAnsi="宋体" w:cs="宋体"/>
                <w:bCs/>
                <w:szCs w:val="21"/>
              </w:rPr>
              <w:t>对原发性肝癌辅助诊断</w:t>
            </w:r>
          </w:p>
        </w:tc>
        <w:tc>
          <w:tcPr>
            <w:tcW w:w="1811" w:type="dxa"/>
            <w:vAlign w:val="center"/>
          </w:tcPr>
          <w:p>
            <w:pPr>
              <w:widowControl/>
              <w:jc w:val="center"/>
              <w:textAlignment w:val="center"/>
              <w:rPr>
                <w:rFonts w:ascii="宋体" w:hAnsi="宋体" w:cs="宋体"/>
                <w:bCs/>
                <w:szCs w:val="21"/>
              </w:rPr>
            </w:pPr>
            <w:r>
              <w:rPr>
                <w:rFonts w:hint="eastAsia" w:ascii="宋体" w:hAnsi="宋体" w:cs="宋体"/>
                <w:color w:val="000000"/>
                <w:kern w:val="0"/>
                <w:szCs w:val="21"/>
                <w:lang w:bidi="ar"/>
              </w:rPr>
              <w:t>1380</w:t>
            </w:r>
          </w:p>
        </w:tc>
        <w:tc>
          <w:tcPr>
            <w:tcW w:w="1869" w:type="dxa"/>
            <w:vAlign w:val="center"/>
          </w:tcPr>
          <w:p>
            <w:pPr>
              <w:widowControl/>
              <w:jc w:val="center"/>
              <w:textAlignment w:val="center"/>
              <w:rPr>
                <w:rFonts w:ascii="宋体" w:hAnsi="宋体" w:cs="宋体"/>
                <w:color w:val="000000"/>
                <w:kern w:val="0"/>
                <w:szCs w:val="21"/>
                <w:lang w:bidi="ar"/>
              </w:rPr>
            </w:pPr>
          </w:p>
        </w:tc>
        <w:tc>
          <w:tcPr>
            <w:tcW w:w="1766" w:type="dxa"/>
            <w:vAlign w:val="center"/>
          </w:tcPr>
          <w:p>
            <w:pPr>
              <w:widowControl/>
              <w:jc w:val="center"/>
              <w:textAlignment w:val="center"/>
              <w:rPr>
                <w:rFonts w:ascii="宋体" w:hAnsi="宋体" w:cs="宋体"/>
                <w:color w:val="000000"/>
                <w:kern w:val="0"/>
                <w:szCs w:val="21"/>
                <w:lang w:bidi="ar"/>
              </w:rPr>
            </w:pPr>
          </w:p>
        </w:tc>
        <w:tc>
          <w:tcPr>
            <w:tcW w:w="519" w:type="dxa"/>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34" w:type="dxa"/>
            <w:vAlign w:val="center"/>
          </w:tcPr>
          <w:p>
            <w:pPr>
              <w:pStyle w:val="12"/>
              <w:numPr>
                <w:ilvl w:val="0"/>
                <w:numId w:val="2"/>
              </w:numPr>
              <w:tabs>
                <w:tab w:val="left" w:pos="0"/>
              </w:tabs>
              <w:adjustRightInd w:val="0"/>
              <w:snapToGrid w:val="0"/>
              <w:ind w:firstLineChars="0"/>
              <w:jc w:val="center"/>
              <w:rPr>
                <w:rFonts w:ascii="宋体" w:hAnsi="宋体" w:cs="宋体"/>
                <w:bCs/>
                <w:szCs w:val="21"/>
              </w:rPr>
            </w:pPr>
          </w:p>
        </w:tc>
        <w:tc>
          <w:tcPr>
            <w:tcW w:w="1882" w:type="dxa"/>
            <w:vAlign w:val="center"/>
          </w:tcPr>
          <w:p>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人乳头瘤病毒核酸测定</w:t>
            </w:r>
          </w:p>
        </w:tc>
        <w:tc>
          <w:tcPr>
            <w:tcW w:w="2019" w:type="dxa"/>
            <w:vAlign w:val="center"/>
          </w:tcPr>
          <w:p>
            <w:pPr>
              <w:tabs>
                <w:tab w:val="left" w:pos="420"/>
              </w:tabs>
              <w:adjustRightInd w:val="0"/>
              <w:snapToGrid w:val="0"/>
              <w:jc w:val="center"/>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人乳头瘤病毒核酸测定</w:t>
            </w:r>
          </w:p>
        </w:tc>
        <w:tc>
          <w:tcPr>
            <w:tcW w:w="1811" w:type="dxa"/>
            <w:vAlign w:val="center"/>
          </w:tcPr>
          <w:p>
            <w:pPr>
              <w:widowControl/>
              <w:jc w:val="center"/>
              <w:textAlignment w:val="center"/>
              <w:rPr>
                <w:rFonts w:ascii="宋体" w:hAnsi="宋体" w:cs="宋体"/>
                <w:color w:val="000000" w:themeColor="text1"/>
                <w:kern w:val="0"/>
                <w:szCs w:val="21"/>
                <w:lang w:bidi="ar"/>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146.64</w:t>
            </w:r>
          </w:p>
        </w:tc>
        <w:tc>
          <w:tcPr>
            <w:tcW w:w="1869" w:type="dxa"/>
            <w:vAlign w:val="center"/>
          </w:tcPr>
          <w:p>
            <w:pPr>
              <w:widowControl/>
              <w:jc w:val="center"/>
              <w:textAlignment w:val="center"/>
              <w:rPr>
                <w:rFonts w:ascii="宋体" w:hAnsi="宋体" w:cs="宋体"/>
                <w:bCs/>
                <w:color w:val="000000" w:themeColor="text1"/>
                <w:szCs w:val="21"/>
                <w14:textFill>
                  <w14:solidFill>
                    <w14:schemeClr w14:val="tx1"/>
                  </w14:solidFill>
                </w14:textFill>
              </w:rPr>
            </w:pPr>
          </w:p>
        </w:tc>
        <w:tc>
          <w:tcPr>
            <w:tcW w:w="1766" w:type="dxa"/>
            <w:vAlign w:val="center"/>
          </w:tcPr>
          <w:p>
            <w:pPr>
              <w:widowControl/>
              <w:jc w:val="center"/>
              <w:textAlignment w:val="center"/>
              <w:rPr>
                <w:rFonts w:ascii="宋体" w:hAnsi="宋体" w:cs="宋体"/>
                <w:bCs/>
                <w:color w:val="000000" w:themeColor="text1"/>
                <w:szCs w:val="21"/>
                <w14:textFill>
                  <w14:solidFill>
                    <w14:schemeClr w14:val="tx1"/>
                  </w14:solidFill>
                </w14:textFill>
              </w:rPr>
            </w:pPr>
          </w:p>
        </w:tc>
        <w:tc>
          <w:tcPr>
            <w:tcW w:w="519" w:type="dxa"/>
            <w:vAlign w:val="center"/>
          </w:tcPr>
          <w:p>
            <w:pPr>
              <w:widowControl/>
              <w:jc w:val="center"/>
              <w:textAlignment w:val="center"/>
              <w:rPr>
                <w:rFonts w:ascii="宋体" w:hAnsi="宋体" w:cs="宋体"/>
                <w:bCs/>
                <w:color w:val="000000" w:themeColor="text1"/>
                <w:szCs w:val="21"/>
                <w14:textFill>
                  <w14:solidFill>
                    <w14:schemeClr w14:val="tx1"/>
                  </w14:solidFill>
                </w14:textFill>
              </w:rPr>
            </w:pP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53B93"/>
    <w:multiLevelType w:val="singleLevel"/>
    <w:tmpl w:val="C2F53B93"/>
    <w:lvl w:ilvl="0" w:tentative="0">
      <w:start w:val="2"/>
      <w:numFmt w:val="decimal"/>
      <w:lvlText w:val="%1."/>
      <w:lvlJc w:val="left"/>
      <w:pPr>
        <w:tabs>
          <w:tab w:val="left" w:pos="312"/>
        </w:tabs>
      </w:pPr>
    </w:lvl>
  </w:abstractNum>
  <w:abstractNum w:abstractNumId="1">
    <w:nsid w:val="401EAA0C"/>
    <w:multiLevelType w:val="multilevel"/>
    <w:tmpl w:val="401EAA0C"/>
    <w:lvl w:ilvl="0" w:tentative="0">
      <w:start w:val="1"/>
      <w:numFmt w:val="decimal"/>
      <w:suff w:val="space"/>
      <w:lvlText w:val="%1"/>
      <w:lvlJc w:val="left"/>
      <w:pPr>
        <w:ind w:left="630" w:hanging="63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OWI0MDAyMWQ0Y2NkMWZiMWQyY2RjNDRhNGUyN2MifQ=="/>
  </w:docVars>
  <w:rsids>
    <w:rsidRoot w:val="7DF51B97"/>
    <w:rsid w:val="0025297E"/>
    <w:rsid w:val="004E68F4"/>
    <w:rsid w:val="004E70AF"/>
    <w:rsid w:val="00A043FD"/>
    <w:rsid w:val="00EA71A7"/>
    <w:rsid w:val="00FA40DF"/>
    <w:rsid w:val="229D172B"/>
    <w:rsid w:val="2D215403"/>
    <w:rsid w:val="2EDC7C9D"/>
    <w:rsid w:val="30E806EE"/>
    <w:rsid w:val="34F73875"/>
    <w:rsid w:val="52073823"/>
    <w:rsid w:val="548C655A"/>
    <w:rsid w:val="56755C83"/>
    <w:rsid w:val="571E5F60"/>
    <w:rsid w:val="75EC3DA3"/>
    <w:rsid w:val="7DF5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widowControl/>
      <w:jc w:val="left"/>
      <w:outlineLvl w:val="0"/>
    </w:pPr>
    <w:rPr>
      <w:b/>
      <w:bCs/>
      <w:kern w:val="0"/>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line="360" w:lineRule="auto"/>
    </w:pPr>
  </w:style>
  <w:style w:type="paragraph" w:styleId="5">
    <w:name w:val="Plain Text"/>
    <w:basedOn w:val="1"/>
    <w:next w:val="1"/>
    <w:qFormat/>
    <w:uiPriority w:val="99"/>
    <w:rPr>
      <w:rFonts w:ascii="宋体" w:hAnsi="Courier New" w:cs="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99"/>
    <w:pPr>
      <w:ind w:firstLine="420" w:firstLineChars="200"/>
    </w:pPr>
  </w:style>
  <w:style w:type="character" w:customStyle="1" w:styleId="13">
    <w:name w:val="页眉 字符"/>
    <w:basedOn w:val="11"/>
    <w:link w:val="7"/>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2061</Words>
  <Characters>11751</Characters>
  <Lines>97</Lines>
  <Paragraphs>27</Paragraphs>
  <TotalTime>14</TotalTime>
  <ScaleCrop>false</ScaleCrop>
  <LinksUpToDate>false</LinksUpToDate>
  <CharactersWithSpaces>13785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2023-10-11T06:33:00Z</dcterms:created>
  <dc:creator>J-ing</dc:creator>
  <cp:lastModifiedBy>bangong</cp:lastModifiedBy>
  <dcterms:modified xsi:type="dcterms:W3CDTF">2023-12-04T07:32:31Z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FEF98F6ED81D4681942F029AA819B32D_11</vt:lpwstr>
  </property>
</Properties>
</file>