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1A532C0">
      <w:pPr>
        <w:shd w:val="clear"/>
        <w:rPr>
          <w:rFonts w:hint="eastAsia" w:ascii="宋体" w:hAnsi="宋体" w:eastAsia="宋体" w:cs="宋体"/>
          <w:color w:val="333333"/>
          <w:sz w:val="28"/>
          <w:szCs w:val="28"/>
          <w:highlight w:val="none"/>
          <w:shd w:val="clear" w:color="auto" w:fill="FFFFFF"/>
          <w:lang w:eastAsia="zh-CN"/>
        </w:rPr>
      </w:pPr>
      <w:r>
        <w:rPr>
          <w:rFonts w:hint="eastAsia" w:ascii="宋体" w:hAnsi="宋体" w:eastAsia="宋体" w:cs="宋体"/>
          <w:color w:val="333333"/>
          <w:sz w:val="28"/>
          <w:szCs w:val="28"/>
          <w:highlight w:val="none"/>
          <w:shd w:val="clear" w:color="auto" w:fill="FFFFFF"/>
        </w:rPr>
        <w:t>附件一</w:t>
      </w:r>
      <w:r>
        <w:rPr>
          <w:rFonts w:hint="eastAsia" w:ascii="宋体" w:hAnsi="宋体" w:eastAsia="宋体" w:cs="宋体"/>
          <w:color w:val="333333"/>
          <w:sz w:val="28"/>
          <w:szCs w:val="28"/>
          <w:highlight w:val="none"/>
          <w:shd w:val="clear" w:color="auto" w:fill="FFFFFF"/>
          <w:lang w:eastAsia="zh-CN"/>
        </w:rPr>
        <w:t>：</w:t>
      </w:r>
      <w:r>
        <w:rPr>
          <w:rFonts w:hint="eastAsia" w:ascii="宋体" w:hAnsi="宋体" w:eastAsia="宋体" w:cs="宋体"/>
          <w:color w:val="333333"/>
          <w:sz w:val="28"/>
          <w:szCs w:val="28"/>
          <w:highlight w:val="none"/>
          <w:shd w:val="clear" w:color="auto" w:fill="FFFFFF"/>
        </w:rPr>
        <w:t>采购需求</w:t>
      </w:r>
    </w:p>
    <w:p w14:paraId="1B7CB7A0">
      <w:pPr>
        <w:shd w:val="clear"/>
        <w:rPr>
          <w:rFonts w:hint="eastAsia" w:ascii="宋体" w:hAnsi="宋体" w:eastAsia="宋体" w:cs="宋体"/>
          <w:color w:val="333333"/>
          <w:sz w:val="28"/>
          <w:szCs w:val="28"/>
          <w:highlight w:val="none"/>
          <w:shd w:val="clear" w:color="auto" w:fill="FFFFFF"/>
          <w:lang w:eastAsia="zh-CN"/>
        </w:rPr>
      </w:pPr>
    </w:p>
    <w:p w14:paraId="7A780B4F">
      <w:pPr>
        <w:spacing w:line="560" w:lineRule="exact"/>
        <w:jc w:val="center"/>
        <w:rPr>
          <w:rFonts w:hint="eastAsia" w:ascii="宋体" w:hAnsi="宋体" w:eastAsia="宋体" w:cs="宋体"/>
          <w:b/>
          <w:bCs/>
          <w:sz w:val="40"/>
          <w:szCs w:val="40"/>
          <w:highlight w:val="none"/>
        </w:rPr>
      </w:pPr>
      <w:r>
        <w:rPr>
          <w:rFonts w:hint="eastAsia" w:ascii="宋体" w:hAnsi="宋体" w:eastAsia="宋体" w:cs="宋体"/>
          <w:b/>
          <w:bCs/>
          <w:sz w:val="40"/>
          <w:szCs w:val="40"/>
          <w:highlight w:val="none"/>
        </w:rPr>
        <w:t>2024年韶关市中心城区地下市政基础设施普查项目采购需求</w:t>
      </w:r>
    </w:p>
    <w:p w14:paraId="052891C4">
      <w:pPr>
        <w:spacing w:line="560" w:lineRule="exact"/>
        <w:rPr>
          <w:rFonts w:hint="eastAsia" w:ascii="宋体" w:hAnsi="宋体" w:eastAsia="宋体" w:cs="宋体"/>
          <w:sz w:val="32"/>
          <w:szCs w:val="32"/>
          <w:highlight w:val="none"/>
        </w:rPr>
      </w:pPr>
    </w:p>
    <w:p w14:paraId="0EA58270">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一、项目背景</w:t>
      </w:r>
    </w:p>
    <w:p w14:paraId="0D1AB77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2020年12月，住房和城乡建设部印发《关于加强城市地下市政基础设施建设的指导意见》（建城〔2020〕111号），要求按照党中央、国务院决策部署，坚持以人民为中心，坚持新发展理念，落实高质量发展要求，统筹发展和安全，加强城市地下市政基础设施体系化建设，加快完善管理制度规范，补齐规划建设和安全管理短板，推动城市治理体系和治理能力现代化，提高城市安全水平和综合承载能力，满足人民群众日益增长的美好生活需要。</w:t>
      </w:r>
    </w:p>
    <w:p w14:paraId="6EA3AC4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2021年5月，广东省住房和城乡建设厅印发《广东省加强城市地下市政基础设施建设工作方案》（粤建城〔2021〕71号），方案指出“要建立健全地上地下设施建设协调机制，严格落实城市道路占用挖掘管理制度，加强城市地下市政基础设施运行安全监管，推动城市地下市政基础设施数字化、智能化建设等”。要求到 2023 年11月，基本完成地下市政基础设施普查，全面摸清底数，年底前建立地下市政基础设施隐患风险点台账并制定整治计划、限期消除，形成顺畅、高效的城市地下市政基础设施建设协调工作机制，城市地下市政基础设施建设效率明显提高，安全隐患及事故明显减少，城市安全韧性显著提升。</w:t>
      </w:r>
    </w:p>
    <w:p w14:paraId="36E24F7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地下市政基础设施作为城市运行的重要支撑系统，其完整性、安全性和运维效率对城市发展至关重要。当前，城市地下市政基础设施及地上相关设施仍存在底数不清、统筹协调不够、运行管理不到位等问题，城市道路塌陷等安全事故时有发生。为查清我市中心城区范围内地下市政基础设施及地上相关设施现状，我市拟开展中心城区地下市政基础设施普查与信息化建库技术标准编制、地下管线既有工作评估及信息属性升级、地下市政基础设施普查等工作，进一步加强地下市政基础设施建设全流程监管为我市城市安全有序运行打下提供基础数据保障，为城市高质量发展奠定基础。</w:t>
      </w:r>
    </w:p>
    <w:p w14:paraId="0A0DC410">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二、项目目标</w:t>
      </w:r>
    </w:p>
    <w:p w14:paraId="0AC2549F">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通过开展韶关市辖区地下市政基础设施、城市管理部件普查等工作，绘制韶关市中心城区地下市政基础设施和城市管理部件一张图，摸清市政基础设施现状底数，掌握存在的隐患风险点并限期消除，完善城市地下市政基础设施综合管理信息平台的信息资源，开展数据汇交动态更新、脱敏共享，获取城市地下管线、地下交通、地下人防及其它地下市政基础设施更为全面、准确、现势的数据，与城市地理信息数据、其它基础数据整合，建立完善的城市信</w:t>
      </w:r>
      <w:bookmarkStart w:id="11" w:name="_GoBack"/>
      <w:bookmarkEnd w:id="11"/>
      <w:r>
        <w:rPr>
          <w:rFonts w:hint="eastAsia" w:ascii="宋体" w:hAnsi="宋体" w:eastAsia="宋体" w:cs="宋体"/>
          <w:sz w:val="21"/>
          <w:szCs w:val="21"/>
        </w:rPr>
        <w:t>息大数据，做到信息共享。</w:t>
      </w:r>
    </w:p>
    <w:p w14:paraId="08AACAA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推动城市道路挖掘管理、加强规章制度建设力度，促进城市地下市政基础设施建设效率明显提升，安全隐患事故明显减少，城市安全韧性显著提升。</w:t>
      </w:r>
    </w:p>
    <w:p w14:paraId="37CFBC82">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三、项目建设依据</w:t>
      </w:r>
    </w:p>
    <w:p w14:paraId="199852C9">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（一）项目实施基础</w:t>
      </w:r>
    </w:p>
    <w:p w14:paraId="7C0828B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韶关市于2016年开展了中心城区（不含曲江区）地下管线普查，2019年-2023年陆续对上述区域的地下管线进行了补测补绘及数据更新工作，目前具有约5400千米各类型管线数据，可用于提供管理、技术信息。</w:t>
      </w:r>
    </w:p>
    <w:p w14:paraId="4A83390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（二）</w:t>
      </w:r>
      <w:r>
        <w:rPr>
          <w:rFonts w:hint="eastAsia" w:ascii="宋体" w:hAnsi="宋体" w:eastAsia="宋体" w:cs="宋体"/>
          <w:b/>
          <w:bCs/>
          <w:color w:val="000000"/>
          <w:sz w:val="21"/>
          <w:szCs w:val="21"/>
        </w:rPr>
        <w:t>政策依据</w:t>
      </w:r>
    </w:p>
    <w:p w14:paraId="1B99800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1.《住房和城乡建设部关于加强城市地下市政基础设施建设的指导意见》（建城〔2020〕111号）；</w:t>
      </w:r>
    </w:p>
    <w:p w14:paraId="562F7F7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2.《广东省加强城市地下市政基础设施建设工作方案》的通知（粤建城〔2021〕71号）；</w:t>
      </w:r>
    </w:p>
    <w:p w14:paraId="33D7340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3.《广东省住房和城乡建设厅关于印发〈广东省地下市政基础设施普查技术导则〉〈广东省地下市政基础设施综合管理信息平台建设技术导则〉的通知》（粤建城〔2022〕93号）；</w:t>
      </w:r>
    </w:p>
    <w:p w14:paraId="32FCE584">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4.韶关市住建管理局关于印发《韶关市加强城市地下市政基础设施建设实施方案》的通知（韶市建字〔2023〕60 号）；</w:t>
      </w:r>
    </w:p>
    <w:p w14:paraId="1A9C242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5.国家、省、市下发的其他相关政策文件。</w:t>
      </w:r>
    </w:p>
    <w:p w14:paraId="5FF09732">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color w:val="000000"/>
          <w:sz w:val="21"/>
          <w:szCs w:val="21"/>
        </w:rPr>
        <w:t>（三）技术标准</w:t>
      </w:r>
    </w:p>
    <w:p w14:paraId="1546E7E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1.《关于印发城市市政基础设施普查和综合管理信息平台建设工作指导手册的函》（建办城函〔2021〕208号）；</w:t>
      </w:r>
    </w:p>
    <w:p w14:paraId="7E6E968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2.《广东省地下市政基础设施普查技术导则》；</w:t>
      </w:r>
    </w:p>
    <w:p w14:paraId="7F0CB2D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3.《广东省地下市政基础设施综合管理信息平台建设技术导则》；</w:t>
      </w:r>
    </w:p>
    <w:p w14:paraId="39A9695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4.《广东省地下市政基础设施隐患排查技术导则》；</w:t>
      </w:r>
    </w:p>
    <w:p w14:paraId="04653A5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5.《韶关市地下管线普查导则》；</w:t>
      </w:r>
    </w:p>
    <w:p w14:paraId="2981417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6.《广东省地下管线探测技术规程》（DBJ/T15－134-2018）；</w:t>
      </w:r>
    </w:p>
    <w:p w14:paraId="626B9AB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7.《城市地下管线探测技术规程》（CJJ61-2017）；</w:t>
      </w:r>
    </w:p>
    <w:p w14:paraId="11F50B3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8.《城市地下空间测绘规范》（GB/T35636）；</w:t>
      </w:r>
    </w:p>
    <w:p w14:paraId="3397139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9.《城市测量规范》(CJJ/T8-2011)；</w:t>
      </w:r>
    </w:p>
    <w:p w14:paraId="36606AF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10.《国家基本比例尺地图图式第1部分：1:500、1:1000、1:2000地形图图式》（GB/T20257.1）；</w:t>
      </w:r>
    </w:p>
    <w:p w14:paraId="6D135A9F">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11.《管线测绘工程监理规程》（CH/T6009）；</w:t>
      </w:r>
    </w:p>
    <w:p w14:paraId="6DD1E38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12.《城市工程地球物理探测规范》（CJJ/T 7-2017）；</w:t>
      </w:r>
    </w:p>
    <w:p w14:paraId="2C7BF13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13.《管线测量成果质量检验技术规程》（CH/T1033）；</w:t>
      </w:r>
    </w:p>
    <w:p w14:paraId="668BBC4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14.《测绘成果质量检查与验收》（GB/T24356）；</w:t>
      </w:r>
    </w:p>
    <w:p w14:paraId="5D54D4D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15.其他国家、行业和地方相关技术标准、规范。</w:t>
      </w:r>
    </w:p>
    <w:p w14:paraId="519C0DF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color w:val="000000"/>
          <w:sz w:val="21"/>
          <w:szCs w:val="21"/>
        </w:rPr>
        <w:t>（四）相关基础数据资料</w:t>
      </w:r>
    </w:p>
    <w:p w14:paraId="7E1D9A1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韶关市地下管线普查数据成果（2009至2023年）</w:t>
      </w:r>
    </w:p>
    <w:p w14:paraId="2A21321C">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四、普查范围</w:t>
      </w:r>
    </w:p>
    <w:p w14:paraId="3047212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韶关市市辖浈江区（不含花坪镇、犁市镇）、武江区（不含江湾镇、重阳镇）、曲江区马坝镇、白土镇、松山街道。包括韶关</w:t>
      </w:r>
      <w:r>
        <w:rPr>
          <w:rFonts w:hint="eastAsia" w:ascii="宋体" w:hAnsi="宋体" w:eastAsia="宋体" w:cs="宋体"/>
          <w:snapToGrid w:val="0"/>
          <w:kern w:val="0"/>
          <w:sz w:val="21"/>
          <w:szCs w:val="21"/>
        </w:rPr>
        <w:t>高新区四个工业园片区：沐溪片区、阳山片区、浈江片区和甘棠片区、华南先进装备产业园区。</w:t>
      </w:r>
    </w:p>
    <w:p w14:paraId="7E4505D8">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五、普查对象</w:t>
      </w:r>
    </w:p>
    <w:p w14:paraId="649A314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本次普查对象包括城市地下工程管线设施、城市地下交通设施，城市地下其他工程和地上相关设施。</w:t>
      </w:r>
    </w:p>
    <w:p w14:paraId="597C6A3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一）城市地下工程管线设施：给水管线及其附属设施，雨水管线及其附属设施，污水管线及其附属设施，雨污合流管线及其附属设施，燃气管线及其附属设施，电力、照明管线及其附属设施，广播、电视和信息通信管线及其附属设施，综合管廊及其附属设施，工业管线及其附属设施。</w:t>
      </w:r>
    </w:p>
    <w:p w14:paraId="2DFFB20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（二）城市地下交通设施：城市地下通道、道路，地下公共停车场。</w:t>
      </w:r>
    </w:p>
    <w:p w14:paraId="0ABF576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（三）城市地下其他工程：结建式人防工程，地下河道，其他地下空间，废弃工程（包括各种市政管线设施的废弃工程、明挖法施工方式存留地下的永久结构和其他不明废弃工程）。</w:t>
      </w:r>
    </w:p>
    <w:p w14:paraId="325707A5">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六、项目服务内容和要求</w:t>
      </w:r>
    </w:p>
    <w:p w14:paraId="41A91D4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包括地下市政基础设施普查技术标准的制定；地下市政基础设施普查和地下管线数据收集、整理、更新及入库；城市管理部件普查；中心城区结建人防工程普查；地下市政基础设施信息共享及更新等规范性管理文件的编制；地下管线数据脱敏处理；韶关市中心城区地下市政基础设施综合管理信息平台（地下市政基础设施一张图）和地下管线开挖会签管理所需的数据更新、数据治理和运行维护服务等。普查成果录入采购人指定的信息管理平台（以下简称入库）</w:t>
      </w:r>
    </w:p>
    <w:p w14:paraId="6B7BC7A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具体如下；</w:t>
      </w:r>
    </w:p>
    <w:p w14:paraId="59C89367">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子项一：地下市政基础设施普查技术标准的制定</w:t>
      </w:r>
    </w:p>
    <w:p w14:paraId="3B8B333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依据《住房和城乡建设部办公厅关于印发&lt;城市市政基础设施普查和综合管理信息平台建设工作指导手册&gt;的函》（建办城函〔2021〕208号，以下简称《指导手册》），《广东省住房和城乡建设厅关于印发〈广东省地下市政基础设施普查技术导则〉〈广东省地下市政基础设施综合管理信息平台建设技术导则〉的通知》（粤建城〔2022〕93号，以下简称《技术导则》）及成果评估的结果,编制与《指导手册》和《技术导则》相符合的韶关市《地下市政基础设施普查技术规程》制定地下市政基础设施普查技术标准（含地下市政基础设施隐患数据录入标准），并通过采购人审核。</w:t>
      </w:r>
    </w:p>
    <w:p w14:paraId="13D9EE53">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子项二：地下市政基础设施普查和地下管线数据收集、整理、更新及入库。</w:t>
      </w:r>
    </w:p>
    <w:p w14:paraId="70839FB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根据住建部及广东省住建厅相关文件为要求，以原韶关市地下管线普查工作成果为基础，完成中心城区地下管线普查成果属性升级工作；对现有地下管线数据进行收集、整理、属性更新、升级及建库；对地下交通设施、地下其他工程(地下河道、废弃工程、其他地下空间）进行资料调绘、现场踏勘、探测实施及成果建库。</w:t>
      </w:r>
    </w:p>
    <w:p w14:paraId="3F5CA9A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根据实际工作需要，通过资料调绘、现场踏勘、探测实施等工作方式完成中心城区城市道路、街巷等公共区域的地下交通设施（包括：人行地下通道、城市地下道路、地下公共停车场等）和地下其他工程（包括：地下河道、其他地下空间、废弃工程等）普查工作。要求如下：</w:t>
      </w:r>
    </w:p>
    <w:p w14:paraId="46A47120">
      <w:pPr>
        <w:keepNext w:val="0"/>
        <w:keepLines w:val="0"/>
        <w:pageBreakBefore w:val="0"/>
        <w:kinsoku/>
        <w:wordWrap/>
        <w:overflowPunct/>
        <w:topLinePunct w:val="0"/>
        <w:autoSpaceDE/>
        <w:autoSpaceDN/>
        <w:bidi w:val="0"/>
        <w:snapToGrid w:val="0"/>
        <w:spacing w:line="360" w:lineRule="auto"/>
        <w:ind w:firstLine="643"/>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1.普查单元属性调查及划分</w:t>
      </w:r>
    </w:p>
    <w:p w14:paraId="080C2E0E">
      <w:pPr>
        <w:keepNext w:val="0"/>
        <w:keepLines w:val="0"/>
        <w:pageBreakBefore w:val="0"/>
        <w:kinsoku/>
        <w:wordWrap/>
        <w:overflowPunct/>
        <w:topLinePunct w:val="0"/>
        <w:autoSpaceDE/>
        <w:autoSpaceDN/>
        <w:bidi w:val="0"/>
        <w:snapToGrid w:val="0"/>
        <w:spacing w:line="360" w:lineRule="auto"/>
        <w:ind w:firstLine="643"/>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采用内业资料调查与现场调查方式进行道路属性调查。根据《技术导则》要求，通过向既有道路普查成果单位、道路管理部门或权属单位、规划和自然资源管理部门、道路既有管理系统、城建档案馆或原建造五方等收集道路单元属性，以外业调查形式，核查道路的路幅形式、宽度、机动车道等信息，完善道路普查单元表格，按普查区域进行编号，划分普查单元。</w:t>
      </w:r>
    </w:p>
    <w:p w14:paraId="4D3AB0D0">
      <w:pPr>
        <w:keepNext w:val="0"/>
        <w:keepLines w:val="0"/>
        <w:pageBreakBefore w:val="0"/>
        <w:kinsoku/>
        <w:wordWrap/>
        <w:overflowPunct/>
        <w:topLinePunct w:val="0"/>
        <w:autoSpaceDE/>
        <w:autoSpaceDN/>
        <w:bidi w:val="0"/>
        <w:snapToGrid w:val="0"/>
        <w:spacing w:line="360" w:lineRule="auto"/>
        <w:ind w:firstLine="643"/>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2.地下市政基础设施普查</w:t>
      </w:r>
    </w:p>
    <w:p w14:paraId="203E783A">
      <w:pPr>
        <w:keepNext w:val="0"/>
        <w:keepLines w:val="0"/>
        <w:pageBreakBefore w:val="0"/>
        <w:kinsoku/>
        <w:wordWrap/>
        <w:overflowPunct/>
        <w:topLinePunct w:val="0"/>
        <w:autoSpaceDE/>
        <w:autoSpaceDN/>
        <w:bidi w:val="0"/>
        <w:snapToGrid w:val="0"/>
        <w:spacing w:line="360" w:lineRule="auto"/>
        <w:ind w:firstLine="643"/>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（1）地下管线</w:t>
      </w:r>
    </w:p>
    <w:p w14:paraId="2C7CF5D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以城市道路为普查单元，对中心城区现有的地下管线普查成果进行收集、整理、数据更新及入库。建立普查单元，调查收集现有地下管线数据资料，包括但不限于：</w:t>
      </w:r>
    </w:p>
    <w:p w14:paraId="17CF8B1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1）地下管线数据库中的地下管线资料；</w:t>
      </w:r>
    </w:p>
    <w:p w14:paraId="33CC4D2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2）现状路网、及地形现状图；</w:t>
      </w:r>
    </w:p>
    <w:p w14:paraId="7D0DF6C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3）各权属单位专业管线的数据现状资料等。制作地下管线普查工作底图，作为普查工作的参考依据。</w:t>
      </w:r>
    </w:p>
    <w:p w14:paraId="489B8F5E">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前往各管线设施权属单位、建设工程档案管理单位及相关单位，调取档案资料，并根据收集的资料做好如下工作：</w:t>
      </w:r>
    </w:p>
    <w:p w14:paraId="21FECF0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1）填写补充地下管线的管理信息和技术信息；</w:t>
      </w:r>
    </w:p>
    <w:p w14:paraId="2225ADD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2）对收集的资料中反映与综合管线普查成果数据不一致的,需对综合管线普查成果数据做必要的标记与说明；</w:t>
      </w:r>
    </w:p>
    <w:p w14:paraId="6849B9F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color w:val="000000"/>
          <w:sz w:val="21"/>
          <w:szCs w:val="21"/>
        </w:rPr>
        <w:t>3）</w:t>
      </w:r>
      <w:r>
        <w:rPr>
          <w:rFonts w:hint="eastAsia" w:ascii="宋体" w:hAnsi="宋体" w:eastAsia="宋体" w:cs="宋体"/>
          <w:sz w:val="21"/>
          <w:szCs w:val="21"/>
        </w:rPr>
        <w:t>现有地下管线系统中的管线长度约5400 千米，含①电力管线、②通信管线、③给水管线、④排水管线、⑤燃气管线、⑥热力管线、⑦工业管线、⑧综合管廊（沟）、⑨其他(含不明)城市管线等，已有的地下管线属性为：①管点数据：代码、物探点号、XY坐标、地面高程、特征点、附属物、井底埋深、权属单位和探测单位；②管线数据：代码、起止点物探点号、起止点埋深、起止点高程、埋设方式、材质、规格、压力、流向、总孔数、占用孔数、电缆条数、套管、权属单位和探测单位。投标人需按按照《技术导则》要求对地下管线系统中既有地下管线进行数据调查、收集整理和属性补全，建立标准数据库</w:t>
      </w:r>
      <w:r>
        <w:rPr>
          <w:rFonts w:hint="eastAsia" w:ascii="宋体" w:hAnsi="宋体" w:eastAsia="宋体" w:cs="宋体"/>
          <w:color w:val="000000"/>
          <w:sz w:val="21"/>
          <w:szCs w:val="21"/>
        </w:rPr>
        <w:t>。</w:t>
      </w:r>
    </w:p>
    <w:p w14:paraId="4505CB22">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为确保地下管线成果数据完整和准确，满足设施规划建设、运行服务、防灾应急等工作需要，按照《指导手册》及《技术导则》要求，对地下管线成果数据进行升级建库，地下管线数据整合建库工作内容包括普查人员技术培训、现有数据收集整理、数据收集整理与属性补全、数据建库、数据质量检查等工作。具体如下：</w:t>
      </w:r>
    </w:p>
    <w:p w14:paraId="20A1CF98">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人员技术培训：</w:t>
      </w:r>
      <w:r>
        <w:rPr>
          <w:rFonts w:hint="eastAsia" w:ascii="宋体" w:hAnsi="宋体" w:eastAsia="宋体" w:cs="宋体"/>
          <w:color w:val="000000"/>
          <w:sz w:val="21"/>
          <w:szCs w:val="21"/>
        </w:rPr>
        <w:t>根据《指导手册》及《技术导则》编制相关技术培训资料，并对地下管线普查作业技术人员进行培训，对共性问题提出解决方案，配合建立问题库，保证工作要求与技术标准的贯彻实施。</w:t>
      </w:r>
    </w:p>
    <w:p w14:paraId="03029E85">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现有数据收集、整理与属性补全：</w:t>
      </w:r>
      <w:r>
        <w:rPr>
          <w:rFonts w:hint="eastAsia" w:ascii="宋体" w:hAnsi="宋体" w:eastAsia="宋体" w:cs="宋体"/>
          <w:color w:val="000000"/>
          <w:sz w:val="21"/>
          <w:szCs w:val="21"/>
        </w:rPr>
        <w:t>配合采购人收集市辖三区政府、韶关市高新区管委会、华南装备园管委会、市自然资源局、市工信局（通建办）、交通局、水务局等多部门现有数据资料。并根据实际工作需要，以《技术导则》为标准，将原有地下管线数据转换成符合要求的地下管线数据空间数据（含坐标转换、数据格式转换等），在此基础上通过对各区（高新区、各工业园区）走访、权属单位资料查询以及实地调查等方式对缺失的属性字段进行信息调查补充，以及完成必要的管线空间位置修正。对偏差较大的管线段落信息，应单独建立项目台帐，明确标记偏差要素信息，为后期修补测及动态更新提供数据依据。</w:t>
      </w:r>
    </w:p>
    <w:p w14:paraId="071FA3C1">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数据建库：</w:t>
      </w:r>
      <w:r>
        <w:rPr>
          <w:rFonts w:hint="eastAsia" w:ascii="宋体" w:hAnsi="宋体" w:eastAsia="宋体" w:cs="宋体"/>
          <w:color w:val="000000"/>
          <w:sz w:val="21"/>
          <w:szCs w:val="21"/>
        </w:rPr>
        <w:t>对符合质检要求的地下市政基础设施数据进行汇集整合和入库更新，支撑构建地下基础设施一张图。</w:t>
      </w:r>
    </w:p>
    <w:p w14:paraId="5D105B9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在对地下管线成果收集、整理与属性补全工作基础上，通过内业数据处理和检查，包括资料整理、图形转换及分层、构面处理、属性赋值及数据检查等，构建地下市政基础设施现状数据库达到数据入库标准。</w:t>
      </w:r>
      <w:r>
        <w:rPr>
          <w:rFonts w:hint="eastAsia" w:ascii="宋体" w:hAnsi="宋体" w:eastAsia="宋体" w:cs="宋体"/>
          <w:b/>
          <w:color w:val="000000"/>
          <w:sz w:val="21"/>
          <w:szCs w:val="21"/>
        </w:rPr>
        <w:t>数据库数据格式采用*.MDB格式，具体参照《技术导则》及韶关市地下市政基础设施普查技术规程要求执行。</w:t>
      </w:r>
    </w:p>
    <w:p w14:paraId="78B770C9">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数据质量检查：</w:t>
      </w:r>
      <w:r>
        <w:rPr>
          <w:rFonts w:hint="eastAsia" w:ascii="宋体" w:hAnsi="宋体" w:eastAsia="宋体" w:cs="宋体"/>
          <w:color w:val="000000"/>
          <w:sz w:val="21"/>
          <w:szCs w:val="21"/>
        </w:rPr>
        <w:t>对普查成果数据库开展中标单位质量体系自检、监理单位检查两级检查工作，并完成专业地下市政基础设施图和综合图绘制工作。具体工作包括如下：</w:t>
      </w:r>
    </w:p>
    <w:p w14:paraId="445C9178">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1）对汇交的地下管线数据进行质量检查，确保数据准确，检查内容包括基本检查、普查单元检查、设施点正确性检查、管线线正确性检查、点线间拓扑关系检查等。</w:t>
      </w:r>
    </w:p>
    <w:p w14:paraId="14EA386A">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2）基本检查主要包括数据有效性检查、图层完整性检查、空间参考系检查、普查区域检查等几项检查内容。</w:t>
      </w:r>
    </w:p>
    <w:p w14:paraId="103671B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3）普查单元检查主要包括普查单元重复检查、普查单元空间重叠检查、普查单元字段控制检查、普查单元号、代码与编码规则符合性检查和普查单元坐标一致性检查等几项检查内容。</w:t>
      </w:r>
    </w:p>
    <w:p w14:paraId="7C33DDE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4）正确性检查主要包括地下管线数据表结构检查、地下管线重复检查、地下管线空间重叠检查、管网字段控制检查、连接管段数检查、点号、点代码与编码规则符合性检查、孤立管点（飞点）检查、和地下管线坐标一致性检查等几项检查内容。</w:t>
      </w:r>
    </w:p>
    <w:p w14:paraId="3AD632BC">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5）管线正确检查主要包括管线数据表结构检查、管线重复检查、设施线空间重叠检查、线段超长检查、管线字段是否为空检查、管线字段属性正确性检查、设施线代码一致性检查、管径与断面尺寸检查、设施线权属单位检查、孤立管线检查、管线碰撞检查、排水流向检查等几项检查内容。</w:t>
      </w:r>
    </w:p>
    <w:p w14:paraId="65FBEB0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6）点线间拓扑检查主要包括孤立管点检查、超长管线检查、类型一致性检查、编号一致性检查、高程一致性检查、属性一致性检查和多通一致性检查等几项检查内容。</w:t>
      </w:r>
    </w:p>
    <w:p w14:paraId="2C0A8AC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（2）地下交通设施、地下其他工程（不含结建式人防工程）</w:t>
      </w:r>
    </w:p>
    <w:p w14:paraId="12BF1F65">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以城市道路为普查单元，对中心城区的地下交通设施和地下其他工程按照《技术导则》要求进行普查，充分利用既有数据，进行信息更新升级。</w:t>
      </w:r>
    </w:p>
    <w:p w14:paraId="7F1606DC">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1）资料调绘：</w:t>
      </w:r>
      <w:r>
        <w:rPr>
          <w:rFonts w:hint="eastAsia" w:ascii="宋体" w:hAnsi="宋体" w:eastAsia="宋体" w:cs="宋体"/>
          <w:color w:val="000000"/>
          <w:sz w:val="21"/>
          <w:szCs w:val="21"/>
        </w:rPr>
        <w:t>收集市辖各区（工业园区）地下交通设施和地下其他工程设施规划成果、工程档案资料（设计图、断面图、施工图等）、竣工测量成果（含地形图）、控制点及权利主体的申报材料。对相关资料进行格式转换、坐标转换等数据处理，分析资料现势性及可利用性，编绘地下空间现状调查工作底图，并结合应用需求，制作属性信息调查表。</w:t>
      </w:r>
    </w:p>
    <w:p w14:paraId="0DE2A1EC">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2）现场踏勘：</w:t>
      </w:r>
      <w:r>
        <w:rPr>
          <w:rFonts w:hint="eastAsia" w:ascii="宋体" w:hAnsi="宋体" w:eastAsia="宋体" w:cs="宋体"/>
          <w:color w:val="000000"/>
          <w:sz w:val="21"/>
          <w:szCs w:val="21"/>
        </w:rPr>
        <w:t>核实并调绘各地下交通设施和地下其他工程设施的出入口、竖井位置和地下通道的分布及走向等位置信息，并标注在工作底图上，核实控制点的位置及保存状况，了解地物、地貌、交通、周边环境等。并在现有工作基础上开展地下空间的权属调查与核实，查清地下空间归属，划分地下空间宗地。对现场调查数据进行录入，构建文档数据库，形成数据表格，进行资料整理和分类统计，整理各项数据成果，梳理并明确需要进行外业现状测绘的地下交通设施和地下其他工程设施。</w:t>
      </w:r>
    </w:p>
    <w:p w14:paraId="655860B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3）探测实施：</w:t>
      </w:r>
      <w:r>
        <w:rPr>
          <w:rFonts w:hint="eastAsia" w:ascii="宋体" w:hAnsi="宋体" w:eastAsia="宋体" w:cs="宋体"/>
          <w:color w:val="000000"/>
          <w:sz w:val="21"/>
          <w:szCs w:val="21"/>
        </w:rPr>
        <w:t>对需要进行外业现状测绘的地下交通设施和地下其他工程设施开展现状测绘，完成各类型地下市政基础设施底板高程、层高、净空高、细部点测量，制作面向空间对象的地下基础设施现状综合图、平面图（含分层平面图）、纵横断面图等。</w:t>
      </w:r>
    </w:p>
    <w:p w14:paraId="7E7D1BE6">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color w:val="000000"/>
          <w:sz w:val="21"/>
          <w:szCs w:val="21"/>
        </w:rPr>
      </w:pPr>
      <w:r>
        <w:rPr>
          <w:rFonts w:hint="eastAsia" w:ascii="宋体" w:hAnsi="宋体" w:eastAsia="宋体" w:cs="宋体"/>
          <w:b/>
          <w:color w:val="000000"/>
          <w:sz w:val="21"/>
          <w:szCs w:val="21"/>
        </w:rPr>
        <w:t>4）数据建库：</w:t>
      </w:r>
      <w:r>
        <w:rPr>
          <w:rFonts w:hint="eastAsia" w:ascii="宋体" w:hAnsi="宋体" w:eastAsia="宋体" w:cs="宋体"/>
          <w:color w:val="000000"/>
          <w:sz w:val="21"/>
          <w:szCs w:val="21"/>
        </w:rPr>
        <w:t>对符合质检要求的地下市政基础设施数据进行汇集整合和入库更新，支撑构建地下基础设施一张图。</w:t>
      </w:r>
    </w:p>
    <w:p w14:paraId="267F8483">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000000"/>
          <w:sz w:val="21"/>
          <w:szCs w:val="21"/>
        </w:rPr>
      </w:pPr>
      <w:r>
        <w:rPr>
          <w:rFonts w:hint="eastAsia" w:ascii="宋体" w:hAnsi="宋体" w:eastAsia="宋体" w:cs="宋体"/>
          <w:color w:val="000000"/>
          <w:sz w:val="21"/>
          <w:szCs w:val="21"/>
        </w:rPr>
        <w:t>在对地下交通设施、地下其他工程进行资料调绘、现场踏勘与探测实施工作基础上，通过内业数据处理和检查，包括资料整理、图形转换及分层、构面处理、属性赋值及数据检查等，构建地下交通设施、地下其他工程现状数据库达到数据入库标准。数据库数据格式采用*.MDB格式，具体参照《技术导则》及韶关市地下市政基础设施普查技术规程要求进行。</w:t>
      </w:r>
    </w:p>
    <w:p w14:paraId="0946BB94">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color w:val="000000"/>
          <w:sz w:val="21"/>
          <w:szCs w:val="21"/>
        </w:rPr>
      </w:pPr>
      <w:r>
        <w:rPr>
          <w:rFonts w:hint="eastAsia" w:ascii="宋体" w:hAnsi="宋体" w:eastAsia="宋体" w:cs="宋体"/>
          <w:b/>
          <w:bCs/>
          <w:color w:val="000000"/>
          <w:sz w:val="21"/>
          <w:szCs w:val="21"/>
        </w:rPr>
        <w:t>3.地下市政基础设施三维可视化</w:t>
      </w:r>
    </w:p>
    <w:p w14:paraId="6E57EAE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color w:val="auto"/>
          <w:sz w:val="21"/>
          <w:szCs w:val="21"/>
        </w:rPr>
      </w:pPr>
      <w:r>
        <w:rPr>
          <w:rFonts w:hint="eastAsia" w:ascii="宋体" w:hAnsi="宋体" w:eastAsia="宋体" w:cs="宋体"/>
          <w:color w:val="auto"/>
          <w:sz w:val="21"/>
          <w:szCs w:val="21"/>
        </w:rPr>
        <w:t>基于普查二维成果数据，开展中心城区地下市政基础设施三维可视化工作。在现有地下管线设施三维可视化展示的基础上，完善相关数据信息，对新增的地下管线及附属设施进行三维可视化展示；补充完善对地下交通设施、地下其他工程进行三维白模盒子可视化展示，主要为地下人行道和城市地下道路。将地下交通设施、地下其他工程二维空间数据处理成三维模型数据（白模盒子）。</w:t>
      </w:r>
    </w:p>
    <w:p w14:paraId="510852D3">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color w:val="000000"/>
          <w:sz w:val="21"/>
          <w:szCs w:val="21"/>
        </w:rPr>
      </w:pPr>
      <w:bookmarkStart w:id="0" w:name="_Toc2597"/>
      <w:r>
        <w:rPr>
          <w:rFonts w:hint="eastAsia" w:ascii="宋体" w:hAnsi="宋体" w:eastAsia="宋体" w:cs="宋体"/>
          <w:b/>
          <w:bCs/>
          <w:color w:val="000000"/>
          <w:sz w:val="21"/>
          <w:szCs w:val="21"/>
        </w:rPr>
        <w:t>子项三：城市管理部件普查服务</w:t>
      </w:r>
      <w:bookmarkEnd w:id="0"/>
    </w:p>
    <w:p w14:paraId="6887691D">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基于2016年和2019年城市管理部件普查基础，根据《GB/T 30428.2-2013数字化城市管理信息系统 第2部分：管理部件和事件》普查对象及普查标准，对市辖三区城市建成区道路（主干路、次干路、支路、通道和其他公共区域）开展部件普查、数据建库及共享发布，通过普查，明确城市部件的名称、地理位置、主管部门、权属单位、养护单位、所在单元网格、部件状态等，为城市精细化管理提供底层数据支撑。</w:t>
      </w:r>
    </w:p>
    <w:p w14:paraId="7B986A19">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子项四：中心城区结建人防工程普查</w:t>
      </w:r>
    </w:p>
    <w:p w14:paraId="52E1E77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按《指导手册》及《技术导则》要求。对中心城区结建人防工程项目的现状进行普查、数据建库，通过外业属性调查、内业资料整理及编辑等，记录人防工程实体基本情况以及人防专用设备设施的战时使用性能现状。</w:t>
      </w:r>
    </w:p>
    <w:p w14:paraId="0C7068C5">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子项五：地下市政基础设施信息共享及更新等规范性管理文件的编制</w:t>
      </w:r>
    </w:p>
    <w:p w14:paraId="7DE6B6DF">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开展地下市政基础设施普查的同时，编制《韶关市地下市政基础设施信息更新管理规定》（暂定名）、《韶关市地下管线工程竣工信息入库工作指引》（暂定名）等动态更新管理的规范性文件，明确动态更新的方法、途径等，保证数据信息的现势性。</w:t>
      </w:r>
    </w:p>
    <w:p w14:paraId="447CDEDD">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bookmarkStart w:id="1" w:name="_Toc1886"/>
      <w:bookmarkStart w:id="2" w:name="_Toc23517"/>
      <w:r>
        <w:rPr>
          <w:rFonts w:hint="eastAsia" w:ascii="宋体" w:hAnsi="宋体" w:eastAsia="宋体" w:cs="宋体"/>
          <w:b/>
          <w:bCs/>
          <w:sz w:val="21"/>
          <w:szCs w:val="21"/>
        </w:rPr>
        <w:t>子项六：地下管线数据脱敏处理</w:t>
      </w:r>
      <w:bookmarkEnd w:id="1"/>
      <w:bookmarkEnd w:id="2"/>
      <w:r>
        <w:rPr>
          <w:rFonts w:hint="eastAsia" w:ascii="宋体" w:hAnsi="宋体" w:eastAsia="宋体" w:cs="宋体"/>
          <w:b/>
          <w:bCs/>
          <w:sz w:val="21"/>
          <w:szCs w:val="21"/>
        </w:rPr>
        <w:t>服务</w:t>
      </w:r>
    </w:p>
    <w:p w14:paraId="569215E7">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了更好地发挥韶关市地下管线数据作用，避免数据泄密，构建安全可靠的数据使用及共建共享环境，编制《韶关市地下管线脱敏和在线共享服务方案》，研究制定地下管线信息在线共享和脱敏规则，对韶关市既有地下管线数据进行脱敏处理及入库共享，形成数据安全管理和有限共享机制，提升地下管线管理水平，提升应急防灾能力，保障城市运行安全。</w:t>
      </w:r>
    </w:p>
    <w:p w14:paraId="1E0FCCEA">
      <w:pPr>
        <w:keepNext w:val="0"/>
        <w:keepLines w:val="0"/>
        <w:pageBreakBefore w:val="0"/>
        <w:kinsoku/>
        <w:wordWrap/>
        <w:overflowPunct/>
        <w:topLinePunct w:val="0"/>
        <w:autoSpaceDE/>
        <w:autoSpaceDN/>
        <w:bidi w:val="0"/>
        <w:adjustRightInd w:val="0"/>
        <w:snapToGrid w:val="0"/>
        <w:spacing w:line="360" w:lineRule="auto"/>
        <w:ind w:firstLine="422" w:firstLineChars="200"/>
        <w:textAlignment w:val="auto"/>
        <w:rPr>
          <w:rFonts w:hint="eastAsia" w:ascii="宋体" w:hAnsi="宋体" w:eastAsia="宋体" w:cs="宋体"/>
          <w:b/>
          <w:bCs/>
          <w:sz w:val="21"/>
          <w:szCs w:val="21"/>
        </w:rPr>
      </w:pPr>
      <w:r>
        <w:rPr>
          <w:rFonts w:hint="eastAsia" w:ascii="宋体" w:hAnsi="宋体" w:eastAsia="宋体" w:cs="宋体"/>
          <w:b/>
          <w:bCs/>
          <w:sz w:val="21"/>
          <w:szCs w:val="21"/>
        </w:rPr>
        <w:t>子项七：韶关市中心城区地下市政基础设施综合管理信息平台（地下市政基础设施一张图）和地下管线开挖会签系统（暂定名）数据更新和运行维护服务。</w:t>
      </w:r>
    </w:p>
    <w:p w14:paraId="7BCA5BC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1.基于韶关现有时空数据底座，以地下市政基础设施数据为主，开展地下基础设施的应用，提供基础设施“一张图”和设施隐患“一张图”服务，具备分布可视、信息可查、信息反馈和数据修正等功能。</w:t>
      </w:r>
    </w:p>
    <w:p w14:paraId="5A8CC577">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在地下管线信息在线共享的基础上，建立地下管线信息纠错反馈机制，构建良性的互动机制，逐步完善管线数据库中存在的各项数据，为及时消除安全隐患、助推老旧设施改造、统筹推进基础设施体系化建设提供了技术支撑。</w:t>
      </w:r>
    </w:p>
    <w:p w14:paraId="1CDE6D0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 xml:space="preserve">2. </w:t>
      </w:r>
      <w:bookmarkStart w:id="3" w:name="_Toc8529"/>
      <w:r>
        <w:rPr>
          <w:rFonts w:hint="eastAsia" w:ascii="宋体" w:hAnsi="宋体" w:eastAsia="宋体" w:cs="宋体"/>
          <w:sz w:val="21"/>
          <w:szCs w:val="21"/>
        </w:rPr>
        <w:t>协助建立地下管线开挖会签管理机制</w:t>
      </w:r>
      <w:bookmarkEnd w:id="3"/>
      <w:r>
        <w:rPr>
          <w:rFonts w:hint="eastAsia" w:ascii="宋体" w:hAnsi="宋体" w:eastAsia="宋体" w:cs="宋体"/>
          <w:sz w:val="21"/>
          <w:szCs w:val="21"/>
        </w:rPr>
        <w:t>及并提供数据治理服务</w:t>
      </w:r>
    </w:p>
    <w:p w14:paraId="34308FF3">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加强城市道路挖掘管理，加强建设工程施工中对既有管线的保护，实现建设单位与管线权属单位的有效对接，防范施工破坏管线事故，保护管线安全运行，建立韶关市地下管线开挖会签管理机制和流程，明确建设单位的管线保护责任、管线权属单位的运营管理责任、管线会签系统管理监督机制等，并做好数据安全、数据治理和运行维护等服务。</w:t>
      </w:r>
    </w:p>
    <w:p w14:paraId="3A5E792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bookmarkStart w:id="4" w:name="_Toc6397"/>
      <w:r>
        <w:rPr>
          <w:rFonts w:hint="eastAsia" w:ascii="宋体" w:hAnsi="宋体" w:eastAsia="宋体" w:cs="宋体"/>
          <w:sz w:val="21"/>
          <w:szCs w:val="21"/>
        </w:rPr>
        <w:t>3.地下管线工程竣工信息入库</w:t>
      </w:r>
      <w:bookmarkEnd w:id="4"/>
      <w:r>
        <w:rPr>
          <w:rFonts w:hint="eastAsia" w:ascii="宋体" w:hAnsi="宋体" w:eastAsia="宋体" w:cs="宋体"/>
          <w:sz w:val="21"/>
          <w:szCs w:val="21"/>
        </w:rPr>
        <w:t>服务</w:t>
      </w:r>
    </w:p>
    <w:p w14:paraId="58DF7F95">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确保地下管线数据动态更新，保障韶关市地下管线数据准确可靠，针对地下管线工程竣工验收环节，建立韶关市地下管线工程竣工信息入库工作指引（简称“指引”），明确地下管线工程竣工数据的适用范围、管线建设前期相关工作要点，明确相关职责和竣工测量成果报送的相关要求等，强化地下管线建设单位的信息管理主体责任，杜绝地下管线建设单位不报建、不及时更新竣工测量数据的问题。</w:t>
      </w:r>
    </w:p>
    <w:p w14:paraId="76032DBA">
      <w:pPr>
        <w:keepNext w:val="0"/>
        <w:keepLines w:val="0"/>
        <w:pageBreakBefore w:val="0"/>
        <w:kinsoku/>
        <w:wordWrap/>
        <w:overflowPunct/>
        <w:topLinePunct w:val="0"/>
        <w:autoSpaceDE/>
        <w:autoSpaceDN/>
        <w:bidi w:val="0"/>
        <w:adjustRightInd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项目竣工后，由中标单位对管线建设单位提交的管线竣工测量数据进行核查、合并及入库更新。</w:t>
      </w:r>
    </w:p>
    <w:p w14:paraId="44A0AA96">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七、</w:t>
      </w:r>
      <w:bookmarkStart w:id="5" w:name="_Toc27653"/>
      <w:r>
        <w:rPr>
          <w:rFonts w:hint="eastAsia" w:ascii="宋体" w:hAnsi="宋体" w:eastAsia="宋体" w:cs="宋体"/>
          <w:b/>
          <w:bCs/>
          <w:sz w:val="21"/>
          <w:szCs w:val="21"/>
        </w:rPr>
        <w:t>人员要求</w:t>
      </w:r>
      <w:bookmarkEnd w:id="5"/>
    </w:p>
    <w:p w14:paraId="0AC55F75">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b w:val="0"/>
          <w:bCs w:val="0"/>
          <w:sz w:val="21"/>
          <w:szCs w:val="21"/>
        </w:rPr>
        <w:t>项目负责人（1人）</w:t>
      </w:r>
      <w:r>
        <w:rPr>
          <w:rFonts w:hint="eastAsia" w:ascii="宋体" w:hAnsi="宋体" w:eastAsia="宋体" w:cs="宋体"/>
          <w:sz w:val="21"/>
          <w:szCs w:val="21"/>
        </w:rPr>
        <w:t>：具有测绘及相关专业高级工程师职称及注册测绘师职业资格，熟悉地下市政基础设施、地下管线、测绘等，对本行业有专业的业务理解和认知水平，具备测绘、地下管线探测、地下市政基础设施普查、物探、项目管理相关专业知识，统筹和把控项目技术设计和项目实施，擅长项目管理，具有同类项目的管理经验。</w:t>
      </w:r>
    </w:p>
    <w:p w14:paraId="0D19F128">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w:t>
      </w:r>
      <w:r>
        <w:rPr>
          <w:rFonts w:hint="eastAsia" w:ascii="宋体" w:hAnsi="宋体" w:eastAsia="宋体" w:cs="宋体"/>
          <w:b w:val="0"/>
          <w:bCs w:val="0"/>
          <w:sz w:val="21"/>
          <w:szCs w:val="21"/>
        </w:rPr>
        <w:t>项目技术负责人（1人）</w:t>
      </w:r>
      <w:r>
        <w:rPr>
          <w:rFonts w:hint="eastAsia" w:ascii="宋体" w:hAnsi="宋体" w:eastAsia="宋体" w:cs="宋体"/>
          <w:sz w:val="21"/>
          <w:szCs w:val="21"/>
        </w:rPr>
        <w:t>：具有测绘及相关专业高级工程师职称或注册测绘师职业资格，熟悉测绘、地下管线探测、地下市政基础设施普查等相关业务，有至少2个同类项目的经验，并提供相关履历、经验的佐证资料，对本行业有专业的业务理解和认知水平，具备测绘与物探类专业知识，统筹和把控项目技术设计，擅长技术应用及管理。</w:t>
      </w:r>
    </w:p>
    <w:p w14:paraId="3BF93C8D">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（三）</w:t>
      </w:r>
      <w:r>
        <w:rPr>
          <w:rFonts w:hint="eastAsia" w:ascii="宋体" w:hAnsi="宋体" w:eastAsia="宋体" w:cs="宋体"/>
          <w:b w:val="0"/>
          <w:bCs w:val="0"/>
          <w:sz w:val="21"/>
          <w:szCs w:val="21"/>
        </w:rPr>
        <w:t>项目技术人员：</w:t>
      </w:r>
      <w:r>
        <w:rPr>
          <w:rFonts w:hint="eastAsia" w:ascii="宋体" w:hAnsi="宋体" w:eastAsia="宋体" w:cs="宋体"/>
          <w:sz w:val="21"/>
          <w:szCs w:val="21"/>
        </w:rPr>
        <w:t>需配备具有具有测绘及相关专业高级工程师职称或注册测绘师职业资格的质量负责人1名。同时，投标人需承诺在项目组技术人员不少于30人，其中不低于85%具备测绘等相关专业学历，及相关项目经验。各岗位人员不得兼任。</w:t>
      </w:r>
    </w:p>
    <w:p w14:paraId="4B78D978">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（四）</w:t>
      </w:r>
      <w:r>
        <w:rPr>
          <w:rFonts w:hint="eastAsia" w:ascii="宋体" w:hAnsi="宋体" w:eastAsia="宋体" w:cs="宋体"/>
          <w:sz w:val="21"/>
          <w:szCs w:val="21"/>
        </w:rPr>
        <w:t>项目管理团队应承担过与项目相关的同类项目，包括市政基础数据治理或空间数据治理或市政基础设施建设等相关项目，具备一定的数据治理与市政基础设施管理运营的专业技能，并充分理解本项目的内容和技术要求。</w:t>
      </w:r>
    </w:p>
    <w:p w14:paraId="1EFDBE84">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（五）</w:t>
      </w:r>
      <w:r>
        <w:rPr>
          <w:rFonts w:hint="eastAsia" w:ascii="宋体" w:hAnsi="宋体" w:eastAsia="宋体" w:cs="宋体"/>
          <w:sz w:val="21"/>
          <w:szCs w:val="21"/>
        </w:rPr>
        <w:t>如在项目实际执行过程中发生项目负责人不能按采购文件要求胜任相关工作的，采购人有权要求更换项目负责人，投标人须在两周内调整为符合采购文件要求且能胜任相关工作的项目负责人并到位开展工作，否则采购人有权终止合同并报相关管理部门进行处理。</w:t>
      </w:r>
    </w:p>
    <w:p w14:paraId="43FB01E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（六）</w:t>
      </w:r>
      <w:r>
        <w:rPr>
          <w:rFonts w:hint="eastAsia" w:ascii="宋体" w:hAnsi="宋体" w:eastAsia="宋体" w:cs="宋体"/>
          <w:sz w:val="21"/>
          <w:szCs w:val="21"/>
        </w:rPr>
        <w:t>除因发生采购人要求变更、不可抗力、人员离职或丧失民事行为能力情形外，投标人在投标文件中填报的项目负责人、质量负责人、技术负责人未经采购人书面同意不得更换，否则采购人有权终止合同。</w:t>
      </w:r>
    </w:p>
    <w:p w14:paraId="156DDEFF">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（七）</w:t>
      </w:r>
      <w:r>
        <w:rPr>
          <w:rFonts w:hint="eastAsia" w:ascii="宋体" w:hAnsi="宋体" w:eastAsia="宋体" w:cs="宋体"/>
          <w:sz w:val="21"/>
          <w:szCs w:val="21"/>
        </w:rPr>
        <w:t>除因发生采购人要求变更、不可抗力、人员离职或丧失民事行为能力情形外，中标人在投标文件中填报的常驻技术人员不得随意变动，如确需更改须征得采购人的书面同意，并且在项目执行期间，变动数量不超过技术人员总数的 20％。</w:t>
      </w:r>
    </w:p>
    <w:p w14:paraId="346911A5">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（八）</w:t>
      </w:r>
      <w:r>
        <w:rPr>
          <w:rFonts w:hint="eastAsia" w:ascii="宋体" w:hAnsi="宋体" w:eastAsia="宋体" w:cs="宋体"/>
          <w:sz w:val="21"/>
          <w:szCs w:val="21"/>
        </w:rPr>
        <w:t>项目除有项目负责人外，还必须设置专门的技术负责人。对于联合体投标人，项目负责人、质量负责人、技术负责人应由牵头单位委派。</w:t>
      </w:r>
    </w:p>
    <w:p w14:paraId="7765754B">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r>
        <w:rPr>
          <w:rFonts w:hint="eastAsia" w:ascii="宋体" w:hAnsi="宋体" w:eastAsia="宋体" w:cs="宋体"/>
          <w:b/>
          <w:bCs/>
          <w:sz w:val="21"/>
          <w:szCs w:val="21"/>
        </w:rPr>
        <w:t>八、设备要求</w:t>
      </w:r>
    </w:p>
    <w:p w14:paraId="2D234E8B">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为保证普查质量，中标人须确保投入的设备数量充足，运行情况良好，精度高，包括但不限于全站仪、探地雷达、管线探测仪、CCTV管道机器人、GNSS接收机等。</w:t>
      </w:r>
    </w:p>
    <w:p w14:paraId="2327746D">
      <w:pPr>
        <w:keepNext w:val="0"/>
        <w:keepLines w:val="0"/>
        <w:pageBreakBefore w:val="0"/>
        <w:kinsoku/>
        <w:wordWrap/>
        <w:overflowPunct/>
        <w:topLinePunct w:val="0"/>
        <w:autoSpaceDE/>
        <w:autoSpaceDN/>
        <w:bidi w:val="0"/>
        <w:snapToGrid w:val="0"/>
        <w:spacing w:line="360" w:lineRule="auto"/>
        <w:textAlignment w:val="auto"/>
        <w:rPr>
          <w:rFonts w:hint="eastAsia" w:ascii="宋体" w:hAnsi="宋体" w:eastAsia="宋体" w:cs="宋体"/>
          <w:b/>
          <w:bCs/>
          <w:sz w:val="21"/>
          <w:szCs w:val="21"/>
        </w:rPr>
      </w:pPr>
      <w:bookmarkStart w:id="6" w:name="_Toc3605"/>
      <w:r>
        <w:rPr>
          <w:rFonts w:hint="eastAsia" w:ascii="宋体" w:hAnsi="宋体" w:eastAsia="宋体" w:cs="宋体"/>
          <w:b/>
          <w:bCs/>
          <w:sz w:val="21"/>
          <w:szCs w:val="21"/>
        </w:rPr>
        <w:t>九、服务要求</w:t>
      </w:r>
      <w:bookmarkEnd w:id="6"/>
    </w:p>
    <w:p w14:paraId="1CDF1301">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sz w:val="21"/>
          <w:szCs w:val="21"/>
        </w:rPr>
        <w:t>中标人应针对本项目要求，制订具体详细的、可操作性强的项目实施方案，详细列明承诺参与的各专业人员，项目实施阶段将对承诺投入的人员和设备状况进行检查，如达不到承诺的要求，将按违约进行处罚或终止合同。</w:t>
      </w:r>
    </w:p>
    <w:p w14:paraId="62618A77">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（二）</w:t>
      </w:r>
      <w:r>
        <w:rPr>
          <w:rFonts w:hint="eastAsia" w:ascii="宋体" w:hAnsi="宋体" w:eastAsia="宋体" w:cs="宋体"/>
          <w:sz w:val="21"/>
          <w:szCs w:val="21"/>
        </w:rPr>
        <w:t>中标人应在采购人要求的时间进度内按本项目确定的普查范围，完成所有工作内容及相关服务，并依据要求编制项目执行计划。</w:t>
      </w:r>
    </w:p>
    <w:p w14:paraId="1D55629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（三）</w:t>
      </w:r>
      <w:r>
        <w:rPr>
          <w:rFonts w:hint="eastAsia" w:ascii="宋体" w:hAnsi="宋体" w:eastAsia="宋体" w:cs="宋体"/>
          <w:sz w:val="21"/>
          <w:szCs w:val="21"/>
        </w:rPr>
        <w:t>中标人服务质量如不符合招标文件、投标文件和合同约定的，采购人有权拒收服务成果并解除合同，并视违约情节扣罚部分。</w:t>
      </w:r>
    </w:p>
    <w:p w14:paraId="397AF2C9">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（四）</w:t>
      </w:r>
      <w:r>
        <w:rPr>
          <w:rFonts w:hint="eastAsia" w:ascii="宋体" w:hAnsi="宋体" w:eastAsia="宋体" w:cs="宋体"/>
          <w:sz w:val="21"/>
          <w:szCs w:val="21"/>
        </w:rPr>
        <w:t>中标人以原韶关市地下管线普查工作成果为基础进行属性升级时，若发现地下管线普查成果存在迁改、新增的，应在地下市政基础设施普查信息表中进行备注并建立台账，以提示相关部门后续对数据更新。</w:t>
      </w:r>
    </w:p>
    <w:p w14:paraId="2D373FCB">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（五）</w:t>
      </w:r>
      <w:r>
        <w:rPr>
          <w:rFonts w:hint="eastAsia" w:ascii="宋体" w:hAnsi="宋体" w:eastAsia="宋体" w:cs="宋体"/>
          <w:sz w:val="21"/>
          <w:szCs w:val="21"/>
        </w:rPr>
        <w:t>中标人现场普查过程中发现地下市政基础设施存在明显隐患的，应在地下市政基础设施普查信息表中进行备注。若该隐患的风险等级按《广东省地下市政基础设施隐患排查技术导则》的要求可划分为Ⅰ级或Ⅱ级，中标人应及时上报至采购人，并为隐患处置提供必要的资料。</w:t>
      </w:r>
    </w:p>
    <w:p w14:paraId="1E5BF935">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（六）</w:t>
      </w:r>
      <w:r>
        <w:rPr>
          <w:rFonts w:hint="eastAsia" w:ascii="宋体" w:hAnsi="宋体" w:eastAsia="宋体" w:cs="宋体"/>
          <w:sz w:val="21"/>
          <w:szCs w:val="21"/>
        </w:rPr>
        <w:t>普查工作完成后，应及时完成成果汇交工作，对数据接边存在问题的部位应查明核实，及时修正。</w:t>
      </w:r>
    </w:p>
    <w:p w14:paraId="00A189A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（七）</w:t>
      </w:r>
      <w:r>
        <w:rPr>
          <w:rFonts w:hint="eastAsia" w:ascii="宋体" w:hAnsi="宋体" w:eastAsia="宋体" w:cs="宋体"/>
          <w:sz w:val="21"/>
          <w:szCs w:val="21"/>
        </w:rPr>
        <w:t>后续国家或广东省对地下市政基础设施普查出台新标准新要求的，中标人应无条件配合采购人按新标准、新要求开展相关工作。</w:t>
      </w:r>
    </w:p>
    <w:p w14:paraId="2A0DB761">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（八）</w:t>
      </w:r>
      <w:r>
        <w:rPr>
          <w:rFonts w:hint="eastAsia" w:ascii="宋体" w:hAnsi="宋体" w:eastAsia="宋体" w:cs="宋体"/>
          <w:sz w:val="21"/>
          <w:szCs w:val="21"/>
        </w:rPr>
        <w:t>投标人应对实施过程中可能发生的各种安全问题有深刻的认识和合理的预见，并制定相应的应对措施，保障项目实施全过程不会发生任何安全事故。</w:t>
      </w:r>
    </w:p>
    <w:p w14:paraId="32235DEA">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bookmarkStart w:id="7" w:name="_Toc22958"/>
      <w:r>
        <w:rPr>
          <w:rFonts w:hint="eastAsia" w:ascii="宋体" w:hAnsi="宋体" w:eastAsia="宋体" w:cs="宋体"/>
          <w:b/>
          <w:bCs/>
          <w:sz w:val="21"/>
          <w:szCs w:val="21"/>
        </w:rPr>
        <w:t>十、进度要求</w:t>
      </w:r>
      <w:bookmarkEnd w:id="7"/>
    </w:p>
    <w:p w14:paraId="5641DD0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2025年9月30日前完成地下市政基础设施普查工作、绘制地下市政基础设施一张图、建立地下管线开挖会签管理机制并完成相关系统开发部署等工作；</w:t>
      </w:r>
    </w:p>
    <w:p w14:paraId="3585891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2025年12月30日前建立健全相关机制，完成项目整体验收工作。</w:t>
      </w:r>
    </w:p>
    <w:p w14:paraId="5CDC5E8B">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bookmarkStart w:id="8" w:name="_Toc7796"/>
      <w:r>
        <w:rPr>
          <w:rFonts w:hint="eastAsia" w:ascii="宋体" w:hAnsi="宋体" w:eastAsia="宋体" w:cs="宋体"/>
          <w:b/>
          <w:bCs/>
          <w:sz w:val="21"/>
          <w:szCs w:val="21"/>
        </w:rPr>
        <w:t>十一、数据安全管理要求</w:t>
      </w:r>
      <w:bookmarkEnd w:id="8"/>
    </w:p>
    <w:p w14:paraId="626C4D26">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地下管线数据在国家行业均有保密的要求。本项目在开展数据收集、测量、分析、整理、更新、建库等环节中，均需要使用大量的相关基础数据，生产相关的基础数据，因此项目进行过程中，存在数据安全的风险。为确保数据安全，控制数据的使用与流转，应查找数据安全隐患并采取相应的防范措施，如下：</w:t>
      </w:r>
    </w:p>
    <w:p w14:paraId="0EDD69FA">
      <w:pPr>
        <w:keepNext w:val="0"/>
        <w:keepLines w:val="0"/>
        <w:pageBreakBefore w:val="0"/>
        <w:kinsoku/>
        <w:wordWrap/>
        <w:overflowPunct/>
        <w:topLinePunct w:val="0"/>
        <w:autoSpaceDE/>
        <w:autoSpaceDN/>
        <w:bidi w:val="0"/>
        <w:snapToGrid w:val="0"/>
        <w:spacing w:line="360" w:lineRule="auto"/>
        <w:ind w:firstLine="640"/>
        <w:textAlignment w:val="auto"/>
        <w:rPr>
          <w:rFonts w:hint="eastAsia" w:ascii="宋体" w:hAnsi="宋体" w:eastAsia="宋体" w:cs="宋体"/>
          <w:sz w:val="21"/>
          <w:szCs w:val="21"/>
        </w:rPr>
      </w:pPr>
      <w:r>
        <w:rPr>
          <w:rFonts w:hint="eastAsia" w:ascii="宋体" w:hAnsi="宋体" w:eastAsia="宋体" w:cs="宋体"/>
          <w:b/>
          <w:bCs/>
          <w:sz w:val="21"/>
          <w:szCs w:val="21"/>
        </w:rPr>
        <w:t>（一）</w:t>
      </w:r>
      <w:r>
        <w:rPr>
          <w:rFonts w:hint="eastAsia" w:ascii="宋体" w:hAnsi="宋体" w:eastAsia="宋体" w:cs="宋体"/>
          <w:sz w:val="21"/>
          <w:szCs w:val="21"/>
        </w:rPr>
        <w:t>根据《中华人民共和国保守国家秘密法》、《中华人民共和国测绘法》等规定，在项目进展及管理过程中应严格执行数据保密和信息安全相关规定，认真做好网络安全、计算机软硬件管理及数据安全等工作。</w:t>
      </w:r>
    </w:p>
    <w:p w14:paraId="39B6735C">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（二）</w:t>
      </w:r>
      <w:r>
        <w:rPr>
          <w:rFonts w:hint="eastAsia" w:ascii="宋体" w:hAnsi="宋体" w:eastAsia="宋体" w:cs="宋体"/>
          <w:sz w:val="21"/>
          <w:szCs w:val="21"/>
        </w:rPr>
        <w:t>设立测绘地理信息安全保密工作机构。</w:t>
      </w:r>
    </w:p>
    <w:p w14:paraId="1A60B17F">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（三）</w:t>
      </w:r>
      <w:r>
        <w:rPr>
          <w:rFonts w:hint="eastAsia" w:ascii="宋体" w:hAnsi="宋体" w:eastAsia="宋体" w:cs="宋体"/>
          <w:sz w:val="21"/>
          <w:szCs w:val="21"/>
        </w:rPr>
        <w:t>从事涉密测绘业务的人员应当具有中华人民共和国国籍，签订保密责任书，接受保密教育。</w:t>
      </w:r>
    </w:p>
    <w:p w14:paraId="102175B9">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（四）</w:t>
      </w:r>
      <w:r>
        <w:rPr>
          <w:rFonts w:hint="eastAsia" w:ascii="宋体" w:hAnsi="宋体" w:eastAsia="宋体" w:cs="宋体"/>
          <w:sz w:val="21"/>
          <w:szCs w:val="21"/>
        </w:rPr>
        <w:t>建立健全测绘地理信息安全保密管理制度。明确涉密人员管理、保密要害部门部位管理、涉密设备与存储介质管理、涉密测绘成果全流程保密、保密自查等要求。</w:t>
      </w:r>
    </w:p>
    <w:p w14:paraId="23706DE1">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（五）</w:t>
      </w:r>
      <w:r>
        <w:rPr>
          <w:rFonts w:hint="eastAsia" w:ascii="宋体" w:hAnsi="宋体" w:eastAsia="宋体" w:cs="宋体"/>
          <w:sz w:val="21"/>
          <w:szCs w:val="21"/>
        </w:rPr>
        <w:t>明确涉密测绘成果使用审批流程和责任人，未经批准，涉密测绘成果不得带离保密要害部门部位。</w:t>
      </w:r>
    </w:p>
    <w:p w14:paraId="3AEBA179">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（六）</w:t>
      </w:r>
      <w:r>
        <w:rPr>
          <w:rFonts w:hint="eastAsia" w:ascii="宋体" w:hAnsi="宋体" w:eastAsia="宋体" w:cs="宋体"/>
          <w:sz w:val="21"/>
          <w:szCs w:val="21"/>
        </w:rPr>
        <w:t>涉密存储介质专人管理，建立台账；涉密设备与存储介质应粘贴密级标识；涉密计算机、涉密存储介质不得接入互联网或其他公共信息网络；涉密网络与互联网或其他公共信息网络之间实行物理隔离；涉密计算机外接端口封闭管理。</w:t>
      </w:r>
    </w:p>
    <w:p w14:paraId="671E52C3">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（七）</w:t>
      </w:r>
      <w:r>
        <w:rPr>
          <w:rFonts w:hint="eastAsia" w:ascii="宋体" w:hAnsi="宋体" w:eastAsia="宋体" w:cs="宋体"/>
          <w:sz w:val="21"/>
          <w:szCs w:val="21"/>
        </w:rPr>
        <w:t>建立健全涉密测绘外业安全保密管理制度，落实监管人员和保密责任，外业所用涉密计算机纳入涉密单机进行管理。</w:t>
      </w:r>
    </w:p>
    <w:p w14:paraId="13053D6F">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（八）</w:t>
      </w:r>
      <w:r>
        <w:rPr>
          <w:rFonts w:hint="eastAsia" w:ascii="宋体" w:hAnsi="宋体" w:eastAsia="宋体" w:cs="宋体"/>
          <w:sz w:val="21"/>
          <w:szCs w:val="21"/>
        </w:rPr>
        <w:t>对属于国家秘密的地理信息的获取、持有、提供、利用情况进行登记并长期保存，实行可追溯管理。</w:t>
      </w:r>
    </w:p>
    <w:p w14:paraId="026CBA4D">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lang w:eastAsia="zh-CN"/>
        </w:rPr>
      </w:pPr>
      <w:r>
        <w:rPr>
          <w:rFonts w:hint="eastAsia" w:ascii="宋体" w:hAnsi="宋体" w:eastAsia="宋体" w:cs="宋体"/>
          <w:b/>
          <w:bCs/>
          <w:sz w:val="21"/>
          <w:szCs w:val="21"/>
          <w:lang w:eastAsia="zh-CN"/>
        </w:rPr>
        <w:t>（九）</w:t>
      </w:r>
      <w:r>
        <w:rPr>
          <w:rFonts w:hint="eastAsia" w:ascii="宋体" w:hAnsi="宋体" w:eastAsia="宋体" w:cs="宋体"/>
          <w:sz w:val="21"/>
          <w:szCs w:val="21"/>
        </w:rPr>
        <w:t>项目实施过程中须严格遵守采购人相关信息安全及签订保密协议，并对项目实施过程中涉及的国家机密、业务需求、数据成果等内容和相关事务保密，严格遵守《保密协议》的相关规定。</w:t>
      </w:r>
    </w:p>
    <w:p w14:paraId="3122446E">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sz w:val="21"/>
          <w:szCs w:val="21"/>
        </w:rPr>
      </w:pPr>
      <w:r>
        <w:rPr>
          <w:rFonts w:hint="eastAsia" w:ascii="宋体" w:hAnsi="宋体" w:eastAsia="宋体" w:cs="宋体"/>
          <w:b/>
          <w:bCs/>
          <w:sz w:val="21"/>
          <w:szCs w:val="21"/>
        </w:rPr>
        <w:t>（十）</w:t>
      </w:r>
      <w:r>
        <w:rPr>
          <w:rFonts w:hint="eastAsia" w:ascii="宋体" w:hAnsi="宋体" w:eastAsia="宋体" w:cs="宋体"/>
          <w:sz w:val="21"/>
          <w:szCs w:val="21"/>
        </w:rPr>
        <w:t>项目生产过程中的设备安全管理。要求项目数据的使用单位均应符合相关保密要求，应具有涉密计算机和涉密管理人员，签订保密协议，落实安全责任。涉密计算机的使用范围仅限于普查标段范围内的地下管线数据查阅使用，不得用于其他工作。涉密计算机的网络连接只能使用专线专网的网线，不得接入其他任何网络。涉密计算机访问具有秘密级性质的信息，工作中要严格把控插入的移动存储设备，相关的接入硬件设备如需连接电脑拷贝资料，应遵循相关流程登记接入计算机的硬件设备、缘由和责任人等信息。</w:t>
      </w:r>
    </w:p>
    <w:p w14:paraId="18D0D303">
      <w:pPr>
        <w:pStyle w:val="16"/>
        <w:keepNext w:val="0"/>
        <w:keepLines w:val="0"/>
        <w:pageBreakBefore w:val="0"/>
        <w:kinsoku/>
        <w:wordWrap/>
        <w:overflowPunct/>
        <w:topLinePunct w:val="0"/>
        <w:autoSpaceDE/>
        <w:autoSpaceDN/>
        <w:bidi w:val="0"/>
        <w:adjustRightInd w:val="0"/>
        <w:snapToGrid w:val="0"/>
        <w:spacing w:line="360" w:lineRule="auto"/>
        <w:ind w:firstLine="422" w:firstLineChars="200"/>
        <w:jc w:val="both"/>
        <w:textAlignment w:val="auto"/>
        <w:rPr>
          <w:rFonts w:hint="eastAsia" w:ascii="宋体" w:hAnsi="宋体" w:eastAsia="宋体" w:cs="宋体"/>
          <w:sz w:val="21"/>
          <w:szCs w:val="21"/>
        </w:rPr>
      </w:pPr>
      <w:r>
        <w:rPr>
          <w:rFonts w:hint="eastAsia" w:ascii="宋体" w:hAnsi="宋体" w:eastAsia="宋体" w:cs="宋体"/>
          <w:b/>
          <w:bCs/>
          <w:sz w:val="21"/>
          <w:szCs w:val="21"/>
          <w:lang w:eastAsia="zh-CN"/>
        </w:rPr>
        <w:t>（十一）</w:t>
      </w:r>
      <w:r>
        <w:rPr>
          <w:rFonts w:hint="eastAsia" w:ascii="宋体" w:hAnsi="宋体" w:eastAsia="宋体" w:cs="宋体"/>
          <w:sz w:val="21"/>
          <w:szCs w:val="21"/>
        </w:rPr>
        <w:t>项目验收后，应将本项目所有资料移交给采购人，不允许保留相关材料。</w:t>
      </w:r>
    </w:p>
    <w:p w14:paraId="5A9FA202">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bookmarkStart w:id="9" w:name="_Toc25247"/>
      <w:r>
        <w:rPr>
          <w:rFonts w:hint="eastAsia" w:ascii="宋体" w:hAnsi="宋体" w:eastAsia="宋体" w:cs="宋体"/>
          <w:b/>
          <w:bCs/>
          <w:sz w:val="21"/>
          <w:szCs w:val="21"/>
        </w:rPr>
        <w:t>十二、项目验收</w:t>
      </w:r>
      <w:bookmarkEnd w:id="9"/>
    </w:p>
    <w:p w14:paraId="2091835F">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验收主要包括过程验收和成果验收。过程验收由市住房和城乡建设管理局组织普查单位自验、权属单位核验。成果验收在项目全部实施完成后，由市住房和城乡建设管理局组织相关专家、项目承接单位、专业管线产权管理单位、市城建档案馆等相关部门共同对项目进行整体验收，并将成果录入已有的管理信息系统平台。</w:t>
      </w:r>
    </w:p>
    <w:p w14:paraId="7105A1E9">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验收标准依据</w:t>
      </w:r>
      <w:r>
        <w:rPr>
          <w:rFonts w:hint="eastAsia" w:ascii="宋体" w:hAnsi="宋体" w:eastAsia="宋体" w:cs="宋体"/>
          <w:color w:val="000000"/>
          <w:sz w:val="21"/>
          <w:szCs w:val="21"/>
        </w:rPr>
        <w:t>国家、行业和地方相关技术标准、规范，以及《韶关市地下市政基础设施普查技术规程》。</w:t>
      </w:r>
    </w:p>
    <w:p w14:paraId="1721A868">
      <w:pPr>
        <w:keepNext w:val="0"/>
        <w:keepLines w:val="0"/>
        <w:pageBreakBefore w:val="0"/>
        <w:kinsoku/>
        <w:wordWrap/>
        <w:overflowPunct/>
        <w:topLinePunct w:val="0"/>
        <w:autoSpaceDE/>
        <w:autoSpaceDN/>
        <w:bidi w:val="0"/>
        <w:snapToGrid w:val="0"/>
        <w:spacing w:line="360" w:lineRule="auto"/>
        <w:ind w:firstLine="422" w:firstLineChars="200"/>
        <w:textAlignment w:val="auto"/>
        <w:rPr>
          <w:rFonts w:hint="eastAsia" w:ascii="宋体" w:hAnsi="宋体" w:eastAsia="宋体" w:cs="宋体"/>
          <w:b/>
          <w:bCs/>
          <w:sz w:val="21"/>
          <w:szCs w:val="21"/>
        </w:rPr>
      </w:pPr>
      <w:bookmarkStart w:id="10" w:name="_Toc787"/>
      <w:r>
        <w:rPr>
          <w:rFonts w:hint="eastAsia" w:ascii="宋体" w:hAnsi="宋体" w:eastAsia="宋体" w:cs="宋体"/>
          <w:b/>
          <w:bCs/>
          <w:sz w:val="21"/>
          <w:szCs w:val="21"/>
        </w:rPr>
        <w:t>十三、服务时限</w:t>
      </w:r>
      <w:bookmarkEnd w:id="10"/>
    </w:p>
    <w:p w14:paraId="554030F0">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本项目服务期限从自合同双方约定之日起至竣工验收合格止。</w:t>
      </w:r>
    </w:p>
    <w:p w14:paraId="4B974151">
      <w:pPr>
        <w:keepNext w:val="0"/>
        <w:keepLines w:val="0"/>
        <w:pageBreakBefore w:val="0"/>
        <w:kinsoku/>
        <w:wordWrap/>
        <w:overflowPunct/>
        <w:topLinePunct w:val="0"/>
        <w:autoSpaceDE/>
        <w:autoSpaceDN/>
        <w:bidi w:val="0"/>
        <w:snapToGrid w:val="0"/>
        <w:spacing w:line="360" w:lineRule="auto"/>
        <w:ind w:firstLine="420" w:firstLineChars="200"/>
        <w:textAlignment w:val="auto"/>
        <w:rPr>
          <w:rFonts w:hint="eastAsia" w:ascii="宋体" w:hAnsi="宋体" w:eastAsia="宋体" w:cs="宋体"/>
          <w:sz w:val="21"/>
          <w:szCs w:val="21"/>
        </w:rPr>
      </w:pPr>
      <w:r>
        <w:rPr>
          <w:rFonts w:hint="eastAsia" w:ascii="宋体" w:hAnsi="宋体" w:eastAsia="宋体" w:cs="宋体"/>
          <w:sz w:val="21"/>
          <w:szCs w:val="21"/>
        </w:rPr>
        <w:t>“服务内容”第七项的服务时限，自本项目通过验收之日起再增加一年免费服务期。</w:t>
      </w:r>
    </w:p>
    <w:p w14:paraId="6FFE66AD">
      <w:pPr>
        <w:keepNext w:val="0"/>
        <w:keepLines w:val="0"/>
        <w:pageBreakBefore w:val="0"/>
        <w:kinsoku/>
        <w:wordWrap/>
        <w:overflowPunct/>
        <w:topLinePunct w:val="0"/>
        <w:autoSpaceDE/>
        <w:autoSpaceDN/>
        <w:bidi w:val="0"/>
        <w:snapToGrid w:val="0"/>
        <w:spacing w:line="360" w:lineRule="auto"/>
        <w:ind w:firstLine="440" w:firstLineChars="200"/>
        <w:textAlignment w:val="auto"/>
        <w:rPr>
          <w:rFonts w:hint="eastAsia" w:ascii="宋体" w:hAnsi="宋体" w:eastAsia="宋体" w:cs="宋体"/>
          <w:sz w:val="22"/>
          <w:szCs w:val="22"/>
          <w:highlight w:val="none"/>
          <w:lang w:val="en-US" w:eastAsia="zh-CN"/>
        </w:rPr>
      </w:pPr>
    </w:p>
    <w:sectPr>
      <w:footerReference r:id="rId5" w:type="default"/>
      <w:pgSz w:w="11900" w:h="16840"/>
      <w:pgMar w:top="1237" w:right="1429" w:bottom="1534" w:left="1180" w:header="809" w:footer="1106" w:gutter="0"/>
      <w:pgNumType w:fmt="decimal" w:start="1"/>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endnote>
  <w:endnote w:type="continuationSeparator" w:id="1">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88"/>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等线">
    <w:panose1 w:val="02010600030101010101"/>
    <w:charset w:val="86"/>
    <w:family w:val="auto"/>
    <w:pitch w:val="default"/>
    <w:sig w:usb0="A00002BF" w:usb1="38CF7CFA" w:usb2="00000016" w:usb3="00000000" w:csb0="0004000F" w:csb1="00000000"/>
  </w:font>
  <w:font w:name="Rod">
    <w:panose1 w:val="02030509050101010101"/>
    <w:charset w:val="00"/>
    <w:family w:val="auto"/>
    <w:pitch w:val="default"/>
    <w:sig w:usb0="00000801" w:usb1="00000000" w:usb2="00000000" w:usb3="00000000" w:csb0="00000020" w:csb1="00200000"/>
  </w:font>
  <w:font w:name="Perpetua Titling MT">
    <w:panose1 w:val="02020502060505020804"/>
    <w:charset w:val="00"/>
    <w:family w:val="auto"/>
    <w:pitch w:val="default"/>
    <w:sig w:usb0="00000003" w:usb1="00000000" w:usb2="00000000" w:usb3="00000000" w:csb0="2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DB9D56">
    <w:pPr>
      <w:pStyle w:val="4"/>
    </w:pPr>
    <w:r>
      <w:rPr>
        <w:sz w:val="18"/>
      </w:rPr>
      <w:pict>
        <v:shape id="_x0000_s2049" o:spid="_x0000_s2049" o:spt="202" type="#_x0000_t202" style="position:absolute;left:0pt;margin-top:0pt;height:144pt;width:144pt;mso-position-horizontal:center;mso-position-horizontal-relative:margin;mso-wrap-style:none;z-index:251659264;mso-width-relative:page;mso-height-relative:page;" filled="f" stroked="f" coordsize="21600,21600">
          <v:path/>
          <v:fill on="f" focussize="0,0"/>
          <v:stroke on="f"/>
          <v:imagedata o:title=""/>
          <o:lock v:ext="edit" aspectratio="f"/>
          <v:textbox inset="0mm,0mm,0mm,0mm" style="mso-fit-shape-to-text:t;">
            <w:txbxContent>
              <w:p w14:paraId="742BB99A">
                <w:pPr>
                  <w:pStyle w:val="4"/>
                  <w:rPr>
                    <w:rFonts w:hint="eastAsia" w:ascii="宋体" w:hAnsi="宋体" w:eastAsia="宋体" w:cs="宋体"/>
                    <w:b/>
                    <w:bCs/>
                    <w:sz w:val="21"/>
                    <w:szCs w:val="21"/>
                  </w:rPr>
                </w:pPr>
                <w:r>
                  <w:rPr>
                    <w:rFonts w:hint="eastAsia" w:ascii="宋体" w:hAnsi="宋体" w:eastAsia="宋体" w:cs="宋体"/>
                    <w:b/>
                    <w:bCs/>
                    <w:sz w:val="21"/>
                    <w:szCs w:val="21"/>
                  </w:rPr>
                  <w:t xml:space="preserve">第 </w:t>
                </w:r>
                <w:r>
                  <w:rPr>
                    <w:rFonts w:hint="eastAsia" w:ascii="宋体" w:hAnsi="宋体" w:eastAsia="宋体" w:cs="宋体"/>
                    <w:b/>
                    <w:bCs/>
                    <w:sz w:val="21"/>
                    <w:szCs w:val="21"/>
                  </w:rPr>
                  <w:fldChar w:fldCharType="begin"/>
                </w:r>
                <w:r>
                  <w:rPr>
                    <w:rFonts w:hint="eastAsia" w:ascii="宋体" w:hAnsi="宋体" w:eastAsia="宋体" w:cs="宋体"/>
                    <w:b/>
                    <w:bCs/>
                    <w:sz w:val="21"/>
                    <w:szCs w:val="21"/>
                  </w:rPr>
                  <w:instrText xml:space="preserve"> PAGE  \* MERGEFORMAT </w:instrText>
                </w:r>
                <w:r>
                  <w:rPr>
                    <w:rFonts w:hint="eastAsia" w:ascii="宋体" w:hAnsi="宋体" w:eastAsia="宋体" w:cs="宋体"/>
                    <w:b/>
                    <w:bCs/>
                    <w:sz w:val="21"/>
                    <w:szCs w:val="21"/>
                  </w:rPr>
                  <w:fldChar w:fldCharType="separate"/>
                </w:r>
                <w:r>
                  <w:rPr>
                    <w:rFonts w:hint="eastAsia" w:ascii="宋体" w:hAnsi="宋体" w:eastAsia="宋体" w:cs="宋体"/>
                    <w:b/>
                    <w:bCs/>
                    <w:sz w:val="21"/>
                    <w:szCs w:val="21"/>
                  </w:rPr>
                  <w:t>1</w:t>
                </w:r>
                <w:r>
                  <w:rPr>
                    <w:rFonts w:hint="eastAsia" w:ascii="宋体" w:hAnsi="宋体" w:eastAsia="宋体" w:cs="宋体"/>
                    <w:b/>
                    <w:bCs/>
                    <w:sz w:val="21"/>
                    <w:szCs w:val="21"/>
                  </w:rPr>
                  <w:fldChar w:fldCharType="end"/>
                </w:r>
                <w:r>
                  <w:rPr>
                    <w:rFonts w:hint="eastAsia" w:ascii="宋体" w:hAnsi="宋体" w:eastAsia="宋体" w:cs="宋体"/>
                    <w:b/>
                    <w:bCs/>
                    <w:sz w:val="21"/>
                    <w:szCs w:val="21"/>
                  </w:rPr>
                  <w:t xml:space="preserve"> 页</w:t>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footnote>
  <w:footnote w:type="continuationSeparator" w:id="1">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documentProtection w:enforcement="0"/>
  <w:defaultTabStop w:val="420"/>
  <w:drawingGridHorizontalSpacing w:val="181"/>
  <w:drawingGridVerticalSpacing w:val="181"/>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doNotExpandShiftReturn/>
    <w:doNotWrapTextWithPunct/>
    <w:doNotUseEastAsianBreakRules/>
    <w:useFELayout/>
    <w:doNotUseIndentAsNumberingTabStop/>
    <w:compatSetting w:name="compatibilityMode" w:uri="http://schemas.microsoft.com/office/word" w:val="12"/>
  </w:compat>
  <w:docVars>
    <w:docVar w:name="commondata" w:val="eyJoZGlkIjoiNzA1MGIyMjdjZmExNzdiYjM4MmQ3ZGUzNDMwMTgyYzEifQ=="/>
  </w:docVars>
  <w:rsids>
    <w:rsidRoot w:val="007D2A83"/>
    <w:rsid w:val="00003312"/>
    <w:rsid w:val="00213F8C"/>
    <w:rsid w:val="00366321"/>
    <w:rsid w:val="005255C7"/>
    <w:rsid w:val="007C54C7"/>
    <w:rsid w:val="007D2A83"/>
    <w:rsid w:val="0F65138C"/>
    <w:rsid w:val="12B46304"/>
    <w:rsid w:val="18912BE0"/>
    <w:rsid w:val="19356A88"/>
    <w:rsid w:val="1AFC6A9A"/>
    <w:rsid w:val="1FF4473B"/>
    <w:rsid w:val="348E353C"/>
    <w:rsid w:val="39781027"/>
    <w:rsid w:val="4FDF3051"/>
    <w:rsid w:val="50B9208B"/>
    <w:rsid w:val="59B952BF"/>
    <w:rsid w:val="5B575440"/>
    <w:rsid w:val="61A829D5"/>
    <w:rsid w:val="642357A8"/>
    <w:rsid w:val="6B0C5870"/>
    <w:rsid w:val="6B827EC3"/>
    <w:rsid w:val="6C133DCD"/>
    <w:rsid w:val="729F7423"/>
    <w:rsid w:val="793D7B1F"/>
    <w:rsid w:val="7A081773"/>
    <w:rsid w:val="7D5B3117"/>
    <w:rsid w:val="7DFF154E"/>
    <w:rsid w:val="7F4339B5"/>
    <w:rsid w:val="7FFDD8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iPriority="3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pPr>
    <w:rPr>
      <w:rFonts w:ascii="Times New Roman" w:hAnsi="Times New Roman" w:eastAsia="Times New Roman" w:cs="Times New Roman"/>
      <w:color w:val="000000"/>
      <w:sz w:val="24"/>
      <w:szCs w:val="24"/>
      <w:lang w:val="en-US" w:eastAsia="en-US" w:bidi="en-US"/>
    </w:rPr>
  </w:style>
  <w:style w:type="paragraph" w:styleId="2">
    <w:name w:val="heading 1"/>
    <w:basedOn w:val="1"/>
    <w:next w:val="1"/>
    <w:qFormat/>
    <w:uiPriority w:val="0"/>
    <w:pPr>
      <w:keepNext/>
      <w:widowControl/>
      <w:jc w:val="left"/>
      <w:outlineLvl w:val="0"/>
    </w:pPr>
    <w:rPr>
      <w:b/>
      <w:bCs/>
      <w:kern w:val="0"/>
      <w:sz w:val="24"/>
    </w:rPr>
  </w:style>
  <w:style w:type="paragraph" w:styleId="3">
    <w:name w:val="heading 4"/>
    <w:basedOn w:val="1"/>
    <w:next w:val="1"/>
    <w:qFormat/>
    <w:uiPriority w:val="0"/>
    <w:pPr>
      <w:keepNext/>
      <w:keepLines/>
      <w:spacing w:before="280" w:beforeLines="0" w:beforeAutospacing="0" w:after="290" w:afterLines="0" w:afterAutospacing="0" w:line="372" w:lineRule="auto"/>
      <w:outlineLvl w:val="3"/>
    </w:pPr>
    <w:rPr>
      <w:rFonts w:ascii="Arial" w:hAnsi="Arial" w:eastAsia="黑体"/>
      <w:b/>
      <w:sz w:val="28"/>
    </w:rPr>
  </w:style>
  <w:style w:type="character" w:default="1" w:styleId="8">
    <w:name w:val="Default Paragraph Font"/>
    <w:autoRedefine/>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4">
    <w:name w:val="footer"/>
    <w:basedOn w:val="1"/>
    <w:link w:val="14"/>
    <w:autoRedefine/>
    <w:qFormat/>
    <w:uiPriority w:val="0"/>
    <w:pPr>
      <w:tabs>
        <w:tab w:val="center" w:pos="4153"/>
        <w:tab w:val="right" w:pos="8306"/>
      </w:tabs>
      <w:snapToGrid w:val="0"/>
    </w:pPr>
    <w:rPr>
      <w:sz w:val="18"/>
      <w:szCs w:val="18"/>
    </w:rPr>
  </w:style>
  <w:style w:type="paragraph" w:styleId="5">
    <w:name w:val="header"/>
    <w:basedOn w:val="1"/>
    <w:link w:val="13"/>
    <w:autoRedefine/>
    <w:qFormat/>
    <w:uiPriority w:val="0"/>
    <w:pPr>
      <w:pBdr>
        <w:bottom w:val="single" w:color="auto" w:sz="6" w:space="1"/>
      </w:pBdr>
      <w:tabs>
        <w:tab w:val="center" w:pos="4153"/>
        <w:tab w:val="right" w:pos="8306"/>
      </w:tabs>
      <w:snapToGrid w:val="0"/>
      <w:jc w:val="center"/>
    </w:pPr>
    <w:rPr>
      <w:sz w:val="18"/>
      <w:szCs w:val="18"/>
    </w:rPr>
  </w:style>
  <w:style w:type="table" w:styleId="7">
    <w:name w:val="Table Grid"/>
    <w:basedOn w:val="6"/>
    <w:autoRedefine/>
    <w:unhideWhenUsed/>
    <w:qFormat/>
    <w:uiPriority w:val="3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paragraph" w:customStyle="1" w:styleId="9">
    <w:name w:val="样式 宋体 小四 行距: 1.5 倍行距"/>
    <w:basedOn w:val="1"/>
    <w:autoRedefine/>
    <w:qFormat/>
    <w:uiPriority w:val="0"/>
    <w:rPr>
      <w:rFonts w:ascii="宋体" w:hAnsi="宋体" w:cs="宋体"/>
      <w:sz w:val="28"/>
    </w:rPr>
  </w:style>
  <w:style w:type="paragraph" w:customStyle="1" w:styleId="10">
    <w:name w:val="_Style 3"/>
    <w:autoRedefine/>
    <w:qFormat/>
    <w:uiPriority w:val="0"/>
    <w:pPr>
      <w:widowControl w:val="0"/>
      <w:jc w:val="both"/>
    </w:pPr>
    <w:rPr>
      <w:rFonts w:ascii="Calibri" w:hAnsi="Calibri" w:eastAsia="宋体" w:cs="Times New Roman"/>
      <w:kern w:val="2"/>
      <w:sz w:val="21"/>
      <w:szCs w:val="22"/>
      <w:lang w:val="en-US" w:eastAsia="zh-CN" w:bidi="ar-SA"/>
    </w:rPr>
  </w:style>
  <w:style w:type="character" w:customStyle="1" w:styleId="11">
    <w:name w:val="Other|1_"/>
    <w:basedOn w:val="8"/>
    <w:link w:val="12"/>
    <w:autoRedefine/>
    <w:qFormat/>
    <w:uiPriority w:val="0"/>
    <w:rPr>
      <w:rFonts w:ascii="宋体" w:hAnsi="宋体" w:eastAsia="宋体" w:cs="宋体"/>
      <w:u w:val="none"/>
      <w:shd w:val="clear" w:color="auto" w:fill="auto"/>
      <w:lang w:val="zh-TW" w:eastAsia="zh-TW" w:bidi="zh-TW"/>
    </w:rPr>
  </w:style>
  <w:style w:type="paragraph" w:customStyle="1" w:styleId="12">
    <w:name w:val="Other|1"/>
    <w:basedOn w:val="1"/>
    <w:link w:val="11"/>
    <w:autoRedefine/>
    <w:qFormat/>
    <w:uiPriority w:val="0"/>
    <w:pPr>
      <w:ind w:firstLine="380"/>
    </w:pPr>
    <w:rPr>
      <w:rFonts w:ascii="宋体" w:hAnsi="宋体" w:eastAsia="宋体" w:cs="宋体"/>
      <w:lang w:val="zh-TW" w:eastAsia="zh-TW" w:bidi="zh-TW"/>
    </w:rPr>
  </w:style>
  <w:style w:type="character" w:customStyle="1" w:styleId="13">
    <w:name w:val="页眉 Char"/>
    <w:basedOn w:val="8"/>
    <w:link w:val="5"/>
    <w:autoRedefine/>
    <w:qFormat/>
    <w:uiPriority w:val="0"/>
    <w:rPr>
      <w:rFonts w:eastAsia="Times New Roman"/>
      <w:color w:val="000000"/>
      <w:sz w:val="18"/>
      <w:szCs w:val="18"/>
      <w:lang w:eastAsia="en-US" w:bidi="en-US"/>
    </w:rPr>
  </w:style>
  <w:style w:type="character" w:customStyle="1" w:styleId="14">
    <w:name w:val="页脚 Char"/>
    <w:basedOn w:val="8"/>
    <w:link w:val="4"/>
    <w:autoRedefine/>
    <w:qFormat/>
    <w:uiPriority w:val="0"/>
    <w:rPr>
      <w:rFonts w:eastAsia="Times New Roman"/>
      <w:color w:val="000000"/>
      <w:sz w:val="18"/>
      <w:szCs w:val="18"/>
      <w:lang w:eastAsia="en-US" w:bidi="en-US"/>
    </w:rPr>
  </w:style>
  <w:style w:type="character" w:customStyle="1" w:styleId="15">
    <w:name w:val="font01"/>
    <w:basedOn w:val="8"/>
    <w:autoRedefine/>
    <w:qFormat/>
    <w:uiPriority w:val="0"/>
    <w:rPr>
      <w:rFonts w:hint="eastAsia" w:ascii="宋体" w:hAnsi="宋体" w:eastAsia="宋体" w:cs="宋体"/>
      <w:color w:val="000000"/>
      <w:sz w:val="22"/>
      <w:szCs w:val="22"/>
      <w:u w:val="none"/>
    </w:rPr>
  </w:style>
  <w:style w:type="paragraph" w:customStyle="1" w:styleId="16">
    <w:name w:val="null3"/>
    <w:qFormat/>
    <w:uiPriority w:val="0"/>
    <w:rPr>
      <w:rFonts w:hint="eastAsia" w:ascii="等线" w:hAnsi="等线" w:eastAsia="等线" w:cs="Times New Roman"/>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7EDCC"/>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2049"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10</Pages>
  <Words>10063</Words>
  <Characters>10316</Characters>
  <Lines>1</Lines>
  <Paragraphs>1</Paragraphs>
  <TotalTime>0</TotalTime>
  <ScaleCrop>false</ScaleCrop>
  <LinksUpToDate>false</LinksUpToDate>
  <CharactersWithSpaces>10325</CharactersWithSpaces>
  <Application>WPS Office_12.1.0.18608_F1E327BC-269C-435d-A152-05C5408002CA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2022-06-17T18:39:00Z</dcterms:created>
  <dc:creator>Administrator</dc:creator>
  <cp:lastModifiedBy>黑白灰</cp:lastModifiedBy>
  <dcterms:modified xsi:type="dcterms:W3CDTF">2024-11-11T04:05:39Z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2052-12.1.0.18608</vt:lpwstr>
  </property>
  <property fmtid="{D5CDD505-2E9C-101B-9397-08002B2CF9AE}" pid="3" name="ICV">
    <vt:lpwstr>F4392293E7A04B7C91DA00E6B845D278</vt:lpwstr>
  </property>
</Properties>
</file>