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22DAA">
      <w:pPr>
        <w:pStyle w:val="37"/>
        <w:numPr>
          <w:ilvl w:val="0"/>
          <w:numId w:val="0"/>
        </w:numPr>
        <w:wordWrap w:val="0"/>
        <w:spacing w:before="156" w:beforeLines="50" w:after="156" w:afterLines="50" w:line="360" w:lineRule="auto"/>
        <w:jc w:val="center"/>
        <w:outlineLvl w:val="0"/>
        <w:rPr>
          <w:rFonts w:hint="default" w:ascii="宋体" w:hAnsi="宋体" w:eastAsia="宋体" w:cs="宋体"/>
          <w:b/>
          <w:color w:val="auto"/>
          <w:sz w:val="32"/>
          <w:szCs w:val="32"/>
          <w:lang w:val="en-US" w:eastAsia="zh-CN" w:bidi="ar-SA"/>
        </w:rPr>
      </w:pPr>
      <w:r>
        <w:rPr>
          <w:rFonts w:hint="eastAsia" w:ascii="宋体" w:hAnsi="宋体" w:eastAsia="宋体" w:cs="宋体"/>
          <w:b/>
          <w:color w:val="auto"/>
          <w:sz w:val="32"/>
          <w:szCs w:val="32"/>
          <w:lang w:val="en-US" w:eastAsia="zh-CN" w:bidi="ar-SA"/>
        </w:rPr>
        <w:t>第一章 投标人资格条件</w:t>
      </w:r>
    </w:p>
    <w:p w14:paraId="17D93945">
      <w:pPr>
        <w:wordWrap w:val="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rPr>
        <w:t>具有独立承担民事责任的能力：提供在中华人民共和国境内注册的法人或其他</w:t>
      </w:r>
      <w:r>
        <w:rPr>
          <w:rFonts w:hint="eastAsia"/>
          <w:color w:val="auto"/>
          <w:highlight w:val="none"/>
        </w:rPr>
        <w:t>组织的营业执照或事业单位法人证书或 社会团体法人登记证书复印件，如为自然人的提供自然人身份证明</w:t>
      </w:r>
      <w:r>
        <w:rPr>
          <w:rFonts w:hint="eastAsia" w:ascii="宋体" w:hAnsi="宋体" w:eastAsia="宋体" w:cs="宋体"/>
          <w:color w:val="auto"/>
          <w:highlight w:val="none"/>
        </w:rPr>
        <w:t>复印件；如国家另有规定的，则从其规定。</w:t>
      </w:r>
    </w:p>
    <w:p w14:paraId="11CC4A8E">
      <w:pPr>
        <w:wordWrap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有依法缴纳税收和社会保障资金的良好记录：提供投标截止日前6个月内任意1个月依法缴纳税收和社会保障资金的相关材料。如依法免税或不需要缴纳社会保障资金的，提供相应证明材料。</w:t>
      </w:r>
    </w:p>
    <w:p w14:paraId="3B4871ED">
      <w:pPr>
        <w:wordWrap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具有良好的商业信誉和健全的财务会计制度：提供以下2种证明材料之一：①2024年度经会计师事务所审计的财务状况报告或</w:t>
      </w:r>
      <w:r>
        <w:rPr>
          <w:rFonts w:hint="eastAsia" w:cs="宋体"/>
          <w:color w:val="auto"/>
          <w:highlight w:val="none"/>
          <w:lang w:eastAsia="zh-CN"/>
        </w:rPr>
        <w:t>2025年至今任意1个月的财务状况报表</w:t>
      </w:r>
      <w:r>
        <w:rPr>
          <w:rFonts w:hint="eastAsia" w:ascii="宋体" w:hAnsi="宋体" w:eastAsia="宋体" w:cs="宋体"/>
          <w:color w:val="auto"/>
          <w:highlight w:val="none"/>
        </w:rPr>
        <w:t>；②同时提供a.基本开户行出具的资信证明，b.《基本存款账号信息》或《开户许可证》。</w:t>
      </w:r>
    </w:p>
    <w:p w14:paraId="5CB8E0B4">
      <w:pPr>
        <w:wordWrap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履行合同所必需的设备和专业技术能力：按投标（响应）文件格式填报设备及专业技术能力情况，或提</w:t>
      </w:r>
      <w:r>
        <w:rPr>
          <w:rFonts w:hint="eastAsia" w:ascii="宋体" w:hAnsi="宋体" w:eastAsia="宋体" w:cs="宋体"/>
          <w:color w:val="auto"/>
          <w:highlight w:val="none"/>
          <w:lang w:val="en-US" w:eastAsia="zh-CN"/>
        </w:rPr>
        <w:t>供承诺函（格式自拟）。</w:t>
      </w:r>
    </w:p>
    <w:p w14:paraId="11146ED9">
      <w:pPr>
        <w:wordWrap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参加招标活动前3年内，在经营活动中没有重大违法记录：提供承诺函（格式自拟）。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4EBF78D">
      <w:pPr>
        <w:wordWrap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六、法律、行政法规规定的其他条件：提供承诺函（格式自拟）。</w:t>
      </w:r>
    </w:p>
    <w:p w14:paraId="45809421">
      <w:pPr>
        <w:wordWrap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单位负责人为同一人或者存在直接控股、管理关系的不同投标人，不得同时参加本招标项目投标。为本项目提供整体设计、规范编制或者项目管理、监理、检测等服务的投标人，不得再参与本项目投标。按投标函相关承诺要求内容。</w:t>
      </w:r>
    </w:p>
    <w:p w14:paraId="637DE333">
      <w:pPr>
        <w:wordWrap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八、承担本项目关于“</w:t>
      </w:r>
      <w:r>
        <w:rPr>
          <w:rFonts w:hint="eastAsia" w:cs="宋体"/>
          <w:color w:val="auto"/>
          <w:highlight w:val="none"/>
          <w:lang w:val="en-US" w:eastAsia="zh-CN"/>
        </w:rPr>
        <w:t>食材供应</w:t>
      </w:r>
      <w:r>
        <w:rPr>
          <w:rFonts w:hint="eastAsia" w:ascii="宋体" w:hAnsi="宋体" w:eastAsia="宋体" w:cs="宋体"/>
          <w:color w:val="auto"/>
          <w:highlight w:val="none"/>
          <w:lang w:val="en-US" w:eastAsia="zh-CN"/>
        </w:rPr>
        <w:t>”的，投标人应具有有效的《食品经营许可证》或《食品药品经营许可证》（许可须与食品相关），投标时须提供相关证书。（如国家另有规定，则适用其规定）。（注：①若独立投标，投标人应具备上述资质；②若联合体投标，其中一方承担关于“</w:t>
      </w:r>
      <w:r>
        <w:rPr>
          <w:rFonts w:hint="eastAsia" w:cs="宋体"/>
          <w:color w:val="auto"/>
          <w:highlight w:val="none"/>
          <w:lang w:val="en-US" w:eastAsia="zh-CN"/>
        </w:rPr>
        <w:t>食材供应</w:t>
      </w:r>
      <w:r>
        <w:rPr>
          <w:rFonts w:hint="eastAsia" w:ascii="宋体" w:hAnsi="宋体" w:eastAsia="宋体" w:cs="宋体"/>
          <w:color w:val="auto"/>
          <w:highlight w:val="none"/>
          <w:lang w:val="en-US" w:eastAsia="zh-CN"/>
        </w:rPr>
        <w:t>”工作，则该方须具备上述资质。须在《联合体共同投标协议书》上明确各方承担的工作内容。）</w:t>
      </w:r>
    </w:p>
    <w:p w14:paraId="146002F4">
      <w:pPr>
        <w:wordWrap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九、本项目接受联合体投标，联合体以一个投标人的身份共同投标。</w:t>
      </w:r>
    </w:p>
    <w:p w14:paraId="044EE068">
      <w:pPr>
        <w:wordWrap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①联合体成员数量不超过2个；</w:t>
      </w:r>
    </w:p>
    <w:p w14:paraId="4E5E3A71">
      <w:pPr>
        <w:wordWrap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②联合体各方均需满足上述资格条件“一至七项”的要求，投标文件中联合体各方分别提供证明材料并分别加盖其单位公章。</w:t>
      </w:r>
    </w:p>
    <w:p w14:paraId="78BA2638">
      <w:pPr>
        <w:wordWrap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③联合体成员必须各方共同签署《联合体共同投标协议书》明确联合体牵头人和各方权利、义务，且投标时必须提交《联合体共同投标协议书》。</w:t>
      </w:r>
    </w:p>
    <w:p w14:paraId="0F5F0DDD">
      <w:pPr>
        <w:wordWrap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④联合体各方不得再以自己名义单独或参加其他联合体在本采购项目中投标，否则各相关投标均无效。</w:t>
      </w:r>
    </w:p>
    <w:p w14:paraId="3E603198">
      <w:pPr>
        <w:pStyle w:val="2"/>
        <w:numPr>
          <w:ilvl w:val="0"/>
          <w:numId w:val="0"/>
        </w:numPr>
        <w:rPr>
          <w:rFonts w:hint="eastAsia"/>
          <w:color w:val="auto"/>
        </w:rPr>
      </w:pPr>
    </w:p>
    <w:p w14:paraId="6D875CED">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12696D0C">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0364984D">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35A5E7AF">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0EFAD173">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3CB90C5A">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0AEFC88D">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1E28CF64">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052B64D6">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36236732">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0FF18955">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4FBFB363">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5AB79AC2">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0300AE0D">
      <w:pPr>
        <w:pStyle w:val="37"/>
        <w:numPr>
          <w:ilvl w:val="0"/>
          <w:numId w:val="0"/>
        </w:numPr>
        <w:wordWrap w:val="0"/>
        <w:spacing w:before="156" w:beforeLines="50" w:after="156" w:afterLines="50" w:line="360" w:lineRule="auto"/>
        <w:jc w:val="center"/>
        <w:outlineLvl w:val="0"/>
        <w:rPr>
          <w:rFonts w:ascii="宋体" w:hAnsi="宋体" w:eastAsia="宋体" w:cs="宋体"/>
          <w:b/>
          <w:color w:val="auto"/>
          <w:sz w:val="32"/>
          <w:szCs w:val="32"/>
          <w:highlight w:val="none"/>
          <w:lang w:eastAsia="zh-CN"/>
        </w:rPr>
      </w:pPr>
      <w:r>
        <w:rPr>
          <w:rFonts w:hint="eastAsia" w:ascii="宋体" w:hAnsi="宋体" w:eastAsia="宋体" w:cs="宋体"/>
          <w:b/>
          <w:color w:val="auto"/>
          <w:sz w:val="32"/>
          <w:szCs w:val="32"/>
          <w:lang w:val="en-US" w:eastAsia="zh-CN" w:bidi="ar-SA"/>
        </w:rPr>
        <w:t xml:space="preserve">第二章  </w:t>
      </w:r>
      <w:r>
        <w:rPr>
          <w:rFonts w:hint="eastAsia" w:ascii="宋体" w:hAnsi="宋体" w:eastAsia="宋体" w:cs="宋体"/>
          <w:b/>
          <w:color w:val="auto"/>
          <w:sz w:val="32"/>
          <w:szCs w:val="32"/>
          <w:highlight w:val="none"/>
          <w:lang w:val="en-US" w:eastAsia="zh-CN"/>
        </w:rPr>
        <w:t>采购</w:t>
      </w:r>
      <w:r>
        <w:rPr>
          <w:rFonts w:ascii="宋体" w:hAnsi="宋体" w:eastAsia="宋体" w:cs="宋体"/>
          <w:b/>
          <w:color w:val="auto"/>
          <w:sz w:val="32"/>
          <w:szCs w:val="32"/>
          <w:highlight w:val="none"/>
          <w:lang w:eastAsia="zh-CN"/>
        </w:rPr>
        <w:t>需求</w:t>
      </w:r>
    </w:p>
    <w:p w14:paraId="2C967DE2">
      <w:pPr>
        <w:wordWrap w:val="0"/>
        <w:spacing w:line="360" w:lineRule="auto"/>
        <w:rPr>
          <w:rFonts w:hint="eastAsia" w:ascii="宋体" w:hAnsi="宋体" w:eastAsia="宋体" w:cs="宋体"/>
          <w:b/>
          <w:bCs/>
          <w:color w:val="auto"/>
          <w:sz w:val="24"/>
          <w:szCs w:val="24"/>
          <w:highlight w:val="none"/>
        </w:rPr>
      </w:pPr>
      <w:bookmarkStart w:id="0" w:name="_Toc25113"/>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项目简况和内容</w:t>
      </w:r>
      <w:bookmarkEnd w:id="0"/>
    </w:p>
    <w:p w14:paraId="5AE4C377">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项目名称：韶关市直属学校食堂食材集采集配平台项目。</w:t>
      </w:r>
      <w:bookmarkStart w:id="1" w:name="_GoBack"/>
      <w:bookmarkEnd w:id="1"/>
    </w:p>
    <w:p w14:paraId="0866A082">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采购预算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资格标，无采购预算。</w:t>
      </w:r>
    </w:p>
    <w:p w14:paraId="5C82B5F2">
      <w:pPr>
        <w:tabs>
          <w:tab w:val="left" w:pos="0"/>
          <w:tab w:val="left" w:pos="846"/>
          <w:tab w:val="left" w:pos="1122"/>
        </w:tabs>
        <w:wordWrap/>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三）项目概况：本项目拟通过招标选取1家专业的食材集采集配供应链平台运营商（以下简称“平台运营商”），负责开展韶关市直属学校（广东北江中学‌、‌韶关市第一中学、‌韶州中学‌、韶关市</w:t>
      </w:r>
      <w:r>
        <w:rPr>
          <w:rFonts w:hint="eastAsia" w:cs="宋体"/>
          <w:color w:val="auto"/>
          <w:sz w:val="24"/>
          <w:szCs w:val="24"/>
          <w:highlight w:val="none"/>
          <w:lang w:val="en-US" w:eastAsia="zh-CN"/>
        </w:rPr>
        <w:t>张九龄纪念中学</w:t>
      </w:r>
      <w:r>
        <w:rPr>
          <w:rFonts w:hint="eastAsia" w:ascii="宋体" w:hAnsi="宋体" w:eastAsia="宋体" w:cs="宋体"/>
          <w:color w:val="auto"/>
          <w:sz w:val="24"/>
          <w:szCs w:val="24"/>
          <w:highlight w:val="none"/>
          <w:lang w:val="en-US" w:eastAsia="zh-CN"/>
        </w:rPr>
        <w:t>‌、韶关市第五中学、韶关市启航学校、‌韶关市田家炳中学、韶关市中等职业技术学校‌</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食堂食材集采集配供应链管理各项服务，即引入1家平台运营商与多家食材供应商共同构建“学校－平台商－食材供应商”的运营链路（平台商搭建信息平台、集中配送中心（简称集配中心），食材供应商通过资格遴选入库后将信息在平台上架，学校采购人员在信息平台终端自行选择商品下单，食材供应商根据信息平台推送的订单将食材运送至集配中心，集配中心负责质量检测、验收等工作，并根据学校采购人员订单分拣配送至订单指定地点，并配合学校采购人员做好食材验收。</w:t>
      </w:r>
    </w:p>
    <w:p w14:paraId="04490E97">
      <w:pPr>
        <w:tabs>
          <w:tab w:val="left" w:pos="0"/>
          <w:tab w:val="left" w:pos="846"/>
          <w:tab w:val="left" w:pos="1122"/>
        </w:tabs>
        <w:wordWrap/>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二、服务内容</w:t>
      </w:r>
    </w:p>
    <w:p w14:paraId="40AA0559">
      <w:pPr>
        <w:wordWrap w:val="0"/>
        <w:spacing w:line="36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中标人</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根据招标人需求及中央、省有关要求搭建信息化平台，做好后期供应商准入、管理、退出等工作</w:t>
      </w:r>
      <w:r>
        <w:rPr>
          <w:rFonts w:hint="eastAsia" w:ascii="宋体" w:hAnsi="宋体" w:eastAsia="宋体" w:cs="宋体"/>
          <w:color w:val="auto"/>
          <w:sz w:val="24"/>
          <w:szCs w:val="24"/>
          <w:highlight w:val="none"/>
        </w:rPr>
        <w:t>，组织协调供应商按需</w:t>
      </w:r>
      <w:r>
        <w:rPr>
          <w:rFonts w:hint="eastAsia" w:ascii="宋体" w:hAnsi="宋体" w:eastAsia="宋体" w:cs="宋体"/>
          <w:color w:val="auto"/>
          <w:sz w:val="24"/>
          <w:szCs w:val="24"/>
          <w:highlight w:val="none"/>
          <w:lang w:val="en-US" w:eastAsia="zh-CN"/>
        </w:rPr>
        <w:t>保障食材供应</w:t>
      </w:r>
      <w:r>
        <w:rPr>
          <w:rFonts w:hint="eastAsia" w:ascii="宋体" w:hAnsi="宋体" w:eastAsia="宋体" w:cs="宋体"/>
          <w:color w:val="auto"/>
          <w:sz w:val="24"/>
          <w:szCs w:val="24"/>
          <w:highlight w:val="none"/>
        </w:rPr>
        <w:t>，并承担</w:t>
      </w:r>
      <w:r>
        <w:rPr>
          <w:rFonts w:hint="eastAsia" w:ascii="宋体" w:hAnsi="宋体" w:eastAsia="宋体" w:cs="宋体"/>
          <w:color w:val="auto"/>
          <w:sz w:val="24"/>
          <w:szCs w:val="24"/>
          <w:highlight w:val="none"/>
          <w:lang w:val="en-US" w:eastAsia="zh-CN"/>
        </w:rPr>
        <w:t>各学校食材</w:t>
      </w:r>
      <w:r>
        <w:rPr>
          <w:rFonts w:hint="eastAsia" w:ascii="宋体" w:hAnsi="宋体" w:eastAsia="宋体" w:cs="宋体"/>
          <w:color w:val="auto"/>
          <w:sz w:val="24"/>
          <w:szCs w:val="24"/>
          <w:highlight w:val="none"/>
        </w:rPr>
        <w:t>集中揽货、验收、分拣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溯源</w:t>
      </w:r>
      <w:r>
        <w:rPr>
          <w:rFonts w:hint="eastAsia" w:ascii="宋体" w:hAnsi="宋体" w:eastAsia="宋体" w:cs="宋体"/>
          <w:color w:val="auto"/>
          <w:sz w:val="24"/>
          <w:szCs w:val="24"/>
          <w:highlight w:val="none"/>
        </w:rPr>
        <w:t>等服务职能。具体如下：</w:t>
      </w:r>
    </w:p>
    <w:p w14:paraId="3A5FE9AA">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负责平台运行维护平台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供应商管理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用户管理、商品管理、数据维护、订单跟踪</w:t>
      </w:r>
      <w:r>
        <w:rPr>
          <w:rFonts w:hint="eastAsia" w:ascii="宋体" w:hAnsi="宋体" w:eastAsia="宋体" w:cs="宋体"/>
          <w:color w:val="auto"/>
          <w:sz w:val="24"/>
          <w:szCs w:val="24"/>
          <w:highlight w:val="none"/>
          <w:lang w:val="en-US" w:eastAsia="zh-CN"/>
        </w:rPr>
        <w:t>等内容，</w:t>
      </w:r>
      <w:r>
        <w:rPr>
          <w:rFonts w:hint="eastAsia" w:ascii="宋体" w:hAnsi="宋体" w:eastAsia="宋体" w:cs="宋体"/>
          <w:color w:val="auto"/>
          <w:sz w:val="24"/>
          <w:szCs w:val="24"/>
          <w:highlight w:val="none"/>
        </w:rPr>
        <w:t>协调组织平台供应商商品上下架及商品信息更新维护，并配合</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做好内网相关数据更新。</w:t>
      </w:r>
    </w:p>
    <w:p w14:paraId="44EFB9C4">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二）负责供应商管理，包括但不限于平台供应商分类、申请、审核以及对供应商监督、考评、组织竞价等。</w:t>
      </w:r>
    </w:p>
    <w:p w14:paraId="296FE8C0">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三）负责配合招标人每月开展食材行情价格调查，参与审核平台商品价格，确定商品基准价，定价周期为1个月。</w:t>
      </w:r>
    </w:p>
    <w:p w14:paraId="459A075B">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负责配合</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定期组织平台供应商参与竞价，并确定成交平台供应商。</w:t>
      </w:r>
    </w:p>
    <w:p w14:paraId="74BD2183">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根据招标人下达的订单，组织协调平台供应商供货。</w:t>
      </w:r>
    </w:p>
    <w:p w14:paraId="298A1669">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（六）负责接收平台供应商供货，做好验收工作，并为平台供应商提供必要的仓储条件；</w:t>
      </w:r>
    </w:p>
    <w:p w14:paraId="47D72438">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（七）对平台供应商供应的食材进行分拣、检验、仓储、配送，按规定与招标人做好交接验收；</w:t>
      </w:r>
    </w:p>
    <w:p w14:paraId="51BCE79E">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（八）按照招标人要求，协调处理招标人、平台供应商等反馈的意见建议，定期为招标人提供食材保障数据服务。</w:t>
      </w:r>
    </w:p>
    <w:p w14:paraId="3C2D2102">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协助</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建立完善平台商品库及价格管理、质量品控体系，负责通过平台为</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提供商品信息查询、采购数据统计报告等信息服务。</w:t>
      </w:r>
    </w:p>
    <w:p w14:paraId="5685C835">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（十）日常服务职责</w:t>
      </w:r>
    </w:p>
    <w:p w14:paraId="12EB5D7A">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订单管理：承接并整合</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订单计划，及时向有关平台供应商下达采购订单并协调按时供货。</w:t>
      </w:r>
    </w:p>
    <w:p w14:paraId="2BC2E2F4">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协调供货：组织协调各平台供应商按需备货，按时供应到位。</w:t>
      </w:r>
    </w:p>
    <w:p w14:paraId="332D1B5E">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揽货验收：组织对平台供应商所供</w:t>
      </w:r>
      <w:r>
        <w:rPr>
          <w:rFonts w:hint="eastAsia" w:cs="宋体"/>
          <w:color w:val="auto"/>
          <w:sz w:val="24"/>
          <w:szCs w:val="24"/>
          <w:highlight w:val="none"/>
          <w:lang w:eastAsia="zh-CN"/>
        </w:rPr>
        <w:t>食材</w:t>
      </w:r>
      <w:r>
        <w:rPr>
          <w:rFonts w:hint="eastAsia" w:ascii="宋体" w:hAnsi="宋体" w:eastAsia="宋体" w:cs="宋体"/>
          <w:color w:val="auto"/>
          <w:sz w:val="24"/>
          <w:szCs w:val="24"/>
          <w:highlight w:val="none"/>
        </w:rPr>
        <w:t>进行数</w:t>
      </w:r>
      <w:r>
        <w:rPr>
          <w:rFonts w:hint="eastAsia" w:ascii="宋体" w:hAnsi="宋体" w:eastAsia="宋体" w:cs="宋体"/>
          <w:color w:val="auto"/>
          <w:sz w:val="24"/>
          <w:szCs w:val="24"/>
          <w:highlight w:val="none"/>
          <w:lang w:val="en-US" w:eastAsia="zh-CN"/>
        </w:rPr>
        <w:t>量、</w:t>
      </w:r>
      <w:r>
        <w:rPr>
          <w:rFonts w:hint="eastAsia" w:ascii="宋体" w:hAnsi="宋体" w:eastAsia="宋体" w:cs="宋体"/>
          <w:color w:val="auto"/>
          <w:sz w:val="24"/>
          <w:szCs w:val="24"/>
          <w:highlight w:val="none"/>
        </w:rPr>
        <w:t>质量验收，并查验相关凭证，对验收不合格货物依据协议相关规定处理。</w:t>
      </w:r>
    </w:p>
    <w:p w14:paraId="36991E05">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中转配送：对揽收货物提供临时仓储，依照</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需要进行分拣，按时配送至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，并适时协调退、换、补货。</w:t>
      </w:r>
    </w:p>
    <w:p w14:paraId="4AD31FA1">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对账结算：与</w:t>
      </w:r>
      <w:r>
        <w:rPr>
          <w:rFonts w:hint="eastAsia" w:cs="宋体"/>
          <w:color w:val="auto"/>
          <w:sz w:val="24"/>
          <w:szCs w:val="24"/>
          <w:highlight w:val="none"/>
          <w:lang w:val="en-US" w:eastAsia="zh-CN"/>
        </w:rPr>
        <w:t>学校</w:t>
      </w:r>
      <w:r>
        <w:rPr>
          <w:rFonts w:hint="eastAsia" w:ascii="宋体" w:hAnsi="宋体" w:eastAsia="宋体" w:cs="宋体"/>
          <w:color w:val="auto"/>
          <w:sz w:val="24"/>
          <w:szCs w:val="24"/>
          <w:highlight w:val="none"/>
        </w:rPr>
        <w:t>定期对账、结算，并在此后组织与平台供应商及时对账结算。</w:t>
      </w:r>
    </w:p>
    <w:p w14:paraId="01C14DC8">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要求，每月汇总报送服务期间产生的各项数据，包括但不限于银行账目、供应清单等。</w:t>
      </w:r>
    </w:p>
    <w:p w14:paraId="3396E3AA">
      <w:pPr>
        <w:wordWrap w:val="0"/>
        <w:spacing w:line="360" w:lineRule="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（十二）</w:t>
      </w:r>
      <w:r>
        <w:rPr>
          <w:rFonts w:hint="eastAsia" w:cs="宋体"/>
          <w:color w:val="auto"/>
          <w:sz w:val="24"/>
          <w:szCs w:val="24"/>
          <w:highlight w:val="none"/>
          <w:lang w:val="en-US" w:eastAsia="zh-CN"/>
        </w:rPr>
        <w:t>若韶关市其他区属学校（非市直学校）提出使用本平台的需求，中标人须予以配合支持，具体实施方式如下：</w:t>
      </w:r>
    </w:p>
    <w:p w14:paraId="0066BDEC">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1.服务模式选择：使用方可从以下两种模式中任选其一：</w:t>
      </w:r>
    </w:p>
    <w:p w14:paraId="3134DE45">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1.1模式一（全链条服务）：使用完整的“集采集配”平台功能，包括信息化平台、供应商管理、集配中心（验收、分拣、仓储、配送、质检等）全套服务。</w:t>
      </w:r>
    </w:p>
    <w:p w14:paraId="03445966">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1.2模式二（平台功能服务）：仅使用平台运营商提供的集采信息化数据平台（含商品管理、订单处理、数据查询、结算、供应商对接等功能），而配送、分拣、检测等环节由使用方自行采购第三方服务商承担。</w:t>
      </w:r>
    </w:p>
    <w:p w14:paraId="188ACB9C">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2.权责划分：</w:t>
      </w:r>
    </w:p>
    <w:p w14:paraId="031E7963">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2.1在模式一下，平台运营商承担全链条服务责任，权责范围与市直学校项目一致。</w:t>
      </w:r>
    </w:p>
    <w:p w14:paraId="5EDC116F">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2.2在模式二下，平台运营商仅负责信息化平台的运行维护、数据支持及与使用方采购的第三方服务商的系统对接协调；配送、分拣、检测、廉洁等环节的风险（包括但不限于食品安全、时效延误、货物损毁等）由使用方及其采购的第三方服务商自行承担。</w:t>
      </w:r>
    </w:p>
    <w:p w14:paraId="63424BF5">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3.费用确定机制：</w:t>
      </w:r>
    </w:p>
    <w:p w14:paraId="777DC525">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3.1在模式二平台服务费用结算方式以合同签订为准。</w:t>
      </w:r>
    </w:p>
    <w:p w14:paraId="656DE385">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3.2评估标准应考虑平台功能使用范围、数据量、服务响应等级、运维成本及市场公允价格等因素。</w:t>
      </w:r>
    </w:p>
    <w:p w14:paraId="4EA984F3">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4.扩展服务流程：</w:t>
      </w:r>
    </w:p>
    <w:p w14:paraId="7662671F">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4.1使用方向招标人（或直接向平台运营商）提出书面接入申请；</w:t>
      </w:r>
    </w:p>
    <w:p w14:paraId="60EA36B7">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4.2双方协商确定服务模式、权责界面及数据对接标准；</w:t>
      </w:r>
    </w:p>
    <w:p w14:paraId="5F27596E">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4.3委托第三方评估公司核定服务费用，并签订补充协议；</w:t>
      </w:r>
    </w:p>
    <w:p w14:paraId="57899388">
      <w:pPr>
        <w:wordWrap w:val="0"/>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4.4平台运营商完成系统配置、培训及对接后正式提供服务。</w:t>
      </w:r>
    </w:p>
    <w:p w14:paraId="29B738B1">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三、技术要求</w:t>
      </w:r>
    </w:p>
    <w:p w14:paraId="56832D44">
      <w:pPr>
        <w:wordWrap w:val="0"/>
        <w:spacing w:line="360" w:lineRule="auto"/>
        <w:rPr>
          <w:rFonts w:hint="eastAsia" w:ascii="宋体" w:hAnsi="宋体" w:eastAsia="宋体" w:cs="宋体"/>
          <w:b/>
          <w:bCs/>
          <w:i w:val="0"/>
          <w:iCs w:val="0"/>
          <w:caps w:val="0"/>
          <w:color w:val="auto"/>
          <w:spacing w:val="0"/>
          <w:sz w:val="24"/>
          <w:szCs w:val="24"/>
          <w:highlight w:val="none"/>
          <w:shd w:val="clear"/>
        </w:rPr>
      </w:pPr>
      <w:r>
        <w:rPr>
          <w:rFonts w:hint="eastAsia" w:ascii="宋体" w:hAnsi="宋体" w:eastAsia="宋体" w:cs="宋体"/>
          <w:b/>
          <w:bCs/>
          <w:i w:val="0"/>
          <w:iCs w:val="0"/>
          <w:caps w:val="0"/>
          <w:color w:val="auto"/>
          <w:spacing w:val="0"/>
          <w:sz w:val="24"/>
          <w:szCs w:val="24"/>
          <w:highlight w:val="none"/>
          <w:shd w:val="clear" w:fill="auto"/>
        </w:rPr>
        <w:t xml:space="preserve">（一）总体要求 </w:t>
      </w:r>
    </w:p>
    <w:p w14:paraId="1E24A015">
      <w:pPr>
        <w:wordWrap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fill="auto"/>
        </w:rPr>
        <w:t>平台须聚合多品类供应商，通过小程序APP或电脑端提供“一站式”采购，减少学校对接多方的负担，提高学校后勤工作效率。通过平台将食材集中配送至各学校，将供应商与各学校物理隔离，实现配送透明化。智能调度系统优化配送路线，降低缺货率。</w:t>
      </w:r>
      <w:r>
        <w:rPr>
          <w:rFonts w:hint="eastAsia" w:cs="宋体"/>
          <w:b w:val="0"/>
          <w:bCs w:val="0"/>
          <w:i w:val="0"/>
          <w:iCs w:val="0"/>
          <w:caps w:val="0"/>
          <w:color w:val="auto"/>
          <w:spacing w:val="0"/>
          <w:sz w:val="24"/>
          <w:szCs w:val="24"/>
          <w:highlight w:val="none"/>
          <w:shd w:val="clear" w:fill="auto"/>
          <w:lang w:eastAsia="zh-CN"/>
        </w:rPr>
        <w:t>平台</w:t>
      </w:r>
      <w:r>
        <w:rPr>
          <w:rFonts w:hint="eastAsia" w:ascii="宋体" w:hAnsi="宋体" w:eastAsia="宋体" w:cs="宋体"/>
          <w:b w:val="0"/>
          <w:bCs w:val="0"/>
          <w:i w:val="0"/>
          <w:iCs w:val="0"/>
          <w:caps w:val="0"/>
          <w:color w:val="auto"/>
          <w:spacing w:val="0"/>
          <w:sz w:val="24"/>
          <w:szCs w:val="24"/>
          <w:highlight w:val="none"/>
          <w:shd w:val="clear" w:fill="auto"/>
        </w:rPr>
        <w:t>实现数字化管理便捷，通过线上平台提供实时库存管理、订单跟踪、票据报告上传、存储等功能，简化财务流程，实现账务的日清月结。平台有备用供应商池，突发情况下可快速切换供应源。农产品采购均通过平台的“盲选竞价”，确定最终供应商，实现“阳光采购”。价格相对稳定，平台可通过长期协议平抑市场波动。采购价格、冷链物流轨迹实时可查，减少人为干预。采购的食品溯源有依据，并附有食材检测报告，实现“逢进必检”，食品安全得以保障。</w:t>
      </w:r>
    </w:p>
    <w:p w14:paraId="5BB30E74">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）建设食材供应管理信息化平台</w:t>
      </w:r>
    </w:p>
    <w:p w14:paraId="5A1522C5">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1.信息化平台要求</w:t>
      </w:r>
    </w:p>
    <w:p w14:paraId="49681A65">
      <w:pPr>
        <w:wordWrap w:val="0"/>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食材供应管理信息化平台</w:t>
      </w:r>
      <w:r>
        <w:rPr>
          <w:rFonts w:hint="eastAsia" w:ascii="宋体" w:hAnsi="宋体" w:eastAsia="宋体" w:cs="宋体"/>
          <w:color w:val="auto"/>
          <w:sz w:val="24"/>
          <w:szCs w:val="24"/>
        </w:rPr>
        <w:t>，是为</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提供基于大数据分析的数字化平台，目标是达到</w:t>
      </w:r>
      <w:r>
        <w:rPr>
          <w:rFonts w:hint="eastAsia" w:ascii="宋体" w:hAnsi="宋体" w:eastAsia="宋体" w:cs="宋体"/>
          <w:color w:val="auto"/>
          <w:sz w:val="24"/>
          <w:szCs w:val="24"/>
          <w:lang w:val="en-US" w:eastAsia="zh-CN"/>
        </w:rPr>
        <w:t>食材</w:t>
      </w:r>
      <w:r>
        <w:rPr>
          <w:rFonts w:hint="eastAsia" w:ascii="宋体" w:hAnsi="宋体" w:eastAsia="宋体" w:cs="宋体"/>
          <w:color w:val="auto"/>
          <w:sz w:val="24"/>
          <w:szCs w:val="24"/>
        </w:rPr>
        <w:t>质量信息、价格信息、订单信息、供应商信息、仓储信息、物流信息、</w:t>
      </w:r>
      <w:r>
        <w:rPr>
          <w:rFonts w:hint="eastAsia" w:ascii="宋体" w:hAnsi="宋体" w:eastAsia="宋体" w:cs="宋体"/>
          <w:color w:val="auto"/>
          <w:sz w:val="24"/>
          <w:szCs w:val="24"/>
          <w:lang w:val="en-US" w:eastAsia="zh-CN"/>
        </w:rPr>
        <w:t>溯源信息、</w:t>
      </w:r>
      <w:r>
        <w:rPr>
          <w:rFonts w:hint="eastAsia" w:ascii="宋体" w:hAnsi="宋体" w:eastAsia="宋体" w:cs="宋体"/>
          <w:color w:val="auto"/>
          <w:sz w:val="24"/>
          <w:szCs w:val="24"/>
        </w:rPr>
        <w:t>结算信息和保障意见反馈信息的透明可视，实现</w:t>
      </w:r>
      <w:r>
        <w:rPr>
          <w:rFonts w:hint="eastAsia" w:ascii="宋体" w:hAnsi="宋体" w:eastAsia="宋体" w:cs="宋体"/>
          <w:color w:val="auto"/>
          <w:sz w:val="24"/>
          <w:szCs w:val="24"/>
          <w:lang w:val="en-US" w:eastAsia="zh-CN"/>
        </w:rPr>
        <w:t>学校食材采购</w:t>
      </w:r>
      <w:r>
        <w:rPr>
          <w:rFonts w:hint="eastAsia" w:ascii="宋体" w:hAnsi="宋体" w:eastAsia="宋体" w:cs="宋体"/>
          <w:color w:val="auto"/>
          <w:sz w:val="24"/>
          <w:szCs w:val="24"/>
        </w:rPr>
        <w:t>全程可视化、数字化运行。</w:t>
      </w:r>
    </w:p>
    <w:tbl>
      <w:tblPr>
        <w:tblStyle w:val="26"/>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17"/>
        <w:gridCol w:w="1647"/>
        <w:gridCol w:w="7348"/>
      </w:tblGrid>
      <w:tr w14:paraId="0612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12" w:type="dxa"/>
            <w:gridSpan w:val="3"/>
            <w:shd w:val="clear" w:color="auto" w:fill="auto"/>
            <w:vAlign w:val="center"/>
          </w:tcPr>
          <w:p w14:paraId="76885E7E">
            <w:pPr>
              <w:keepNext w:val="0"/>
              <w:keepLines w:val="0"/>
              <w:pageBreakBefore w:val="0"/>
              <w:widowControl/>
              <w:suppressLineNumbers w:val="0"/>
              <w:kinsoku/>
              <w:wordWrap/>
              <w:overflowPunct/>
              <w:topLinePunct w:val="0"/>
              <w:autoSpaceDE w:val="0"/>
              <w:autoSpaceDN w:val="0"/>
              <w:bidi w:val="0"/>
              <w:adjustRightInd/>
              <w:snapToGrid/>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一、客户管理模块</w:t>
            </w:r>
          </w:p>
        </w:tc>
      </w:tr>
      <w:tr w14:paraId="00A4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jc w:val="center"/>
        </w:trPr>
        <w:tc>
          <w:tcPr>
            <w:tcW w:w="1017" w:type="dxa"/>
            <w:shd w:val="clear" w:color="auto" w:fill="auto"/>
            <w:vAlign w:val="center"/>
          </w:tcPr>
          <w:p w14:paraId="252DECAE">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47" w:type="dxa"/>
            <w:shd w:val="clear" w:color="auto" w:fill="auto"/>
            <w:vAlign w:val="center"/>
          </w:tcPr>
          <w:p w14:paraId="7F6C61F7">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APP</w:t>
            </w:r>
          </w:p>
        </w:tc>
        <w:tc>
          <w:tcPr>
            <w:tcW w:w="7348" w:type="dxa"/>
            <w:shd w:val="clear" w:color="auto" w:fill="auto"/>
            <w:vAlign w:val="center"/>
          </w:tcPr>
          <w:p w14:paraId="445A5130">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支持安卓、</w:t>
            </w:r>
            <w:r>
              <w:rPr>
                <w:rFonts w:hint="eastAsia" w:ascii="宋体" w:hAnsi="宋体" w:eastAsia="宋体" w:cs="宋体"/>
                <w:i w:val="0"/>
                <w:iCs w:val="0"/>
                <w:color w:val="auto"/>
                <w:kern w:val="0"/>
                <w:sz w:val="24"/>
                <w:szCs w:val="24"/>
                <w:highlight w:val="none"/>
                <w:u w:val="none"/>
                <w:lang w:val="en-US" w:eastAsia="zh-CN" w:bidi="ar"/>
              </w:rPr>
              <w:t>APP</w:t>
            </w:r>
            <w:r>
              <w:rPr>
                <w:rFonts w:hint="eastAsia" w:ascii="宋体" w:hAnsi="宋体" w:eastAsia="宋体" w:cs="宋体"/>
                <w:i w:val="0"/>
                <w:iCs w:val="0"/>
                <w:color w:val="auto"/>
                <w:sz w:val="24"/>
                <w:szCs w:val="24"/>
                <w:highlight w:val="none"/>
                <w:u w:val="none"/>
                <w:lang w:val="en-US" w:eastAsia="zh-CN"/>
              </w:rPr>
              <w:t xml:space="preserve">小程序移动客户端运行，涵盖首页、分类、购物车等基本功能。 </w:t>
            </w:r>
          </w:p>
        </w:tc>
      </w:tr>
      <w:tr w14:paraId="6C0D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vMerge w:val="restart"/>
            <w:shd w:val="clear" w:color="auto" w:fill="auto"/>
            <w:vAlign w:val="center"/>
          </w:tcPr>
          <w:p w14:paraId="5645C4BD">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47" w:type="dxa"/>
            <w:vMerge w:val="restart"/>
            <w:shd w:val="clear" w:color="auto" w:fill="auto"/>
            <w:vAlign w:val="center"/>
          </w:tcPr>
          <w:p w14:paraId="66D92BAC">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首页</w:t>
            </w:r>
          </w:p>
        </w:tc>
        <w:tc>
          <w:tcPr>
            <w:tcW w:w="7348" w:type="dxa"/>
            <w:shd w:val="clear" w:color="auto" w:fill="auto"/>
            <w:vAlign w:val="center"/>
          </w:tcPr>
          <w:p w14:paraId="596CD386">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1.站点管理：支持按客群划分建立多客群站点。</w:t>
            </w:r>
          </w:p>
        </w:tc>
      </w:tr>
      <w:tr w14:paraId="4E18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17" w:type="dxa"/>
            <w:vMerge w:val="continue"/>
            <w:shd w:val="clear" w:color="auto" w:fill="auto"/>
            <w:vAlign w:val="center"/>
          </w:tcPr>
          <w:p w14:paraId="5DDF6B9D">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597E718C">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62C578D7">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2.商品查看：支持查看商品图片、价格及个性化标签展示。</w:t>
            </w:r>
          </w:p>
        </w:tc>
      </w:tr>
      <w:tr w14:paraId="4254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jc w:val="center"/>
        </w:trPr>
        <w:tc>
          <w:tcPr>
            <w:tcW w:w="1017" w:type="dxa"/>
            <w:vMerge w:val="restart"/>
            <w:shd w:val="clear" w:color="auto" w:fill="auto"/>
            <w:vAlign w:val="center"/>
          </w:tcPr>
          <w:p w14:paraId="1E8FF13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47" w:type="dxa"/>
            <w:vMerge w:val="restart"/>
            <w:shd w:val="clear" w:color="auto" w:fill="auto"/>
            <w:vAlign w:val="center"/>
          </w:tcPr>
          <w:p w14:paraId="03DD907B">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分类</w:t>
            </w:r>
          </w:p>
        </w:tc>
        <w:tc>
          <w:tcPr>
            <w:tcW w:w="7348" w:type="dxa"/>
            <w:shd w:val="clear" w:color="auto" w:fill="auto"/>
            <w:vAlign w:val="center"/>
          </w:tcPr>
          <w:p w14:paraId="53C87081">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1.商品分类：支持自定义商品分类管理。</w:t>
            </w:r>
          </w:p>
        </w:tc>
      </w:tr>
      <w:tr w14:paraId="77F0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17" w:type="dxa"/>
            <w:vMerge w:val="continue"/>
            <w:shd w:val="clear" w:color="auto" w:fill="auto"/>
            <w:vAlign w:val="center"/>
          </w:tcPr>
          <w:p w14:paraId="4DAE56D6">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50FAD5E8">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1596C24E">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2.收藏夹：支持商品收藏夹功能。</w:t>
            </w:r>
          </w:p>
        </w:tc>
      </w:tr>
      <w:tr w14:paraId="35FE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 w:hRule="atLeast"/>
          <w:jc w:val="center"/>
        </w:trPr>
        <w:tc>
          <w:tcPr>
            <w:tcW w:w="1017" w:type="dxa"/>
            <w:vMerge w:val="restart"/>
            <w:shd w:val="clear" w:color="auto" w:fill="auto"/>
            <w:vAlign w:val="center"/>
          </w:tcPr>
          <w:p w14:paraId="7D810DF7">
            <w:pPr>
              <w:keepNext w:val="0"/>
              <w:keepLines w:val="0"/>
              <w:pageBreakBefore w:val="0"/>
              <w:widowControl/>
              <w:kinsoku/>
              <w:wordWrap/>
              <w:overflowPunct/>
              <w:topLinePunct w:val="0"/>
              <w:autoSpaceDE w:val="0"/>
              <w:autoSpaceDN w:val="0"/>
              <w:bidi w:val="0"/>
              <w:adjustRightInd/>
              <w:snapToGrid/>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47" w:type="dxa"/>
            <w:vMerge w:val="restart"/>
            <w:shd w:val="clear" w:color="auto" w:fill="auto"/>
            <w:vAlign w:val="center"/>
          </w:tcPr>
          <w:p w14:paraId="2205D86D">
            <w:pPr>
              <w:keepNext w:val="0"/>
              <w:keepLines w:val="0"/>
              <w:pageBreakBefore w:val="0"/>
              <w:widowControl/>
              <w:kinsoku/>
              <w:wordWrap/>
              <w:overflowPunct/>
              <w:topLinePunct w:val="0"/>
              <w:autoSpaceDE w:val="0"/>
              <w:autoSpaceDN w:val="0"/>
              <w:bidi w:val="0"/>
              <w:adjustRightInd/>
              <w:snapToGrid/>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购物车</w:t>
            </w:r>
          </w:p>
        </w:tc>
        <w:tc>
          <w:tcPr>
            <w:tcW w:w="7348" w:type="dxa"/>
            <w:shd w:val="clear" w:color="auto" w:fill="auto"/>
            <w:vAlign w:val="center"/>
          </w:tcPr>
          <w:p w14:paraId="731E60F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1.增删商品：支持编辑商品数量功能。</w:t>
            </w:r>
          </w:p>
        </w:tc>
      </w:tr>
      <w:tr w14:paraId="4C95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17" w:type="dxa"/>
            <w:vMerge w:val="continue"/>
            <w:shd w:val="clear" w:color="auto" w:fill="auto"/>
            <w:vAlign w:val="center"/>
          </w:tcPr>
          <w:p w14:paraId="7D5105C8">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334F0045">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00AF6D1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2.合计：支持订单金额、数量信息展示。</w:t>
            </w:r>
          </w:p>
        </w:tc>
      </w:tr>
      <w:tr w14:paraId="7AD3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17" w:type="dxa"/>
            <w:vMerge w:val="restart"/>
            <w:shd w:val="clear" w:color="auto" w:fill="auto"/>
            <w:vAlign w:val="center"/>
          </w:tcPr>
          <w:p w14:paraId="471820CD">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47" w:type="dxa"/>
            <w:vMerge w:val="restart"/>
            <w:shd w:val="clear" w:color="auto" w:fill="auto"/>
            <w:vAlign w:val="center"/>
          </w:tcPr>
          <w:p w14:paraId="3E170D8E">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订单管理</w:t>
            </w:r>
          </w:p>
        </w:tc>
        <w:tc>
          <w:tcPr>
            <w:tcW w:w="7348" w:type="dxa"/>
            <w:shd w:val="clear" w:color="auto" w:fill="auto"/>
            <w:vAlign w:val="center"/>
          </w:tcPr>
          <w:p w14:paraId="572B434F">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1.我的订单：支持查看订单列表信息。</w:t>
            </w:r>
          </w:p>
        </w:tc>
      </w:tr>
      <w:tr w14:paraId="23A2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17" w:type="dxa"/>
            <w:vMerge w:val="continue"/>
            <w:shd w:val="clear" w:color="auto" w:fill="auto"/>
            <w:vAlign w:val="center"/>
          </w:tcPr>
          <w:p w14:paraId="39A8A775">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7EB7C4E6">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02FADB93">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2.售前取消：支持未送达商品、订单数量调减功能。</w:t>
            </w:r>
          </w:p>
        </w:tc>
      </w:tr>
      <w:tr w14:paraId="2D95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17" w:type="dxa"/>
            <w:vMerge w:val="continue"/>
            <w:shd w:val="clear" w:color="auto" w:fill="auto"/>
            <w:vAlign w:val="center"/>
          </w:tcPr>
          <w:p w14:paraId="310BB926">
            <w:pPr>
              <w:keepNext w:val="0"/>
              <w:keepLines w:val="0"/>
              <w:pageBreakBefore w:val="0"/>
              <w:widowControl/>
              <w:kinsoku/>
              <w:wordWrap/>
              <w:overflowPunct/>
              <w:topLinePunct w:val="0"/>
              <w:autoSpaceDE w:val="0"/>
              <w:autoSpaceDN w:val="0"/>
              <w:bidi w:val="0"/>
              <w:adjustRightInd/>
              <w:snapToGrid/>
              <w:rPr>
                <w:rFonts w:hint="eastAsia" w:ascii="宋体" w:hAnsi="宋体" w:eastAsia="宋体" w:cs="宋体"/>
                <w:color w:val="auto"/>
                <w:sz w:val="24"/>
                <w:szCs w:val="24"/>
                <w:highlight w:val="none"/>
              </w:rPr>
            </w:pPr>
          </w:p>
        </w:tc>
        <w:tc>
          <w:tcPr>
            <w:tcW w:w="1647" w:type="dxa"/>
            <w:vMerge w:val="continue"/>
            <w:shd w:val="clear" w:color="auto" w:fill="auto"/>
            <w:vAlign w:val="center"/>
          </w:tcPr>
          <w:p w14:paraId="5BF7861B">
            <w:pPr>
              <w:keepNext w:val="0"/>
              <w:keepLines w:val="0"/>
              <w:pageBreakBefore w:val="0"/>
              <w:widowControl/>
              <w:kinsoku/>
              <w:wordWrap/>
              <w:overflowPunct/>
              <w:topLinePunct w:val="0"/>
              <w:autoSpaceDE w:val="0"/>
              <w:autoSpaceDN w:val="0"/>
              <w:bidi w:val="0"/>
              <w:adjustRightInd/>
              <w:snapToGrid/>
              <w:rPr>
                <w:rFonts w:hint="eastAsia" w:ascii="宋体" w:hAnsi="宋体" w:eastAsia="宋体" w:cs="宋体"/>
                <w:color w:val="auto"/>
                <w:sz w:val="24"/>
                <w:szCs w:val="24"/>
                <w:highlight w:val="none"/>
              </w:rPr>
            </w:pPr>
          </w:p>
        </w:tc>
        <w:tc>
          <w:tcPr>
            <w:tcW w:w="7348" w:type="dxa"/>
            <w:shd w:val="clear" w:color="auto" w:fill="auto"/>
            <w:vAlign w:val="center"/>
          </w:tcPr>
          <w:p w14:paraId="2ED607DB">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3.订单签收：支持线上签收功能。</w:t>
            </w:r>
          </w:p>
        </w:tc>
      </w:tr>
      <w:tr w14:paraId="5F95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7" w:type="dxa"/>
            <w:vMerge w:val="continue"/>
            <w:shd w:val="clear" w:color="auto" w:fill="auto"/>
            <w:vAlign w:val="center"/>
          </w:tcPr>
          <w:p w14:paraId="73610E91">
            <w:pPr>
              <w:keepNext w:val="0"/>
              <w:keepLines w:val="0"/>
              <w:pageBreakBefore w:val="0"/>
              <w:widowControl/>
              <w:kinsoku/>
              <w:wordWrap/>
              <w:overflowPunct/>
              <w:topLinePunct w:val="0"/>
              <w:autoSpaceDE w:val="0"/>
              <w:autoSpaceDN w:val="0"/>
              <w:bidi w:val="0"/>
              <w:adjustRightInd/>
              <w:snapToGrid/>
              <w:rPr>
                <w:rFonts w:hint="eastAsia" w:ascii="宋体" w:hAnsi="宋体" w:eastAsia="宋体" w:cs="宋体"/>
                <w:color w:val="auto"/>
                <w:sz w:val="24"/>
                <w:szCs w:val="24"/>
                <w:highlight w:val="none"/>
              </w:rPr>
            </w:pPr>
          </w:p>
        </w:tc>
        <w:tc>
          <w:tcPr>
            <w:tcW w:w="1647" w:type="dxa"/>
            <w:vMerge w:val="continue"/>
            <w:shd w:val="clear" w:color="auto" w:fill="auto"/>
            <w:vAlign w:val="center"/>
          </w:tcPr>
          <w:p w14:paraId="7666D3DD">
            <w:pPr>
              <w:keepNext w:val="0"/>
              <w:keepLines w:val="0"/>
              <w:pageBreakBefore w:val="0"/>
              <w:widowControl/>
              <w:kinsoku/>
              <w:wordWrap/>
              <w:overflowPunct/>
              <w:topLinePunct w:val="0"/>
              <w:autoSpaceDE w:val="0"/>
              <w:autoSpaceDN w:val="0"/>
              <w:bidi w:val="0"/>
              <w:adjustRightInd/>
              <w:snapToGrid/>
              <w:rPr>
                <w:rFonts w:hint="eastAsia" w:ascii="宋体" w:hAnsi="宋体" w:eastAsia="宋体" w:cs="宋体"/>
                <w:color w:val="auto"/>
                <w:sz w:val="24"/>
                <w:szCs w:val="24"/>
                <w:highlight w:val="none"/>
              </w:rPr>
            </w:pPr>
          </w:p>
        </w:tc>
        <w:tc>
          <w:tcPr>
            <w:tcW w:w="7348" w:type="dxa"/>
            <w:shd w:val="clear" w:color="auto" w:fill="auto"/>
            <w:vAlign w:val="center"/>
          </w:tcPr>
          <w:p w14:paraId="1E278497">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4.售后申请：支持在线售后申请。</w:t>
            </w:r>
          </w:p>
        </w:tc>
      </w:tr>
      <w:tr w14:paraId="3FBC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17" w:type="dxa"/>
            <w:vMerge w:val="continue"/>
            <w:shd w:val="clear" w:color="auto" w:fill="auto"/>
            <w:vAlign w:val="center"/>
          </w:tcPr>
          <w:p w14:paraId="05760E60">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255BC86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2BF316D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5.客户服务：采购在线沟通功能。</w:t>
            </w:r>
          </w:p>
        </w:tc>
      </w:tr>
      <w:tr w14:paraId="71B0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17" w:type="dxa"/>
            <w:shd w:val="clear" w:color="auto" w:fill="auto"/>
            <w:vAlign w:val="center"/>
          </w:tcPr>
          <w:p w14:paraId="511746F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47" w:type="dxa"/>
            <w:shd w:val="clear" w:color="auto" w:fill="auto"/>
            <w:vAlign w:val="center"/>
          </w:tcPr>
          <w:p w14:paraId="0B2BE01E">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个人中心</w:t>
            </w:r>
          </w:p>
        </w:tc>
        <w:tc>
          <w:tcPr>
            <w:tcW w:w="7348" w:type="dxa"/>
            <w:shd w:val="clear" w:color="auto" w:fill="auto"/>
            <w:vAlign w:val="center"/>
          </w:tcPr>
          <w:p w14:paraId="1E0C4E1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1.支持修改密码管理。</w:t>
            </w:r>
          </w:p>
        </w:tc>
      </w:tr>
      <w:tr w14:paraId="6DC2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12" w:type="dxa"/>
            <w:gridSpan w:val="3"/>
            <w:shd w:val="clear" w:color="auto" w:fill="auto"/>
            <w:vAlign w:val="center"/>
          </w:tcPr>
          <w:p w14:paraId="4116FD53">
            <w:pPr>
              <w:keepNext w:val="0"/>
              <w:keepLines w:val="0"/>
              <w:pageBreakBefore w:val="0"/>
              <w:widowControl/>
              <w:suppressLineNumbers w:val="0"/>
              <w:kinsoku/>
              <w:wordWrap/>
              <w:overflowPunct/>
              <w:topLinePunct w:val="0"/>
              <w:autoSpaceDE w:val="0"/>
              <w:autoSpaceDN w:val="0"/>
              <w:bidi w:val="0"/>
              <w:adjustRightInd/>
              <w:snapToGrid/>
              <w:ind w:left="0" w:leftChars="0" w:firstLine="4096" w:firstLineChars="170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二、平台管理模块</w:t>
            </w:r>
          </w:p>
        </w:tc>
      </w:tr>
      <w:tr w14:paraId="4F08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017" w:type="dxa"/>
            <w:vMerge w:val="restart"/>
            <w:shd w:val="clear" w:color="auto" w:fill="auto"/>
            <w:vAlign w:val="center"/>
          </w:tcPr>
          <w:p w14:paraId="14DEDF2A">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47" w:type="dxa"/>
            <w:vMerge w:val="restart"/>
            <w:shd w:val="clear" w:color="auto" w:fill="auto"/>
            <w:vAlign w:val="center"/>
          </w:tcPr>
          <w:p w14:paraId="01764D3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采购管理</w:t>
            </w:r>
          </w:p>
        </w:tc>
        <w:tc>
          <w:tcPr>
            <w:tcW w:w="7348" w:type="dxa"/>
            <w:shd w:val="clear" w:color="auto" w:fill="auto"/>
            <w:vAlign w:val="center"/>
          </w:tcPr>
          <w:p w14:paraId="4C3163B0">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1.商品管理：支持平台方统一建立标准的商品库信息，包含品名、型号、规格、产地、销售单位、计划库存等信息，并由供应商引用上架。</w:t>
            </w:r>
          </w:p>
        </w:tc>
      </w:tr>
      <w:tr w14:paraId="38A1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17" w:type="dxa"/>
            <w:vMerge w:val="continue"/>
            <w:shd w:val="clear" w:color="auto" w:fill="auto"/>
            <w:vAlign w:val="center"/>
          </w:tcPr>
          <w:p w14:paraId="53CB0B1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4622443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63E1D2E2">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2.价格管理：支持周期指导价管理。</w:t>
            </w:r>
          </w:p>
        </w:tc>
      </w:tr>
      <w:tr w14:paraId="1599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17" w:type="dxa"/>
            <w:vMerge w:val="continue"/>
            <w:shd w:val="clear" w:color="auto" w:fill="auto"/>
            <w:vAlign w:val="center"/>
          </w:tcPr>
          <w:p w14:paraId="64D9F7FE">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0F836D58">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7278E0B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3.供应商管理：支持维护供应商基础信息、财务结算信息、合同信息等内容。</w:t>
            </w:r>
          </w:p>
        </w:tc>
      </w:tr>
      <w:tr w14:paraId="7DFA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jc w:val="center"/>
        </w:trPr>
        <w:tc>
          <w:tcPr>
            <w:tcW w:w="1017" w:type="dxa"/>
            <w:vMerge w:val="continue"/>
            <w:shd w:val="clear" w:color="auto" w:fill="auto"/>
            <w:vAlign w:val="center"/>
          </w:tcPr>
          <w:p w14:paraId="6FFFE5FA">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1FE3DB93">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449AE451">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4.客户管理：支持二维码等多种方式注册客户账号功能。</w:t>
            </w:r>
          </w:p>
        </w:tc>
      </w:tr>
      <w:tr w14:paraId="23A2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17" w:type="dxa"/>
            <w:vMerge w:val="continue"/>
            <w:shd w:val="clear" w:color="auto" w:fill="auto"/>
            <w:vAlign w:val="center"/>
          </w:tcPr>
          <w:p w14:paraId="1471E7B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41313256">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78BA986D">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5.订单管理：支持订单查询、汇总、</w:t>
            </w:r>
            <w:r>
              <w:rPr>
                <w:rFonts w:hint="eastAsia" w:cs="宋体"/>
                <w:i w:val="0"/>
                <w:iCs w:val="0"/>
                <w:color w:val="auto"/>
                <w:sz w:val="24"/>
                <w:szCs w:val="24"/>
                <w:highlight w:val="none"/>
                <w:u w:val="none"/>
                <w:lang w:val="en-US" w:eastAsia="zh-CN"/>
              </w:rPr>
              <w:t>数据存储、</w:t>
            </w:r>
            <w:r>
              <w:rPr>
                <w:rFonts w:hint="eastAsia" w:ascii="宋体" w:hAnsi="宋体" w:eastAsia="宋体" w:cs="宋体"/>
                <w:i w:val="0"/>
                <w:iCs w:val="0"/>
                <w:color w:val="auto"/>
                <w:sz w:val="24"/>
                <w:szCs w:val="24"/>
                <w:highlight w:val="none"/>
                <w:u w:val="none"/>
                <w:lang w:val="en-US" w:eastAsia="zh-CN"/>
              </w:rPr>
              <w:t>自动推送功能。</w:t>
            </w:r>
          </w:p>
        </w:tc>
      </w:tr>
      <w:tr w14:paraId="1C38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9" w:hRule="atLeast"/>
          <w:jc w:val="center"/>
        </w:trPr>
        <w:tc>
          <w:tcPr>
            <w:tcW w:w="1017" w:type="dxa"/>
            <w:vMerge w:val="restart"/>
            <w:shd w:val="clear" w:color="auto" w:fill="auto"/>
            <w:vAlign w:val="center"/>
          </w:tcPr>
          <w:p w14:paraId="5C592B5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47" w:type="dxa"/>
            <w:vMerge w:val="restart"/>
            <w:shd w:val="clear" w:color="auto" w:fill="auto"/>
            <w:vAlign w:val="center"/>
          </w:tcPr>
          <w:p w14:paraId="3E04C05C">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财务管理</w:t>
            </w:r>
          </w:p>
        </w:tc>
        <w:tc>
          <w:tcPr>
            <w:tcW w:w="7348" w:type="dxa"/>
            <w:shd w:val="clear" w:color="auto" w:fill="auto"/>
            <w:vAlign w:val="center"/>
          </w:tcPr>
          <w:p w14:paraId="21611F6F">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1.应收款单管理：支持应收款单信息列表展示。</w:t>
            </w:r>
          </w:p>
        </w:tc>
      </w:tr>
      <w:tr w14:paraId="4DAD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7" w:type="dxa"/>
            <w:vMerge w:val="continue"/>
            <w:shd w:val="clear" w:color="auto" w:fill="auto"/>
            <w:vAlign w:val="center"/>
          </w:tcPr>
          <w:p w14:paraId="615577D5">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520D79B3">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5565332C">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2.结算单管理：支持生成结算单。</w:t>
            </w:r>
          </w:p>
        </w:tc>
      </w:tr>
      <w:tr w14:paraId="0D1C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17" w:type="dxa"/>
            <w:vMerge w:val="continue"/>
            <w:shd w:val="clear" w:color="auto" w:fill="auto"/>
            <w:vAlign w:val="center"/>
          </w:tcPr>
          <w:p w14:paraId="137A751E">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24FD5E47">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12083A0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3.应付账单管理：支持应付款单信息列表展示。</w:t>
            </w:r>
          </w:p>
        </w:tc>
      </w:tr>
      <w:tr w14:paraId="726E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7" w:type="dxa"/>
            <w:vMerge w:val="continue"/>
            <w:shd w:val="clear" w:color="auto" w:fill="auto"/>
            <w:vAlign w:val="center"/>
          </w:tcPr>
          <w:p w14:paraId="2CF2B462">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5080C248">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2C356ED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4.应付结算单：支持供应商在线对账，上传发票信息管理。</w:t>
            </w:r>
          </w:p>
        </w:tc>
      </w:tr>
      <w:tr w14:paraId="2E9A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12" w:type="dxa"/>
            <w:gridSpan w:val="3"/>
            <w:shd w:val="clear" w:color="auto" w:fill="auto"/>
            <w:vAlign w:val="center"/>
          </w:tcPr>
          <w:p w14:paraId="236BF6B2">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三、仓储配送模块</w:t>
            </w:r>
          </w:p>
        </w:tc>
      </w:tr>
      <w:tr w14:paraId="2572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17" w:type="dxa"/>
            <w:vMerge w:val="restart"/>
            <w:shd w:val="clear" w:color="auto" w:fill="auto"/>
            <w:vAlign w:val="center"/>
          </w:tcPr>
          <w:p w14:paraId="1947ECF0">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47" w:type="dxa"/>
            <w:vMerge w:val="restart"/>
            <w:shd w:val="clear" w:color="auto" w:fill="auto"/>
            <w:vAlign w:val="center"/>
          </w:tcPr>
          <w:p w14:paraId="5FFD20B7">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出入库管理</w:t>
            </w:r>
          </w:p>
        </w:tc>
        <w:tc>
          <w:tcPr>
            <w:tcW w:w="7348" w:type="dxa"/>
            <w:shd w:val="clear" w:color="auto" w:fill="auto"/>
            <w:vAlign w:val="center"/>
          </w:tcPr>
          <w:p w14:paraId="1988BC47">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1.入库管理：支持商品入库管理。</w:t>
            </w:r>
          </w:p>
        </w:tc>
      </w:tr>
      <w:tr w14:paraId="758D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7" w:type="dxa"/>
            <w:vMerge w:val="continue"/>
            <w:shd w:val="clear" w:color="auto" w:fill="auto"/>
            <w:vAlign w:val="center"/>
          </w:tcPr>
          <w:p w14:paraId="10DA746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55B12895">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654F3800">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2.拣货管理：支持对已经入库的商品进行分拣。</w:t>
            </w:r>
          </w:p>
        </w:tc>
      </w:tr>
      <w:tr w14:paraId="472C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jc w:val="center"/>
        </w:trPr>
        <w:tc>
          <w:tcPr>
            <w:tcW w:w="1017" w:type="dxa"/>
            <w:vMerge w:val="continue"/>
            <w:shd w:val="clear" w:color="auto" w:fill="auto"/>
            <w:vAlign w:val="center"/>
          </w:tcPr>
          <w:p w14:paraId="254A46F8">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6DF4BE93">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52A7C6CB">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3.出库管理：支持按出库管理。</w:t>
            </w:r>
          </w:p>
        </w:tc>
      </w:tr>
      <w:tr w14:paraId="0296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17" w:type="dxa"/>
            <w:vMerge w:val="continue"/>
            <w:shd w:val="clear" w:color="auto" w:fill="auto"/>
            <w:vAlign w:val="center"/>
          </w:tcPr>
          <w:p w14:paraId="40838622">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1FC3F326">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20D692A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4.库存管理：支持库存变动、盘点管理。</w:t>
            </w:r>
          </w:p>
        </w:tc>
      </w:tr>
      <w:tr w14:paraId="0BE5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jc w:val="center"/>
        </w:trPr>
        <w:tc>
          <w:tcPr>
            <w:tcW w:w="1017" w:type="dxa"/>
            <w:vMerge w:val="restart"/>
            <w:shd w:val="clear" w:color="auto" w:fill="auto"/>
            <w:vAlign w:val="center"/>
          </w:tcPr>
          <w:p w14:paraId="6B16014C">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47" w:type="dxa"/>
            <w:vMerge w:val="restart"/>
            <w:shd w:val="clear" w:color="auto" w:fill="auto"/>
            <w:vAlign w:val="center"/>
          </w:tcPr>
          <w:p w14:paraId="75F1D6B5">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配送管理</w:t>
            </w:r>
          </w:p>
        </w:tc>
        <w:tc>
          <w:tcPr>
            <w:tcW w:w="7348" w:type="dxa"/>
            <w:shd w:val="clear" w:color="auto" w:fill="auto"/>
            <w:vAlign w:val="center"/>
          </w:tcPr>
          <w:p w14:paraId="7CB05C32">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1.配送资源池管理：支持车辆、司机资源管理。</w:t>
            </w:r>
          </w:p>
        </w:tc>
      </w:tr>
      <w:tr w14:paraId="3BEB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7" w:type="dxa"/>
            <w:vMerge w:val="continue"/>
            <w:shd w:val="clear" w:color="auto" w:fill="auto"/>
            <w:vAlign w:val="center"/>
          </w:tcPr>
          <w:p w14:paraId="1D9423D7">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22DBFF28">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0CEA044A">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2.供应商报价管理：支持承运商在线报价管理。</w:t>
            </w:r>
          </w:p>
        </w:tc>
      </w:tr>
      <w:tr w14:paraId="49C8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17" w:type="dxa"/>
            <w:vMerge w:val="continue"/>
            <w:shd w:val="clear" w:color="auto" w:fill="auto"/>
            <w:vAlign w:val="center"/>
          </w:tcPr>
          <w:p w14:paraId="26BB6AC2">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47" w:type="dxa"/>
            <w:vMerge w:val="continue"/>
            <w:shd w:val="clear" w:color="auto" w:fill="auto"/>
            <w:vAlign w:val="center"/>
          </w:tcPr>
          <w:p w14:paraId="56393448">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348" w:type="dxa"/>
            <w:shd w:val="clear" w:color="auto" w:fill="auto"/>
            <w:vAlign w:val="center"/>
          </w:tcPr>
          <w:p w14:paraId="06F5751A">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3.支持司机移动端管理。</w:t>
            </w:r>
          </w:p>
        </w:tc>
      </w:tr>
      <w:tr w14:paraId="07F4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7" w:type="dxa"/>
            <w:shd w:val="clear" w:color="auto" w:fill="auto"/>
            <w:vAlign w:val="center"/>
          </w:tcPr>
          <w:p w14:paraId="4CF43AA3">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47" w:type="dxa"/>
            <w:shd w:val="clear" w:color="auto" w:fill="auto"/>
            <w:vAlign w:val="center"/>
          </w:tcPr>
          <w:p w14:paraId="0FBAFE1F">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基础设施</w:t>
            </w:r>
          </w:p>
        </w:tc>
        <w:tc>
          <w:tcPr>
            <w:tcW w:w="7348" w:type="dxa"/>
            <w:shd w:val="clear" w:color="auto" w:fill="auto"/>
            <w:vAlign w:val="center"/>
          </w:tcPr>
          <w:p w14:paraId="7F463D92">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支持仓库基础信息配置管理。</w:t>
            </w:r>
          </w:p>
        </w:tc>
      </w:tr>
      <w:tr w14:paraId="531C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12" w:type="dxa"/>
            <w:gridSpan w:val="3"/>
            <w:shd w:val="clear" w:color="auto" w:fill="auto"/>
            <w:vAlign w:val="center"/>
          </w:tcPr>
          <w:p w14:paraId="73321C82">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四、供应商管理模块</w:t>
            </w:r>
          </w:p>
        </w:tc>
      </w:tr>
      <w:tr w14:paraId="2274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017" w:type="dxa"/>
            <w:shd w:val="clear" w:color="auto" w:fill="auto"/>
            <w:vAlign w:val="center"/>
          </w:tcPr>
          <w:p w14:paraId="23ED900F">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47" w:type="dxa"/>
            <w:shd w:val="clear" w:color="auto" w:fill="auto"/>
            <w:vAlign w:val="center"/>
          </w:tcPr>
          <w:p w14:paraId="457CBCE5">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商品管理</w:t>
            </w:r>
          </w:p>
        </w:tc>
        <w:tc>
          <w:tcPr>
            <w:tcW w:w="7348" w:type="dxa"/>
            <w:shd w:val="clear" w:color="auto" w:fill="auto"/>
            <w:vAlign w:val="center"/>
          </w:tcPr>
          <w:p w14:paraId="0EBC2E0F">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支持供应商引用商品库中的商品</w:t>
            </w:r>
            <w:r>
              <w:rPr>
                <w:rFonts w:hint="eastAsia" w:cs="宋体"/>
                <w:i w:val="0"/>
                <w:iCs w:val="0"/>
                <w:color w:val="auto"/>
                <w:sz w:val="24"/>
                <w:szCs w:val="24"/>
                <w:highlight w:val="none"/>
                <w:u w:val="none"/>
                <w:lang w:val="en-US" w:eastAsia="zh-CN"/>
              </w:rPr>
              <w:t>、检测报告上传存储</w:t>
            </w:r>
            <w:r>
              <w:rPr>
                <w:rFonts w:hint="eastAsia" w:ascii="宋体" w:hAnsi="宋体" w:eastAsia="宋体" w:cs="宋体"/>
                <w:i w:val="0"/>
                <w:iCs w:val="0"/>
                <w:color w:val="auto"/>
                <w:sz w:val="24"/>
                <w:szCs w:val="24"/>
                <w:highlight w:val="none"/>
                <w:u w:val="none"/>
                <w:lang w:val="en-US" w:eastAsia="zh-CN"/>
              </w:rPr>
              <w:t>。</w:t>
            </w:r>
          </w:p>
        </w:tc>
      </w:tr>
      <w:tr w14:paraId="445F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7" w:type="dxa"/>
            <w:shd w:val="clear" w:color="auto" w:fill="auto"/>
            <w:vAlign w:val="center"/>
          </w:tcPr>
          <w:p w14:paraId="4726B1C3">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47" w:type="dxa"/>
            <w:shd w:val="clear" w:color="auto" w:fill="auto"/>
            <w:vAlign w:val="center"/>
          </w:tcPr>
          <w:p w14:paraId="0DF61FB9">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报价管理</w:t>
            </w:r>
          </w:p>
        </w:tc>
        <w:tc>
          <w:tcPr>
            <w:tcW w:w="7348" w:type="dxa"/>
            <w:shd w:val="clear" w:color="auto" w:fill="auto"/>
            <w:vAlign w:val="center"/>
          </w:tcPr>
          <w:p w14:paraId="64A96F8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支持供应商按照指导价进行报价。</w:t>
            </w:r>
          </w:p>
        </w:tc>
      </w:tr>
      <w:tr w14:paraId="3AEE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17" w:type="dxa"/>
            <w:shd w:val="clear" w:color="auto" w:fill="auto"/>
            <w:vAlign w:val="center"/>
          </w:tcPr>
          <w:p w14:paraId="5A9857B5">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47" w:type="dxa"/>
            <w:shd w:val="clear" w:color="auto" w:fill="auto"/>
            <w:vAlign w:val="center"/>
          </w:tcPr>
          <w:p w14:paraId="0CE2CB6A">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订单查询</w:t>
            </w:r>
          </w:p>
        </w:tc>
        <w:tc>
          <w:tcPr>
            <w:tcW w:w="7348" w:type="dxa"/>
            <w:shd w:val="clear" w:color="auto" w:fill="auto"/>
            <w:vAlign w:val="center"/>
          </w:tcPr>
          <w:p w14:paraId="7B142D3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支持供应商接收平台推送的商品信息进行备货生产。</w:t>
            </w:r>
          </w:p>
        </w:tc>
      </w:tr>
      <w:tr w14:paraId="029A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17" w:type="dxa"/>
            <w:shd w:val="clear" w:color="auto" w:fill="auto"/>
            <w:vAlign w:val="center"/>
          </w:tcPr>
          <w:p w14:paraId="75F218D7">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47" w:type="dxa"/>
            <w:shd w:val="clear" w:color="auto" w:fill="auto"/>
            <w:vAlign w:val="center"/>
          </w:tcPr>
          <w:p w14:paraId="2E53BB91">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发货管理</w:t>
            </w:r>
          </w:p>
        </w:tc>
        <w:tc>
          <w:tcPr>
            <w:tcW w:w="7348" w:type="dxa"/>
            <w:shd w:val="clear" w:color="auto" w:fill="auto"/>
            <w:vAlign w:val="center"/>
          </w:tcPr>
          <w:p w14:paraId="48F746A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支持供应商对生产完成的商品进行发货。</w:t>
            </w:r>
          </w:p>
        </w:tc>
      </w:tr>
      <w:tr w14:paraId="5462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17" w:type="dxa"/>
            <w:shd w:val="clear" w:color="auto" w:fill="auto"/>
            <w:vAlign w:val="center"/>
          </w:tcPr>
          <w:p w14:paraId="367385DA">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47" w:type="dxa"/>
            <w:shd w:val="clear" w:color="auto" w:fill="auto"/>
            <w:vAlign w:val="center"/>
          </w:tcPr>
          <w:p w14:paraId="5EF94E67">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结算管理</w:t>
            </w:r>
          </w:p>
        </w:tc>
        <w:tc>
          <w:tcPr>
            <w:tcW w:w="7348" w:type="dxa"/>
            <w:shd w:val="clear" w:color="auto" w:fill="auto"/>
            <w:vAlign w:val="center"/>
          </w:tcPr>
          <w:p w14:paraId="344DAA4F">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支持供应商与平台进行对账。</w:t>
            </w:r>
          </w:p>
        </w:tc>
      </w:tr>
      <w:tr w14:paraId="2AFA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7" w:type="dxa"/>
            <w:shd w:val="clear" w:color="auto" w:fill="auto"/>
            <w:vAlign w:val="center"/>
          </w:tcPr>
          <w:p w14:paraId="1CB5F61E">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47" w:type="dxa"/>
            <w:shd w:val="clear" w:color="auto" w:fill="auto"/>
            <w:vAlign w:val="center"/>
          </w:tcPr>
          <w:p w14:paraId="5AE9B95D">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客服管理</w:t>
            </w:r>
          </w:p>
        </w:tc>
        <w:tc>
          <w:tcPr>
            <w:tcW w:w="7348" w:type="dxa"/>
            <w:shd w:val="clear" w:color="auto" w:fill="auto"/>
            <w:vAlign w:val="center"/>
          </w:tcPr>
          <w:p w14:paraId="2E4BCC55">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支持供应商后台消息信息管理。</w:t>
            </w:r>
          </w:p>
        </w:tc>
      </w:tr>
      <w:tr w14:paraId="41A4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12" w:type="dxa"/>
            <w:gridSpan w:val="3"/>
            <w:shd w:val="clear" w:color="auto" w:fill="auto"/>
            <w:vAlign w:val="center"/>
          </w:tcPr>
          <w:p w14:paraId="7E940811">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五、其他</w:t>
            </w:r>
          </w:p>
        </w:tc>
      </w:tr>
      <w:tr w14:paraId="727F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17" w:type="dxa"/>
            <w:shd w:val="clear" w:color="auto" w:fill="auto"/>
            <w:vAlign w:val="center"/>
          </w:tcPr>
          <w:p w14:paraId="74399E75">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47" w:type="dxa"/>
            <w:shd w:val="clear" w:color="auto" w:fill="auto"/>
            <w:vAlign w:val="center"/>
          </w:tcPr>
          <w:p w14:paraId="08B1F378">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数据可视化系统模块</w:t>
            </w:r>
          </w:p>
        </w:tc>
        <w:tc>
          <w:tcPr>
            <w:tcW w:w="7348" w:type="dxa"/>
            <w:shd w:val="clear" w:color="auto" w:fill="auto"/>
            <w:vAlign w:val="center"/>
          </w:tcPr>
          <w:p w14:paraId="535D8894">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支持订单运行情况在线大屏展示。</w:t>
            </w:r>
          </w:p>
        </w:tc>
      </w:tr>
      <w:tr w14:paraId="382B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17" w:type="dxa"/>
            <w:shd w:val="clear" w:color="auto" w:fill="auto"/>
            <w:vAlign w:val="center"/>
          </w:tcPr>
          <w:p w14:paraId="7BC6FB0B">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47" w:type="dxa"/>
            <w:shd w:val="clear" w:color="auto" w:fill="auto"/>
            <w:vAlign w:val="center"/>
          </w:tcPr>
          <w:p w14:paraId="5D3898D7">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项目实施及运维管理</w:t>
            </w:r>
          </w:p>
        </w:tc>
        <w:tc>
          <w:tcPr>
            <w:tcW w:w="7348" w:type="dxa"/>
            <w:shd w:val="clear" w:color="auto" w:fill="auto"/>
            <w:vAlign w:val="center"/>
          </w:tcPr>
          <w:p w14:paraId="63FF09E2">
            <w:pPr>
              <w:keepNext w:val="0"/>
              <w:keepLines w:val="0"/>
              <w:pageBreakBefore w:val="0"/>
              <w:widowControl/>
              <w:suppressLineNumbers w:val="0"/>
              <w:kinsoku/>
              <w:wordWrap/>
              <w:overflowPunct/>
              <w:topLinePunct w:val="0"/>
              <w:autoSpaceDE w:val="0"/>
              <w:autoSpaceDN w:val="0"/>
              <w:bidi w:val="0"/>
              <w:adjustRightInd/>
              <w:snapToGrid/>
              <w:ind w:left="0" w:leftChars="0" w:firstLine="0" w:firstLineChars="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提供硬件部署环境实施上线，并进行运营维护。</w:t>
            </w:r>
          </w:p>
        </w:tc>
      </w:tr>
    </w:tbl>
    <w:p w14:paraId="5BB90668">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highlight w:val="none"/>
          <w:lang w:val="en-US" w:eastAsia="zh-CN"/>
        </w:rPr>
        <w:t>2.如因国家及省相关政策需要对信息化平台进行优化系统的，中标人必须按最新的国家及省相关政策为准并执行。（投标人提供承诺函，格式自拟）</w:t>
      </w:r>
    </w:p>
    <w:p w14:paraId="458962C4">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）搭建冷链仓储集配中心</w:t>
      </w:r>
    </w:p>
    <w:p w14:paraId="7AB88F88">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中标人具有</w:t>
      </w:r>
      <w:r>
        <w:rPr>
          <w:rFonts w:hint="eastAsia" w:ascii="宋体" w:hAnsi="宋体" w:eastAsia="宋体" w:cs="宋体"/>
          <w:color w:val="auto"/>
          <w:sz w:val="24"/>
          <w:szCs w:val="24"/>
        </w:rPr>
        <w:t>冷链仓储集</w:t>
      </w:r>
      <w:r>
        <w:rPr>
          <w:rFonts w:hint="eastAsia" w:ascii="宋体" w:hAnsi="宋体" w:eastAsia="宋体" w:cs="宋体"/>
          <w:color w:val="auto"/>
          <w:sz w:val="24"/>
          <w:szCs w:val="24"/>
          <w:lang w:val="en-US" w:eastAsia="zh-CN"/>
        </w:rPr>
        <w:t>配</w:t>
      </w:r>
      <w:r>
        <w:rPr>
          <w:rFonts w:hint="eastAsia" w:ascii="宋体" w:hAnsi="宋体" w:eastAsia="宋体" w:cs="宋体"/>
          <w:color w:val="auto"/>
          <w:sz w:val="24"/>
          <w:szCs w:val="24"/>
        </w:rPr>
        <w:t>中心，配备相应设施设备，能够满足</w:t>
      </w:r>
      <w:r>
        <w:rPr>
          <w:rFonts w:hint="eastAsia" w:ascii="宋体" w:hAnsi="宋体" w:eastAsia="宋体" w:cs="宋体"/>
          <w:color w:val="auto"/>
          <w:sz w:val="24"/>
          <w:szCs w:val="24"/>
          <w:lang w:eastAsia="zh-CN"/>
        </w:rPr>
        <w:t>招标人食材</w:t>
      </w:r>
      <w:r>
        <w:rPr>
          <w:rFonts w:hint="eastAsia" w:ascii="宋体" w:hAnsi="宋体" w:eastAsia="宋体" w:cs="宋体"/>
          <w:color w:val="auto"/>
          <w:sz w:val="24"/>
          <w:szCs w:val="24"/>
        </w:rPr>
        <w:t>供应保障需求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集配中心</w:t>
      </w:r>
      <w:r>
        <w:rPr>
          <w:rFonts w:hint="eastAsia" w:ascii="宋体" w:hAnsi="宋体" w:eastAsia="宋体" w:cs="宋体"/>
          <w:color w:val="auto"/>
          <w:sz w:val="24"/>
          <w:szCs w:val="24"/>
        </w:rPr>
        <w:t>接收平台供应商运送的</w:t>
      </w:r>
      <w:r>
        <w:rPr>
          <w:rFonts w:hint="eastAsia" w:ascii="宋体" w:hAnsi="宋体" w:eastAsia="宋体" w:cs="宋体"/>
          <w:color w:val="auto"/>
          <w:sz w:val="24"/>
          <w:szCs w:val="24"/>
          <w:lang w:eastAsia="zh-CN"/>
        </w:rPr>
        <w:t>食材</w:t>
      </w:r>
      <w:r>
        <w:rPr>
          <w:rFonts w:hint="eastAsia" w:ascii="宋体" w:hAnsi="宋体" w:eastAsia="宋体" w:cs="宋体"/>
          <w:color w:val="auto"/>
          <w:sz w:val="24"/>
          <w:szCs w:val="24"/>
        </w:rPr>
        <w:t>，按平台下达的配送任务，组织</w:t>
      </w:r>
      <w:r>
        <w:rPr>
          <w:rFonts w:hint="eastAsia" w:ascii="宋体" w:hAnsi="宋体" w:eastAsia="宋体" w:cs="宋体"/>
          <w:color w:val="auto"/>
          <w:sz w:val="24"/>
          <w:szCs w:val="24"/>
          <w:lang w:eastAsia="zh-CN"/>
        </w:rPr>
        <w:t>食材</w:t>
      </w:r>
      <w:r>
        <w:rPr>
          <w:rFonts w:hint="eastAsia" w:ascii="宋体" w:hAnsi="宋体" w:eastAsia="宋体" w:cs="宋体"/>
          <w:color w:val="auto"/>
          <w:sz w:val="24"/>
          <w:szCs w:val="24"/>
        </w:rPr>
        <w:t>筹措、检测、分拣、装箱、运输、装卸、交接，并组织应急保障。</w:t>
      </w:r>
    </w:p>
    <w:p w14:paraId="6D04EC59">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建设冷链仓储</w:t>
      </w:r>
      <w:r>
        <w:rPr>
          <w:rFonts w:hint="eastAsia" w:ascii="宋体" w:hAnsi="宋体" w:eastAsia="宋体" w:cs="宋体"/>
          <w:color w:val="auto"/>
          <w:sz w:val="24"/>
          <w:szCs w:val="24"/>
          <w:lang w:eastAsia="zh-CN"/>
        </w:rPr>
        <w:t>集配</w:t>
      </w:r>
      <w:r>
        <w:rPr>
          <w:rFonts w:hint="eastAsia" w:ascii="宋体" w:hAnsi="宋体" w:eastAsia="宋体" w:cs="宋体"/>
          <w:color w:val="auto"/>
          <w:sz w:val="24"/>
          <w:szCs w:val="24"/>
        </w:rPr>
        <w:t>中心，可采取自建、租赁或改建等方式，使用权限及安全管理责任在</w:t>
      </w:r>
      <w:r>
        <w:rPr>
          <w:rFonts w:hint="eastAsia" w:cs="宋体"/>
          <w:color w:val="auto"/>
          <w:sz w:val="24"/>
          <w:szCs w:val="24"/>
          <w:lang w:eastAsia="zh-CN"/>
        </w:rPr>
        <w:t>中标人</w:t>
      </w:r>
      <w:r>
        <w:rPr>
          <w:rFonts w:hint="eastAsia" w:ascii="宋体" w:hAnsi="宋体" w:eastAsia="宋体" w:cs="宋体"/>
          <w:color w:val="auto"/>
          <w:sz w:val="24"/>
          <w:szCs w:val="24"/>
        </w:rPr>
        <w:t>，其建设与运营成本均纳入合同期内</w:t>
      </w:r>
      <w:r>
        <w:rPr>
          <w:rFonts w:hint="eastAsia" w:cs="宋体"/>
          <w:color w:val="auto"/>
          <w:sz w:val="24"/>
          <w:szCs w:val="24"/>
          <w:lang w:eastAsia="zh-CN"/>
        </w:rPr>
        <w:t>中标人</w:t>
      </w:r>
      <w:r>
        <w:rPr>
          <w:rFonts w:hint="eastAsia" w:ascii="宋体" w:hAnsi="宋体" w:eastAsia="宋体" w:cs="宋体"/>
          <w:color w:val="auto"/>
          <w:sz w:val="24"/>
          <w:szCs w:val="24"/>
        </w:rPr>
        <w:t>的运营总成本。</w:t>
      </w:r>
    </w:p>
    <w:p w14:paraId="72CCD101">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）组织配送供应</w:t>
      </w:r>
    </w:p>
    <w:p w14:paraId="221657B0">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具备承担本项目配送服务能力，确保不间断供应。采用规范的</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包装，运输工具干净整洁，符合运输商品相关要求，所提供的产品符合国家法律法规，配送货标识清晰、重量准确，保证产品无挤压和漏损情况。</w:t>
      </w:r>
    </w:p>
    <w:p w14:paraId="526E3339">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1.配送时间</w:t>
      </w:r>
    </w:p>
    <w:p w14:paraId="75FCA326">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每日配送，</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用户向</w:t>
      </w:r>
      <w:r>
        <w:rPr>
          <w:rFonts w:hint="eastAsia" w:cs="宋体"/>
          <w:color w:val="auto"/>
          <w:sz w:val="24"/>
          <w:szCs w:val="24"/>
          <w:lang w:eastAsia="zh-CN"/>
        </w:rPr>
        <w:t>中标人</w:t>
      </w:r>
      <w:r>
        <w:rPr>
          <w:rFonts w:hint="eastAsia" w:ascii="宋体" w:hAnsi="宋体" w:eastAsia="宋体" w:cs="宋体"/>
          <w:color w:val="auto"/>
          <w:sz w:val="24"/>
          <w:szCs w:val="24"/>
        </w:rPr>
        <w:t>下达订单，订单内容包括名称、种类、品牌、规格、数量、配送时间、送达地点、订单联系人等具体信息。如特殊情况无法满足需更改货品的，必须提前告知用户，经用户同意方可配送，</w:t>
      </w:r>
      <w:r>
        <w:rPr>
          <w:rFonts w:hint="eastAsia" w:cs="宋体"/>
          <w:color w:val="auto"/>
          <w:sz w:val="24"/>
          <w:szCs w:val="24"/>
          <w:lang w:eastAsia="zh-CN"/>
        </w:rPr>
        <w:t>中标人</w:t>
      </w:r>
      <w:r>
        <w:rPr>
          <w:rFonts w:hint="eastAsia" w:ascii="宋体" w:hAnsi="宋体" w:eastAsia="宋体" w:cs="宋体"/>
          <w:color w:val="auto"/>
          <w:sz w:val="24"/>
          <w:szCs w:val="24"/>
        </w:rPr>
        <w:t>须依据用户计划，按时送达指定地点。</w:t>
      </w:r>
    </w:p>
    <w:p w14:paraId="0602864F">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2.配送车辆</w:t>
      </w:r>
    </w:p>
    <w:p w14:paraId="79F931A3">
      <w:pPr>
        <w:bidi w:val="0"/>
        <w:spacing w:line="360" w:lineRule="auto"/>
        <w:rPr>
          <w:rFonts w:hint="eastAsia" w:ascii="宋体" w:hAnsi="宋体" w:eastAsia="宋体" w:cs="宋体"/>
          <w:color w:val="auto"/>
          <w:sz w:val="24"/>
          <w:szCs w:val="24"/>
        </w:rPr>
      </w:pPr>
      <w:r>
        <w:rPr>
          <w:rFonts w:hint="eastAsia" w:cs="宋体"/>
          <w:color w:val="auto"/>
          <w:sz w:val="24"/>
          <w:szCs w:val="24"/>
          <w:lang w:eastAsia="zh-CN"/>
        </w:rPr>
        <w:t>中标人</w:t>
      </w:r>
      <w:r>
        <w:rPr>
          <w:rFonts w:hint="eastAsia" w:ascii="宋体" w:hAnsi="宋体" w:eastAsia="宋体" w:cs="宋体"/>
          <w:color w:val="auto"/>
          <w:sz w:val="24"/>
          <w:szCs w:val="24"/>
        </w:rPr>
        <w:t>须配备</w:t>
      </w:r>
      <w:r>
        <w:rPr>
          <w:rFonts w:hint="eastAsia" w:ascii="宋体" w:hAnsi="宋体" w:eastAsia="宋体" w:cs="宋体"/>
          <w:color w:val="auto"/>
          <w:sz w:val="24"/>
          <w:szCs w:val="24"/>
          <w:lang w:eastAsia="zh-CN"/>
        </w:rPr>
        <w:t>食材</w:t>
      </w:r>
      <w:r>
        <w:rPr>
          <w:rFonts w:hint="eastAsia" w:ascii="宋体" w:hAnsi="宋体" w:eastAsia="宋体" w:cs="宋体"/>
          <w:color w:val="auto"/>
          <w:sz w:val="24"/>
          <w:szCs w:val="24"/>
        </w:rPr>
        <w:t>专用运输车辆及人员，并根据</w:t>
      </w:r>
      <w:r>
        <w:rPr>
          <w:rFonts w:hint="eastAsia" w:ascii="宋体" w:hAnsi="宋体" w:eastAsia="宋体" w:cs="宋体"/>
          <w:color w:val="auto"/>
          <w:sz w:val="24"/>
          <w:szCs w:val="24"/>
          <w:lang w:eastAsia="zh-CN"/>
        </w:rPr>
        <w:t>食材</w:t>
      </w:r>
      <w:r>
        <w:rPr>
          <w:rFonts w:hint="eastAsia" w:ascii="宋体" w:hAnsi="宋体" w:eastAsia="宋体" w:cs="宋体"/>
          <w:color w:val="auto"/>
          <w:sz w:val="24"/>
          <w:szCs w:val="24"/>
        </w:rPr>
        <w:t>品类及天气情况选择合适的运输车辆，车体内外干净、整洁，</w:t>
      </w:r>
      <w:r>
        <w:rPr>
          <w:rFonts w:hint="eastAsia" w:ascii="宋体" w:hAnsi="宋体" w:eastAsia="宋体" w:cs="宋体"/>
          <w:color w:val="auto"/>
          <w:sz w:val="24"/>
          <w:szCs w:val="24"/>
          <w:lang w:val="en-US" w:eastAsia="zh-CN"/>
        </w:rPr>
        <w:t>定期按照有关要求做好消杀工作及记录，</w:t>
      </w:r>
      <w:r>
        <w:rPr>
          <w:rFonts w:hint="eastAsia" w:ascii="宋体" w:hAnsi="宋体" w:eastAsia="宋体" w:cs="宋体"/>
          <w:color w:val="auto"/>
          <w:sz w:val="24"/>
          <w:szCs w:val="24"/>
        </w:rPr>
        <w:t>生鲜</w:t>
      </w:r>
      <w:r>
        <w:rPr>
          <w:rFonts w:hint="eastAsia" w:ascii="宋体" w:hAnsi="宋体" w:eastAsia="宋体" w:cs="宋体"/>
          <w:color w:val="auto"/>
          <w:sz w:val="24"/>
          <w:szCs w:val="24"/>
          <w:lang w:eastAsia="zh-CN"/>
        </w:rPr>
        <w:t>食材</w:t>
      </w:r>
      <w:r>
        <w:rPr>
          <w:rFonts w:hint="eastAsia" w:ascii="宋体" w:hAnsi="宋体" w:eastAsia="宋体" w:cs="宋体"/>
          <w:color w:val="auto"/>
          <w:sz w:val="24"/>
          <w:szCs w:val="24"/>
        </w:rPr>
        <w:t>必须采取冷链方式运输，运输车辆可自有或租赁。</w:t>
      </w:r>
    </w:p>
    <w:p w14:paraId="366DD1B4">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3.配送人员</w:t>
      </w:r>
    </w:p>
    <w:p w14:paraId="01ABB66F">
      <w:pPr>
        <w:bidi w:val="0"/>
        <w:spacing w:line="360" w:lineRule="auto"/>
        <w:rPr>
          <w:rFonts w:hint="eastAsia" w:ascii="宋体" w:hAnsi="宋体" w:eastAsia="宋体" w:cs="宋体"/>
          <w:color w:val="auto"/>
          <w:sz w:val="24"/>
          <w:szCs w:val="24"/>
        </w:rPr>
      </w:pPr>
      <w:r>
        <w:rPr>
          <w:rFonts w:hint="eastAsia" w:cs="宋体"/>
          <w:color w:val="auto"/>
          <w:sz w:val="24"/>
          <w:szCs w:val="24"/>
          <w:lang w:eastAsia="zh-CN"/>
        </w:rPr>
        <w:t>中标人</w:t>
      </w:r>
      <w:r>
        <w:rPr>
          <w:rFonts w:hint="eastAsia" w:ascii="宋体" w:hAnsi="宋体" w:eastAsia="宋体" w:cs="宋体"/>
          <w:color w:val="auto"/>
          <w:sz w:val="24"/>
          <w:szCs w:val="24"/>
        </w:rPr>
        <w:t>进入用户工作区域的配送人员必须着统一制服，佩戴工牌，专门负责</w:t>
      </w:r>
      <w:r>
        <w:rPr>
          <w:rFonts w:hint="eastAsia" w:ascii="宋体" w:hAnsi="宋体" w:eastAsia="宋体" w:cs="宋体"/>
          <w:color w:val="auto"/>
          <w:sz w:val="24"/>
          <w:szCs w:val="24"/>
          <w:lang w:eastAsia="zh-CN"/>
        </w:rPr>
        <w:t>食材</w:t>
      </w:r>
      <w:r>
        <w:rPr>
          <w:rFonts w:hint="eastAsia" w:ascii="宋体" w:hAnsi="宋体" w:eastAsia="宋体" w:cs="宋体"/>
          <w:color w:val="auto"/>
          <w:sz w:val="24"/>
          <w:szCs w:val="24"/>
        </w:rPr>
        <w:t>配送、货物验收交接、账务核对及其它临时采购工作。配送人员必须相对固定，未经</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允许不得随意更换。所有直接与</w:t>
      </w:r>
      <w:r>
        <w:rPr>
          <w:rFonts w:hint="eastAsia" w:ascii="宋体" w:hAnsi="宋体" w:eastAsia="宋体" w:cs="宋体"/>
          <w:color w:val="auto"/>
          <w:sz w:val="24"/>
          <w:szCs w:val="24"/>
          <w:lang w:eastAsia="zh-CN"/>
        </w:rPr>
        <w:t>食材</w:t>
      </w:r>
      <w:r>
        <w:rPr>
          <w:rFonts w:hint="eastAsia" w:ascii="宋体" w:hAnsi="宋体" w:eastAsia="宋体" w:cs="宋体"/>
          <w:color w:val="auto"/>
          <w:sz w:val="24"/>
          <w:szCs w:val="24"/>
        </w:rPr>
        <w:t>接触人员必须具备有效的健康证明。</w:t>
      </w:r>
    </w:p>
    <w:p w14:paraId="301DC226">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4.配送要求</w:t>
      </w:r>
    </w:p>
    <w:p w14:paraId="4B4F74FA">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cs="宋体"/>
          <w:color w:val="auto"/>
          <w:sz w:val="24"/>
          <w:szCs w:val="24"/>
          <w:lang w:eastAsia="zh-CN"/>
        </w:rPr>
        <w:t>中标人</w:t>
      </w:r>
      <w:r>
        <w:rPr>
          <w:rFonts w:hint="eastAsia" w:ascii="宋体" w:hAnsi="宋体" w:eastAsia="宋体" w:cs="宋体"/>
          <w:color w:val="auto"/>
          <w:sz w:val="24"/>
          <w:szCs w:val="24"/>
        </w:rPr>
        <w:t>原则上每日按时与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完成点对点供应配送，并负责交货时货品装卸。如</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对配送到货时间另有要求的，以</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明确的到货时间为准。</w:t>
      </w:r>
    </w:p>
    <w:p w14:paraId="2724D751">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（2）如遇不可预见或其它特殊情况而不能在约定时</w:t>
      </w:r>
      <w:r>
        <w:rPr>
          <w:rFonts w:hint="eastAsia" w:ascii="宋体" w:hAnsi="宋体" w:eastAsia="宋体" w:cs="宋体"/>
          <w:color w:val="auto"/>
          <w:sz w:val="24"/>
          <w:szCs w:val="24"/>
          <w:lang w:eastAsia="zh-CN"/>
        </w:rPr>
        <w:t>限内</w:t>
      </w:r>
      <w:r>
        <w:rPr>
          <w:rFonts w:hint="eastAsia" w:ascii="宋体" w:hAnsi="宋体" w:eastAsia="宋体" w:cs="宋体"/>
          <w:color w:val="auto"/>
          <w:sz w:val="24"/>
          <w:szCs w:val="24"/>
        </w:rPr>
        <w:t>配送到货的（</w:t>
      </w:r>
      <w:r>
        <w:rPr>
          <w:rFonts w:hint="eastAsia" w:ascii="宋体" w:hAnsi="宋体" w:eastAsia="宋体" w:cs="宋体"/>
          <w:color w:val="auto"/>
          <w:sz w:val="24"/>
          <w:szCs w:val="24"/>
          <w:lang w:eastAsia="zh-CN"/>
        </w:rPr>
        <w:t>超过约定时间30分钟</w:t>
      </w:r>
      <w:r>
        <w:rPr>
          <w:rFonts w:hint="eastAsia" w:ascii="宋体" w:hAnsi="宋体" w:eastAsia="宋体" w:cs="宋体"/>
          <w:color w:val="auto"/>
          <w:sz w:val="24"/>
          <w:szCs w:val="24"/>
        </w:rPr>
        <w:t>），</w:t>
      </w:r>
      <w:r>
        <w:rPr>
          <w:rFonts w:hint="eastAsia" w:cs="宋体"/>
          <w:color w:val="auto"/>
          <w:sz w:val="24"/>
          <w:szCs w:val="24"/>
          <w:lang w:eastAsia="zh-CN"/>
        </w:rPr>
        <w:t>中标人</w:t>
      </w:r>
      <w:r>
        <w:rPr>
          <w:rFonts w:hint="eastAsia" w:ascii="宋体" w:hAnsi="宋体" w:eastAsia="宋体" w:cs="宋体"/>
          <w:color w:val="auto"/>
          <w:sz w:val="24"/>
          <w:szCs w:val="24"/>
        </w:rPr>
        <w:t>应向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履行事先告知义务并征得同意，采取应对措施妥善处理，确保不对</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正常饮食保障造成实质影响。</w:t>
      </w:r>
    </w:p>
    <w:p w14:paraId="7A802C23">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cs="宋体"/>
          <w:color w:val="auto"/>
          <w:sz w:val="24"/>
          <w:szCs w:val="24"/>
          <w:lang w:eastAsia="zh-CN"/>
        </w:rPr>
        <w:t>中标人</w:t>
      </w:r>
      <w:r>
        <w:rPr>
          <w:rFonts w:hint="eastAsia" w:ascii="宋体" w:hAnsi="宋体" w:eastAsia="宋体" w:cs="宋体"/>
          <w:color w:val="auto"/>
          <w:sz w:val="24"/>
          <w:szCs w:val="24"/>
        </w:rPr>
        <w:t>应配备专业配送团队并指定专人负责，配送人员保持相对固定，有正规劳动合同，经体检、心理健康检查后方可上岗。</w:t>
      </w:r>
    </w:p>
    <w:p w14:paraId="79D308A3">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cs="宋体"/>
          <w:color w:val="auto"/>
          <w:sz w:val="24"/>
          <w:szCs w:val="24"/>
          <w:lang w:eastAsia="zh-CN"/>
        </w:rPr>
        <w:t>中标人</w:t>
      </w:r>
      <w:r>
        <w:rPr>
          <w:rFonts w:hint="eastAsia" w:ascii="宋体" w:hAnsi="宋体" w:eastAsia="宋体" w:cs="宋体"/>
          <w:color w:val="auto"/>
          <w:sz w:val="24"/>
          <w:szCs w:val="24"/>
        </w:rPr>
        <w:t>须按照</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订单明确的要求按时将</w:t>
      </w:r>
      <w:r>
        <w:rPr>
          <w:rFonts w:hint="eastAsia" w:ascii="宋体" w:hAnsi="宋体" w:eastAsia="宋体" w:cs="宋体"/>
          <w:color w:val="auto"/>
          <w:sz w:val="24"/>
          <w:szCs w:val="24"/>
          <w:lang w:val="en-US" w:eastAsia="zh-CN"/>
        </w:rPr>
        <w:t>食材</w:t>
      </w:r>
      <w:r>
        <w:rPr>
          <w:rFonts w:hint="eastAsia" w:ascii="宋体" w:hAnsi="宋体" w:eastAsia="宋体" w:cs="宋体"/>
          <w:color w:val="auto"/>
          <w:sz w:val="24"/>
          <w:szCs w:val="24"/>
        </w:rPr>
        <w:t>送达指定地点。如因</w:t>
      </w:r>
      <w:r>
        <w:rPr>
          <w:rFonts w:hint="eastAsia" w:cs="宋体"/>
          <w:color w:val="auto"/>
          <w:sz w:val="24"/>
          <w:szCs w:val="24"/>
          <w:lang w:eastAsia="zh-CN"/>
        </w:rPr>
        <w:t>中标人</w:t>
      </w:r>
      <w:r>
        <w:rPr>
          <w:rFonts w:hint="eastAsia" w:ascii="宋体" w:hAnsi="宋体" w:eastAsia="宋体" w:cs="宋体"/>
          <w:color w:val="auto"/>
          <w:sz w:val="24"/>
          <w:szCs w:val="24"/>
        </w:rPr>
        <w:t>责任未按时配送到位并对</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lang w:val="en-US" w:eastAsia="zh-CN"/>
        </w:rPr>
        <w:t>用餐</w:t>
      </w:r>
      <w:r>
        <w:rPr>
          <w:rFonts w:hint="eastAsia" w:ascii="宋体" w:hAnsi="宋体" w:eastAsia="宋体" w:cs="宋体"/>
          <w:color w:val="auto"/>
          <w:sz w:val="24"/>
          <w:szCs w:val="24"/>
        </w:rPr>
        <w:t>造成实质影响的，将追究</w:t>
      </w:r>
      <w:r>
        <w:rPr>
          <w:rFonts w:hint="eastAsia" w:cs="宋体"/>
          <w:color w:val="auto"/>
          <w:sz w:val="24"/>
          <w:szCs w:val="24"/>
          <w:lang w:eastAsia="zh-CN"/>
        </w:rPr>
        <w:t>中标人</w:t>
      </w:r>
      <w:r>
        <w:rPr>
          <w:rFonts w:hint="eastAsia" w:ascii="宋体" w:hAnsi="宋体" w:eastAsia="宋体" w:cs="宋体"/>
          <w:color w:val="auto"/>
          <w:sz w:val="24"/>
          <w:szCs w:val="24"/>
        </w:rPr>
        <w:t>责任。</w:t>
      </w:r>
    </w:p>
    <w:p w14:paraId="00ED8BF5">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）配送条件：</w:t>
      </w:r>
      <w:r>
        <w:rPr>
          <w:rFonts w:hint="eastAsia" w:ascii="宋体" w:hAnsi="宋体" w:eastAsia="宋体" w:cs="宋体"/>
          <w:color w:val="auto"/>
          <w:sz w:val="24"/>
          <w:szCs w:val="24"/>
          <w:lang w:val="en-US" w:eastAsia="zh-CN"/>
        </w:rPr>
        <w:t>生鲜食材</w:t>
      </w:r>
      <w:r>
        <w:rPr>
          <w:rFonts w:hint="eastAsia" w:ascii="宋体" w:hAnsi="宋体" w:eastAsia="宋体" w:cs="宋体"/>
          <w:color w:val="auto"/>
          <w:sz w:val="24"/>
          <w:szCs w:val="24"/>
        </w:rPr>
        <w:t>全程使用冷链运输方式，配送车辆应当保证性能良好且满足冷链运输需求，严格落实每车次配送前车内外清洁消毒要求。</w:t>
      </w:r>
    </w:p>
    <w:p w14:paraId="06459F36">
      <w:pPr>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5.退（补）货流程</w:t>
      </w:r>
    </w:p>
    <w:p w14:paraId="5060BD06">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供货期间如果出现质量问题，中标人必须保证1小时内无条件对整批次的全部货物或问题食品进行换货。</w:t>
      </w:r>
    </w:p>
    <w:p w14:paraId="480215D1">
      <w:pPr>
        <w:bidi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（四）其他技术要求</w:t>
      </w:r>
    </w:p>
    <w:p w14:paraId="05CE6606">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1.食品溯源</w:t>
      </w:r>
    </w:p>
    <w:p w14:paraId="1520A03E">
      <w:pPr>
        <w:bidi w:val="0"/>
        <w:spacing w:line="360" w:lineRule="auto"/>
        <w:rPr>
          <w:rFonts w:hint="eastAsia" w:ascii="宋体" w:hAnsi="宋体" w:eastAsia="宋体" w:cs="宋体"/>
          <w:color w:val="auto"/>
          <w:sz w:val="24"/>
          <w:szCs w:val="24"/>
        </w:rPr>
      </w:pPr>
      <w:r>
        <w:rPr>
          <w:rFonts w:hint="eastAsia" w:cs="宋体"/>
          <w:color w:val="auto"/>
          <w:sz w:val="24"/>
          <w:szCs w:val="24"/>
          <w:lang w:eastAsia="zh-CN"/>
        </w:rPr>
        <w:t>中标人</w:t>
      </w:r>
      <w:r>
        <w:rPr>
          <w:rFonts w:hint="eastAsia" w:ascii="宋体" w:hAnsi="宋体" w:eastAsia="宋体" w:cs="宋体"/>
          <w:color w:val="auto"/>
          <w:sz w:val="24"/>
          <w:szCs w:val="24"/>
        </w:rPr>
        <w:t>具有供应销售以及运输、检验、分拣、配送的全程溯源能力，具备信息化食品安全监管能力。</w:t>
      </w:r>
    </w:p>
    <w:p w14:paraId="2930DB5C">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2.应急保障能力</w:t>
      </w:r>
    </w:p>
    <w:p w14:paraId="29A37402">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cs="宋体"/>
          <w:color w:val="auto"/>
          <w:sz w:val="24"/>
          <w:szCs w:val="24"/>
          <w:lang w:eastAsia="zh-CN"/>
        </w:rPr>
        <w:t>中标人</w:t>
      </w:r>
      <w:r>
        <w:rPr>
          <w:rFonts w:hint="eastAsia" w:ascii="宋体" w:hAnsi="宋体" w:eastAsia="宋体" w:cs="宋体"/>
          <w:color w:val="auto"/>
          <w:sz w:val="24"/>
          <w:szCs w:val="24"/>
          <w:lang w:eastAsia="zh-CN"/>
        </w:rPr>
        <w:t>应具备食材应急保障能力，建立必要的应急储备，能够按照招标人需求，组织食材应急保障，包括但不限于临时紧急需求。</w:t>
      </w:r>
    </w:p>
    <w:p w14:paraId="3D3AB45D">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cs="宋体"/>
          <w:color w:val="auto"/>
          <w:sz w:val="24"/>
          <w:szCs w:val="24"/>
          <w:lang w:eastAsia="zh-CN"/>
        </w:rPr>
        <w:t>中标人</w:t>
      </w:r>
      <w:r>
        <w:rPr>
          <w:rFonts w:hint="eastAsia" w:ascii="宋体" w:hAnsi="宋体" w:eastAsia="宋体" w:cs="宋体"/>
          <w:color w:val="auto"/>
          <w:sz w:val="24"/>
          <w:szCs w:val="24"/>
          <w:lang w:eastAsia="zh-CN"/>
        </w:rPr>
        <w:t>应对配送场所突发事件有预判性，有相应的应急预案及措施，</w:t>
      </w:r>
      <w:r>
        <w:rPr>
          <w:rFonts w:hint="eastAsia" w:ascii="宋体" w:hAnsi="宋体" w:eastAsia="宋体" w:cs="宋体"/>
          <w:color w:val="auto"/>
          <w:sz w:val="24"/>
          <w:szCs w:val="24"/>
          <w:lang w:val="en-US" w:eastAsia="zh-CN"/>
        </w:rPr>
        <w:t>制定</w:t>
      </w:r>
      <w:r>
        <w:rPr>
          <w:rFonts w:hint="eastAsia" w:ascii="宋体" w:hAnsi="宋体" w:eastAsia="宋体" w:cs="宋体"/>
          <w:color w:val="auto"/>
          <w:sz w:val="24"/>
          <w:szCs w:val="24"/>
          <w:lang w:eastAsia="zh-CN"/>
        </w:rPr>
        <w:t>紧急情况货物应急保障措施，</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lang w:eastAsia="zh-CN"/>
        </w:rPr>
        <w:t>包括天气造成的供应紧缺、食物中毒、原材料无法及时到达伙房、重大食品污染事故等突发性事件应急预案等内容。</w:t>
      </w:r>
    </w:p>
    <w:p w14:paraId="6AF352AA">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3）如遇特殊情况需加单采购，</w:t>
      </w:r>
      <w:r>
        <w:rPr>
          <w:rFonts w:hint="eastAsia" w:cs="宋体"/>
          <w:color w:val="auto"/>
          <w:sz w:val="24"/>
          <w:szCs w:val="24"/>
          <w:lang w:val="en-US" w:eastAsia="zh-CN"/>
        </w:rPr>
        <w:t>中标人</w:t>
      </w:r>
      <w:r>
        <w:rPr>
          <w:rFonts w:hint="eastAsia" w:ascii="宋体" w:hAnsi="宋体" w:eastAsia="宋体" w:cs="宋体"/>
          <w:color w:val="auto"/>
          <w:sz w:val="24"/>
          <w:szCs w:val="24"/>
          <w:lang w:val="en-US" w:eastAsia="zh-CN"/>
        </w:rPr>
        <w:t>在紧急订货通知后2小时内送达招标人员指定的地点。</w:t>
      </w:r>
    </w:p>
    <w:p w14:paraId="6582B4CE">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3.项目团队</w:t>
      </w:r>
    </w:p>
    <w:p w14:paraId="676D8F2B">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cs="宋体"/>
          <w:color w:val="auto"/>
          <w:sz w:val="24"/>
          <w:szCs w:val="24"/>
          <w:lang w:eastAsia="zh-CN"/>
        </w:rPr>
        <w:t>中标人</w:t>
      </w:r>
      <w:r>
        <w:rPr>
          <w:rFonts w:hint="eastAsia" w:ascii="宋体" w:hAnsi="宋体" w:eastAsia="宋体" w:cs="宋体"/>
          <w:color w:val="auto"/>
          <w:sz w:val="24"/>
          <w:szCs w:val="24"/>
          <w:lang w:eastAsia="zh-CN"/>
        </w:rPr>
        <w:t>应为本项目配备但不限于，项目经理1名。拟选派的项目经理应具备相应工作经验，结合项目需求配备从事行政服务、检验检疫、分拣包装、运输配送、财务结算和平台运维等相关工作人员，具备相应能力水平和从业经验。</w:t>
      </w:r>
    </w:p>
    <w:p w14:paraId="2909E1D9">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2）投标人拟对本项目投入的食品安全管理人员应当具备食品安全方面的专业知识，具有食品安全管理员证书或考试合格证明。</w:t>
      </w:r>
    </w:p>
    <w:p w14:paraId="26EE0FCF">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3）投入本项目人员必须</w:t>
      </w:r>
      <w:r>
        <w:rPr>
          <w:rFonts w:hint="eastAsia" w:ascii="宋体" w:hAnsi="宋体" w:eastAsia="宋体" w:cs="宋体"/>
          <w:color w:val="auto"/>
          <w:sz w:val="24"/>
          <w:szCs w:val="24"/>
          <w:lang w:eastAsia="zh-CN"/>
        </w:rPr>
        <w:t>符合从事食品生产、加工卫生健康要求</w:t>
      </w:r>
      <w:r>
        <w:rPr>
          <w:rFonts w:hint="eastAsia" w:ascii="宋体" w:hAnsi="宋体" w:eastAsia="宋体" w:cs="宋体"/>
          <w:color w:val="auto"/>
          <w:sz w:val="24"/>
          <w:szCs w:val="24"/>
        </w:rPr>
        <w:t>。</w:t>
      </w:r>
    </w:p>
    <w:p w14:paraId="486125BD">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4.质量管理及标准</w:t>
      </w:r>
    </w:p>
    <w:p w14:paraId="5931074B">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（1）为保障食品安全，</w:t>
      </w:r>
      <w:r>
        <w:rPr>
          <w:rFonts w:hint="eastAsia" w:cs="宋体"/>
          <w:color w:val="auto"/>
          <w:sz w:val="24"/>
          <w:szCs w:val="24"/>
          <w:lang w:eastAsia="zh-CN"/>
        </w:rPr>
        <w:t>中标人</w:t>
      </w:r>
      <w:r>
        <w:rPr>
          <w:rFonts w:hint="eastAsia" w:ascii="宋体" w:hAnsi="宋体" w:eastAsia="宋体" w:cs="宋体"/>
          <w:color w:val="auto"/>
          <w:sz w:val="24"/>
          <w:szCs w:val="24"/>
          <w:lang w:eastAsia="zh-CN"/>
        </w:rPr>
        <w:t>应具备食材农残、兽残、</w:t>
      </w:r>
      <w:r>
        <w:rPr>
          <w:rFonts w:hint="eastAsia" w:ascii="宋体" w:hAnsi="宋体" w:eastAsia="宋体" w:cs="宋体"/>
          <w:color w:val="auto"/>
          <w:sz w:val="24"/>
          <w:szCs w:val="24"/>
          <w:lang w:val="en-US" w:eastAsia="zh-CN"/>
        </w:rPr>
        <w:t>肉类水分、亚硝酸盐、真菌霉素</w:t>
      </w:r>
      <w:r>
        <w:rPr>
          <w:rFonts w:hint="eastAsia" w:ascii="宋体" w:hAnsi="宋体" w:eastAsia="宋体" w:cs="宋体"/>
          <w:color w:val="auto"/>
          <w:sz w:val="24"/>
          <w:szCs w:val="24"/>
          <w:lang w:eastAsia="zh-CN"/>
        </w:rPr>
        <w:t>等检验能力，具备根据招标人要求定期组织对供应食品检验检疫的能力，应为本项目配齐检测、检验设备设施，对食材实施全供应链质量安全管控。</w:t>
      </w:r>
    </w:p>
    <w:p w14:paraId="5391AD30">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cs="宋体"/>
          <w:color w:val="auto"/>
          <w:sz w:val="24"/>
          <w:szCs w:val="24"/>
          <w:lang w:eastAsia="zh-CN"/>
        </w:rPr>
        <w:t>中标人</w:t>
      </w:r>
      <w:r>
        <w:rPr>
          <w:rFonts w:hint="eastAsia" w:ascii="宋体" w:hAnsi="宋体" w:eastAsia="宋体" w:cs="宋体"/>
          <w:color w:val="auto"/>
          <w:sz w:val="24"/>
          <w:szCs w:val="24"/>
          <w:lang w:eastAsia="zh-CN"/>
        </w:rPr>
        <w:t>是食材质量安全第一负责人，凡招标人反映质量问题，在第一时间完成退换（补）货的同时，涉及违约的按合同约定对</w:t>
      </w:r>
      <w:r>
        <w:rPr>
          <w:rFonts w:hint="eastAsia" w:cs="宋体"/>
          <w:color w:val="auto"/>
          <w:sz w:val="24"/>
          <w:szCs w:val="24"/>
          <w:lang w:eastAsia="zh-CN"/>
        </w:rPr>
        <w:t>中标人</w:t>
      </w:r>
      <w:r>
        <w:rPr>
          <w:rFonts w:hint="eastAsia" w:ascii="宋体" w:hAnsi="宋体" w:eastAsia="宋体" w:cs="宋体"/>
          <w:color w:val="auto"/>
          <w:sz w:val="24"/>
          <w:szCs w:val="24"/>
          <w:lang w:eastAsia="zh-CN"/>
        </w:rPr>
        <w:t>进行经济处罚。食材交接进入冷链仓储集</w:t>
      </w:r>
      <w:r>
        <w:rPr>
          <w:rFonts w:hint="eastAsia" w:ascii="宋体" w:hAnsi="宋体" w:eastAsia="宋体" w:cs="宋体"/>
          <w:color w:val="auto"/>
          <w:sz w:val="24"/>
          <w:szCs w:val="24"/>
          <w:lang w:val="en-US" w:eastAsia="zh-CN"/>
        </w:rPr>
        <w:t>配</w:t>
      </w:r>
      <w:r>
        <w:rPr>
          <w:rFonts w:hint="eastAsia" w:ascii="宋体" w:hAnsi="宋体" w:eastAsia="宋体" w:cs="宋体"/>
          <w:color w:val="auto"/>
          <w:sz w:val="24"/>
          <w:szCs w:val="24"/>
          <w:lang w:eastAsia="zh-CN"/>
        </w:rPr>
        <w:t>中心后，出现的质量安全问题由</w:t>
      </w:r>
      <w:r>
        <w:rPr>
          <w:rFonts w:hint="eastAsia" w:cs="宋体"/>
          <w:color w:val="auto"/>
          <w:sz w:val="24"/>
          <w:szCs w:val="24"/>
          <w:lang w:eastAsia="zh-CN"/>
        </w:rPr>
        <w:t>中标人</w:t>
      </w:r>
      <w:r>
        <w:rPr>
          <w:rFonts w:hint="eastAsia" w:ascii="宋体" w:hAnsi="宋体" w:eastAsia="宋体" w:cs="宋体"/>
          <w:color w:val="auto"/>
          <w:sz w:val="24"/>
          <w:szCs w:val="24"/>
          <w:lang w:eastAsia="zh-CN"/>
        </w:rPr>
        <w:t>负责。</w:t>
      </w:r>
    </w:p>
    <w:p w14:paraId="1ACBAF4C">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cs="宋体"/>
          <w:color w:val="auto"/>
          <w:sz w:val="24"/>
          <w:szCs w:val="24"/>
          <w:lang w:eastAsia="zh-CN"/>
        </w:rPr>
        <w:t>中标人</w:t>
      </w:r>
      <w:r>
        <w:rPr>
          <w:rFonts w:hint="eastAsia" w:ascii="宋体" w:hAnsi="宋体" w:eastAsia="宋体" w:cs="宋体"/>
          <w:color w:val="auto"/>
          <w:sz w:val="24"/>
          <w:szCs w:val="24"/>
          <w:lang w:eastAsia="zh-CN"/>
        </w:rPr>
        <w:t>配送的食材必须符合国家及行业相关质量标准。</w:t>
      </w:r>
    </w:p>
    <w:p w14:paraId="3C8F809C">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①满足现行的食用农产品质量安全标准、食品卫生标准、食品质量标准和有关食品的行业标准中强制执行的标准；</w:t>
      </w:r>
    </w:p>
    <w:p w14:paraId="467A8C08">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②中标人</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lang w:eastAsia="zh-CN"/>
        </w:rPr>
        <w:t>保证所提供的食品无异味、无霉烂变质，如不符合质量标准，必须退货并承担违约责任。保证合同货品均为正规生产的新鲜、检验合格、无毒、无辐射、无侵权货品，符合国家卫生、质量、包装和保质标准，有使用有效期的货品，其剩余有效期不得少于标注有效期的三分之二。</w:t>
      </w:r>
    </w:p>
    <w:p w14:paraId="57C483F6">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③货物必须符合卫生，不得有腐烂、变质、油脂酸败、霉变、生虫、污秽不洁混有异物或者其他感官性状异常，并可能对人体健康有害的物质；</w:t>
      </w:r>
    </w:p>
    <w:p w14:paraId="1C22405A">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④产品必须符合国家或行业标准、证件齐全，严格执行质检要求，货物提供相关检测、检疫报告。</w:t>
      </w:r>
    </w:p>
    <w:p w14:paraId="18294DBE">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4）中标人应保障产品的来源、追溯、加工、储存、运输等多个环节的食品溯源管理机制，制定相应的食品安全措施，确保链条清晰，源头可控，并主动接受属地市场监督管理部门的监管。</w:t>
      </w:r>
    </w:p>
    <w:p w14:paraId="798F16EF">
      <w:pPr>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★5.投标人必须承诺若中标后，在合同签订后一周内为本项目购买食品安全责任险，食品安全责任</w:t>
      </w:r>
      <w:r>
        <w:rPr>
          <w:rFonts w:hint="eastAsia" w:ascii="宋体" w:hAnsi="宋体" w:eastAsia="宋体" w:cs="宋体"/>
          <w:color w:val="auto"/>
          <w:sz w:val="24"/>
          <w:szCs w:val="24"/>
          <w:highlight w:val="none"/>
          <w:lang w:val="en-US" w:eastAsia="zh-CN"/>
        </w:rPr>
        <w:t>险购买保额不得低于5000万元，保险期</w:t>
      </w:r>
      <w:r>
        <w:rPr>
          <w:rFonts w:hint="eastAsia" w:ascii="宋体" w:hAnsi="宋体" w:eastAsia="宋体" w:cs="宋体"/>
          <w:b w:val="0"/>
          <w:bCs w:val="0"/>
          <w:color w:val="auto"/>
          <w:sz w:val="24"/>
          <w:szCs w:val="24"/>
          <w:highlight w:val="none"/>
          <w:lang w:val="en-US" w:eastAsia="zh-CN"/>
        </w:rPr>
        <w:t>需涵盖合</w:t>
      </w:r>
      <w:r>
        <w:rPr>
          <w:rFonts w:hint="eastAsia" w:ascii="宋体" w:hAnsi="宋体" w:eastAsia="宋体" w:cs="宋体"/>
          <w:b w:val="0"/>
          <w:bCs w:val="0"/>
          <w:color w:val="auto"/>
          <w:sz w:val="24"/>
          <w:szCs w:val="24"/>
          <w:lang w:val="en-US" w:eastAsia="zh-CN"/>
        </w:rPr>
        <w:t>同有效期限。</w:t>
      </w:r>
      <w:r>
        <w:rPr>
          <w:rFonts w:hint="eastAsia" w:ascii="宋体" w:hAnsi="宋体" w:eastAsia="宋体" w:cs="宋体"/>
          <w:b/>
          <w:bCs/>
          <w:color w:val="auto"/>
          <w:sz w:val="24"/>
          <w:szCs w:val="24"/>
          <w:lang w:val="en-US" w:eastAsia="zh-CN"/>
        </w:rPr>
        <w:t>（提供承诺函）</w:t>
      </w:r>
    </w:p>
    <w:p w14:paraId="4426B98A">
      <w:pPr>
        <w:wordWrap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6.采供平台总体运行要求：</w:t>
      </w:r>
      <w:r>
        <w:rPr>
          <w:rFonts w:hint="eastAsia" w:ascii="宋体" w:hAnsi="宋体" w:eastAsia="宋体" w:cs="宋体"/>
          <w:b w:val="0"/>
          <w:bCs w:val="0"/>
          <w:color w:val="auto"/>
          <w:sz w:val="24"/>
          <w:szCs w:val="24"/>
          <w:highlight w:val="none"/>
          <w:lang w:val="en-US" w:eastAsia="zh-CN"/>
        </w:rPr>
        <w:t>投标人针对本项目制定详细的项目实施计划，系统运维要满足“（一）建设食材供应管理信息化平台”要求提供详细的运维</w:t>
      </w:r>
      <w:r>
        <w:rPr>
          <w:rFonts w:hint="eastAsia" w:ascii="宋体" w:hAnsi="宋体" w:eastAsia="宋体" w:cs="宋体"/>
          <w:color w:val="auto"/>
          <w:sz w:val="24"/>
          <w:szCs w:val="24"/>
          <w:highlight w:val="none"/>
          <w:lang w:val="en-US" w:eastAsia="zh-CN"/>
        </w:rPr>
        <w:t>方案，在项目</w:t>
      </w:r>
      <w:r>
        <w:rPr>
          <w:rFonts w:hint="eastAsia" w:ascii="宋体" w:hAnsi="宋体" w:eastAsia="宋体" w:cs="宋体"/>
          <w:color w:val="auto"/>
          <w:sz w:val="24"/>
          <w:szCs w:val="24"/>
        </w:rPr>
        <w:t>实施过程中充分利用信息化</w:t>
      </w:r>
      <w:r>
        <w:rPr>
          <w:rFonts w:hint="eastAsia" w:ascii="宋体" w:hAnsi="宋体" w:eastAsia="宋体" w:cs="宋体"/>
          <w:color w:val="auto"/>
          <w:sz w:val="24"/>
          <w:szCs w:val="24"/>
          <w:lang w:val="en-US" w:eastAsia="zh-CN"/>
        </w:rPr>
        <w:t>对</w:t>
      </w:r>
      <w:r>
        <w:rPr>
          <w:rFonts w:hint="eastAsia" w:ascii="宋体" w:hAnsi="宋体" w:eastAsia="宋体" w:cs="宋体"/>
          <w:color w:val="auto"/>
          <w:sz w:val="24"/>
          <w:szCs w:val="24"/>
          <w:highlight w:val="none"/>
        </w:rPr>
        <w:t>食品安全</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追溯管理查询及监管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rPr>
        <w:t>市场价格波动时</w:t>
      </w:r>
      <w:r>
        <w:rPr>
          <w:rFonts w:hint="eastAsia" w:ascii="宋体" w:hAnsi="宋体" w:eastAsia="宋体" w:cs="宋体"/>
          <w:b w:val="0"/>
          <w:bCs w:val="0"/>
          <w:color w:val="auto"/>
          <w:sz w:val="24"/>
          <w:szCs w:val="24"/>
          <w:highlight w:val="none"/>
          <w:lang w:val="en-US" w:eastAsia="zh-CN"/>
        </w:rPr>
        <w:t>价格具有管控能力，结算流程简化且合理。</w:t>
      </w:r>
    </w:p>
    <w:p w14:paraId="57563FB8">
      <w:pPr>
        <w:wordWrap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7.供货商的管理要求：</w:t>
      </w:r>
      <w:r>
        <w:rPr>
          <w:rFonts w:hint="eastAsia" w:ascii="宋体" w:hAnsi="宋体" w:eastAsia="宋体" w:cs="宋体"/>
          <w:b w:val="0"/>
          <w:bCs w:val="0"/>
          <w:color w:val="auto"/>
          <w:sz w:val="24"/>
          <w:szCs w:val="24"/>
          <w:highlight w:val="none"/>
          <w:lang w:val="en-US" w:eastAsia="zh-CN"/>
        </w:rPr>
        <w:t>中标人必须对配送食材供应商进行监管，明确管理方</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建立各项管理</w:t>
      </w:r>
      <w:r>
        <w:rPr>
          <w:rFonts w:hint="eastAsia" w:ascii="宋体" w:hAnsi="宋体" w:eastAsia="宋体" w:cs="宋体"/>
          <w:color w:val="auto"/>
          <w:sz w:val="24"/>
          <w:szCs w:val="24"/>
          <w:highlight w:val="none"/>
        </w:rPr>
        <w:t>制度、监管</w:t>
      </w:r>
      <w:r>
        <w:rPr>
          <w:rFonts w:hint="eastAsia" w:ascii="宋体" w:hAnsi="宋体" w:eastAsia="宋体" w:cs="宋体"/>
          <w:color w:val="auto"/>
          <w:sz w:val="24"/>
          <w:szCs w:val="24"/>
          <w:highlight w:val="none"/>
          <w:lang w:val="en-US" w:eastAsia="zh-CN"/>
        </w:rPr>
        <w:t>方式</w:t>
      </w:r>
      <w:r>
        <w:rPr>
          <w:rFonts w:hint="eastAsia" w:ascii="宋体" w:hAnsi="宋体" w:eastAsia="宋体" w:cs="宋体"/>
          <w:b w:val="0"/>
          <w:bCs w:val="0"/>
          <w:color w:val="auto"/>
          <w:sz w:val="24"/>
          <w:szCs w:val="24"/>
          <w:highlight w:val="none"/>
          <w:lang w:val="en-US" w:eastAsia="zh-CN"/>
        </w:rPr>
        <w:t>，保证食品安全。</w:t>
      </w:r>
    </w:p>
    <w:p w14:paraId="4ECA7139">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四、中标人管理要求</w:t>
      </w:r>
    </w:p>
    <w:p w14:paraId="15C234A9">
      <w:pPr>
        <w:wordWrap/>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（一）中标人进行食材供应商招标或框架协议，招投标的流程必须遵循公平、公正、公开原则，符合相关法律法规。</w:t>
      </w:r>
    </w:p>
    <w:p w14:paraId="06F5B5BC">
      <w:pPr>
        <w:wordWrap/>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（二）食材供应商必须由韶关市教育局审核通过后方可发布采购公告。</w:t>
      </w:r>
    </w:p>
    <w:p w14:paraId="5736A217">
      <w:pPr>
        <w:wordWrap/>
        <w:spacing w:line="360" w:lineRule="auto"/>
        <w:rPr>
          <w:rFonts w:hint="eastAsia" w:ascii="宋体" w:hAnsi="宋体" w:eastAsia="宋体" w:cs="宋体"/>
          <w:b w:val="0"/>
          <w:bCs w:val="0"/>
          <w:color w:val="auto"/>
          <w:sz w:val="24"/>
          <w:szCs w:val="24"/>
          <w:highlight w:val="cyan"/>
          <w:lang w:val="en-US" w:eastAsia="zh-CN"/>
        </w:rPr>
      </w:pPr>
      <w:r>
        <w:rPr>
          <w:rFonts w:hint="eastAsia" w:ascii="宋体" w:hAnsi="宋体" w:eastAsia="宋体" w:cs="宋体"/>
          <w:b w:val="0"/>
          <w:bCs w:val="0"/>
          <w:color w:val="auto"/>
          <w:sz w:val="24"/>
          <w:szCs w:val="24"/>
          <w:highlight w:val="none"/>
          <w:lang w:val="en-US" w:eastAsia="zh-CN"/>
        </w:rPr>
        <w:t>（三）食材供应</w:t>
      </w:r>
      <w:r>
        <w:rPr>
          <w:rFonts w:hint="eastAsia" w:ascii="宋体" w:hAnsi="宋体" w:eastAsia="宋体" w:cs="宋体"/>
          <w:b w:val="0"/>
          <w:bCs w:val="0"/>
          <w:color w:val="auto"/>
          <w:sz w:val="24"/>
          <w:szCs w:val="24"/>
          <w:lang w:val="en-US" w:eastAsia="zh-CN"/>
        </w:rPr>
        <w:t>商</w:t>
      </w:r>
      <w:r>
        <w:rPr>
          <w:rFonts w:hint="eastAsia" w:ascii="宋体" w:hAnsi="宋体" w:eastAsia="宋体" w:cs="宋体"/>
          <w:b w:val="0"/>
          <w:bCs w:val="0"/>
          <w:color w:val="auto"/>
          <w:sz w:val="24"/>
          <w:szCs w:val="24"/>
          <w:highlight w:val="none"/>
          <w:lang w:val="en-US" w:eastAsia="zh-CN"/>
        </w:rPr>
        <w:t>必须符合《教育部办公厅关于印发〈中小学校园食品安全和膳食经费管理工作指引〉的通知》（教体艺厅函〔2024〕39号）《教育部办公厅市场监管总局办公厅关于印发〈学校食堂大宗食材采购验收管理工作指引〉的通知》（教体艺厅函〔2025〕30号）、《中共中央办公厅 国务院办公厅关于进一步强化食品安全全链条监管的意见》《餐饮服务食品安全操作规范》《食品安全国家标准 餐饮服务通用卫生规范》（GB 31654—2021）、《广东省校园食品安全工作负面清单》等相关要求。</w:t>
      </w:r>
    </w:p>
    <w:p w14:paraId="3488F108">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五、商务要求</w:t>
      </w:r>
    </w:p>
    <w:p w14:paraId="32076515">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（一）报价要求</w:t>
      </w:r>
    </w:p>
    <w:p w14:paraId="5D022B9F">
      <w:pPr>
        <w:wordWrap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本项目采用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平台运营费</w:t>
      </w:r>
      <w:r>
        <w:rPr>
          <w:rFonts w:hint="eastAsia" w:ascii="宋体" w:hAnsi="宋体" w:eastAsia="宋体" w:cs="宋体"/>
          <w:color w:val="auto"/>
          <w:sz w:val="24"/>
          <w:szCs w:val="24"/>
          <w:highlight w:val="none"/>
          <w:lang w:val="en-US" w:eastAsia="zh-CN"/>
        </w:rPr>
        <w:t>率</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方式进行报价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即以平台供应商配送</w:t>
      </w:r>
      <w:r>
        <w:rPr>
          <w:rFonts w:hint="eastAsia" w:ascii="宋体" w:hAnsi="宋体" w:eastAsia="宋体" w:cs="宋体"/>
          <w:color w:val="auto"/>
          <w:sz w:val="24"/>
          <w:szCs w:val="24"/>
          <w:highlight w:val="none"/>
          <w:lang w:val="en-US" w:eastAsia="zh-CN"/>
        </w:rPr>
        <w:t>食材</w:t>
      </w:r>
      <w:r>
        <w:rPr>
          <w:rFonts w:hint="eastAsia" w:ascii="宋体" w:hAnsi="宋体" w:eastAsia="宋体" w:cs="宋体"/>
          <w:color w:val="auto"/>
          <w:sz w:val="24"/>
          <w:szCs w:val="24"/>
          <w:highlight w:val="none"/>
        </w:rPr>
        <w:t>的总金额按比例收取平台运营费，投标报价应包含平台</w:t>
      </w:r>
      <w:r>
        <w:rPr>
          <w:rFonts w:hint="eastAsia" w:ascii="宋体" w:hAnsi="宋体" w:eastAsia="宋体" w:cs="宋体"/>
          <w:color w:val="auto"/>
          <w:sz w:val="24"/>
          <w:szCs w:val="24"/>
          <w:highlight w:val="none"/>
          <w:lang w:val="en-US" w:eastAsia="zh-CN"/>
        </w:rPr>
        <w:t>运营</w:t>
      </w:r>
      <w:r>
        <w:rPr>
          <w:rFonts w:hint="eastAsia" w:ascii="宋体" w:hAnsi="宋体" w:eastAsia="宋体" w:cs="宋体"/>
          <w:color w:val="auto"/>
          <w:sz w:val="24"/>
          <w:szCs w:val="24"/>
          <w:highlight w:val="none"/>
        </w:rPr>
        <w:t>商服务职责范围内的（包括但不限于各类别</w:t>
      </w:r>
      <w:r>
        <w:rPr>
          <w:rFonts w:hint="eastAsia" w:cs="宋体"/>
          <w:color w:val="auto"/>
          <w:sz w:val="24"/>
          <w:szCs w:val="24"/>
          <w:highlight w:val="none"/>
          <w:lang w:eastAsia="zh-CN"/>
        </w:rPr>
        <w:t>食材</w:t>
      </w:r>
      <w:r>
        <w:rPr>
          <w:rFonts w:hint="eastAsia" w:ascii="宋体" w:hAnsi="宋体" w:eastAsia="宋体" w:cs="宋体"/>
          <w:color w:val="auto"/>
          <w:sz w:val="24"/>
          <w:szCs w:val="24"/>
          <w:highlight w:val="none"/>
        </w:rPr>
        <w:t>集中揽货、包装、分拣以及仓储、配送、装卸搬运、检测、培训、售后服务、税金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平台软件管理运行费、信息平台维护费</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冷链仓储</w:t>
      </w:r>
      <w:r>
        <w:rPr>
          <w:rFonts w:hint="eastAsia" w:ascii="宋体" w:hAnsi="宋体" w:eastAsia="宋体" w:cs="宋体"/>
          <w:color w:val="auto"/>
          <w:sz w:val="24"/>
          <w:szCs w:val="24"/>
          <w:highlight w:val="none"/>
          <w:lang w:eastAsia="zh-CN"/>
        </w:rPr>
        <w:t>集配</w:t>
      </w:r>
      <w:r>
        <w:rPr>
          <w:rFonts w:hint="eastAsia" w:ascii="宋体" w:hAnsi="宋体" w:eastAsia="宋体" w:cs="宋体"/>
          <w:color w:val="auto"/>
          <w:sz w:val="24"/>
          <w:szCs w:val="24"/>
          <w:highlight w:val="none"/>
        </w:rPr>
        <w:t>中心建设费等）所有费用</w:t>
      </w:r>
      <w:r>
        <w:rPr>
          <w:rFonts w:hint="eastAsia" w:cs="宋体"/>
          <w:color w:val="auto"/>
          <w:sz w:val="24"/>
          <w:szCs w:val="24"/>
          <w:highlight w:val="none"/>
          <w:lang w:val="en-US" w:eastAsia="zh-CN"/>
        </w:rPr>
        <w:t>。</w:t>
      </w:r>
    </w:p>
    <w:p w14:paraId="4EA79FA8">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★2.“平台运营费率”最高限价为：***%；（具体的限价根据招标人经第三方评估公司出具的评估报告数值为准，第三方评估公司的评估费用***元由中标人支付）</w:t>
      </w:r>
      <w:r>
        <w:rPr>
          <w:rFonts w:hint="eastAsia" w:cs="宋体"/>
          <w:color w:val="auto"/>
          <w:sz w:val="24"/>
          <w:szCs w:val="24"/>
          <w:highlight w:val="none"/>
          <w:lang w:val="en-US" w:eastAsia="zh-CN"/>
        </w:rPr>
        <w:t>。</w:t>
      </w:r>
    </w:p>
    <w:p w14:paraId="23824768">
      <w:pPr>
        <w:wordWrap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服务期限</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1年，</w:t>
      </w:r>
      <w:r>
        <w:rPr>
          <w:rFonts w:hint="eastAsia" w:cs="宋体"/>
          <w:color w:val="auto"/>
          <w:sz w:val="24"/>
          <w:szCs w:val="24"/>
          <w:highlight w:val="none"/>
          <w:lang w:val="en-US" w:eastAsia="zh-CN"/>
        </w:rPr>
        <w:t>服务期间内市直属学校</w:t>
      </w:r>
      <w:r>
        <w:rPr>
          <w:rFonts w:hint="eastAsia" w:ascii="宋体" w:hAnsi="宋体" w:eastAsia="宋体" w:cs="宋体"/>
          <w:color w:val="auto"/>
          <w:sz w:val="24"/>
          <w:szCs w:val="24"/>
          <w:highlight w:val="none"/>
        </w:rPr>
        <w:t>合同还未到期的、自主经营的学校食堂供应商优先准入进入平台，保持合同关系不变继续在合同期限内供应食材，合同期满后需按照平台对供应商的要求标准重新准入。外包经营的学校食堂在合同期满后转自主经营，学校食堂食材集采集配纳入本平台。</w:t>
      </w:r>
    </w:p>
    <w:p w14:paraId="2152FCB8">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（三）服务地点：</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指定地点。</w:t>
      </w:r>
    </w:p>
    <w:p w14:paraId="15A930C5">
      <w:pPr>
        <w:wordWrap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（四）付款方式</w:t>
      </w:r>
    </w:p>
    <w:p w14:paraId="519EACC5">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学校通过平台下单、验收确认。</w:t>
      </w:r>
    </w:p>
    <w:p w14:paraId="54F5F579">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中标人</w:t>
      </w:r>
      <w:r>
        <w:rPr>
          <w:rFonts w:hint="eastAsia" w:ascii="宋体" w:hAnsi="宋体" w:eastAsia="宋体" w:cs="宋体"/>
          <w:color w:val="auto"/>
          <w:sz w:val="24"/>
          <w:szCs w:val="24"/>
          <w:highlight w:val="none"/>
        </w:rPr>
        <w:t>于每月固定时间通过平台配送签收数据生成上月度的食材配送账单（含明细，如商品名称、规格、数量、金额等关键信息），发送至对应学校确认。</w:t>
      </w:r>
    </w:p>
    <w:p w14:paraId="7C39A6A0">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双方于供应次月5日前对上月供应情况完成账款核对确认工作。</w:t>
      </w:r>
    </w:p>
    <w:p w14:paraId="30D94859">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中标人</w:t>
      </w:r>
      <w:r>
        <w:rPr>
          <w:rFonts w:hint="eastAsia" w:ascii="宋体" w:hAnsi="宋体" w:eastAsia="宋体" w:cs="宋体"/>
          <w:color w:val="auto"/>
          <w:sz w:val="24"/>
          <w:szCs w:val="24"/>
          <w:highlight w:val="none"/>
        </w:rPr>
        <w:t>将各校确认的对账单汇总，提交至</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韶关</w:t>
      </w:r>
      <w:r>
        <w:rPr>
          <w:rFonts w:hint="eastAsia" w:ascii="宋体" w:hAnsi="宋体" w:eastAsia="宋体" w:cs="宋体"/>
          <w:color w:val="auto"/>
          <w:sz w:val="24"/>
          <w:szCs w:val="24"/>
          <w:highlight w:val="none"/>
        </w:rPr>
        <w:t>市教育局）备案。</w:t>
      </w:r>
    </w:p>
    <w:p w14:paraId="66D928FC">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cs="宋体"/>
          <w:color w:val="auto"/>
          <w:sz w:val="24"/>
          <w:szCs w:val="24"/>
          <w:highlight w:val="none"/>
          <w:lang w:val="en-US" w:eastAsia="zh-CN"/>
        </w:rPr>
        <w:t>中标人</w:t>
      </w:r>
      <w:r>
        <w:rPr>
          <w:rFonts w:hint="eastAsia" w:ascii="宋体" w:hAnsi="宋体" w:eastAsia="宋体" w:cs="宋体"/>
          <w:color w:val="auto"/>
          <w:sz w:val="24"/>
          <w:szCs w:val="24"/>
          <w:highlight w:val="none"/>
        </w:rPr>
        <w:t>根据各学校确认的对账单，凭国家正式发票向学校申请付款</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学校收到发票后7个工作日内将款项通过银行转账方式支付至</w:t>
      </w:r>
      <w:r>
        <w:rPr>
          <w:rFonts w:hint="eastAsia" w:cs="宋体"/>
          <w:color w:val="auto"/>
          <w:sz w:val="24"/>
          <w:szCs w:val="24"/>
          <w:highlight w:val="none"/>
          <w:lang w:val="en-US" w:eastAsia="zh-CN"/>
        </w:rPr>
        <w:t>中标人</w:t>
      </w:r>
      <w:r>
        <w:rPr>
          <w:rFonts w:hint="eastAsia" w:ascii="宋体" w:hAnsi="宋体" w:eastAsia="宋体" w:cs="宋体"/>
          <w:color w:val="auto"/>
          <w:sz w:val="24"/>
          <w:szCs w:val="24"/>
          <w:highlight w:val="none"/>
        </w:rPr>
        <w:t>指定账户。</w:t>
      </w:r>
    </w:p>
    <w:p w14:paraId="2823F692">
      <w:pPr>
        <w:pStyle w:val="40"/>
        <w:wordWrap w:val="0"/>
        <w:spacing w:line="360" w:lineRule="auto"/>
        <w:ind w:firstLine="482" w:firstLineChars="20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kern w:val="2"/>
          <w:sz w:val="24"/>
          <w:szCs w:val="24"/>
          <w:highlight w:val="none"/>
          <w:lang w:val="en-US" w:eastAsia="zh-CN"/>
        </w:rPr>
        <w:t>其他商务要求</w:t>
      </w:r>
    </w:p>
    <w:p w14:paraId="044E14E9">
      <w:pPr>
        <w:pStyle w:val="40"/>
        <w:wordWrap w:val="0"/>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管理体系：投标人在服务质量、食品安全管理、质量管理上做好内控管理体系，应具备对项目实施全过程管控的能力以及管理的规范性，具备食品安全管理体系认证证书、质量管理体系认证证书、HACCP体系认证证书。</w:t>
      </w:r>
    </w:p>
    <w:p w14:paraId="19E09296">
      <w:pPr>
        <w:pStyle w:val="40"/>
        <w:wordWrap w:val="0"/>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2.投标人具有信息化电商平台运营能力，同时具备互联网ICP备案登记和EDI许可证（即增值电信业务经营许可证，许可后可提供在线数据处理与交易处理业务）。</w:t>
      </w:r>
    </w:p>
    <w:p w14:paraId="2B10487B">
      <w:pPr>
        <w:keepNext w:val="0"/>
        <w:keepLines w:val="0"/>
        <w:pageBreakBefore w:val="0"/>
        <w:widowControl w:val="0"/>
        <w:tabs>
          <w:tab w:val="left" w:pos="1900"/>
        </w:tabs>
        <w:kinsoku/>
        <w:wordWrap/>
        <w:overflowPunct/>
        <w:topLinePunct w:val="0"/>
        <w:autoSpaceDE/>
        <w:autoSpaceDN/>
        <w:bidi w:val="0"/>
        <w:adjustRightInd/>
        <w:snapToGrid w:val="0"/>
        <w:spacing w:line="360" w:lineRule="auto"/>
        <w:ind w:firstLine="482" w:firstLineChars="200"/>
        <w:jc w:val="left"/>
        <w:textAlignment w:val="auto"/>
        <w:outlineLvl w:val="2"/>
        <w:rPr>
          <w:rFonts w:hint="eastAsia" w:ascii="宋体" w:hAnsi="宋体" w:eastAsia="宋体" w:cs="宋体"/>
          <w:b/>
          <w:bCs/>
          <w:color w:val="auto"/>
          <w:sz w:val="24"/>
          <w:szCs w:val="24"/>
          <w:lang w:val="en-US" w:eastAsia="zh-Hans"/>
        </w:rPr>
      </w:pPr>
      <w:r>
        <w:rPr>
          <w:rFonts w:hint="eastAsia" w:ascii="宋体" w:hAnsi="宋体" w:eastAsia="宋体" w:cs="宋体"/>
          <w:b/>
          <w:bCs/>
          <w:color w:val="auto"/>
          <w:kern w:val="2"/>
          <w:sz w:val="24"/>
          <w:szCs w:val="24"/>
          <w:highlight w:val="none"/>
          <w:lang w:val="en-US" w:eastAsia="zh-CN"/>
        </w:rPr>
        <w:t>（六）管理考核办法</w:t>
      </w:r>
    </w:p>
    <w:p w14:paraId="3BDF1448">
      <w:pPr>
        <w:keepNext w:val="0"/>
        <w:keepLines w:val="0"/>
        <w:pageBreakBefore w:val="0"/>
        <w:widowControl w:val="0"/>
        <w:kinsoku/>
        <w:wordWrap/>
        <w:overflowPunct/>
        <w:topLinePunct w:val="0"/>
        <w:autoSpaceDE/>
        <w:autoSpaceDN/>
        <w:bidi w:val="0"/>
        <w:adjustRightInd/>
        <w:spacing w:line="360" w:lineRule="auto"/>
        <w:ind w:firstLine="484" w:firstLineChars="202"/>
        <w:jc w:val="left"/>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 xml:space="preserve">1.基于使用方与中标方在管理制度各项要求和标准进行充分沟通共同确认的前提下，在服务期限内使用人对中标人实行每月进行一次考核（考核内容见附件1：《平台服务质量考评表》）。 </w:t>
      </w:r>
    </w:p>
    <w:p w14:paraId="403BEB0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sz w:val="24"/>
          <w:szCs w:val="24"/>
          <w:lang w:val="en-US" w:eastAsia="zh-Hans"/>
        </w:rPr>
        <w:t>考核范围和方式：对中标人的合同执行情况、品质保障、配送要求、公司管理规范等项由专人进行评分考核</w:t>
      </w:r>
      <w:r>
        <w:rPr>
          <w:rFonts w:hint="eastAsia" w:ascii="宋体" w:hAnsi="宋体" w:eastAsia="宋体" w:cs="宋体"/>
          <w:color w:val="auto"/>
          <w:sz w:val="24"/>
          <w:szCs w:val="24"/>
          <w:lang w:val="en-US" w:eastAsia="zh-CN"/>
        </w:rPr>
        <w:t>，考核</w:t>
      </w:r>
      <w:r>
        <w:rPr>
          <w:rFonts w:hint="eastAsia" w:ascii="宋体" w:hAnsi="宋体" w:eastAsia="宋体" w:cs="宋体"/>
          <w:color w:val="auto"/>
          <w:sz w:val="24"/>
          <w:szCs w:val="24"/>
          <w:lang w:val="en-US" w:eastAsia="zh-Hans"/>
        </w:rPr>
        <w:t>结果以采购</w:t>
      </w:r>
      <w:r>
        <w:rPr>
          <w:rFonts w:hint="eastAsia" w:ascii="宋体" w:hAnsi="宋体" w:eastAsia="宋体" w:cs="宋体"/>
          <w:color w:val="auto"/>
          <w:kern w:val="0"/>
          <w:sz w:val="24"/>
          <w:szCs w:val="24"/>
          <w:lang w:val="en-US" w:eastAsia="zh-Hans"/>
        </w:rPr>
        <w:t>人书面确认为最终依据</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Hans"/>
        </w:rPr>
        <w:t>中标人</w:t>
      </w:r>
      <w:r>
        <w:rPr>
          <w:rFonts w:hint="eastAsia" w:ascii="宋体" w:hAnsi="宋体" w:eastAsia="宋体" w:cs="宋体"/>
          <w:color w:val="auto"/>
          <w:kern w:val="0"/>
          <w:sz w:val="24"/>
          <w:szCs w:val="24"/>
          <w:lang w:val="en-US" w:eastAsia="zh-CN"/>
        </w:rPr>
        <w:t>可提出</w:t>
      </w:r>
      <w:r>
        <w:rPr>
          <w:rFonts w:hint="eastAsia" w:ascii="宋体" w:hAnsi="宋体" w:eastAsia="宋体" w:cs="宋体"/>
          <w:color w:val="auto"/>
          <w:kern w:val="0"/>
          <w:sz w:val="24"/>
          <w:szCs w:val="24"/>
          <w:lang w:val="en-US" w:eastAsia="zh-Hans"/>
        </w:rPr>
        <w:t>异议</w:t>
      </w:r>
      <w:r>
        <w:rPr>
          <w:rFonts w:hint="eastAsia" w:ascii="宋体" w:hAnsi="宋体" w:eastAsia="宋体" w:cs="宋体"/>
          <w:color w:val="auto"/>
          <w:kern w:val="0"/>
          <w:sz w:val="24"/>
          <w:szCs w:val="24"/>
          <w:lang w:val="en-US" w:eastAsia="zh-CN"/>
        </w:rPr>
        <w:t>进行申诉。</w:t>
      </w:r>
    </w:p>
    <w:p w14:paraId="2CA1DFE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3.中标人第一次综合考核得分低于85分（含）的，保留其服务资格，采购人方对其提出整改要求，中标人应当及时完成整改并通过采购人验收。</w:t>
      </w:r>
    </w:p>
    <w:p w14:paraId="037DC1CC">
      <w:pPr>
        <w:keepNext w:val="0"/>
        <w:keepLines w:val="0"/>
        <w:pageBreakBefore w:val="0"/>
        <w:widowControl w:val="0"/>
        <w:kinsoku/>
        <w:wordWrap/>
        <w:overflowPunct/>
        <w:topLinePunct w:val="0"/>
        <w:autoSpaceDE/>
        <w:autoSpaceDN/>
        <w:bidi w:val="0"/>
        <w:adjustRightInd/>
        <w:spacing w:line="360" w:lineRule="auto"/>
        <w:ind w:firstLine="484" w:firstLineChars="202"/>
        <w:jc w:val="left"/>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 xml:space="preserve">4.中标人有连续3个月度综合考核得分均低于85分（含）的，采购人有权终止合同并取消其服务资格。另外采购人如发现中标人有如下行为之一的，即时取消服务资格，情节严重的还将依法追究其法律责任： </w:t>
      </w:r>
    </w:p>
    <w:p w14:paraId="29F2129F">
      <w:pPr>
        <w:keepNext w:val="0"/>
        <w:keepLines w:val="0"/>
        <w:pageBreakBefore w:val="0"/>
        <w:widowControl w:val="0"/>
        <w:kinsoku/>
        <w:wordWrap/>
        <w:overflowPunct/>
        <w:topLinePunct w:val="0"/>
        <w:autoSpaceDE/>
        <w:autoSpaceDN/>
        <w:bidi w:val="0"/>
        <w:adjustRightInd/>
        <w:spacing w:line="360" w:lineRule="auto"/>
        <w:ind w:firstLine="484" w:firstLineChars="202"/>
        <w:jc w:val="left"/>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 xml:space="preserve">（1）有弄虚作假行为的，如提供假证照、供应假冒伪劣产品等。 </w:t>
      </w:r>
    </w:p>
    <w:p w14:paraId="210F435C">
      <w:pPr>
        <w:keepNext w:val="0"/>
        <w:keepLines w:val="0"/>
        <w:pageBreakBefore w:val="0"/>
        <w:widowControl w:val="0"/>
        <w:kinsoku/>
        <w:wordWrap/>
        <w:overflowPunct/>
        <w:topLinePunct w:val="0"/>
        <w:autoSpaceDE/>
        <w:autoSpaceDN/>
        <w:bidi w:val="0"/>
        <w:adjustRightInd/>
        <w:spacing w:line="360" w:lineRule="auto"/>
        <w:ind w:firstLine="484" w:firstLineChars="202"/>
        <w:jc w:val="left"/>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 xml:space="preserve">（2）整改时间结束后仍未达到整改要求的。 </w:t>
      </w:r>
    </w:p>
    <w:p w14:paraId="5604BA5C">
      <w:pPr>
        <w:keepNext w:val="0"/>
        <w:keepLines w:val="0"/>
        <w:pageBreakBefore w:val="0"/>
        <w:widowControl w:val="0"/>
        <w:kinsoku/>
        <w:wordWrap/>
        <w:overflowPunct/>
        <w:topLinePunct w:val="0"/>
        <w:autoSpaceDE/>
        <w:autoSpaceDN/>
        <w:bidi w:val="0"/>
        <w:adjustRightInd/>
        <w:spacing w:line="360" w:lineRule="auto"/>
        <w:ind w:firstLine="484" w:firstLineChars="202"/>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（3）不能在约定时间内提供合法票据进行结算的。</w:t>
      </w:r>
    </w:p>
    <w:p w14:paraId="442A1B5E">
      <w:pPr>
        <w:spacing w:line="360" w:lineRule="auto"/>
        <w:ind w:left="0" w:leftChars="0"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Hans"/>
        </w:rPr>
        <w:t>5.若因中标人食材导致食品安全事故（如中毒、群体性事件等），视为考核不合格，采购人有权解除合同，中标人需承担全部医疗、赔偿、事故处理费、行政处罚费用及采购人的实际损失</w:t>
      </w:r>
      <w:r>
        <w:rPr>
          <w:rFonts w:hint="eastAsia" w:ascii="宋体" w:hAnsi="宋体" w:eastAsia="宋体" w:cs="宋体"/>
          <w:color w:val="auto"/>
          <w:sz w:val="24"/>
          <w:szCs w:val="24"/>
          <w:lang w:val="en-US" w:eastAsia="zh-CN"/>
        </w:rPr>
        <w:t>。</w:t>
      </w:r>
    </w:p>
    <w:p w14:paraId="4B5B3F5D">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4CE97F36">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68F4ABFD">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265F25EF">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395BA45B">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1AD714D8">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6BF8CD6C">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772DCEA3">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30859748">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5A5BE12E">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6A5CFDC4">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44DAE13A">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2C6974EE">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4890A16F">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351821ED">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p>
    <w:p w14:paraId="7C87DF0C">
      <w:pPr>
        <w:autoSpaceDE w:val="0"/>
        <w:autoSpaceDN w:val="0"/>
        <w:adjustRightInd w:val="0"/>
        <w:spacing w:line="360" w:lineRule="auto"/>
        <w:ind w:firstLine="487" w:firstLineChars="202"/>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附件1：《平台服务质量考评表》</w:t>
      </w:r>
    </w:p>
    <w:tbl>
      <w:tblPr>
        <w:tblStyle w:val="26"/>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42"/>
        <w:gridCol w:w="788"/>
        <w:gridCol w:w="5319"/>
        <w:gridCol w:w="741"/>
        <w:gridCol w:w="881"/>
      </w:tblGrid>
      <w:tr w14:paraId="25C7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1" w:type="dxa"/>
            <w:tcMar>
              <w:top w:w="0" w:type="dxa"/>
              <w:left w:w="105" w:type="dxa"/>
              <w:bottom w:w="0" w:type="dxa"/>
              <w:right w:w="105" w:type="dxa"/>
            </w:tcMar>
            <w:vAlign w:val="top"/>
          </w:tcPr>
          <w:p w14:paraId="65433206">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auto"/>
                <w:kern w:val="0"/>
                <w:sz w:val="24"/>
                <w:szCs w:val="24"/>
                <w:u w:val="none"/>
                <w:lang w:val="en-US" w:eastAsia="zh-Hans" w:bidi="ar"/>
              </w:rPr>
            </w:pPr>
            <w:r>
              <w:rPr>
                <w:rFonts w:hint="eastAsia" w:ascii="宋体" w:hAnsi="宋体" w:eastAsia="宋体" w:cs="宋体"/>
                <w:b/>
                <w:bCs/>
                <w:i w:val="0"/>
                <w:iCs w:val="0"/>
                <w:color w:val="auto"/>
                <w:kern w:val="0"/>
                <w:sz w:val="24"/>
                <w:szCs w:val="24"/>
                <w:u w:val="none"/>
                <w:lang w:val="en-US" w:eastAsia="zh-Hans" w:bidi="ar"/>
              </w:rPr>
              <w:t>序号</w:t>
            </w:r>
          </w:p>
        </w:tc>
        <w:tc>
          <w:tcPr>
            <w:tcW w:w="1242" w:type="dxa"/>
            <w:tcMar>
              <w:top w:w="0" w:type="dxa"/>
              <w:left w:w="105" w:type="dxa"/>
              <w:bottom w:w="0" w:type="dxa"/>
              <w:right w:w="105" w:type="dxa"/>
            </w:tcMar>
            <w:vAlign w:val="top"/>
          </w:tcPr>
          <w:p w14:paraId="37A1D9B2">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auto"/>
                <w:kern w:val="0"/>
                <w:sz w:val="24"/>
                <w:szCs w:val="24"/>
                <w:u w:val="none"/>
                <w:lang w:val="en-US" w:eastAsia="zh-Hans" w:bidi="ar"/>
              </w:rPr>
            </w:pPr>
            <w:r>
              <w:rPr>
                <w:rFonts w:hint="eastAsia" w:ascii="宋体" w:hAnsi="宋体" w:eastAsia="宋体" w:cs="宋体"/>
                <w:b/>
                <w:bCs/>
                <w:i w:val="0"/>
                <w:iCs w:val="0"/>
                <w:color w:val="auto"/>
                <w:kern w:val="0"/>
                <w:sz w:val="24"/>
                <w:szCs w:val="24"/>
                <w:u w:val="none"/>
                <w:lang w:val="en-US" w:eastAsia="zh-Hans" w:bidi="ar"/>
              </w:rPr>
              <w:t>考核指标</w:t>
            </w:r>
          </w:p>
        </w:tc>
        <w:tc>
          <w:tcPr>
            <w:tcW w:w="788" w:type="dxa"/>
            <w:tcMar>
              <w:top w:w="0" w:type="dxa"/>
              <w:left w:w="105" w:type="dxa"/>
              <w:bottom w:w="0" w:type="dxa"/>
              <w:right w:w="105" w:type="dxa"/>
            </w:tcMar>
            <w:vAlign w:val="top"/>
          </w:tcPr>
          <w:p w14:paraId="3B2B7DDF">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auto"/>
                <w:kern w:val="0"/>
                <w:sz w:val="24"/>
                <w:szCs w:val="24"/>
                <w:u w:val="none"/>
                <w:lang w:val="en-US" w:eastAsia="zh-Hans" w:bidi="ar"/>
              </w:rPr>
            </w:pPr>
            <w:r>
              <w:rPr>
                <w:rFonts w:hint="eastAsia" w:ascii="宋体" w:hAnsi="宋体" w:eastAsia="宋体" w:cs="宋体"/>
                <w:b/>
                <w:bCs/>
                <w:i w:val="0"/>
                <w:iCs w:val="0"/>
                <w:color w:val="auto"/>
                <w:kern w:val="0"/>
                <w:sz w:val="24"/>
                <w:szCs w:val="24"/>
                <w:u w:val="none"/>
                <w:lang w:val="en-US" w:eastAsia="zh-Hans" w:bidi="ar"/>
              </w:rPr>
              <w:t>分值</w:t>
            </w:r>
          </w:p>
        </w:tc>
        <w:tc>
          <w:tcPr>
            <w:tcW w:w="5319" w:type="dxa"/>
            <w:tcMar>
              <w:top w:w="0" w:type="dxa"/>
              <w:left w:w="105" w:type="dxa"/>
              <w:bottom w:w="0" w:type="dxa"/>
              <w:right w:w="105" w:type="dxa"/>
            </w:tcMar>
            <w:vAlign w:val="top"/>
          </w:tcPr>
          <w:p w14:paraId="1C1DC289">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auto"/>
                <w:kern w:val="0"/>
                <w:sz w:val="24"/>
                <w:szCs w:val="24"/>
                <w:u w:val="none"/>
                <w:lang w:val="en-US" w:eastAsia="zh-Hans" w:bidi="ar"/>
              </w:rPr>
            </w:pPr>
            <w:r>
              <w:rPr>
                <w:rFonts w:hint="eastAsia" w:ascii="宋体" w:hAnsi="宋体" w:eastAsia="宋体" w:cs="宋体"/>
                <w:b/>
                <w:bCs/>
                <w:i w:val="0"/>
                <w:iCs w:val="0"/>
                <w:color w:val="auto"/>
                <w:kern w:val="0"/>
                <w:sz w:val="24"/>
                <w:szCs w:val="24"/>
                <w:u w:val="none"/>
                <w:lang w:val="en-US" w:eastAsia="zh-Hans" w:bidi="ar"/>
              </w:rPr>
              <w:t>考核要素和评估内容及其标准</w:t>
            </w:r>
          </w:p>
        </w:tc>
        <w:tc>
          <w:tcPr>
            <w:tcW w:w="741" w:type="dxa"/>
            <w:tcMar>
              <w:top w:w="0" w:type="dxa"/>
              <w:left w:w="105" w:type="dxa"/>
              <w:bottom w:w="0" w:type="dxa"/>
              <w:right w:w="105" w:type="dxa"/>
            </w:tcMar>
            <w:vAlign w:val="top"/>
          </w:tcPr>
          <w:p w14:paraId="5146F07E">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auto"/>
                <w:kern w:val="0"/>
                <w:sz w:val="24"/>
                <w:szCs w:val="24"/>
                <w:u w:val="none"/>
                <w:lang w:val="en-US" w:eastAsia="zh-Hans" w:bidi="ar"/>
              </w:rPr>
            </w:pPr>
            <w:r>
              <w:rPr>
                <w:rFonts w:hint="eastAsia" w:ascii="宋体" w:hAnsi="宋体" w:eastAsia="宋体" w:cs="宋体"/>
                <w:b/>
                <w:bCs/>
                <w:i w:val="0"/>
                <w:iCs w:val="0"/>
                <w:color w:val="auto"/>
                <w:kern w:val="0"/>
                <w:sz w:val="24"/>
                <w:szCs w:val="24"/>
                <w:u w:val="none"/>
                <w:lang w:val="en-US" w:eastAsia="zh-Hans" w:bidi="ar"/>
              </w:rPr>
              <w:t>分值</w:t>
            </w:r>
          </w:p>
        </w:tc>
        <w:tc>
          <w:tcPr>
            <w:tcW w:w="881" w:type="dxa"/>
            <w:tcMar>
              <w:top w:w="0" w:type="dxa"/>
              <w:left w:w="105" w:type="dxa"/>
              <w:bottom w:w="0" w:type="dxa"/>
              <w:right w:w="105" w:type="dxa"/>
            </w:tcMar>
            <w:vAlign w:val="top"/>
          </w:tcPr>
          <w:p w14:paraId="1CE2D673">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备注</w:t>
            </w:r>
          </w:p>
        </w:tc>
      </w:tr>
      <w:tr w14:paraId="1194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841" w:type="dxa"/>
            <w:tcMar>
              <w:top w:w="0" w:type="dxa"/>
              <w:left w:w="105" w:type="dxa"/>
              <w:bottom w:w="0" w:type="dxa"/>
              <w:right w:w="105" w:type="dxa"/>
            </w:tcMar>
            <w:vAlign w:val="center"/>
          </w:tcPr>
          <w:p w14:paraId="4F38C788">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w:t>
            </w:r>
          </w:p>
        </w:tc>
        <w:tc>
          <w:tcPr>
            <w:tcW w:w="1242" w:type="dxa"/>
            <w:tcMar>
              <w:top w:w="0" w:type="dxa"/>
              <w:left w:w="105" w:type="dxa"/>
              <w:bottom w:w="0" w:type="dxa"/>
              <w:right w:w="105" w:type="dxa"/>
            </w:tcMar>
            <w:vAlign w:val="center"/>
          </w:tcPr>
          <w:p w14:paraId="424D8D82">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送货时间</w:t>
            </w:r>
          </w:p>
        </w:tc>
        <w:tc>
          <w:tcPr>
            <w:tcW w:w="788" w:type="dxa"/>
            <w:tcMar>
              <w:top w:w="0" w:type="dxa"/>
              <w:left w:w="105" w:type="dxa"/>
              <w:bottom w:w="0" w:type="dxa"/>
              <w:right w:w="105" w:type="dxa"/>
            </w:tcMar>
            <w:vAlign w:val="center"/>
          </w:tcPr>
          <w:p w14:paraId="5DECB7D1">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8</w:t>
            </w:r>
          </w:p>
        </w:tc>
        <w:tc>
          <w:tcPr>
            <w:tcW w:w="5319" w:type="dxa"/>
            <w:tcMar>
              <w:top w:w="0" w:type="dxa"/>
              <w:left w:w="105" w:type="dxa"/>
              <w:bottom w:w="0" w:type="dxa"/>
              <w:right w:w="105" w:type="dxa"/>
            </w:tcMar>
            <w:vAlign w:val="top"/>
          </w:tcPr>
          <w:p w14:paraId="4A57EF01">
            <w:pPr>
              <w:spacing w:line="360" w:lineRule="auto"/>
              <w:ind w:left="0" w:leftChars="0" w:firstLine="0" w:firstLineChars="0"/>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无特殊情况</w:t>
            </w:r>
            <w:r>
              <w:rPr>
                <w:rFonts w:hint="eastAsia" w:ascii="宋体" w:hAnsi="宋体" w:eastAsia="宋体" w:cs="宋体"/>
                <w:color w:val="auto"/>
                <w:sz w:val="24"/>
                <w:szCs w:val="24"/>
                <w:lang w:val="en-US" w:eastAsia="zh-Hans"/>
              </w:rPr>
              <w:t>：准时得8分；每迟到</w:t>
            </w:r>
            <w:r>
              <w:rPr>
                <w:rFonts w:hint="eastAsia" w:ascii="宋体" w:hAnsi="宋体" w:eastAsia="宋体" w:cs="宋体"/>
                <w:color w:val="auto"/>
                <w:sz w:val="24"/>
                <w:szCs w:val="24"/>
                <w:lang w:val="en-US" w:eastAsia="zh-CN"/>
              </w:rPr>
              <w:t>15</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25分钟</w:t>
            </w:r>
            <w:r>
              <w:rPr>
                <w:rFonts w:hint="eastAsia" w:ascii="宋体" w:hAnsi="宋体" w:eastAsia="宋体" w:cs="宋体"/>
                <w:color w:val="auto"/>
                <w:sz w:val="24"/>
                <w:szCs w:val="24"/>
                <w:lang w:val="en-US" w:eastAsia="zh-Hans"/>
              </w:rPr>
              <w:t>（含）的一次扣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Hans"/>
              </w:rPr>
              <w:t>分；迟到</w:t>
            </w:r>
            <w:r>
              <w:rPr>
                <w:rFonts w:hint="eastAsia" w:ascii="宋体" w:hAnsi="宋体" w:eastAsia="宋体" w:cs="宋体"/>
                <w:color w:val="auto"/>
                <w:sz w:val="24"/>
                <w:szCs w:val="24"/>
                <w:lang w:val="en-US" w:eastAsia="zh-CN"/>
              </w:rPr>
              <w:t>25</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lang w:val="en-US" w:eastAsia="zh-Hans"/>
              </w:rPr>
              <w:t>分钟</w:t>
            </w:r>
            <w:r>
              <w:rPr>
                <w:rFonts w:hint="eastAsia" w:ascii="宋体" w:hAnsi="宋体" w:eastAsia="宋体" w:cs="宋体"/>
                <w:color w:val="auto"/>
                <w:sz w:val="24"/>
                <w:szCs w:val="24"/>
                <w:lang w:val="en-US" w:eastAsia="zh-CN"/>
              </w:rPr>
              <w:t>（含）</w:t>
            </w:r>
            <w:r>
              <w:rPr>
                <w:rFonts w:hint="eastAsia" w:ascii="宋体" w:hAnsi="宋体" w:eastAsia="宋体" w:cs="宋体"/>
                <w:color w:val="auto"/>
                <w:sz w:val="24"/>
                <w:szCs w:val="24"/>
                <w:lang w:val="en-US" w:eastAsia="zh-Hans"/>
              </w:rPr>
              <w:t>的一次扣</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Hans"/>
              </w:rPr>
              <w:t>分；迟到</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lang w:val="en-US" w:eastAsia="zh-Hans"/>
              </w:rPr>
              <w:t>分钟以上一次扣8分。</w:t>
            </w:r>
          </w:p>
        </w:tc>
        <w:tc>
          <w:tcPr>
            <w:tcW w:w="741" w:type="dxa"/>
            <w:tcMar>
              <w:top w:w="0" w:type="dxa"/>
              <w:left w:w="105" w:type="dxa"/>
              <w:bottom w:w="0" w:type="dxa"/>
              <w:right w:w="105" w:type="dxa"/>
            </w:tcMar>
            <w:vAlign w:val="top"/>
          </w:tcPr>
          <w:p w14:paraId="0BBFFD58">
            <w:pPr>
              <w:spacing w:line="360" w:lineRule="auto"/>
              <w:ind w:left="0" w:leftChars="0" w:firstLine="0" w:firstLineChars="0"/>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404259A0">
            <w:pPr>
              <w:spacing w:line="360" w:lineRule="auto"/>
              <w:ind w:left="0" w:leftChars="0" w:firstLine="0" w:firstLineChars="0"/>
              <w:jc w:val="center"/>
              <w:rPr>
                <w:rFonts w:hint="eastAsia" w:ascii="宋体" w:hAnsi="宋体" w:eastAsia="宋体" w:cs="宋体"/>
                <w:color w:val="auto"/>
                <w:sz w:val="24"/>
                <w:szCs w:val="24"/>
                <w:lang w:val="en-US" w:eastAsia="zh-CN"/>
              </w:rPr>
            </w:pPr>
          </w:p>
        </w:tc>
      </w:tr>
      <w:tr w14:paraId="36EE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41" w:type="dxa"/>
            <w:tcMar>
              <w:top w:w="0" w:type="dxa"/>
              <w:left w:w="105" w:type="dxa"/>
              <w:bottom w:w="0" w:type="dxa"/>
              <w:right w:w="105" w:type="dxa"/>
            </w:tcMar>
            <w:vAlign w:val="center"/>
          </w:tcPr>
          <w:p w14:paraId="25C130BC">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2</w:t>
            </w:r>
          </w:p>
        </w:tc>
        <w:tc>
          <w:tcPr>
            <w:tcW w:w="1242" w:type="dxa"/>
            <w:tcMar>
              <w:top w:w="0" w:type="dxa"/>
              <w:left w:w="105" w:type="dxa"/>
              <w:bottom w:w="0" w:type="dxa"/>
              <w:right w:w="105" w:type="dxa"/>
            </w:tcMar>
            <w:vAlign w:val="center"/>
          </w:tcPr>
          <w:p w14:paraId="362788F7">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服务态度</w:t>
            </w:r>
          </w:p>
        </w:tc>
        <w:tc>
          <w:tcPr>
            <w:tcW w:w="788" w:type="dxa"/>
            <w:tcMar>
              <w:top w:w="0" w:type="dxa"/>
              <w:left w:w="105" w:type="dxa"/>
              <w:bottom w:w="0" w:type="dxa"/>
              <w:right w:w="105" w:type="dxa"/>
            </w:tcMar>
            <w:vAlign w:val="center"/>
          </w:tcPr>
          <w:p w14:paraId="0F4D77A0">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6</w:t>
            </w:r>
          </w:p>
        </w:tc>
        <w:tc>
          <w:tcPr>
            <w:tcW w:w="5319" w:type="dxa"/>
            <w:tcMar>
              <w:top w:w="0" w:type="dxa"/>
              <w:left w:w="105" w:type="dxa"/>
              <w:bottom w:w="0" w:type="dxa"/>
              <w:right w:w="105" w:type="dxa"/>
            </w:tcMar>
            <w:vAlign w:val="top"/>
          </w:tcPr>
          <w:p w14:paraId="62D9D598">
            <w:pPr>
              <w:spacing w:line="360" w:lineRule="auto"/>
              <w:ind w:left="0" w:leftChars="0" w:firstLine="0" w:firstLineChars="0"/>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工作人员工作认真，服务热情周到，运送搬装态度文明得6分；发现因搬装等原因造成食物污染、破损的一次扣2分，直至扣完为止。</w:t>
            </w:r>
          </w:p>
        </w:tc>
        <w:tc>
          <w:tcPr>
            <w:tcW w:w="741" w:type="dxa"/>
            <w:tcMar>
              <w:top w:w="0" w:type="dxa"/>
              <w:left w:w="105" w:type="dxa"/>
              <w:bottom w:w="0" w:type="dxa"/>
              <w:right w:w="105" w:type="dxa"/>
            </w:tcMar>
            <w:vAlign w:val="top"/>
          </w:tcPr>
          <w:p w14:paraId="67F0B8DD">
            <w:pPr>
              <w:spacing w:line="360" w:lineRule="auto"/>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0A7F0BF3">
            <w:pPr>
              <w:spacing w:line="360" w:lineRule="auto"/>
              <w:jc w:val="center"/>
              <w:rPr>
                <w:rFonts w:hint="eastAsia" w:ascii="宋体" w:hAnsi="宋体" w:eastAsia="宋体" w:cs="宋体"/>
                <w:color w:val="auto"/>
                <w:sz w:val="24"/>
                <w:szCs w:val="24"/>
                <w:lang w:val="en-US" w:eastAsia="zh-CN"/>
              </w:rPr>
            </w:pPr>
          </w:p>
        </w:tc>
      </w:tr>
      <w:tr w14:paraId="3ADA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1" w:type="dxa"/>
            <w:tcMar>
              <w:top w:w="0" w:type="dxa"/>
              <w:left w:w="105" w:type="dxa"/>
              <w:bottom w:w="0" w:type="dxa"/>
              <w:right w:w="105" w:type="dxa"/>
            </w:tcMar>
            <w:vAlign w:val="center"/>
          </w:tcPr>
          <w:p w14:paraId="0B238300">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3</w:t>
            </w:r>
          </w:p>
        </w:tc>
        <w:tc>
          <w:tcPr>
            <w:tcW w:w="1242" w:type="dxa"/>
            <w:tcMar>
              <w:top w:w="0" w:type="dxa"/>
              <w:left w:w="105" w:type="dxa"/>
              <w:bottom w:w="0" w:type="dxa"/>
              <w:right w:w="105" w:type="dxa"/>
            </w:tcMar>
            <w:vAlign w:val="center"/>
          </w:tcPr>
          <w:p w14:paraId="4A730EEE">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差错情况</w:t>
            </w:r>
          </w:p>
        </w:tc>
        <w:tc>
          <w:tcPr>
            <w:tcW w:w="788" w:type="dxa"/>
            <w:tcMar>
              <w:top w:w="0" w:type="dxa"/>
              <w:left w:w="105" w:type="dxa"/>
              <w:bottom w:w="0" w:type="dxa"/>
              <w:right w:w="105" w:type="dxa"/>
            </w:tcMar>
            <w:vAlign w:val="center"/>
          </w:tcPr>
          <w:p w14:paraId="4E3602D5">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10</w:t>
            </w:r>
          </w:p>
        </w:tc>
        <w:tc>
          <w:tcPr>
            <w:tcW w:w="5319" w:type="dxa"/>
            <w:tcMar>
              <w:top w:w="0" w:type="dxa"/>
              <w:left w:w="105" w:type="dxa"/>
              <w:bottom w:w="0" w:type="dxa"/>
              <w:right w:w="105" w:type="dxa"/>
            </w:tcMar>
            <w:vAlign w:val="top"/>
          </w:tcPr>
          <w:p w14:paraId="64FB7891">
            <w:pPr>
              <w:spacing w:line="360" w:lineRule="auto"/>
              <w:ind w:left="0" w:leftChars="0" w:firstLine="0" w:firstLineChars="0"/>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送货无差错得10分；每出一次差错的扣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Hans"/>
              </w:rPr>
              <w:t>分，直至扣完为止。</w:t>
            </w:r>
          </w:p>
        </w:tc>
        <w:tc>
          <w:tcPr>
            <w:tcW w:w="741" w:type="dxa"/>
            <w:tcMar>
              <w:top w:w="0" w:type="dxa"/>
              <w:left w:w="105" w:type="dxa"/>
              <w:bottom w:w="0" w:type="dxa"/>
              <w:right w:w="105" w:type="dxa"/>
            </w:tcMar>
            <w:vAlign w:val="top"/>
          </w:tcPr>
          <w:p w14:paraId="1B39ED95">
            <w:pPr>
              <w:spacing w:line="360" w:lineRule="auto"/>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517F7099">
            <w:pPr>
              <w:spacing w:line="360" w:lineRule="auto"/>
              <w:jc w:val="center"/>
              <w:rPr>
                <w:rFonts w:hint="eastAsia" w:ascii="宋体" w:hAnsi="宋体" w:eastAsia="宋体" w:cs="宋体"/>
                <w:color w:val="auto"/>
                <w:sz w:val="24"/>
                <w:szCs w:val="24"/>
                <w:lang w:val="en-US" w:eastAsia="zh-Hans"/>
              </w:rPr>
            </w:pPr>
          </w:p>
        </w:tc>
      </w:tr>
      <w:tr w14:paraId="4736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tcMar>
              <w:top w:w="0" w:type="dxa"/>
              <w:left w:w="105" w:type="dxa"/>
              <w:bottom w:w="0" w:type="dxa"/>
              <w:right w:w="105" w:type="dxa"/>
            </w:tcMar>
            <w:vAlign w:val="center"/>
          </w:tcPr>
          <w:p w14:paraId="346189A0">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4</w:t>
            </w:r>
          </w:p>
        </w:tc>
        <w:tc>
          <w:tcPr>
            <w:tcW w:w="1242" w:type="dxa"/>
            <w:tcMar>
              <w:top w:w="0" w:type="dxa"/>
              <w:left w:w="105" w:type="dxa"/>
              <w:bottom w:w="0" w:type="dxa"/>
              <w:right w:w="105" w:type="dxa"/>
            </w:tcMar>
            <w:vAlign w:val="center"/>
          </w:tcPr>
          <w:p w14:paraId="7629A7C0">
            <w:pPr>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配送</w:t>
            </w:r>
            <w:r>
              <w:rPr>
                <w:rFonts w:hint="eastAsia" w:ascii="宋体" w:hAnsi="宋体" w:eastAsia="宋体" w:cs="宋体"/>
                <w:color w:val="auto"/>
                <w:sz w:val="24"/>
                <w:szCs w:val="24"/>
                <w:lang w:val="en-US" w:eastAsia="zh-CN"/>
              </w:rPr>
              <w:t>要求</w:t>
            </w:r>
          </w:p>
        </w:tc>
        <w:tc>
          <w:tcPr>
            <w:tcW w:w="788" w:type="dxa"/>
            <w:tcMar>
              <w:top w:w="0" w:type="dxa"/>
              <w:left w:w="105" w:type="dxa"/>
              <w:bottom w:w="0" w:type="dxa"/>
              <w:right w:w="105" w:type="dxa"/>
            </w:tcMar>
            <w:vAlign w:val="center"/>
          </w:tcPr>
          <w:p w14:paraId="167E2503">
            <w:pPr>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5319" w:type="dxa"/>
            <w:tcMar>
              <w:top w:w="0" w:type="dxa"/>
              <w:left w:w="105" w:type="dxa"/>
              <w:bottom w:w="0" w:type="dxa"/>
              <w:right w:w="105" w:type="dxa"/>
            </w:tcMar>
            <w:vAlign w:val="top"/>
          </w:tcPr>
          <w:p w14:paraId="3D3F9542">
            <w:pPr>
              <w:spacing w:line="360" w:lineRule="auto"/>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配送车辆、实际运输不符合招标文件及合同约定的，每次扣分4分，直至扣完为止。</w:t>
            </w:r>
          </w:p>
        </w:tc>
        <w:tc>
          <w:tcPr>
            <w:tcW w:w="741" w:type="dxa"/>
            <w:tcMar>
              <w:top w:w="0" w:type="dxa"/>
              <w:left w:w="105" w:type="dxa"/>
              <w:bottom w:w="0" w:type="dxa"/>
              <w:right w:w="105" w:type="dxa"/>
            </w:tcMar>
            <w:vAlign w:val="top"/>
          </w:tcPr>
          <w:p w14:paraId="277E5461">
            <w:pPr>
              <w:spacing w:line="360" w:lineRule="auto"/>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72535688">
            <w:pPr>
              <w:spacing w:line="360" w:lineRule="auto"/>
              <w:jc w:val="center"/>
              <w:rPr>
                <w:rFonts w:hint="eastAsia" w:ascii="宋体" w:hAnsi="宋体" w:eastAsia="宋体" w:cs="宋体"/>
                <w:color w:val="auto"/>
                <w:sz w:val="24"/>
                <w:szCs w:val="24"/>
                <w:lang w:val="en-US" w:eastAsia="zh-Hans"/>
              </w:rPr>
            </w:pPr>
          </w:p>
        </w:tc>
      </w:tr>
      <w:tr w14:paraId="38E9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41" w:type="dxa"/>
            <w:tcMar>
              <w:top w:w="0" w:type="dxa"/>
              <w:left w:w="105" w:type="dxa"/>
              <w:bottom w:w="0" w:type="dxa"/>
              <w:right w:w="105" w:type="dxa"/>
            </w:tcMar>
            <w:vAlign w:val="center"/>
          </w:tcPr>
          <w:p w14:paraId="59B49957">
            <w:pPr>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42" w:type="dxa"/>
            <w:tcMar>
              <w:top w:w="0" w:type="dxa"/>
              <w:left w:w="105" w:type="dxa"/>
              <w:bottom w:w="0" w:type="dxa"/>
              <w:right w:w="105" w:type="dxa"/>
            </w:tcMar>
            <w:vAlign w:val="center"/>
          </w:tcPr>
          <w:p w14:paraId="37C11BEB">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货品质量</w:t>
            </w:r>
          </w:p>
        </w:tc>
        <w:tc>
          <w:tcPr>
            <w:tcW w:w="788" w:type="dxa"/>
            <w:tcMar>
              <w:top w:w="0" w:type="dxa"/>
              <w:left w:w="105" w:type="dxa"/>
              <w:bottom w:w="0" w:type="dxa"/>
              <w:right w:w="105" w:type="dxa"/>
            </w:tcMar>
            <w:vAlign w:val="center"/>
          </w:tcPr>
          <w:p w14:paraId="65A65304">
            <w:pPr>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2</w:t>
            </w:r>
            <w:r>
              <w:rPr>
                <w:rFonts w:hint="eastAsia" w:ascii="宋体" w:hAnsi="宋体" w:eastAsia="宋体" w:cs="宋体"/>
                <w:color w:val="auto"/>
                <w:sz w:val="24"/>
                <w:szCs w:val="24"/>
                <w:lang w:val="en-US" w:eastAsia="zh-CN"/>
              </w:rPr>
              <w:t>4</w:t>
            </w:r>
          </w:p>
        </w:tc>
        <w:tc>
          <w:tcPr>
            <w:tcW w:w="5319" w:type="dxa"/>
            <w:tcMar>
              <w:top w:w="0" w:type="dxa"/>
              <w:left w:w="105" w:type="dxa"/>
              <w:bottom w:w="0" w:type="dxa"/>
              <w:right w:w="105" w:type="dxa"/>
            </w:tcMar>
            <w:vAlign w:val="top"/>
          </w:tcPr>
          <w:p w14:paraId="69C3ECDB">
            <w:pPr>
              <w:spacing w:line="360" w:lineRule="auto"/>
              <w:ind w:left="0" w:leftChars="0" w:firstLine="0" w:firstLineChars="0"/>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所供商品经过挑选后发货并符合质量和卫生要求的得2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Hans"/>
              </w:rPr>
              <w:t>分；发现一次商品不经挑选直接发货的扣</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Hans"/>
              </w:rPr>
              <w:t>分，直至扣完为止。</w:t>
            </w:r>
          </w:p>
        </w:tc>
        <w:tc>
          <w:tcPr>
            <w:tcW w:w="741" w:type="dxa"/>
            <w:tcMar>
              <w:top w:w="0" w:type="dxa"/>
              <w:left w:w="105" w:type="dxa"/>
              <w:bottom w:w="0" w:type="dxa"/>
              <w:right w:w="105" w:type="dxa"/>
            </w:tcMar>
            <w:vAlign w:val="top"/>
          </w:tcPr>
          <w:p w14:paraId="53BBE1E9">
            <w:pPr>
              <w:spacing w:line="360" w:lineRule="auto"/>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764FAB0D">
            <w:pPr>
              <w:spacing w:line="360" w:lineRule="auto"/>
              <w:jc w:val="center"/>
              <w:rPr>
                <w:rFonts w:hint="eastAsia" w:ascii="宋体" w:hAnsi="宋体" w:eastAsia="宋体" w:cs="宋体"/>
                <w:color w:val="auto"/>
                <w:sz w:val="24"/>
                <w:szCs w:val="24"/>
                <w:lang w:val="en-US" w:eastAsia="zh-Hans"/>
              </w:rPr>
            </w:pPr>
          </w:p>
        </w:tc>
      </w:tr>
      <w:tr w14:paraId="66D9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41" w:type="dxa"/>
            <w:tcMar>
              <w:top w:w="0" w:type="dxa"/>
              <w:left w:w="105" w:type="dxa"/>
              <w:bottom w:w="0" w:type="dxa"/>
              <w:right w:w="105" w:type="dxa"/>
            </w:tcMar>
            <w:vAlign w:val="center"/>
          </w:tcPr>
          <w:p w14:paraId="472AE293">
            <w:pPr>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42" w:type="dxa"/>
            <w:tcMar>
              <w:top w:w="0" w:type="dxa"/>
              <w:left w:w="105" w:type="dxa"/>
              <w:bottom w:w="0" w:type="dxa"/>
              <w:right w:w="105" w:type="dxa"/>
            </w:tcMar>
            <w:vAlign w:val="center"/>
          </w:tcPr>
          <w:p w14:paraId="049DF177">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品牌或规格意识</w:t>
            </w:r>
          </w:p>
        </w:tc>
        <w:tc>
          <w:tcPr>
            <w:tcW w:w="788" w:type="dxa"/>
            <w:tcMar>
              <w:top w:w="0" w:type="dxa"/>
              <w:left w:w="105" w:type="dxa"/>
              <w:bottom w:w="0" w:type="dxa"/>
              <w:right w:w="105" w:type="dxa"/>
            </w:tcMar>
            <w:vAlign w:val="center"/>
          </w:tcPr>
          <w:p w14:paraId="0B86AA9C">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8</w:t>
            </w:r>
          </w:p>
        </w:tc>
        <w:tc>
          <w:tcPr>
            <w:tcW w:w="5319" w:type="dxa"/>
            <w:tcMar>
              <w:top w:w="0" w:type="dxa"/>
              <w:left w:w="105" w:type="dxa"/>
              <w:bottom w:w="0" w:type="dxa"/>
              <w:right w:w="105" w:type="dxa"/>
            </w:tcMar>
            <w:vAlign w:val="top"/>
          </w:tcPr>
          <w:p w14:paraId="4D7CA569">
            <w:pPr>
              <w:spacing w:line="360" w:lineRule="auto"/>
              <w:ind w:left="0" w:leftChars="0" w:firstLine="0" w:firstLineChars="0"/>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无特殊情况时应按采购人发布的品牌或规格采购：无擅自更换商品品牌或规格的，得8分；发现一次的扣2分，直至扣完为止。</w:t>
            </w:r>
          </w:p>
        </w:tc>
        <w:tc>
          <w:tcPr>
            <w:tcW w:w="741" w:type="dxa"/>
            <w:tcMar>
              <w:top w:w="0" w:type="dxa"/>
              <w:left w:w="105" w:type="dxa"/>
              <w:bottom w:w="0" w:type="dxa"/>
              <w:right w:w="105" w:type="dxa"/>
            </w:tcMar>
            <w:vAlign w:val="top"/>
          </w:tcPr>
          <w:p w14:paraId="57AD2FC8">
            <w:pPr>
              <w:spacing w:line="360" w:lineRule="auto"/>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0140B825">
            <w:pPr>
              <w:spacing w:line="360" w:lineRule="auto"/>
              <w:jc w:val="center"/>
              <w:rPr>
                <w:rFonts w:hint="eastAsia" w:ascii="宋体" w:hAnsi="宋体" w:eastAsia="宋体" w:cs="宋体"/>
                <w:color w:val="auto"/>
                <w:sz w:val="24"/>
                <w:szCs w:val="24"/>
                <w:lang w:val="en-US" w:eastAsia="zh-Hans"/>
              </w:rPr>
            </w:pPr>
          </w:p>
        </w:tc>
      </w:tr>
      <w:tr w14:paraId="34FE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41" w:type="dxa"/>
            <w:tcMar>
              <w:top w:w="0" w:type="dxa"/>
              <w:left w:w="105" w:type="dxa"/>
              <w:bottom w:w="0" w:type="dxa"/>
              <w:right w:w="105" w:type="dxa"/>
            </w:tcMar>
            <w:vAlign w:val="center"/>
          </w:tcPr>
          <w:p w14:paraId="1DAEAB9A">
            <w:pPr>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42" w:type="dxa"/>
            <w:tcMar>
              <w:top w:w="0" w:type="dxa"/>
              <w:left w:w="105" w:type="dxa"/>
              <w:bottom w:w="0" w:type="dxa"/>
              <w:right w:w="105" w:type="dxa"/>
            </w:tcMar>
            <w:vAlign w:val="center"/>
          </w:tcPr>
          <w:p w14:paraId="5BA49A23">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跟踪随访</w:t>
            </w:r>
          </w:p>
        </w:tc>
        <w:tc>
          <w:tcPr>
            <w:tcW w:w="788" w:type="dxa"/>
            <w:tcMar>
              <w:top w:w="0" w:type="dxa"/>
              <w:left w:w="105" w:type="dxa"/>
              <w:bottom w:w="0" w:type="dxa"/>
              <w:right w:w="105" w:type="dxa"/>
            </w:tcMar>
            <w:vAlign w:val="center"/>
          </w:tcPr>
          <w:p w14:paraId="1560B35F">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6</w:t>
            </w:r>
          </w:p>
        </w:tc>
        <w:tc>
          <w:tcPr>
            <w:tcW w:w="5319" w:type="dxa"/>
            <w:tcMar>
              <w:top w:w="0" w:type="dxa"/>
              <w:left w:w="105" w:type="dxa"/>
              <w:bottom w:w="0" w:type="dxa"/>
              <w:right w:w="105" w:type="dxa"/>
            </w:tcMar>
            <w:vAlign w:val="top"/>
          </w:tcPr>
          <w:p w14:paraId="3660E3DB">
            <w:pPr>
              <w:spacing w:line="360" w:lineRule="auto"/>
              <w:ind w:left="0" w:leftChars="0" w:firstLine="0" w:firstLineChars="0"/>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w:t>
            </w:r>
            <w:r>
              <w:rPr>
                <w:rFonts w:hint="eastAsia" w:cs="宋体"/>
                <w:color w:val="auto"/>
                <w:sz w:val="24"/>
                <w:szCs w:val="24"/>
                <w:lang w:val="en-US" w:eastAsia="zh-CN"/>
              </w:rPr>
              <w:t>.</w:t>
            </w:r>
            <w:r>
              <w:rPr>
                <w:rFonts w:hint="eastAsia" w:ascii="宋体" w:hAnsi="宋体" w:eastAsia="宋体" w:cs="宋体"/>
                <w:color w:val="auto"/>
                <w:sz w:val="24"/>
                <w:szCs w:val="24"/>
                <w:lang w:val="en-US" w:eastAsia="zh-Hans"/>
              </w:rPr>
              <w:t>中标人每</w:t>
            </w:r>
            <w:r>
              <w:rPr>
                <w:rFonts w:hint="eastAsia" w:cs="宋体"/>
                <w:color w:val="auto"/>
                <w:sz w:val="24"/>
                <w:szCs w:val="24"/>
                <w:lang w:val="en-US" w:eastAsia="zh-CN"/>
              </w:rPr>
              <w:t>日送货前要</w:t>
            </w:r>
            <w:r>
              <w:rPr>
                <w:rFonts w:hint="eastAsia" w:ascii="宋体" w:hAnsi="宋体" w:eastAsia="宋体" w:cs="宋体"/>
                <w:color w:val="auto"/>
                <w:sz w:val="24"/>
                <w:szCs w:val="24"/>
                <w:lang w:val="en-US" w:eastAsia="zh-Hans"/>
              </w:rPr>
              <w:t>主动</w:t>
            </w:r>
            <w:r>
              <w:rPr>
                <w:rFonts w:hint="eastAsia" w:cs="宋体"/>
                <w:color w:val="auto"/>
                <w:sz w:val="24"/>
                <w:szCs w:val="24"/>
                <w:lang w:val="en-US" w:eastAsia="zh-CN"/>
              </w:rPr>
              <w:t>问询</w:t>
            </w:r>
            <w:r>
              <w:rPr>
                <w:rFonts w:hint="eastAsia" w:ascii="宋体" w:hAnsi="宋体" w:eastAsia="宋体" w:cs="宋体"/>
                <w:color w:val="auto"/>
                <w:sz w:val="24"/>
                <w:szCs w:val="24"/>
                <w:lang w:val="en-US" w:eastAsia="zh-Hans"/>
              </w:rPr>
              <w:t>饭堂</w:t>
            </w:r>
            <w:r>
              <w:rPr>
                <w:rFonts w:hint="eastAsia" w:cs="宋体"/>
                <w:color w:val="auto"/>
                <w:sz w:val="24"/>
                <w:szCs w:val="24"/>
                <w:lang w:val="en-US" w:eastAsia="zh-CN"/>
              </w:rPr>
              <w:t>前一日供货情况，</w:t>
            </w:r>
            <w:r>
              <w:rPr>
                <w:rFonts w:hint="eastAsia" w:ascii="宋体" w:hAnsi="宋体" w:eastAsia="宋体" w:cs="宋体"/>
                <w:color w:val="auto"/>
                <w:sz w:val="24"/>
                <w:szCs w:val="24"/>
                <w:lang w:val="en-US" w:eastAsia="zh-Hans"/>
              </w:rPr>
              <w:t>倾听饭堂意见，每缺席一次扣2分，直至扣完为止。</w:t>
            </w:r>
          </w:p>
          <w:p w14:paraId="66CD2752">
            <w:pPr>
              <w:spacing w:line="360" w:lineRule="auto"/>
              <w:ind w:left="0" w:leftChars="0" w:firstLine="0" w:firstLineChars="0"/>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2</w:t>
            </w:r>
            <w:r>
              <w:rPr>
                <w:rFonts w:hint="eastAsia" w:cs="宋体"/>
                <w:color w:val="auto"/>
                <w:sz w:val="24"/>
                <w:szCs w:val="24"/>
                <w:lang w:val="en-US" w:eastAsia="zh-CN"/>
              </w:rPr>
              <w:t>.</w:t>
            </w:r>
            <w:r>
              <w:rPr>
                <w:rFonts w:hint="eastAsia" w:ascii="宋体" w:hAnsi="宋体" w:eastAsia="宋体" w:cs="宋体"/>
                <w:color w:val="auto"/>
                <w:sz w:val="24"/>
                <w:szCs w:val="24"/>
                <w:lang w:val="en-US" w:eastAsia="zh-Hans"/>
              </w:rPr>
              <w:t>在供货过程中发生情况能与采购人及时联系并妥善处理，未及时处理的每发现一次扣2分，直至扣完为止。</w:t>
            </w:r>
          </w:p>
        </w:tc>
        <w:tc>
          <w:tcPr>
            <w:tcW w:w="741" w:type="dxa"/>
            <w:tcMar>
              <w:top w:w="0" w:type="dxa"/>
              <w:left w:w="105" w:type="dxa"/>
              <w:bottom w:w="0" w:type="dxa"/>
              <w:right w:w="105" w:type="dxa"/>
            </w:tcMar>
            <w:vAlign w:val="top"/>
          </w:tcPr>
          <w:p w14:paraId="5546C038">
            <w:pPr>
              <w:spacing w:line="360" w:lineRule="auto"/>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3ADFEFE8">
            <w:pPr>
              <w:spacing w:line="360" w:lineRule="auto"/>
              <w:jc w:val="center"/>
              <w:rPr>
                <w:rFonts w:hint="eastAsia" w:ascii="宋体" w:hAnsi="宋体" w:eastAsia="宋体" w:cs="宋体"/>
                <w:color w:val="auto"/>
                <w:sz w:val="24"/>
                <w:szCs w:val="24"/>
                <w:lang w:val="en-US" w:eastAsia="zh-Hans"/>
              </w:rPr>
            </w:pPr>
          </w:p>
        </w:tc>
      </w:tr>
      <w:tr w14:paraId="664E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41" w:type="dxa"/>
            <w:tcMar>
              <w:top w:w="0" w:type="dxa"/>
              <w:left w:w="105" w:type="dxa"/>
              <w:bottom w:w="0" w:type="dxa"/>
              <w:right w:w="105" w:type="dxa"/>
            </w:tcMar>
            <w:vAlign w:val="center"/>
          </w:tcPr>
          <w:p w14:paraId="4FF7CDA3">
            <w:pPr>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242" w:type="dxa"/>
            <w:tcMar>
              <w:top w:w="0" w:type="dxa"/>
              <w:left w:w="105" w:type="dxa"/>
              <w:bottom w:w="0" w:type="dxa"/>
              <w:right w:w="105" w:type="dxa"/>
            </w:tcMar>
            <w:vAlign w:val="center"/>
          </w:tcPr>
          <w:p w14:paraId="7BDDA941">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检测资料</w:t>
            </w:r>
          </w:p>
        </w:tc>
        <w:tc>
          <w:tcPr>
            <w:tcW w:w="788" w:type="dxa"/>
            <w:tcMar>
              <w:top w:w="0" w:type="dxa"/>
              <w:left w:w="105" w:type="dxa"/>
              <w:bottom w:w="0" w:type="dxa"/>
              <w:right w:w="105" w:type="dxa"/>
            </w:tcMar>
            <w:vAlign w:val="center"/>
          </w:tcPr>
          <w:p w14:paraId="516F6591">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6</w:t>
            </w:r>
          </w:p>
        </w:tc>
        <w:tc>
          <w:tcPr>
            <w:tcW w:w="5319" w:type="dxa"/>
            <w:tcMar>
              <w:top w:w="0" w:type="dxa"/>
              <w:left w:w="105" w:type="dxa"/>
              <w:bottom w:w="0" w:type="dxa"/>
              <w:right w:w="105" w:type="dxa"/>
            </w:tcMar>
            <w:vAlign w:val="top"/>
          </w:tcPr>
          <w:p w14:paraId="0C0B1BD5">
            <w:pPr>
              <w:spacing w:line="360" w:lineRule="auto"/>
              <w:ind w:left="0" w:leftChars="0" w:firstLine="0" w:firstLineChars="0"/>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根据食材验收票证要求向采购人饭堂提供有关商品的检测资料：一次不漏的得6分；遗漏一次扣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Hans"/>
              </w:rPr>
              <w:t>分，直至扣完为止。</w:t>
            </w:r>
          </w:p>
        </w:tc>
        <w:tc>
          <w:tcPr>
            <w:tcW w:w="741" w:type="dxa"/>
            <w:tcMar>
              <w:top w:w="0" w:type="dxa"/>
              <w:left w:w="105" w:type="dxa"/>
              <w:bottom w:w="0" w:type="dxa"/>
              <w:right w:w="105" w:type="dxa"/>
            </w:tcMar>
            <w:vAlign w:val="top"/>
          </w:tcPr>
          <w:p w14:paraId="7952871B">
            <w:pPr>
              <w:spacing w:line="360" w:lineRule="auto"/>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1DDE7B96">
            <w:pPr>
              <w:spacing w:line="360" w:lineRule="auto"/>
              <w:jc w:val="center"/>
              <w:rPr>
                <w:rFonts w:hint="eastAsia" w:ascii="宋体" w:hAnsi="宋体" w:eastAsia="宋体" w:cs="宋体"/>
                <w:color w:val="auto"/>
                <w:sz w:val="24"/>
                <w:szCs w:val="24"/>
                <w:lang w:val="en-US" w:eastAsia="zh-Hans"/>
              </w:rPr>
            </w:pPr>
          </w:p>
        </w:tc>
      </w:tr>
      <w:tr w14:paraId="31D7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41" w:type="dxa"/>
            <w:tcMar>
              <w:top w:w="0" w:type="dxa"/>
              <w:left w:w="105" w:type="dxa"/>
              <w:bottom w:w="0" w:type="dxa"/>
              <w:right w:w="105" w:type="dxa"/>
            </w:tcMar>
            <w:vAlign w:val="center"/>
          </w:tcPr>
          <w:p w14:paraId="18C9C7DE">
            <w:pPr>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242" w:type="dxa"/>
            <w:tcMar>
              <w:top w:w="0" w:type="dxa"/>
              <w:left w:w="105" w:type="dxa"/>
              <w:bottom w:w="0" w:type="dxa"/>
              <w:right w:w="105" w:type="dxa"/>
            </w:tcMar>
            <w:vAlign w:val="center"/>
          </w:tcPr>
          <w:p w14:paraId="0EBF75B3">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系统可</w:t>
            </w:r>
            <w:r>
              <w:rPr>
                <w:rFonts w:hint="eastAsia" w:ascii="宋体" w:hAnsi="宋体" w:eastAsia="宋体" w:cs="宋体"/>
                <w:color w:val="auto"/>
                <w:sz w:val="24"/>
                <w:szCs w:val="24"/>
                <w:lang w:val="en-US" w:eastAsia="zh-CN"/>
              </w:rPr>
              <w:t>用</w:t>
            </w:r>
            <w:r>
              <w:rPr>
                <w:rFonts w:hint="eastAsia" w:ascii="宋体" w:hAnsi="宋体" w:eastAsia="宋体" w:cs="宋体"/>
                <w:color w:val="auto"/>
                <w:sz w:val="24"/>
                <w:szCs w:val="24"/>
                <w:lang w:val="en-US" w:eastAsia="zh-Hans"/>
              </w:rPr>
              <w:t>率</w:t>
            </w:r>
          </w:p>
          <w:p w14:paraId="5C61F856">
            <w:pPr>
              <w:spacing w:line="360" w:lineRule="auto"/>
              <w:ind w:left="0" w:leftChars="0" w:firstLine="0" w:firstLineChars="0"/>
              <w:jc w:val="center"/>
              <w:rPr>
                <w:rFonts w:hint="eastAsia" w:ascii="宋体" w:hAnsi="宋体" w:eastAsia="宋体" w:cs="宋体"/>
                <w:color w:val="auto"/>
                <w:sz w:val="24"/>
                <w:szCs w:val="24"/>
                <w:lang w:val="en-US" w:eastAsia="zh-Hans"/>
              </w:rPr>
            </w:pPr>
          </w:p>
          <w:p w14:paraId="4CE85E34">
            <w:pPr>
              <w:spacing w:line="360" w:lineRule="auto"/>
              <w:ind w:left="0" w:leftChars="0" w:firstLine="0" w:firstLineChars="0"/>
              <w:jc w:val="center"/>
              <w:rPr>
                <w:rFonts w:hint="eastAsia" w:ascii="宋体" w:hAnsi="宋体" w:eastAsia="宋体" w:cs="宋体"/>
                <w:color w:val="auto"/>
                <w:sz w:val="24"/>
                <w:szCs w:val="24"/>
                <w:lang w:val="en-US" w:eastAsia="zh-Hans"/>
              </w:rPr>
            </w:pPr>
          </w:p>
        </w:tc>
        <w:tc>
          <w:tcPr>
            <w:tcW w:w="788" w:type="dxa"/>
            <w:tcMar>
              <w:top w:w="0" w:type="dxa"/>
              <w:left w:w="105" w:type="dxa"/>
              <w:bottom w:w="0" w:type="dxa"/>
              <w:right w:w="105" w:type="dxa"/>
            </w:tcMar>
            <w:vAlign w:val="center"/>
          </w:tcPr>
          <w:p w14:paraId="2DCF4381">
            <w:pPr>
              <w:spacing w:line="360" w:lineRule="auto"/>
              <w:ind w:left="0" w:leftChars="0" w:firstLine="0" w:firstLineChars="0"/>
              <w:jc w:val="center"/>
              <w:rPr>
                <w:rFonts w:hint="eastAsia" w:ascii="宋体" w:hAnsi="宋体" w:eastAsia="宋体" w:cs="宋体"/>
                <w:color w:val="auto"/>
                <w:sz w:val="24"/>
                <w:szCs w:val="24"/>
                <w:lang w:val="en-US" w:eastAsia="zh-Hans"/>
              </w:rPr>
            </w:pPr>
          </w:p>
          <w:p w14:paraId="4D03F479">
            <w:pPr>
              <w:spacing w:line="360" w:lineRule="auto"/>
              <w:ind w:left="0" w:leftChars="0" w:firstLine="0" w:firstLineChars="0"/>
              <w:jc w:val="center"/>
              <w:rPr>
                <w:rFonts w:hint="eastAsia" w:ascii="宋体" w:hAnsi="宋体" w:eastAsia="宋体" w:cs="宋体"/>
                <w:color w:val="auto"/>
                <w:sz w:val="24"/>
                <w:szCs w:val="24"/>
                <w:lang w:val="en-US" w:eastAsia="zh-Hans"/>
              </w:rPr>
            </w:pPr>
          </w:p>
          <w:p w14:paraId="08A89374">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12</w:t>
            </w:r>
          </w:p>
        </w:tc>
        <w:tc>
          <w:tcPr>
            <w:tcW w:w="5319" w:type="dxa"/>
            <w:tcMar>
              <w:top w:w="0" w:type="dxa"/>
              <w:left w:w="105" w:type="dxa"/>
              <w:bottom w:w="0" w:type="dxa"/>
              <w:right w:w="105" w:type="dxa"/>
            </w:tcMar>
            <w:vAlign w:val="top"/>
          </w:tcPr>
          <w:p w14:paraId="24CAC362">
            <w:pPr>
              <w:spacing w:line="360" w:lineRule="auto"/>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无特殊情况，在系统运行期间出现故障时间累计小于5小时（含），得12分；故障时间累计超过5小时低于10小时（含），扣4分；故障时间累计超过10小时低于24小时（含），扣8分；故障时间累计</w:t>
            </w:r>
            <w:r>
              <w:rPr>
                <w:rFonts w:hint="eastAsia" w:cs="宋体"/>
                <w:color w:val="auto"/>
                <w:sz w:val="24"/>
                <w:szCs w:val="24"/>
                <w:lang w:val="en-US" w:eastAsia="zh-CN"/>
              </w:rPr>
              <w:t>超过24小时</w:t>
            </w:r>
            <w:r>
              <w:rPr>
                <w:rFonts w:hint="eastAsia" w:ascii="宋体" w:hAnsi="宋体" w:eastAsia="宋体" w:cs="宋体"/>
                <w:color w:val="auto"/>
                <w:sz w:val="24"/>
                <w:szCs w:val="24"/>
                <w:lang w:val="en-US" w:eastAsia="zh-CN"/>
              </w:rPr>
              <w:t>不得分。</w:t>
            </w:r>
          </w:p>
        </w:tc>
        <w:tc>
          <w:tcPr>
            <w:tcW w:w="741" w:type="dxa"/>
            <w:tcMar>
              <w:top w:w="0" w:type="dxa"/>
              <w:left w:w="105" w:type="dxa"/>
              <w:bottom w:w="0" w:type="dxa"/>
              <w:right w:w="105" w:type="dxa"/>
            </w:tcMar>
            <w:vAlign w:val="top"/>
          </w:tcPr>
          <w:p w14:paraId="03908C3E">
            <w:pPr>
              <w:spacing w:line="360" w:lineRule="auto"/>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23D964AB">
            <w:pPr>
              <w:spacing w:line="360" w:lineRule="auto"/>
              <w:jc w:val="center"/>
              <w:rPr>
                <w:rFonts w:hint="eastAsia" w:ascii="宋体" w:hAnsi="宋体" w:eastAsia="宋体" w:cs="宋体"/>
                <w:color w:val="auto"/>
                <w:sz w:val="24"/>
                <w:szCs w:val="24"/>
                <w:lang w:val="en-US" w:eastAsia="zh-Hans"/>
              </w:rPr>
            </w:pPr>
          </w:p>
        </w:tc>
      </w:tr>
      <w:tr w14:paraId="60F9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41" w:type="dxa"/>
            <w:tcMar>
              <w:top w:w="0" w:type="dxa"/>
              <w:left w:w="105" w:type="dxa"/>
              <w:bottom w:w="0" w:type="dxa"/>
              <w:right w:w="105" w:type="dxa"/>
            </w:tcMar>
            <w:vAlign w:val="center"/>
          </w:tcPr>
          <w:p w14:paraId="38DE6462">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10</w:t>
            </w:r>
          </w:p>
        </w:tc>
        <w:tc>
          <w:tcPr>
            <w:tcW w:w="1242" w:type="dxa"/>
            <w:tcMar>
              <w:top w:w="0" w:type="dxa"/>
              <w:left w:w="105" w:type="dxa"/>
              <w:bottom w:w="0" w:type="dxa"/>
              <w:right w:w="105" w:type="dxa"/>
            </w:tcMar>
            <w:vAlign w:val="center"/>
          </w:tcPr>
          <w:p w14:paraId="532E2192">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数据准确率</w:t>
            </w:r>
          </w:p>
        </w:tc>
        <w:tc>
          <w:tcPr>
            <w:tcW w:w="788" w:type="dxa"/>
            <w:tcMar>
              <w:top w:w="0" w:type="dxa"/>
              <w:left w:w="105" w:type="dxa"/>
              <w:bottom w:w="0" w:type="dxa"/>
              <w:right w:w="105" w:type="dxa"/>
            </w:tcMar>
            <w:vAlign w:val="center"/>
          </w:tcPr>
          <w:p w14:paraId="5F66922E">
            <w:pPr>
              <w:spacing w:line="360" w:lineRule="auto"/>
              <w:ind w:left="0" w:lef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12</w:t>
            </w:r>
          </w:p>
        </w:tc>
        <w:tc>
          <w:tcPr>
            <w:tcW w:w="5319" w:type="dxa"/>
            <w:tcMar>
              <w:top w:w="0" w:type="dxa"/>
              <w:left w:w="105" w:type="dxa"/>
              <w:bottom w:w="0" w:type="dxa"/>
              <w:right w:w="105" w:type="dxa"/>
            </w:tcMar>
            <w:vAlign w:val="top"/>
          </w:tcPr>
          <w:p w14:paraId="468F6CD5">
            <w:pPr>
              <w:spacing w:line="360" w:lineRule="auto"/>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订单数据、结算数据的准确率</w:t>
            </w:r>
            <w:r>
              <w:rPr>
                <w:rFonts w:hint="eastAsia" w:ascii="宋体" w:hAnsi="宋体" w:eastAsia="宋体" w:cs="宋体"/>
                <w:color w:val="auto"/>
                <w:sz w:val="24"/>
                <w:szCs w:val="24"/>
                <w:lang w:val="en-US" w:eastAsia="zh-CN"/>
              </w:rPr>
              <w:t>达到100%得12分；当期</w:t>
            </w:r>
            <w:r>
              <w:rPr>
                <w:rFonts w:hint="eastAsia" w:ascii="宋体" w:hAnsi="宋体" w:eastAsia="宋体" w:cs="宋体"/>
                <w:color w:val="auto"/>
                <w:sz w:val="24"/>
                <w:szCs w:val="24"/>
                <w:lang w:val="en-US" w:eastAsia="zh-Hans"/>
              </w:rPr>
              <w:t>订单数据、结算数据</w:t>
            </w:r>
            <w:r>
              <w:rPr>
                <w:rFonts w:hint="eastAsia" w:ascii="宋体" w:hAnsi="宋体" w:eastAsia="宋体" w:cs="宋体"/>
                <w:color w:val="auto"/>
                <w:sz w:val="24"/>
                <w:szCs w:val="24"/>
                <w:lang w:val="en-US" w:eastAsia="zh-CN"/>
              </w:rPr>
              <w:t>出错一次扣4分，直至扣完为止。</w:t>
            </w:r>
          </w:p>
        </w:tc>
        <w:tc>
          <w:tcPr>
            <w:tcW w:w="741" w:type="dxa"/>
            <w:tcMar>
              <w:top w:w="0" w:type="dxa"/>
              <w:left w:w="105" w:type="dxa"/>
              <w:bottom w:w="0" w:type="dxa"/>
              <w:right w:w="105" w:type="dxa"/>
            </w:tcMar>
            <w:vAlign w:val="top"/>
          </w:tcPr>
          <w:p w14:paraId="1C140294">
            <w:pPr>
              <w:spacing w:line="360" w:lineRule="auto"/>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6B46F3A5">
            <w:pPr>
              <w:spacing w:line="360" w:lineRule="auto"/>
              <w:jc w:val="center"/>
              <w:rPr>
                <w:rFonts w:hint="eastAsia" w:ascii="宋体" w:hAnsi="宋体" w:eastAsia="宋体" w:cs="宋体"/>
                <w:color w:val="auto"/>
                <w:sz w:val="24"/>
                <w:szCs w:val="24"/>
                <w:lang w:val="en-US" w:eastAsia="zh-Hans"/>
              </w:rPr>
            </w:pPr>
          </w:p>
        </w:tc>
      </w:tr>
      <w:tr w14:paraId="5520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41" w:type="dxa"/>
            <w:tcMar>
              <w:top w:w="0" w:type="dxa"/>
              <w:left w:w="105" w:type="dxa"/>
              <w:bottom w:w="0" w:type="dxa"/>
              <w:right w:w="105" w:type="dxa"/>
            </w:tcMar>
            <w:vAlign w:val="center"/>
          </w:tcPr>
          <w:p w14:paraId="1219E859">
            <w:pPr>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Hans"/>
              </w:rPr>
              <w:t>考核得分</w:t>
            </w:r>
          </w:p>
        </w:tc>
        <w:tc>
          <w:tcPr>
            <w:tcW w:w="1242" w:type="dxa"/>
            <w:tcMar>
              <w:top w:w="0" w:type="dxa"/>
              <w:left w:w="105" w:type="dxa"/>
              <w:bottom w:w="0" w:type="dxa"/>
              <w:right w:w="105" w:type="dxa"/>
            </w:tcMar>
            <w:vAlign w:val="center"/>
          </w:tcPr>
          <w:p w14:paraId="06E09C20">
            <w:pPr>
              <w:spacing w:line="360" w:lineRule="auto"/>
              <w:jc w:val="center"/>
              <w:rPr>
                <w:rFonts w:hint="eastAsia" w:ascii="宋体" w:hAnsi="宋体" w:eastAsia="宋体" w:cs="宋体"/>
                <w:color w:val="auto"/>
                <w:sz w:val="24"/>
                <w:szCs w:val="24"/>
                <w:lang w:val="en-US" w:eastAsia="zh-CN"/>
              </w:rPr>
            </w:pPr>
          </w:p>
        </w:tc>
        <w:tc>
          <w:tcPr>
            <w:tcW w:w="788" w:type="dxa"/>
            <w:tcMar>
              <w:top w:w="0" w:type="dxa"/>
              <w:left w:w="105" w:type="dxa"/>
              <w:bottom w:w="0" w:type="dxa"/>
              <w:right w:w="105" w:type="dxa"/>
            </w:tcMar>
            <w:vAlign w:val="center"/>
          </w:tcPr>
          <w:p w14:paraId="077BE3AA">
            <w:pPr>
              <w:spacing w:line="360" w:lineRule="auto"/>
              <w:jc w:val="center"/>
              <w:rPr>
                <w:rFonts w:hint="eastAsia" w:ascii="宋体" w:hAnsi="宋体" w:eastAsia="宋体" w:cs="宋体"/>
                <w:color w:val="auto"/>
                <w:sz w:val="24"/>
                <w:szCs w:val="24"/>
                <w:lang w:val="en-US" w:eastAsia="zh-CN"/>
              </w:rPr>
            </w:pPr>
          </w:p>
        </w:tc>
        <w:tc>
          <w:tcPr>
            <w:tcW w:w="5319" w:type="dxa"/>
            <w:tcMar>
              <w:top w:w="0" w:type="dxa"/>
              <w:left w:w="105" w:type="dxa"/>
              <w:bottom w:w="0" w:type="dxa"/>
              <w:right w:w="105" w:type="dxa"/>
            </w:tcMar>
            <w:vAlign w:val="top"/>
          </w:tcPr>
          <w:p w14:paraId="56942000">
            <w:pPr>
              <w:spacing w:line="360" w:lineRule="auto"/>
              <w:jc w:val="both"/>
              <w:rPr>
                <w:rFonts w:hint="eastAsia" w:ascii="宋体" w:hAnsi="宋体" w:eastAsia="宋体" w:cs="宋体"/>
                <w:color w:val="auto"/>
                <w:sz w:val="24"/>
                <w:szCs w:val="24"/>
                <w:lang w:val="en-US" w:eastAsia="zh-Hans"/>
              </w:rPr>
            </w:pPr>
          </w:p>
        </w:tc>
        <w:tc>
          <w:tcPr>
            <w:tcW w:w="741" w:type="dxa"/>
            <w:tcMar>
              <w:top w:w="0" w:type="dxa"/>
              <w:left w:w="105" w:type="dxa"/>
              <w:bottom w:w="0" w:type="dxa"/>
              <w:right w:w="105" w:type="dxa"/>
            </w:tcMar>
            <w:vAlign w:val="top"/>
          </w:tcPr>
          <w:p w14:paraId="541D18A6">
            <w:pPr>
              <w:spacing w:line="360" w:lineRule="auto"/>
              <w:jc w:val="center"/>
              <w:rPr>
                <w:rFonts w:hint="eastAsia" w:ascii="宋体" w:hAnsi="宋体" w:eastAsia="宋体" w:cs="宋体"/>
                <w:color w:val="auto"/>
                <w:sz w:val="24"/>
                <w:szCs w:val="24"/>
                <w:lang w:val="en-US" w:eastAsia="zh-Hans"/>
              </w:rPr>
            </w:pPr>
          </w:p>
        </w:tc>
        <w:tc>
          <w:tcPr>
            <w:tcW w:w="881" w:type="dxa"/>
            <w:tcMar>
              <w:top w:w="0" w:type="dxa"/>
              <w:left w:w="105" w:type="dxa"/>
              <w:bottom w:w="0" w:type="dxa"/>
              <w:right w:w="105" w:type="dxa"/>
            </w:tcMar>
            <w:vAlign w:val="top"/>
          </w:tcPr>
          <w:p w14:paraId="45552431">
            <w:pPr>
              <w:spacing w:line="360" w:lineRule="auto"/>
              <w:jc w:val="center"/>
              <w:rPr>
                <w:rFonts w:hint="eastAsia" w:ascii="宋体" w:hAnsi="宋体" w:eastAsia="宋体" w:cs="宋体"/>
                <w:color w:val="auto"/>
                <w:sz w:val="24"/>
                <w:szCs w:val="24"/>
                <w:lang w:val="en-US" w:eastAsia="zh-Hans"/>
              </w:rPr>
            </w:pPr>
          </w:p>
        </w:tc>
      </w:tr>
    </w:tbl>
    <w:p w14:paraId="636AC885">
      <w:pPr>
        <w:pStyle w:val="24"/>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考核人：                                                       </w:t>
      </w:r>
    </w:p>
    <w:p w14:paraId="396A0E1F">
      <w:pPr>
        <w:pStyle w:val="24"/>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被考核人：</w:t>
      </w:r>
    </w:p>
    <w:p w14:paraId="5DB82270">
      <w:pPr>
        <w:pStyle w:val="40"/>
        <w:wordWrap w:val="0"/>
        <w:spacing w:line="360" w:lineRule="auto"/>
        <w:ind w:left="0" w:leftChars="0"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考核时间：</w:t>
      </w:r>
    </w:p>
    <w:p w14:paraId="189E2EB2">
      <w:pPr>
        <w:spacing w:line="360" w:lineRule="auto"/>
        <w:jc w:val="center"/>
        <w:rPr>
          <w:rFonts w:hint="eastAsia" w:ascii="Calibri" w:hAnsi="Calibri" w:eastAsia="宋体" w:cs="Times New Roman"/>
          <w:b/>
          <w:color w:val="auto"/>
          <w:sz w:val="24"/>
          <w:szCs w:val="24"/>
          <w:lang w:val="en-US" w:eastAsia="zh-CN"/>
        </w:rPr>
      </w:pPr>
    </w:p>
    <w:p w14:paraId="1475F7DF">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24"/>
          <w:szCs w:val="24"/>
          <w:lang w:val="en-US" w:eastAsia="zh-CN" w:bidi="ar-SA"/>
        </w:rPr>
      </w:pPr>
    </w:p>
    <w:p w14:paraId="6D25D22A">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24"/>
          <w:szCs w:val="24"/>
          <w:lang w:val="en-US" w:eastAsia="zh-CN" w:bidi="ar-SA"/>
        </w:rPr>
      </w:pPr>
    </w:p>
    <w:p w14:paraId="7DC957E0">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55D5BC65">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4505596A">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65790A48">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5A783EF6">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78DFB2F1">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57D63A43">
      <w:pPr>
        <w:pStyle w:val="37"/>
        <w:numPr>
          <w:ilvl w:val="0"/>
          <w:numId w:val="0"/>
        </w:numPr>
        <w:wordWrap w:val="0"/>
        <w:spacing w:before="156" w:beforeLines="50" w:after="156" w:afterLines="50" w:line="360" w:lineRule="auto"/>
        <w:jc w:val="center"/>
        <w:outlineLvl w:val="0"/>
        <w:rPr>
          <w:rFonts w:hint="eastAsia" w:ascii="宋体" w:hAnsi="宋体" w:eastAsia="宋体" w:cs="宋体"/>
          <w:b/>
          <w:color w:val="auto"/>
          <w:sz w:val="32"/>
          <w:szCs w:val="32"/>
          <w:lang w:val="en-US" w:eastAsia="zh-CN" w:bidi="ar-SA"/>
        </w:rPr>
      </w:pPr>
    </w:p>
    <w:p w14:paraId="2E95D6BA">
      <w:pPr>
        <w:ind w:left="0" w:leftChars="0" w:firstLine="0" w:firstLineChars="0"/>
        <w:rPr>
          <w:color w:val="auto"/>
          <w:spacing w:val="-1"/>
          <w:highlight w:val="none"/>
        </w:rPr>
      </w:pPr>
    </w:p>
    <w:sectPr>
      <w:headerReference r:id="rId5" w:type="default"/>
      <w:footerReference r:id="rId6" w:type="default"/>
      <w:pgSz w:w="11906" w:h="16838"/>
      <w:pgMar w:top="1440" w:right="1080" w:bottom="1440" w:left="108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5B05">
    <w:pPr>
      <w:spacing w:line="210" w:lineRule="auto"/>
      <w:ind w:left="4324" w:firstLine="400"/>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65455"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65455" cy="262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7D2DC">
                          <w:pPr>
                            <w:pStyle w:val="19"/>
                            <w:spacing w:line="360" w:lineRule="auto"/>
                            <w:ind w:firstLine="0" w:firstLineChars="0"/>
                            <w:jc w:val="center"/>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7pt;width:36.65pt;mso-position-horizontal:center;mso-position-horizontal-relative:margin;z-index:251659264;mso-width-relative:page;mso-height-relative:page;" filled="f" stroked="f" coordsize="21600,21600" o:gfxdata="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fnhmE1AAAAAMBAAAPAAAAAAAAAAEAIAAAACIAAABkcnMvZG93bnJldi54bWxQSwEC&#10;FAAUAAAACACHTuJAyfAVlTECAABVBAAADgAAAAAAAAABACAAAAAjAQAAZHJzL2Uyb0RvYy54bWxQ&#10;SwUGAAAAAAYABgBZAQAAxgUAAAAA&#10;">
              <v:fill on="f" focussize="0,0"/>
              <v:stroke on="f" weight="0.5pt"/>
              <v:imagedata o:title=""/>
              <o:lock v:ext="edit" aspectratio="f"/>
              <v:textbox inset="0mm,0mm,0mm,0mm">
                <w:txbxContent>
                  <w:p w14:paraId="4E07D2DC">
                    <w:pPr>
                      <w:pStyle w:val="19"/>
                      <w:spacing w:line="360" w:lineRule="auto"/>
                      <w:ind w:firstLine="0" w:firstLineChars="0"/>
                      <w:jc w:val="center"/>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99A0">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394B0"/>
    <w:multiLevelType w:val="multilevel"/>
    <w:tmpl w:val="EA9394B0"/>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仿宋" w:hAnsi="仿宋" w:eastAsia="仿宋" w:cs="仿宋"/>
        <w:b/>
        <w:bCs/>
        <w:sz w:val="28"/>
        <w:szCs w:val="28"/>
      </w:rPr>
    </w:lvl>
    <w:lvl w:ilvl="2" w:tentative="0">
      <w:start w:val="1"/>
      <w:numFmt w:val="decimal"/>
      <w:suff w:val="nothing"/>
      <w:lvlText w:val="%3．"/>
      <w:lvlJc w:val="left"/>
      <w:pPr>
        <w:tabs>
          <w:tab w:val="left" w:pos="0"/>
        </w:tabs>
        <w:ind w:left="0" w:firstLine="400"/>
      </w:pPr>
      <w:rPr>
        <w:rFonts w:hint="eastAsia" w:ascii="仿宋" w:hAnsi="仿宋" w:eastAsia="仿宋" w:cs="仿宋"/>
        <w:b/>
        <w:bCs/>
        <w:sz w:val="30"/>
        <w:szCs w:val="30"/>
      </w:rPr>
    </w:lvl>
    <w:lvl w:ilvl="3" w:tentative="0">
      <w:start w:val="1"/>
      <w:numFmt w:val="decimal"/>
      <w:pStyle w:val="5"/>
      <w:suff w:val="nothing"/>
      <w:lvlText w:val="（%4）"/>
      <w:lvlJc w:val="left"/>
      <w:pPr>
        <w:tabs>
          <w:tab w:val="left" w:pos="0"/>
        </w:tabs>
        <w:ind w:left="0" w:firstLine="402"/>
      </w:pPr>
      <w:rPr>
        <w:rFonts w:hint="eastAsia" w:ascii="仿宋" w:hAnsi="仿宋" w:eastAsia="仿宋" w:cs="仿宋"/>
      </w:rPr>
    </w:lvl>
    <w:lvl w:ilvl="4" w:tentative="0">
      <w:start w:val="1"/>
      <w:numFmt w:val="decimalEnclosedCircleChinese"/>
      <w:pStyle w:val="6"/>
      <w:suff w:val="nothing"/>
      <w:lvlText w:val="%5"/>
      <w:lvlJc w:val="left"/>
      <w:pPr>
        <w:tabs>
          <w:tab w:val="left" w:pos="0"/>
        </w:tabs>
        <w:ind w:left="0" w:firstLine="402"/>
      </w:pPr>
      <w:rPr>
        <w:rFonts w:hint="eastAsia" w:ascii="仿宋" w:hAnsi="仿宋" w:eastAsia="仿宋" w:cs="仿宋"/>
        <w:b/>
        <w:bCs/>
        <w:sz w:val="24"/>
        <w:szCs w:val="24"/>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A4245"/>
    <w:rsid w:val="00021A27"/>
    <w:rsid w:val="00022A56"/>
    <w:rsid w:val="00047BBB"/>
    <w:rsid w:val="00054E2C"/>
    <w:rsid w:val="00083B88"/>
    <w:rsid w:val="000863A1"/>
    <w:rsid w:val="000969AD"/>
    <w:rsid w:val="001009DC"/>
    <w:rsid w:val="00110A29"/>
    <w:rsid w:val="00110AB5"/>
    <w:rsid w:val="001956C9"/>
    <w:rsid w:val="001A69C0"/>
    <w:rsid w:val="001B1299"/>
    <w:rsid w:val="001E2040"/>
    <w:rsid w:val="0025315D"/>
    <w:rsid w:val="00285D6B"/>
    <w:rsid w:val="00296983"/>
    <w:rsid w:val="002B6B1C"/>
    <w:rsid w:val="002C7479"/>
    <w:rsid w:val="0031380D"/>
    <w:rsid w:val="00333886"/>
    <w:rsid w:val="0033449C"/>
    <w:rsid w:val="00365DCF"/>
    <w:rsid w:val="00370E3B"/>
    <w:rsid w:val="00376F0D"/>
    <w:rsid w:val="003A4217"/>
    <w:rsid w:val="003F66FD"/>
    <w:rsid w:val="00446EFA"/>
    <w:rsid w:val="005341C8"/>
    <w:rsid w:val="0054066A"/>
    <w:rsid w:val="005520A7"/>
    <w:rsid w:val="00566676"/>
    <w:rsid w:val="00587C22"/>
    <w:rsid w:val="0059255F"/>
    <w:rsid w:val="0059669D"/>
    <w:rsid w:val="005E7EB9"/>
    <w:rsid w:val="0062110C"/>
    <w:rsid w:val="0064545A"/>
    <w:rsid w:val="0069140A"/>
    <w:rsid w:val="006F6F6D"/>
    <w:rsid w:val="00864DAC"/>
    <w:rsid w:val="008D0884"/>
    <w:rsid w:val="00915E83"/>
    <w:rsid w:val="00916EE2"/>
    <w:rsid w:val="0093764B"/>
    <w:rsid w:val="00945B87"/>
    <w:rsid w:val="00962D4E"/>
    <w:rsid w:val="00A23ADD"/>
    <w:rsid w:val="00A46CD4"/>
    <w:rsid w:val="00A53A82"/>
    <w:rsid w:val="00A84A17"/>
    <w:rsid w:val="00AC07A4"/>
    <w:rsid w:val="00AD2D5E"/>
    <w:rsid w:val="00BA578C"/>
    <w:rsid w:val="00C02E81"/>
    <w:rsid w:val="00C73EF3"/>
    <w:rsid w:val="00C90239"/>
    <w:rsid w:val="00C97805"/>
    <w:rsid w:val="00CA3F53"/>
    <w:rsid w:val="00CF2DDE"/>
    <w:rsid w:val="00D24EF1"/>
    <w:rsid w:val="00DD2A18"/>
    <w:rsid w:val="00DE5EA4"/>
    <w:rsid w:val="00E03182"/>
    <w:rsid w:val="00E23B02"/>
    <w:rsid w:val="00E57B51"/>
    <w:rsid w:val="00E645F8"/>
    <w:rsid w:val="00E865C2"/>
    <w:rsid w:val="00E92B40"/>
    <w:rsid w:val="00EE4A47"/>
    <w:rsid w:val="00EF51D6"/>
    <w:rsid w:val="00F257EF"/>
    <w:rsid w:val="00F843C3"/>
    <w:rsid w:val="00F94F71"/>
    <w:rsid w:val="00FF3B45"/>
    <w:rsid w:val="01002598"/>
    <w:rsid w:val="01083C70"/>
    <w:rsid w:val="01227DB5"/>
    <w:rsid w:val="012E6220"/>
    <w:rsid w:val="013712F7"/>
    <w:rsid w:val="01514167"/>
    <w:rsid w:val="01A40B0C"/>
    <w:rsid w:val="01D53DD3"/>
    <w:rsid w:val="02575B34"/>
    <w:rsid w:val="0273010D"/>
    <w:rsid w:val="02AD361F"/>
    <w:rsid w:val="02D469C6"/>
    <w:rsid w:val="02E5359F"/>
    <w:rsid w:val="02FF1237"/>
    <w:rsid w:val="03074364"/>
    <w:rsid w:val="03522419"/>
    <w:rsid w:val="037E320E"/>
    <w:rsid w:val="03991DF6"/>
    <w:rsid w:val="039A29B4"/>
    <w:rsid w:val="03F3507E"/>
    <w:rsid w:val="040000C7"/>
    <w:rsid w:val="0410290D"/>
    <w:rsid w:val="04934A97"/>
    <w:rsid w:val="04B53ED5"/>
    <w:rsid w:val="05040DE9"/>
    <w:rsid w:val="053E2C54"/>
    <w:rsid w:val="053F6E04"/>
    <w:rsid w:val="055406CA"/>
    <w:rsid w:val="06456265"/>
    <w:rsid w:val="066A5D01"/>
    <w:rsid w:val="067F52D3"/>
    <w:rsid w:val="06823015"/>
    <w:rsid w:val="069F70B3"/>
    <w:rsid w:val="06CF5A2F"/>
    <w:rsid w:val="06DF5D71"/>
    <w:rsid w:val="06E83AE5"/>
    <w:rsid w:val="06F25AAD"/>
    <w:rsid w:val="07657868"/>
    <w:rsid w:val="077619CB"/>
    <w:rsid w:val="078C05C5"/>
    <w:rsid w:val="07DD7DED"/>
    <w:rsid w:val="07E10DA4"/>
    <w:rsid w:val="07FB29B0"/>
    <w:rsid w:val="081E6D6D"/>
    <w:rsid w:val="08224B62"/>
    <w:rsid w:val="08931509"/>
    <w:rsid w:val="08A90D2D"/>
    <w:rsid w:val="091943FA"/>
    <w:rsid w:val="09371E95"/>
    <w:rsid w:val="09B059B7"/>
    <w:rsid w:val="09B37EEE"/>
    <w:rsid w:val="09C132D0"/>
    <w:rsid w:val="09E14A3F"/>
    <w:rsid w:val="0A2A7852"/>
    <w:rsid w:val="0A2D5046"/>
    <w:rsid w:val="0A2E2D06"/>
    <w:rsid w:val="0A310FDA"/>
    <w:rsid w:val="0A590531"/>
    <w:rsid w:val="0A762E91"/>
    <w:rsid w:val="0B4A0BFF"/>
    <w:rsid w:val="0B8247A8"/>
    <w:rsid w:val="0BC9369B"/>
    <w:rsid w:val="0BC97E5E"/>
    <w:rsid w:val="0BCB2C22"/>
    <w:rsid w:val="0BCF5714"/>
    <w:rsid w:val="0C28640C"/>
    <w:rsid w:val="0C886EAB"/>
    <w:rsid w:val="0CC06645"/>
    <w:rsid w:val="0CDF00C5"/>
    <w:rsid w:val="0CE245D7"/>
    <w:rsid w:val="0CEA6115"/>
    <w:rsid w:val="0D010EE5"/>
    <w:rsid w:val="0D24239E"/>
    <w:rsid w:val="0D521FD5"/>
    <w:rsid w:val="0D5C09AD"/>
    <w:rsid w:val="0D7A17DA"/>
    <w:rsid w:val="0D7C0F42"/>
    <w:rsid w:val="0DF447F8"/>
    <w:rsid w:val="0E0F33E0"/>
    <w:rsid w:val="0E113625"/>
    <w:rsid w:val="0E1B07B6"/>
    <w:rsid w:val="0E4842FA"/>
    <w:rsid w:val="0E4B3303"/>
    <w:rsid w:val="0E682AF0"/>
    <w:rsid w:val="0E8D1C79"/>
    <w:rsid w:val="0EC07F85"/>
    <w:rsid w:val="0EDB7766"/>
    <w:rsid w:val="0F0A1DF9"/>
    <w:rsid w:val="0F6879CC"/>
    <w:rsid w:val="0F6F5BCE"/>
    <w:rsid w:val="0F930041"/>
    <w:rsid w:val="0FC84625"/>
    <w:rsid w:val="0FDA5C70"/>
    <w:rsid w:val="0FFE2BEF"/>
    <w:rsid w:val="10033B7A"/>
    <w:rsid w:val="102313C5"/>
    <w:rsid w:val="10306916"/>
    <w:rsid w:val="103E7872"/>
    <w:rsid w:val="106721B9"/>
    <w:rsid w:val="106A7C39"/>
    <w:rsid w:val="10D37564"/>
    <w:rsid w:val="10FE5BBF"/>
    <w:rsid w:val="110747A8"/>
    <w:rsid w:val="112E0021"/>
    <w:rsid w:val="11323A09"/>
    <w:rsid w:val="113D64B6"/>
    <w:rsid w:val="11483624"/>
    <w:rsid w:val="114E06C3"/>
    <w:rsid w:val="117C2354"/>
    <w:rsid w:val="118B215E"/>
    <w:rsid w:val="11A025A1"/>
    <w:rsid w:val="11CD670C"/>
    <w:rsid w:val="11F563BE"/>
    <w:rsid w:val="121C75C3"/>
    <w:rsid w:val="123B76B4"/>
    <w:rsid w:val="124B075F"/>
    <w:rsid w:val="124E6A92"/>
    <w:rsid w:val="12B249C0"/>
    <w:rsid w:val="12D90460"/>
    <w:rsid w:val="12E201F2"/>
    <w:rsid w:val="12F65637"/>
    <w:rsid w:val="1307495D"/>
    <w:rsid w:val="13117FD2"/>
    <w:rsid w:val="131A358D"/>
    <w:rsid w:val="13696CAD"/>
    <w:rsid w:val="13971AFF"/>
    <w:rsid w:val="13A46379"/>
    <w:rsid w:val="144E09DA"/>
    <w:rsid w:val="14883EEC"/>
    <w:rsid w:val="149E13FE"/>
    <w:rsid w:val="14A94DC8"/>
    <w:rsid w:val="14AD4E8A"/>
    <w:rsid w:val="14B372C6"/>
    <w:rsid w:val="15200185"/>
    <w:rsid w:val="154A08AB"/>
    <w:rsid w:val="156C55BC"/>
    <w:rsid w:val="15751918"/>
    <w:rsid w:val="1584754E"/>
    <w:rsid w:val="15962639"/>
    <w:rsid w:val="159A3ED7"/>
    <w:rsid w:val="15B912F9"/>
    <w:rsid w:val="15C70F80"/>
    <w:rsid w:val="15F820A3"/>
    <w:rsid w:val="1618304E"/>
    <w:rsid w:val="16B66C22"/>
    <w:rsid w:val="16B74615"/>
    <w:rsid w:val="16B8447E"/>
    <w:rsid w:val="16E57E50"/>
    <w:rsid w:val="17555BDC"/>
    <w:rsid w:val="176B037C"/>
    <w:rsid w:val="176C73B0"/>
    <w:rsid w:val="17946704"/>
    <w:rsid w:val="17A2262A"/>
    <w:rsid w:val="17B03166"/>
    <w:rsid w:val="17C36DCC"/>
    <w:rsid w:val="181F3367"/>
    <w:rsid w:val="18222239"/>
    <w:rsid w:val="182D6FD9"/>
    <w:rsid w:val="18736DD6"/>
    <w:rsid w:val="187978FE"/>
    <w:rsid w:val="18A33875"/>
    <w:rsid w:val="18EA5404"/>
    <w:rsid w:val="19021284"/>
    <w:rsid w:val="192B12EA"/>
    <w:rsid w:val="193006AE"/>
    <w:rsid w:val="198C07E7"/>
    <w:rsid w:val="1A4F4251"/>
    <w:rsid w:val="1A5D3284"/>
    <w:rsid w:val="1AA74D3E"/>
    <w:rsid w:val="1AD2174F"/>
    <w:rsid w:val="1B661B2E"/>
    <w:rsid w:val="1BA3160C"/>
    <w:rsid w:val="1C2E0000"/>
    <w:rsid w:val="1C4838FB"/>
    <w:rsid w:val="1C503C2C"/>
    <w:rsid w:val="1C6568C1"/>
    <w:rsid w:val="1CB81744"/>
    <w:rsid w:val="1CBF3B73"/>
    <w:rsid w:val="1CEB326A"/>
    <w:rsid w:val="1CFB17B8"/>
    <w:rsid w:val="1D1B6AB3"/>
    <w:rsid w:val="1D433A33"/>
    <w:rsid w:val="1D643B5F"/>
    <w:rsid w:val="1D927B8A"/>
    <w:rsid w:val="1E24453C"/>
    <w:rsid w:val="1E2B7E0D"/>
    <w:rsid w:val="1E770609"/>
    <w:rsid w:val="1E827BFE"/>
    <w:rsid w:val="1EB53B30"/>
    <w:rsid w:val="1ED44095"/>
    <w:rsid w:val="1F273FB7"/>
    <w:rsid w:val="1F354E12"/>
    <w:rsid w:val="1F394761"/>
    <w:rsid w:val="1F6410B2"/>
    <w:rsid w:val="1F69491A"/>
    <w:rsid w:val="1FCB455D"/>
    <w:rsid w:val="1FE10F30"/>
    <w:rsid w:val="201C21CD"/>
    <w:rsid w:val="20292FBD"/>
    <w:rsid w:val="203F7955"/>
    <w:rsid w:val="20523600"/>
    <w:rsid w:val="2066065C"/>
    <w:rsid w:val="20CD7E55"/>
    <w:rsid w:val="213977FF"/>
    <w:rsid w:val="21521F27"/>
    <w:rsid w:val="21B7325D"/>
    <w:rsid w:val="21FA1092"/>
    <w:rsid w:val="221B26FB"/>
    <w:rsid w:val="225544BA"/>
    <w:rsid w:val="22723FBB"/>
    <w:rsid w:val="22D95913"/>
    <w:rsid w:val="2339265A"/>
    <w:rsid w:val="23696C97"/>
    <w:rsid w:val="237002BB"/>
    <w:rsid w:val="239301B8"/>
    <w:rsid w:val="239D3B97"/>
    <w:rsid w:val="23DD7BFD"/>
    <w:rsid w:val="242733DA"/>
    <w:rsid w:val="24C81AA7"/>
    <w:rsid w:val="24CB6794"/>
    <w:rsid w:val="24D811D0"/>
    <w:rsid w:val="25044920"/>
    <w:rsid w:val="250721FD"/>
    <w:rsid w:val="25187364"/>
    <w:rsid w:val="253C441F"/>
    <w:rsid w:val="254C6870"/>
    <w:rsid w:val="25754019"/>
    <w:rsid w:val="25C66622"/>
    <w:rsid w:val="25D13E4A"/>
    <w:rsid w:val="25DE13C8"/>
    <w:rsid w:val="26035F84"/>
    <w:rsid w:val="260C2602"/>
    <w:rsid w:val="260F6EE2"/>
    <w:rsid w:val="26233A75"/>
    <w:rsid w:val="26494A86"/>
    <w:rsid w:val="26581D4F"/>
    <w:rsid w:val="26671A58"/>
    <w:rsid w:val="26AB33D9"/>
    <w:rsid w:val="270A0791"/>
    <w:rsid w:val="276B3246"/>
    <w:rsid w:val="27B761E4"/>
    <w:rsid w:val="27C83EF0"/>
    <w:rsid w:val="27D76E1C"/>
    <w:rsid w:val="27F00C56"/>
    <w:rsid w:val="27F258DB"/>
    <w:rsid w:val="281467C5"/>
    <w:rsid w:val="284D302B"/>
    <w:rsid w:val="2920167E"/>
    <w:rsid w:val="298C784A"/>
    <w:rsid w:val="2991163B"/>
    <w:rsid w:val="29B25DC5"/>
    <w:rsid w:val="29B5753F"/>
    <w:rsid w:val="29C032B4"/>
    <w:rsid w:val="29F700B4"/>
    <w:rsid w:val="2A1E4514"/>
    <w:rsid w:val="2A304118"/>
    <w:rsid w:val="2A7228D5"/>
    <w:rsid w:val="2AC628AD"/>
    <w:rsid w:val="2AE01F34"/>
    <w:rsid w:val="2B054C24"/>
    <w:rsid w:val="2B073182"/>
    <w:rsid w:val="2B4A37A4"/>
    <w:rsid w:val="2B964CE9"/>
    <w:rsid w:val="2BB92785"/>
    <w:rsid w:val="2BCE3819"/>
    <w:rsid w:val="2BE52811"/>
    <w:rsid w:val="2C071743"/>
    <w:rsid w:val="2C172E8E"/>
    <w:rsid w:val="2C3A38C6"/>
    <w:rsid w:val="2C4B1DCD"/>
    <w:rsid w:val="2C682E31"/>
    <w:rsid w:val="2C834D44"/>
    <w:rsid w:val="2D1E4F96"/>
    <w:rsid w:val="2D2547C1"/>
    <w:rsid w:val="2D373DBD"/>
    <w:rsid w:val="2D402178"/>
    <w:rsid w:val="2DD71568"/>
    <w:rsid w:val="2E232138"/>
    <w:rsid w:val="2E5E0E9C"/>
    <w:rsid w:val="2E6A7D67"/>
    <w:rsid w:val="2E6F0E5A"/>
    <w:rsid w:val="2E772BB0"/>
    <w:rsid w:val="2ED51684"/>
    <w:rsid w:val="2EF67C47"/>
    <w:rsid w:val="2F2D14C0"/>
    <w:rsid w:val="2F4447D6"/>
    <w:rsid w:val="2F601896"/>
    <w:rsid w:val="301A64C9"/>
    <w:rsid w:val="30556F21"/>
    <w:rsid w:val="308837AD"/>
    <w:rsid w:val="30A4044C"/>
    <w:rsid w:val="30B96D0F"/>
    <w:rsid w:val="30F4568A"/>
    <w:rsid w:val="3103161C"/>
    <w:rsid w:val="31546281"/>
    <w:rsid w:val="320C5DD7"/>
    <w:rsid w:val="320E2E1E"/>
    <w:rsid w:val="32452E58"/>
    <w:rsid w:val="324A76B7"/>
    <w:rsid w:val="325154C6"/>
    <w:rsid w:val="32790F3E"/>
    <w:rsid w:val="32E13B5D"/>
    <w:rsid w:val="32FF4F22"/>
    <w:rsid w:val="330E098B"/>
    <w:rsid w:val="331F55C4"/>
    <w:rsid w:val="332C42D3"/>
    <w:rsid w:val="334D51BC"/>
    <w:rsid w:val="33BB6E05"/>
    <w:rsid w:val="33DE6FDD"/>
    <w:rsid w:val="33E52369"/>
    <w:rsid w:val="343A44F4"/>
    <w:rsid w:val="34A31328"/>
    <w:rsid w:val="34B82A8C"/>
    <w:rsid w:val="34BD5279"/>
    <w:rsid w:val="34C463DA"/>
    <w:rsid w:val="34ED54E4"/>
    <w:rsid w:val="351533BD"/>
    <w:rsid w:val="355215D5"/>
    <w:rsid w:val="35AD4532"/>
    <w:rsid w:val="35B43F98"/>
    <w:rsid w:val="35C47295"/>
    <w:rsid w:val="3605181A"/>
    <w:rsid w:val="366217B8"/>
    <w:rsid w:val="36DF5796"/>
    <w:rsid w:val="36FE31EC"/>
    <w:rsid w:val="37224F7B"/>
    <w:rsid w:val="372B0D43"/>
    <w:rsid w:val="378B3228"/>
    <w:rsid w:val="37A97DBE"/>
    <w:rsid w:val="37D270A9"/>
    <w:rsid w:val="388073C1"/>
    <w:rsid w:val="388D28B9"/>
    <w:rsid w:val="38F90240"/>
    <w:rsid w:val="39113C01"/>
    <w:rsid w:val="39227E83"/>
    <w:rsid w:val="392C4597"/>
    <w:rsid w:val="39397EF6"/>
    <w:rsid w:val="394C6378"/>
    <w:rsid w:val="397E42A7"/>
    <w:rsid w:val="399C1628"/>
    <w:rsid w:val="39A6259B"/>
    <w:rsid w:val="39B03B25"/>
    <w:rsid w:val="39EB59ED"/>
    <w:rsid w:val="3A173499"/>
    <w:rsid w:val="3A2118F4"/>
    <w:rsid w:val="3A242126"/>
    <w:rsid w:val="3AC54E2E"/>
    <w:rsid w:val="3B0442DF"/>
    <w:rsid w:val="3B897A45"/>
    <w:rsid w:val="3B8B56B5"/>
    <w:rsid w:val="3B9050AF"/>
    <w:rsid w:val="3B926F37"/>
    <w:rsid w:val="3BD5274A"/>
    <w:rsid w:val="3BD94D75"/>
    <w:rsid w:val="3BEE647B"/>
    <w:rsid w:val="3C5C33E5"/>
    <w:rsid w:val="3C5C5193"/>
    <w:rsid w:val="3C650E6E"/>
    <w:rsid w:val="3C6D114E"/>
    <w:rsid w:val="3CA174DE"/>
    <w:rsid w:val="3CD83332"/>
    <w:rsid w:val="3CF655E7"/>
    <w:rsid w:val="3CFA0D7F"/>
    <w:rsid w:val="3D08605E"/>
    <w:rsid w:val="3D202664"/>
    <w:rsid w:val="3D3A5ABF"/>
    <w:rsid w:val="3D734E8A"/>
    <w:rsid w:val="3DF52B32"/>
    <w:rsid w:val="3E164325"/>
    <w:rsid w:val="3E4619B8"/>
    <w:rsid w:val="3EAC3529"/>
    <w:rsid w:val="3ED019DE"/>
    <w:rsid w:val="3EE1041E"/>
    <w:rsid w:val="3EF142B8"/>
    <w:rsid w:val="3F000F79"/>
    <w:rsid w:val="3F1439EF"/>
    <w:rsid w:val="3F2C3542"/>
    <w:rsid w:val="3F377CC0"/>
    <w:rsid w:val="3F6931EA"/>
    <w:rsid w:val="3F6A694D"/>
    <w:rsid w:val="3F8E7D59"/>
    <w:rsid w:val="3FEF55C5"/>
    <w:rsid w:val="40241BA9"/>
    <w:rsid w:val="40324B88"/>
    <w:rsid w:val="4047615A"/>
    <w:rsid w:val="409C2B96"/>
    <w:rsid w:val="40DC2064"/>
    <w:rsid w:val="41110C42"/>
    <w:rsid w:val="411E44F8"/>
    <w:rsid w:val="412D224A"/>
    <w:rsid w:val="41344930"/>
    <w:rsid w:val="41521985"/>
    <w:rsid w:val="41894C7C"/>
    <w:rsid w:val="41AF5831"/>
    <w:rsid w:val="41C45CB4"/>
    <w:rsid w:val="41EE0F83"/>
    <w:rsid w:val="420832E7"/>
    <w:rsid w:val="420E6F2F"/>
    <w:rsid w:val="423B3A9C"/>
    <w:rsid w:val="42A80DC5"/>
    <w:rsid w:val="42DF2BDE"/>
    <w:rsid w:val="42EF1A57"/>
    <w:rsid w:val="42F731BC"/>
    <w:rsid w:val="43130464"/>
    <w:rsid w:val="432E61C5"/>
    <w:rsid w:val="43912C5C"/>
    <w:rsid w:val="4413108B"/>
    <w:rsid w:val="44246EDE"/>
    <w:rsid w:val="44625310"/>
    <w:rsid w:val="4478245C"/>
    <w:rsid w:val="449556E6"/>
    <w:rsid w:val="44A616A1"/>
    <w:rsid w:val="44B562B9"/>
    <w:rsid w:val="44B71B00"/>
    <w:rsid w:val="45876AFD"/>
    <w:rsid w:val="458F0387"/>
    <w:rsid w:val="45B2311A"/>
    <w:rsid w:val="46180F90"/>
    <w:rsid w:val="463B050F"/>
    <w:rsid w:val="46511AE0"/>
    <w:rsid w:val="46965745"/>
    <w:rsid w:val="46FC5E9B"/>
    <w:rsid w:val="46FD5F61"/>
    <w:rsid w:val="47156308"/>
    <w:rsid w:val="471B6F39"/>
    <w:rsid w:val="473308AB"/>
    <w:rsid w:val="474A246F"/>
    <w:rsid w:val="476D294A"/>
    <w:rsid w:val="478C7274"/>
    <w:rsid w:val="479C6A6B"/>
    <w:rsid w:val="48036E0A"/>
    <w:rsid w:val="48277AE2"/>
    <w:rsid w:val="48281197"/>
    <w:rsid w:val="485161A4"/>
    <w:rsid w:val="48AB372A"/>
    <w:rsid w:val="48AE61DD"/>
    <w:rsid w:val="48D33789"/>
    <w:rsid w:val="491063DC"/>
    <w:rsid w:val="49137521"/>
    <w:rsid w:val="49273E63"/>
    <w:rsid w:val="49320E3E"/>
    <w:rsid w:val="493D1204"/>
    <w:rsid w:val="497F5669"/>
    <w:rsid w:val="49892A88"/>
    <w:rsid w:val="4A0B00B6"/>
    <w:rsid w:val="4A37002E"/>
    <w:rsid w:val="4A372D9B"/>
    <w:rsid w:val="4A650E6C"/>
    <w:rsid w:val="4A995804"/>
    <w:rsid w:val="4B0A5B5F"/>
    <w:rsid w:val="4B6169AE"/>
    <w:rsid w:val="4B7A2328"/>
    <w:rsid w:val="4BE758DE"/>
    <w:rsid w:val="4BEE70F5"/>
    <w:rsid w:val="4C2D26A8"/>
    <w:rsid w:val="4C310EB0"/>
    <w:rsid w:val="4C59406D"/>
    <w:rsid w:val="4C8C66C9"/>
    <w:rsid w:val="4C910DDE"/>
    <w:rsid w:val="4C967C2C"/>
    <w:rsid w:val="4C9E35A6"/>
    <w:rsid w:val="4C9E680D"/>
    <w:rsid w:val="4CAF319D"/>
    <w:rsid w:val="4CB74367"/>
    <w:rsid w:val="4CCA7EF7"/>
    <w:rsid w:val="4D573E80"/>
    <w:rsid w:val="4D630526"/>
    <w:rsid w:val="4DA03ACE"/>
    <w:rsid w:val="4DCB3509"/>
    <w:rsid w:val="4DDA685F"/>
    <w:rsid w:val="4E272F01"/>
    <w:rsid w:val="4E4A0AB9"/>
    <w:rsid w:val="4E6767A4"/>
    <w:rsid w:val="4E6B74B7"/>
    <w:rsid w:val="4E86609F"/>
    <w:rsid w:val="4E873CA6"/>
    <w:rsid w:val="4E8D4786"/>
    <w:rsid w:val="4EB14B75"/>
    <w:rsid w:val="4ECD3CCE"/>
    <w:rsid w:val="4EE03A01"/>
    <w:rsid w:val="4F030AF1"/>
    <w:rsid w:val="4F310A65"/>
    <w:rsid w:val="4F682B93"/>
    <w:rsid w:val="4F851261"/>
    <w:rsid w:val="4F872AA4"/>
    <w:rsid w:val="4FCF1BAD"/>
    <w:rsid w:val="4FEE6956"/>
    <w:rsid w:val="50544178"/>
    <w:rsid w:val="5055181A"/>
    <w:rsid w:val="509E1DC6"/>
    <w:rsid w:val="50BB2978"/>
    <w:rsid w:val="50E77D1A"/>
    <w:rsid w:val="50F331A7"/>
    <w:rsid w:val="51005ED1"/>
    <w:rsid w:val="51167BAE"/>
    <w:rsid w:val="5153670D"/>
    <w:rsid w:val="516401E3"/>
    <w:rsid w:val="517D19DC"/>
    <w:rsid w:val="51AB1AE9"/>
    <w:rsid w:val="51B86EB8"/>
    <w:rsid w:val="521340EE"/>
    <w:rsid w:val="52191920"/>
    <w:rsid w:val="523808A3"/>
    <w:rsid w:val="528B22BC"/>
    <w:rsid w:val="52935C22"/>
    <w:rsid w:val="52BC4786"/>
    <w:rsid w:val="530644F0"/>
    <w:rsid w:val="533267F6"/>
    <w:rsid w:val="533E7D27"/>
    <w:rsid w:val="534A3B3F"/>
    <w:rsid w:val="53D90861"/>
    <w:rsid w:val="53ED1605"/>
    <w:rsid w:val="545F78C5"/>
    <w:rsid w:val="54656F77"/>
    <w:rsid w:val="547E1CAE"/>
    <w:rsid w:val="54877F10"/>
    <w:rsid w:val="54901A26"/>
    <w:rsid w:val="54B8169C"/>
    <w:rsid w:val="55102C4B"/>
    <w:rsid w:val="552F365E"/>
    <w:rsid w:val="558824F0"/>
    <w:rsid w:val="55F3226C"/>
    <w:rsid w:val="561A3126"/>
    <w:rsid w:val="566413BC"/>
    <w:rsid w:val="56673C1B"/>
    <w:rsid w:val="567B2CCD"/>
    <w:rsid w:val="56865225"/>
    <w:rsid w:val="56D976B4"/>
    <w:rsid w:val="572D0722"/>
    <w:rsid w:val="57377475"/>
    <w:rsid w:val="5749083A"/>
    <w:rsid w:val="575431DF"/>
    <w:rsid w:val="5755568C"/>
    <w:rsid w:val="5765537C"/>
    <w:rsid w:val="57962B22"/>
    <w:rsid w:val="57AC301B"/>
    <w:rsid w:val="57B34E87"/>
    <w:rsid w:val="57CE11E3"/>
    <w:rsid w:val="58155377"/>
    <w:rsid w:val="584F4EF2"/>
    <w:rsid w:val="5851284C"/>
    <w:rsid w:val="59203083"/>
    <w:rsid w:val="59342998"/>
    <w:rsid w:val="59973870"/>
    <w:rsid w:val="59C7272E"/>
    <w:rsid w:val="59E20056"/>
    <w:rsid w:val="59E4102F"/>
    <w:rsid w:val="5A421A14"/>
    <w:rsid w:val="5A4C6CD9"/>
    <w:rsid w:val="5A6715C3"/>
    <w:rsid w:val="5A900F23"/>
    <w:rsid w:val="5A9C2885"/>
    <w:rsid w:val="5AE900E2"/>
    <w:rsid w:val="5B1F08D0"/>
    <w:rsid w:val="5B2624B3"/>
    <w:rsid w:val="5B987E52"/>
    <w:rsid w:val="5BA17591"/>
    <w:rsid w:val="5BB93F58"/>
    <w:rsid w:val="5BBE194A"/>
    <w:rsid w:val="5BCC2BFD"/>
    <w:rsid w:val="5C05655A"/>
    <w:rsid w:val="5C981DBF"/>
    <w:rsid w:val="5CA40764"/>
    <w:rsid w:val="5CCA1E58"/>
    <w:rsid w:val="5CED23F8"/>
    <w:rsid w:val="5D491CEA"/>
    <w:rsid w:val="5D637AE5"/>
    <w:rsid w:val="5D704AEA"/>
    <w:rsid w:val="5DE73A35"/>
    <w:rsid w:val="5DFD48B4"/>
    <w:rsid w:val="5E0503F5"/>
    <w:rsid w:val="5E8C14B0"/>
    <w:rsid w:val="5EC63F23"/>
    <w:rsid w:val="5ED31ADB"/>
    <w:rsid w:val="5F025C16"/>
    <w:rsid w:val="5F0F1702"/>
    <w:rsid w:val="5F217E4A"/>
    <w:rsid w:val="5F3A53B0"/>
    <w:rsid w:val="5F7E0817"/>
    <w:rsid w:val="5F8605F5"/>
    <w:rsid w:val="5FAC7D5D"/>
    <w:rsid w:val="5FAF200F"/>
    <w:rsid w:val="5FF9489B"/>
    <w:rsid w:val="60194FC5"/>
    <w:rsid w:val="60471B32"/>
    <w:rsid w:val="608A1A1F"/>
    <w:rsid w:val="60A47BB3"/>
    <w:rsid w:val="60D94755"/>
    <w:rsid w:val="611F485D"/>
    <w:rsid w:val="612B2AE5"/>
    <w:rsid w:val="61425A64"/>
    <w:rsid w:val="61B2747F"/>
    <w:rsid w:val="61C14DFC"/>
    <w:rsid w:val="61C64CD9"/>
    <w:rsid w:val="621243C2"/>
    <w:rsid w:val="625C73EB"/>
    <w:rsid w:val="628A3D34"/>
    <w:rsid w:val="62A64AE9"/>
    <w:rsid w:val="62B91350"/>
    <w:rsid w:val="62E70A46"/>
    <w:rsid w:val="63364756"/>
    <w:rsid w:val="63576688"/>
    <w:rsid w:val="637F7680"/>
    <w:rsid w:val="63DA20CD"/>
    <w:rsid w:val="63EB0A27"/>
    <w:rsid w:val="63EB3090"/>
    <w:rsid w:val="641E67BA"/>
    <w:rsid w:val="64354398"/>
    <w:rsid w:val="64462101"/>
    <w:rsid w:val="64C1532D"/>
    <w:rsid w:val="65167D25"/>
    <w:rsid w:val="652F768E"/>
    <w:rsid w:val="654911D7"/>
    <w:rsid w:val="654F7E2F"/>
    <w:rsid w:val="658E1FB1"/>
    <w:rsid w:val="65B638F0"/>
    <w:rsid w:val="65FC33BF"/>
    <w:rsid w:val="66173E6E"/>
    <w:rsid w:val="66807DEF"/>
    <w:rsid w:val="66894E04"/>
    <w:rsid w:val="66904190"/>
    <w:rsid w:val="66B10C6D"/>
    <w:rsid w:val="66DF144C"/>
    <w:rsid w:val="66E634DC"/>
    <w:rsid w:val="670166EC"/>
    <w:rsid w:val="672E65F2"/>
    <w:rsid w:val="673B7F17"/>
    <w:rsid w:val="676A4358"/>
    <w:rsid w:val="67B11959"/>
    <w:rsid w:val="67C3769D"/>
    <w:rsid w:val="67DD0864"/>
    <w:rsid w:val="68277EB4"/>
    <w:rsid w:val="68386205"/>
    <w:rsid w:val="68543EF8"/>
    <w:rsid w:val="6874548F"/>
    <w:rsid w:val="68B03231"/>
    <w:rsid w:val="68D334AF"/>
    <w:rsid w:val="68E3546E"/>
    <w:rsid w:val="69114F1A"/>
    <w:rsid w:val="69156C4D"/>
    <w:rsid w:val="691722BE"/>
    <w:rsid w:val="69A51678"/>
    <w:rsid w:val="69AB1384"/>
    <w:rsid w:val="69BE3327"/>
    <w:rsid w:val="69CE1808"/>
    <w:rsid w:val="69EA6144"/>
    <w:rsid w:val="6A0E546F"/>
    <w:rsid w:val="6A321D4B"/>
    <w:rsid w:val="6A427C3D"/>
    <w:rsid w:val="6AEA5EF8"/>
    <w:rsid w:val="6B170353"/>
    <w:rsid w:val="6B1C7E11"/>
    <w:rsid w:val="6B2A4245"/>
    <w:rsid w:val="6B5C220A"/>
    <w:rsid w:val="6B8E367C"/>
    <w:rsid w:val="6B9B3288"/>
    <w:rsid w:val="6BDD0871"/>
    <w:rsid w:val="6C586E75"/>
    <w:rsid w:val="6C5B69BA"/>
    <w:rsid w:val="6CA1081C"/>
    <w:rsid w:val="6D264362"/>
    <w:rsid w:val="6D463172"/>
    <w:rsid w:val="6DE035C6"/>
    <w:rsid w:val="6DFD608A"/>
    <w:rsid w:val="6EC358BE"/>
    <w:rsid w:val="6ECE341F"/>
    <w:rsid w:val="6EF266C9"/>
    <w:rsid w:val="6F094457"/>
    <w:rsid w:val="6F1C6B73"/>
    <w:rsid w:val="70124542"/>
    <w:rsid w:val="70191889"/>
    <w:rsid w:val="70384FF4"/>
    <w:rsid w:val="70485CE6"/>
    <w:rsid w:val="705C75D0"/>
    <w:rsid w:val="70A72745"/>
    <w:rsid w:val="70C948CD"/>
    <w:rsid w:val="713954C7"/>
    <w:rsid w:val="71B9620A"/>
    <w:rsid w:val="71C91649"/>
    <w:rsid w:val="71CA5CD3"/>
    <w:rsid w:val="71F17B50"/>
    <w:rsid w:val="72295A30"/>
    <w:rsid w:val="726B5B54"/>
    <w:rsid w:val="727442DD"/>
    <w:rsid w:val="72B5575D"/>
    <w:rsid w:val="72D66F5B"/>
    <w:rsid w:val="73125FD0"/>
    <w:rsid w:val="73D53700"/>
    <w:rsid w:val="73D57EAF"/>
    <w:rsid w:val="743B1556"/>
    <w:rsid w:val="744E1D52"/>
    <w:rsid w:val="748305AA"/>
    <w:rsid w:val="74940C67"/>
    <w:rsid w:val="74982B0B"/>
    <w:rsid w:val="7532440B"/>
    <w:rsid w:val="75630D65"/>
    <w:rsid w:val="75656A7A"/>
    <w:rsid w:val="757E1225"/>
    <w:rsid w:val="75807AFC"/>
    <w:rsid w:val="75C1422D"/>
    <w:rsid w:val="75C33AD5"/>
    <w:rsid w:val="75E8550C"/>
    <w:rsid w:val="76377F56"/>
    <w:rsid w:val="76726D86"/>
    <w:rsid w:val="768371E5"/>
    <w:rsid w:val="76BA7B3A"/>
    <w:rsid w:val="76C2588C"/>
    <w:rsid w:val="76DF1587"/>
    <w:rsid w:val="77283E5C"/>
    <w:rsid w:val="77756B2D"/>
    <w:rsid w:val="777F4863"/>
    <w:rsid w:val="77961DE2"/>
    <w:rsid w:val="77DB4338"/>
    <w:rsid w:val="77F02C86"/>
    <w:rsid w:val="7820118F"/>
    <w:rsid w:val="782A7918"/>
    <w:rsid w:val="78835E0C"/>
    <w:rsid w:val="78C53AE4"/>
    <w:rsid w:val="78D124D1"/>
    <w:rsid w:val="78DC2635"/>
    <w:rsid w:val="79073E4A"/>
    <w:rsid w:val="79352A18"/>
    <w:rsid w:val="797439F5"/>
    <w:rsid w:val="79780B57"/>
    <w:rsid w:val="79A47660"/>
    <w:rsid w:val="79F35389"/>
    <w:rsid w:val="7A1C2D8F"/>
    <w:rsid w:val="7A877AF6"/>
    <w:rsid w:val="7AAF1560"/>
    <w:rsid w:val="7AC04563"/>
    <w:rsid w:val="7AD54A41"/>
    <w:rsid w:val="7B174A92"/>
    <w:rsid w:val="7B5B70B0"/>
    <w:rsid w:val="7B5D1DB2"/>
    <w:rsid w:val="7B9C10D8"/>
    <w:rsid w:val="7BDD6F3A"/>
    <w:rsid w:val="7C230ECE"/>
    <w:rsid w:val="7C357898"/>
    <w:rsid w:val="7C5542FC"/>
    <w:rsid w:val="7C570EF7"/>
    <w:rsid w:val="7C8A36AB"/>
    <w:rsid w:val="7C961A20"/>
    <w:rsid w:val="7D007088"/>
    <w:rsid w:val="7D117D40"/>
    <w:rsid w:val="7D634E7A"/>
    <w:rsid w:val="7DBD7BC1"/>
    <w:rsid w:val="7DD55C84"/>
    <w:rsid w:val="7DED27EB"/>
    <w:rsid w:val="7E3D1EBE"/>
    <w:rsid w:val="7E410A8F"/>
    <w:rsid w:val="7E481261"/>
    <w:rsid w:val="7E8D3E86"/>
    <w:rsid w:val="7EDD2BD1"/>
    <w:rsid w:val="7F0675CA"/>
    <w:rsid w:val="7F0F440E"/>
    <w:rsid w:val="7F297A01"/>
    <w:rsid w:val="7F6325BC"/>
    <w:rsid w:val="7F6E0A32"/>
    <w:rsid w:val="7F877460"/>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480" w:firstLineChars="200"/>
      <w:jc w:val="both"/>
    </w:pPr>
    <w:rPr>
      <w:rFonts w:ascii="宋体" w:hAnsi="宋体" w:eastAsia="宋体" w:cs="宋体"/>
      <w:kern w:val="2"/>
      <w:sz w:val="24"/>
      <w:szCs w:val="24"/>
      <w:lang w:val="en-US" w:eastAsia="zh-CN" w:bidi="ar-SA"/>
    </w:rPr>
  </w:style>
  <w:style w:type="paragraph" w:styleId="2">
    <w:name w:val="heading 1"/>
    <w:basedOn w:val="1"/>
    <w:next w:val="1"/>
    <w:link w:val="33"/>
    <w:qFormat/>
    <w:uiPriority w:val="0"/>
    <w:pPr>
      <w:numPr>
        <w:ilvl w:val="0"/>
        <w:numId w:val="1"/>
      </w:numPr>
      <w:spacing w:beforeAutospacing="1" w:afterAutospacing="1" w:line="480" w:lineRule="auto"/>
      <w:jc w:val="left"/>
      <w:outlineLvl w:val="0"/>
    </w:pPr>
    <w:rPr>
      <w:rFonts w:hint="eastAsia" w:eastAsia="楷体" w:cs="Times New Roman"/>
      <w:b/>
      <w:bCs/>
      <w:color w:val="000000"/>
      <w:kern w:val="32"/>
      <w:sz w:val="32"/>
      <w:szCs w:val="48"/>
    </w:rPr>
  </w:style>
  <w:style w:type="paragraph" w:styleId="3">
    <w:name w:val="heading 2"/>
    <w:basedOn w:val="1"/>
    <w:next w:val="1"/>
    <w:link w:val="32"/>
    <w:unhideWhenUsed/>
    <w:qFormat/>
    <w:uiPriority w:val="0"/>
    <w:pPr>
      <w:keepNext/>
      <w:keepLines/>
      <w:spacing w:before="260" w:after="260" w:line="480" w:lineRule="auto"/>
      <w:outlineLvl w:val="1"/>
    </w:pPr>
    <w:rPr>
      <w:rFonts w:ascii="Cambria" w:hAnsi="Cambria" w:eastAsia="楷体"/>
      <w:b/>
      <w:bCs/>
      <w:sz w:val="30"/>
      <w:szCs w:val="32"/>
    </w:rPr>
  </w:style>
  <w:style w:type="paragraph" w:styleId="4">
    <w:name w:val="heading 3"/>
    <w:basedOn w:val="1"/>
    <w:next w:val="1"/>
    <w:link w:val="34"/>
    <w:semiHidden/>
    <w:unhideWhenUsed/>
    <w:qFormat/>
    <w:uiPriority w:val="0"/>
    <w:pPr>
      <w:keepNext/>
      <w:keepLines/>
      <w:spacing w:before="260" w:after="260"/>
      <w:outlineLvl w:val="2"/>
    </w:pPr>
    <w:rPr>
      <w:rFonts w:ascii="Times New Roman" w:hAnsi="Times New Roman" w:eastAsia="楷体"/>
      <w:b/>
      <w:bCs/>
      <w:sz w:val="28"/>
      <w:szCs w:val="32"/>
    </w:rPr>
  </w:style>
  <w:style w:type="paragraph" w:styleId="5">
    <w:name w:val="heading 4"/>
    <w:basedOn w:val="1"/>
    <w:next w:val="1"/>
    <w:link w:val="36"/>
    <w:semiHidden/>
    <w:unhideWhenUsed/>
    <w:qFormat/>
    <w:uiPriority w:val="0"/>
    <w:pPr>
      <w:keepNext/>
      <w:keepLines/>
      <w:numPr>
        <w:ilvl w:val="3"/>
        <w:numId w:val="1"/>
      </w:numPr>
      <w:spacing w:before="280" w:after="290"/>
      <w:ind w:firstLine="403"/>
      <w:outlineLvl w:val="3"/>
    </w:pPr>
    <w:rPr>
      <w:rFonts w:ascii="Arial" w:hAnsi="Arial" w:eastAsia="楷体"/>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ind w:firstLine="420"/>
    </w:pPr>
  </w:style>
  <w:style w:type="paragraph" w:styleId="12">
    <w:name w:val="Body Text 2"/>
    <w:basedOn w:val="1"/>
    <w:next w:val="13"/>
    <w:qFormat/>
    <w:uiPriority w:val="0"/>
    <w:pPr>
      <w:tabs>
        <w:tab w:val="left" w:pos="0"/>
      </w:tabs>
      <w:spacing w:line="400" w:lineRule="atLeast"/>
    </w:pPr>
    <w:rPr>
      <w:rFonts w:ascii="Arial" w:hAnsi="Arial"/>
      <w:color w:val="000000"/>
    </w:rPr>
  </w:style>
  <w:style w:type="paragraph" w:styleId="13">
    <w:name w:val="Body Text"/>
    <w:basedOn w:val="1"/>
    <w:next w:val="1"/>
    <w:qFormat/>
    <w:uiPriority w:val="0"/>
    <w:pPr>
      <w:spacing w:line="480" w:lineRule="auto"/>
    </w:pPr>
    <w:rPr>
      <w:rFonts w:ascii="Times New Roman" w:hAnsi="Times New Roman" w:eastAsia="仿宋" w:cs="Times New Roman"/>
      <w:sz w:val="28"/>
    </w:rPr>
  </w:style>
  <w:style w:type="paragraph" w:styleId="14">
    <w:name w:val="annotation text"/>
    <w:basedOn w:val="1"/>
    <w:qFormat/>
    <w:uiPriority w:val="0"/>
    <w:pPr>
      <w:jc w:val="left"/>
    </w:pPr>
  </w:style>
  <w:style w:type="paragraph" w:styleId="15">
    <w:name w:val="Body Text Indent"/>
    <w:basedOn w:val="1"/>
    <w:next w:val="1"/>
    <w:qFormat/>
    <w:uiPriority w:val="0"/>
    <w:pPr>
      <w:spacing w:after="120"/>
      <w:ind w:left="420" w:leftChars="200"/>
    </w:pPr>
  </w:style>
  <w:style w:type="paragraph" w:styleId="16">
    <w:name w:val="Block Text"/>
    <w:basedOn w:val="1"/>
    <w:unhideWhenUsed/>
    <w:qFormat/>
    <w:uiPriority w:val="99"/>
    <w:pPr>
      <w:spacing w:after="120"/>
      <w:ind w:left="1440" w:leftChars="700" w:right="1440" w:rightChars="700"/>
    </w:pPr>
  </w:style>
  <w:style w:type="paragraph" w:styleId="17">
    <w:name w:val="Plain Text"/>
    <w:basedOn w:val="1"/>
    <w:next w:val="1"/>
    <w:qFormat/>
    <w:uiPriority w:val="0"/>
    <w:pPr>
      <w:spacing w:line="480" w:lineRule="auto"/>
    </w:pPr>
    <w:rPr>
      <w:rFonts w:cs="Times New Roman"/>
    </w:rPr>
  </w:style>
  <w:style w:type="paragraph" w:styleId="18">
    <w:name w:val="Balloon Text"/>
    <w:basedOn w:val="1"/>
    <w:link w:val="44"/>
    <w:qFormat/>
    <w:uiPriority w:val="0"/>
    <w:pPr>
      <w:spacing w:line="240" w:lineRule="auto"/>
    </w:pPr>
    <w:rPr>
      <w:sz w:val="18"/>
      <w:szCs w:val="18"/>
    </w:rPr>
  </w:style>
  <w:style w:type="paragraph" w:styleId="19">
    <w:name w:val="footer"/>
    <w:basedOn w:val="1"/>
    <w:link w:val="43"/>
    <w:qFormat/>
    <w:uiPriority w:val="0"/>
    <w:pPr>
      <w:tabs>
        <w:tab w:val="center" w:pos="4153"/>
        <w:tab w:val="right" w:pos="8306"/>
      </w:tabs>
      <w:snapToGrid w:val="0"/>
      <w:spacing w:line="240" w:lineRule="auto"/>
      <w:jc w:val="left"/>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1">
    <w:name w:val="toc 1"/>
    <w:basedOn w:val="1"/>
    <w:next w:val="1"/>
    <w:qFormat/>
    <w:uiPriority w:val="0"/>
  </w:style>
  <w:style w:type="paragraph" w:styleId="22">
    <w:name w:val="toc 2"/>
    <w:basedOn w:val="1"/>
    <w:next w:val="1"/>
    <w:qFormat/>
    <w:uiPriority w:val="0"/>
    <w:pPr>
      <w:ind w:left="420" w:leftChars="200"/>
    </w:pPr>
  </w:style>
  <w:style w:type="paragraph" w:styleId="23">
    <w:name w:val="Normal (Web)"/>
    <w:basedOn w:val="1"/>
    <w:qFormat/>
    <w:uiPriority w:val="0"/>
  </w:style>
  <w:style w:type="paragraph" w:styleId="24">
    <w:name w:val="Body Text First Indent"/>
    <w:basedOn w:val="13"/>
    <w:next w:val="25"/>
    <w:qFormat/>
    <w:uiPriority w:val="0"/>
    <w:pPr>
      <w:ind w:firstLine="420" w:firstLineChars="100"/>
    </w:pPr>
  </w:style>
  <w:style w:type="paragraph" w:styleId="25">
    <w:name w:val="Body Text First Indent 2"/>
    <w:basedOn w:val="15"/>
    <w:next w:val="11"/>
    <w:qFormat/>
    <w:uiPriority w:val="0"/>
    <w:pPr>
      <w:ind w:firstLine="420"/>
    </w:p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Emphasis"/>
    <w:basedOn w:val="28"/>
    <w:qFormat/>
    <w:uiPriority w:val="0"/>
    <w:rPr>
      <w:i/>
    </w:rPr>
  </w:style>
  <w:style w:type="character" w:styleId="31">
    <w:name w:val="annotation reference"/>
    <w:basedOn w:val="28"/>
    <w:qFormat/>
    <w:uiPriority w:val="0"/>
    <w:rPr>
      <w:sz w:val="21"/>
      <w:szCs w:val="21"/>
    </w:rPr>
  </w:style>
  <w:style w:type="character" w:customStyle="1" w:styleId="32">
    <w:name w:val="标题 2 Char"/>
    <w:link w:val="3"/>
    <w:qFormat/>
    <w:locked/>
    <w:uiPriority w:val="0"/>
    <w:rPr>
      <w:rFonts w:ascii="Arial" w:hAnsi="Arial" w:eastAsia="楷体" w:cstheme="minorBidi"/>
      <w:b/>
      <w:bCs/>
      <w:kern w:val="2"/>
      <w:sz w:val="30"/>
      <w:szCs w:val="22"/>
      <w:lang w:val="en-US" w:eastAsia="zh-CN" w:bidi="ar-SA"/>
    </w:rPr>
  </w:style>
  <w:style w:type="character" w:customStyle="1" w:styleId="33">
    <w:name w:val="标题 1 Char"/>
    <w:link w:val="2"/>
    <w:qFormat/>
    <w:uiPriority w:val="0"/>
    <w:rPr>
      <w:rFonts w:ascii="宋体" w:hAnsi="宋体" w:eastAsia="楷体" w:cs="宋体"/>
      <w:b/>
      <w:bCs/>
      <w:color w:val="000000"/>
      <w:kern w:val="44"/>
      <w:sz w:val="36"/>
      <w:szCs w:val="44"/>
      <w:lang w:val="en-US" w:eastAsia="zh-CN" w:bidi="ar-SA"/>
    </w:rPr>
  </w:style>
  <w:style w:type="character" w:customStyle="1" w:styleId="34">
    <w:name w:val="标题 3 Char"/>
    <w:link w:val="4"/>
    <w:semiHidden/>
    <w:qFormat/>
    <w:uiPriority w:val="0"/>
    <w:rPr>
      <w:rFonts w:ascii="Times New Roman" w:hAnsi="Times New Roman" w:eastAsia="楷体" w:cstheme="minorBidi"/>
      <w:b/>
      <w:bCs/>
      <w:kern w:val="2"/>
      <w:sz w:val="28"/>
      <w:szCs w:val="22"/>
      <w:lang w:eastAsia="zh-CN"/>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
    <w:qFormat/>
    <w:uiPriority w:val="0"/>
    <w:rPr>
      <w:rFonts w:ascii="Times New Roman" w:hAnsi="Times New Roman"/>
      <w:sz w:val="21"/>
    </w:rPr>
  </w:style>
  <w:style w:type="character" w:customStyle="1" w:styleId="36">
    <w:name w:val="标题 4 Char"/>
    <w:link w:val="5"/>
    <w:qFormat/>
    <w:uiPriority w:val="0"/>
    <w:rPr>
      <w:rFonts w:ascii="Arial" w:hAnsi="Arial" w:eastAsia="楷体" w:cstheme="minorBidi"/>
      <w:b/>
      <w:bCs/>
      <w:kern w:val="2"/>
      <w:sz w:val="24"/>
      <w:szCs w:val="22"/>
      <w:lang w:eastAsia="zh-CN"/>
    </w:rPr>
  </w:style>
  <w:style w:type="paragraph" w:customStyle="1" w:styleId="37">
    <w:name w:val="null3"/>
    <w:qFormat/>
    <w:uiPriority w:val="0"/>
    <w:rPr>
      <w:rFonts w:hint="eastAsia" w:ascii="Calibri" w:hAnsi="Calibri" w:eastAsia="楷体" w:cs="Times New Roman"/>
      <w:sz w:val="24"/>
      <w:lang w:val="en-US" w:eastAsia="zh-Hans"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sz w:val="21"/>
      <w:szCs w:val="21"/>
      <w:lang w:eastAsia="en-US"/>
    </w:rPr>
  </w:style>
  <w:style w:type="paragraph" w:customStyle="1" w:styleId="40">
    <w:name w:val="正文正"/>
    <w:basedOn w:val="41"/>
    <w:qFormat/>
    <w:uiPriority w:val="0"/>
    <w:pPr>
      <w:spacing w:line="560" w:lineRule="exact"/>
      <w:ind w:firstLine="561"/>
    </w:pPr>
    <w:rPr>
      <w:rFonts w:eastAsia="仿宋_GB2312"/>
      <w:sz w:val="28"/>
    </w:rPr>
  </w:style>
  <w:style w:type="paragraph" w:customStyle="1" w:styleId="41">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42">
    <w:name w:val="修订1"/>
    <w:hidden/>
    <w:unhideWhenUsed/>
    <w:qFormat/>
    <w:uiPriority w:val="99"/>
    <w:rPr>
      <w:rFonts w:eastAsia="宋体" w:asciiTheme="minorHAnsi" w:hAnsiTheme="minorHAnsi" w:cstheme="minorBidi"/>
      <w:kern w:val="2"/>
      <w:sz w:val="24"/>
      <w:szCs w:val="22"/>
      <w:lang w:val="en-US" w:eastAsia="zh-CN" w:bidi="ar-SA"/>
    </w:rPr>
  </w:style>
  <w:style w:type="character" w:customStyle="1" w:styleId="43">
    <w:name w:val="页脚 Char"/>
    <w:basedOn w:val="28"/>
    <w:link w:val="19"/>
    <w:qFormat/>
    <w:uiPriority w:val="0"/>
    <w:rPr>
      <w:rFonts w:asciiTheme="minorHAnsi" w:hAnsiTheme="minorHAnsi" w:cstheme="minorBidi"/>
      <w:kern w:val="2"/>
      <w:sz w:val="18"/>
      <w:szCs w:val="18"/>
    </w:rPr>
  </w:style>
  <w:style w:type="character" w:customStyle="1" w:styleId="44">
    <w:name w:val="批注框文本 Char"/>
    <w:basedOn w:val="28"/>
    <w:link w:val="18"/>
    <w:qFormat/>
    <w:uiPriority w:val="0"/>
    <w:rPr>
      <w:rFonts w:asciiTheme="minorHAnsi" w:hAnsiTheme="minorHAnsi" w:cstheme="minorBidi"/>
      <w:kern w:val="2"/>
      <w:sz w:val="18"/>
      <w:szCs w:val="18"/>
    </w:rPr>
  </w:style>
  <w:style w:type="paragraph" w:styleId="45">
    <w:name w:val="List Paragraph"/>
    <w:basedOn w:val="1"/>
    <w:qFormat/>
    <w:uiPriority w:val="34"/>
    <w:pPr>
      <w:ind w:firstLine="420"/>
    </w:pPr>
  </w:style>
  <w:style w:type="paragraph" w:customStyle="1" w:styleId="4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0770aacb-2187-421f-ad40-31c9941caf3d</errorID>
      <errorWord>（</errorWord>
      <group>L1_Punc</group>
      <groupName>标点问题</groupName>
      <ability>L2_Punc</ability>
      <abilityName>标点符号检查</abilityName>
      <candidateList/>
      <explain/>
      <paraID>5C82B5F2</paraID>
      <start>197</start>
      <end>198</end>
      <status>unmodified</status>
      <modifiedWord/>
      <trackRevisions>false</trackRevisions>
    </reviewItem>
    <reviewItem>
      <errorID>f09d95f4-97ef-4dfc-ac1b-f2045c0d167b</errorID>
      <errorWord>1在</errorWord>
      <group>L1_Word</group>
      <groupName>字词问题</groupName>
      <ability>L2_Typo</ability>
      <abilityName>字词错误</abilityName>
      <candidateList>
        <item>1</item>
      </candidateList>
      <explain/>
      <paraID>777DC525</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defd4-b00d-4734-a44d-fd19a3579fbf}">
  <ds:schemaRefs/>
</ds:datastoreItem>
</file>

<file path=docProps/app.xml><?xml version="1.0" encoding="utf-8"?>
<Properties xmlns="http://schemas.openxmlformats.org/officeDocument/2006/extended-properties" xmlns:vt="http://schemas.openxmlformats.org/officeDocument/2006/docPropsVTypes">
  <Template>Normal</Template>
  <Pages>14</Pages>
  <Words>8914</Words>
  <Characters>9080</Characters>
  <Lines>356</Lines>
  <Paragraphs>100</Paragraphs>
  <TotalTime>0</TotalTime>
  <ScaleCrop>false</ScaleCrop>
  <LinksUpToDate>false</LinksUpToDate>
  <CharactersWithSpaces>9148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2025-10-31T13:28:00Z</dcterms:created>
  <dc:creator>Administrator</dc:creator>
  <cp:lastModifiedBy>bangong</cp:lastModifiedBy>
  <dcterms:modified xsi:type="dcterms:W3CDTF">2026-01-19T06:32:36Z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eyJoZGlkIjoiMWVmNTNmMDhhMGVkYmM0ZmExYjEyOTE2YzZhZmU1MjciLCJ1c2VySWQiOiIxNTA1OTQ0ODM3In0=</vt:lpwstr>
  </property>
  <property fmtid="{D5CDD505-2E9C-101B-9397-08002B2CF9AE}" pid="3" name="KSOProductBuildVer">
    <vt:lpwstr>2052-12.1.0.24657</vt:lpwstr>
  </property>
  <property fmtid="{D5CDD505-2E9C-101B-9397-08002B2CF9AE}" pid="4" name="ICV">
    <vt:lpwstr>CD5BEEDAA9E14BB39D51CC014AF65292</vt:lpwstr>
  </property>
</Properties>
</file>