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附件一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采购需求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  <w:lang w:eastAsia="zh-CN"/>
        </w:rPr>
        <w:t>清单</w:t>
      </w:r>
    </w:p>
    <w:p>
      <w:pP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  <w:lang w:eastAsia="zh-CN"/>
        </w:rPr>
      </w:pPr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312"/>
        <w:gridCol w:w="1294"/>
        <w:gridCol w:w="878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太阳能杀虫灯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台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约30亩安装一台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水稻螟虫诱捕器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1000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每亩放置1套诱捕器（各含二化螟、稻纵卷叶螟性诱芯各1000条，防控时期需更换一次）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投放天敌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</w:rPr>
              <w:br w:type="textWrapping"/>
            </w:r>
            <w:r>
              <w:rPr>
                <w:rFonts w:hint="eastAsia" w:ascii="宋体" w:hAnsi="宋体" w:eastAsia="宋体" w:cs="宋体"/>
              </w:rPr>
              <w:t>（赤眼蜂）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3000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亩次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水稻生长全程天敌防控，天敌投放次数：3次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生物农药防控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（苏云金杆菌等）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3000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亩次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每亩进行3次生物农药统防统治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高效低毒农药精准施用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2000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亩次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高效、低毒、低残留、环境友好型农药用于精准防控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无人机飞防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3000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亩次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每亩进行3次无人机飞防作业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17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其它</w:t>
            </w:r>
          </w:p>
        </w:tc>
        <w:tc>
          <w:tcPr>
            <w:tcW w:w="681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462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项</w:t>
            </w:r>
          </w:p>
        </w:tc>
        <w:tc>
          <w:tcPr>
            <w:tcW w:w="2179" w:type="pct"/>
            <w:shd w:val="clear" w:color="auto" w:fill="auto"/>
            <w:tcMar>
              <w:top w:w="108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宣传、技术支撑、现场观摩培训会、竖示范牌等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采购服务技术要求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1、实施要求：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示范区全程开展病虫绿色防控，开展农业防治、物理防治、生物防治等水稻病虫害绿色防治技术示范，推广太阳能杀虫灯、螟虫诱捕器、释放赤眼蜂、推广生物农药和高效低毒绿色农药、并配合全程植保无人机的高效用药，以及开展水稻病虫害绿色防控技术培训观摩、田间设立绿色防控示范牌等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（一）理化诱控技术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在示范区昆虫信息素（性引诱剂）、杀虫灯等对水稻害虫群集诱杀或是干扰交配减轻为害。绿色防控设备产品购置：杀虫灯（30台）、诱捕器（1000套，含稻纵卷叶螟、二化螟诱芯）。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（二）开展生物防治技术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示范区应用投放天敌：赤眼蜂（1500万头，1.5万头/亩）。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（三）科学用药技术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使用生物农药、高效低毒农药进行水稻统防统治3次。采购生物农药：如苏云金杆菌、苦参碱、春雷霉素、井岗霉素等生物农药；采购高效低毒农药如甲维盐、氯虫苯甲酰胺、阿维菌素·氯虫苯甲酰胺、阿维·甲虫肼、甲维·茚虫威、乙基多杀菌素、多杀·甲维盐、虱螨脲·虫螨腈、烯啶·吡蚜酮、三氟苯嘧啶、吡蚜·呋虫胺、噻虫嗪等杀虫剂，苯甲·嘧菌酯、氟环唑、肟菌·戊唑醇、稻瘟灵、三环唑等杀菌剂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4.组织开展技术培训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组织开展一场50人以上绿色防控技术宣传暨现场培训观摩活动，制作和编印一批水稻绿色防控技术宣传培训资料，增强水稻种植户对水稻绿色防控的认识和理解。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(四)实施时间安排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0C0C0C"/>
          <w:sz w:val="21"/>
          <w:szCs w:val="21"/>
        </w:rPr>
      </w:pPr>
      <w:r>
        <w:rPr>
          <w:rFonts w:hint="eastAsia" w:ascii="宋体" w:hAnsi="宋体" w:eastAsia="宋体" w:cs="宋体"/>
          <w:color w:val="0C0C0C"/>
          <w:sz w:val="21"/>
          <w:szCs w:val="21"/>
        </w:rPr>
        <w:t>项目建设周期：2024年</w:t>
      </w:r>
      <w:r>
        <w:rPr>
          <w:rFonts w:hint="eastAsia" w:ascii="宋体" w:hAnsi="宋体" w:eastAsia="宋体" w:cs="宋体"/>
          <w:color w:val="0C0C0C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C0C0C"/>
          <w:sz w:val="21"/>
          <w:szCs w:val="21"/>
        </w:rPr>
        <w:t>月至2024年7月。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2"/>
        <w:gridCol w:w="3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pct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工作计划安排</w:t>
            </w:r>
          </w:p>
        </w:tc>
        <w:tc>
          <w:tcPr>
            <w:tcW w:w="1701" w:type="pct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完成项目实施区域的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遴选确定</w:t>
            </w:r>
          </w:p>
        </w:tc>
        <w:tc>
          <w:tcPr>
            <w:tcW w:w="17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2024年3月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根据水稻病虫害防控适期开展项目实施内容</w:t>
            </w:r>
          </w:p>
        </w:tc>
        <w:tc>
          <w:tcPr>
            <w:tcW w:w="17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2024年3月-7月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29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开展效果评价工作，完成项目台账资料编写、项目验收工作</w:t>
            </w:r>
          </w:p>
        </w:tc>
        <w:tc>
          <w:tcPr>
            <w:tcW w:w="17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2024年7月</w:t>
            </w:r>
          </w:p>
        </w:tc>
      </w:tr>
    </w:tbl>
    <w:p>
      <w:pPr>
        <w:pStyle w:val="7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2、技术要求：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（一）生物农药和释放赤眼蜂协同防治水稻螟虫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在秧苗移栽前2-3天，选用内吸性药剂进行喷雾，施用用电动/手动喷雾器喷施。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水稻插秧后20-30天，喷施一次药剂防治（氯虫苯甲酰胺、甲维盐等高效低毒药剂，配合施用苏云金杆菌+井岗霉素等生物农药）分蘖期的水稻螟虫，7天后开始释放赤眼蜂，连续释放2次，间隔7天，每次放蜂约5000头/亩，两次合计1万头蜂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水稻破口前，再喷施一次药剂防治（氯虫苯甲酰胺、甲维盐等高效低毒药剂，配合施用苏云金杆菌+井岗霉素等生物农药）螟虫，5天后开始释放赤眼蜂，每次放蜂约5000头/亩。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水稻齐穗期，再喷施一次生物农药防治（施用苏云金杆菌+井岗霉素等生物农药）水稻病虫害。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其它害虫如稻飞虱、水稻跗线螨等，根据田间发生情况采取药剂防治，但须注意与释放赤眼蜂时期协调，以防药剂对赤眼蜂的影响。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（二）理化诱控措施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示范区昆虫信息素（性引诱剂）、杀虫灯等对水稻害虫群集诱杀或是干扰交配减轻为害。每亩放置1个水稻螟虫诱捕器，分别装有二化螟和稻纵卷叶螟，防控时期内1-2个月更换一次；每30亩左右安装太阳能杀虫一部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（三）生态防控措施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田垅保留功能杂草，有条件的地方可种植香根草、茭白，以及大豆、芝麻、波斯菊等显花植物涵养寄生蜂、蜘蛛和黑肩绿盲蝽等天敌，可降低病虫害防治压力；不使用菊酯类农药，减少对害虫天敌的影响。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3、宣传引导要求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加强宣传引导。充分利用广播、电视、报刊、网络等媒体，大力宣传农作物病虫害绿色防控技术，开展水稻绿色防控技术培训或举办现场观摩，营造良好社会氛围，提高技术入户率和绿色防控普及率。</w:t>
      </w:r>
    </w:p>
    <w:p>
      <w:pPr>
        <w:pStyle w:val="7"/>
        <w:rPr>
          <w:rFonts w:hint="eastAsia"/>
          <w:lang w:eastAsia="zh-CN"/>
        </w:rPr>
      </w:pPr>
    </w:p>
    <w:sectPr>
      <w:pgSz w:w="11900" w:h="16840"/>
      <w:pgMar w:top="1237" w:right="1429" w:bottom="1534" w:left="1180" w:header="809" w:footer="1106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A1MGIyMjdjZmExNzdiYjM4MmQ3ZGUzNDMwMTgyYzEifQ=="/>
  </w:docVars>
  <w:rsids>
    <w:rsidRoot w:val="007D2A83"/>
    <w:rsid w:val="00003312"/>
    <w:rsid w:val="00213F8C"/>
    <w:rsid w:val="00366321"/>
    <w:rsid w:val="005255C7"/>
    <w:rsid w:val="007C54C7"/>
    <w:rsid w:val="007D2A83"/>
    <w:rsid w:val="0F65138C"/>
    <w:rsid w:val="12B46304"/>
    <w:rsid w:val="18912BE0"/>
    <w:rsid w:val="39781027"/>
    <w:rsid w:val="642357A8"/>
    <w:rsid w:val="6B827EC3"/>
    <w:rsid w:val="729F7423"/>
    <w:rsid w:val="7A081773"/>
    <w:rsid w:val="7D5B3117"/>
    <w:rsid w:val="7DFF154E"/>
    <w:rsid w:val="7FFD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_Style 3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Other|1_"/>
    <w:basedOn w:val="6"/>
    <w:link w:val="9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autoRedefine/>
    <w:qFormat/>
    <w:uiPriority w:val="0"/>
    <w:pPr>
      <w:ind w:firstLine="380"/>
    </w:pPr>
    <w:rPr>
      <w:rFonts w:ascii="宋体" w:hAnsi="宋体" w:eastAsia="宋体" w:cs="宋体"/>
      <w:lang w:val="zh-TW" w:eastAsia="zh-TW" w:bidi="zh-TW"/>
    </w:rPr>
  </w:style>
  <w:style w:type="character" w:customStyle="1" w:styleId="10">
    <w:name w:val="页眉 Char"/>
    <w:basedOn w:val="6"/>
    <w:link w:val="3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1">
    <w:name w:val="页脚 Char"/>
    <w:basedOn w:val="6"/>
    <w:link w:val="2"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2">
    <w:name w:val="font01"/>
    <w:basedOn w:val="6"/>
    <w:autoRedefine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481</Words>
  <Characters>559</Characters>
  <Lines>1</Lines>
  <Paragraphs>1</Paragraphs>
  <TotalTime>0</TotalTime>
  <ScaleCrop>false</ScaleCrop>
  <LinksUpToDate>false</LinksUpToDate>
  <CharactersWithSpaces>559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2022-06-17T18:39:00Z</dcterms:created>
  <dc:creator>Administrator</dc:creator>
  <cp:lastModifiedBy>黑白灰</cp:lastModifiedBy>
  <dcterms:modified xsi:type="dcterms:W3CDTF">2024-03-08T08:45:19Z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F4392293E7A04B7C91DA00E6B845D278</vt:lpwstr>
  </property>
</Properties>
</file>