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F07A8">
      <w:pPr>
        <w:spacing w:line="360" w:lineRule="auto"/>
        <w:rPr>
          <w:rFonts w:hint="eastAsia" w:ascii="宋体" w:hAnsi="宋体" w:eastAsia="宋体" w:cs="宋体"/>
          <w:b/>
          <w:bCs/>
          <w:color w:val="auto"/>
          <w:sz w:val="32"/>
          <w:szCs w:val="32"/>
        </w:rPr>
      </w:pPr>
      <w:bookmarkStart w:id="0" w:name="_Toc19592"/>
      <w:bookmarkStart w:id="1" w:name="_Toc9972"/>
      <w:bookmarkStart w:id="2" w:name="_Toc21517"/>
      <w:bookmarkStart w:id="3" w:name="_Toc8693"/>
      <w:bookmarkStart w:id="4" w:name="_Toc16157"/>
      <w:bookmarkStart w:id="5" w:name="_Toc17692"/>
      <w:bookmarkStart w:id="6" w:name="_Toc1621"/>
      <w:bookmarkStart w:id="7" w:name="_Toc25780"/>
      <w:bookmarkStart w:id="8" w:name="_Toc6774"/>
      <w:bookmarkStart w:id="9" w:name="_Toc9553"/>
      <w:r>
        <w:rPr>
          <w:rFonts w:hint="eastAsia" w:ascii="宋体" w:hAnsi="宋体" w:eastAsia="宋体" w:cs="宋体"/>
          <w:b/>
          <w:bCs/>
          <w:color w:val="auto"/>
          <w:sz w:val="30"/>
          <w:szCs w:val="30"/>
          <w:lang w:val="en-US" w:eastAsia="zh-CN"/>
        </w:rPr>
        <w:t>附件：</w:t>
      </w:r>
    </w:p>
    <w:p w14:paraId="55AAFEF2">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拟签订合同的主要条款</w:t>
      </w:r>
    </w:p>
    <w:p w14:paraId="0A273218">
      <w:pPr>
        <w:pStyle w:val="5"/>
        <w:snapToGrid w:val="0"/>
        <w:spacing w:line="360" w:lineRule="auto"/>
        <w:ind w:firstLine="482" w:firstLineChars="200"/>
        <w:jc w:val="both"/>
        <w:outlineLvl w:val="1"/>
        <w:rPr>
          <w:rStyle w:val="6"/>
          <w:rFonts w:hint="eastAsia" w:ascii="宋体" w:hAnsi="宋体" w:eastAsia="宋体" w:cs="宋体"/>
          <w:b/>
          <w:bCs/>
          <w:color w:val="auto"/>
        </w:rPr>
      </w:pPr>
    </w:p>
    <w:p w14:paraId="76DFEEA1">
      <w:pPr>
        <w:pStyle w:val="5"/>
        <w:snapToGrid w:val="0"/>
        <w:spacing w:line="360" w:lineRule="auto"/>
        <w:ind w:firstLine="482" w:firstLineChars="200"/>
        <w:jc w:val="both"/>
        <w:outlineLvl w:val="1"/>
        <w:rPr>
          <w:rStyle w:val="6"/>
          <w:rFonts w:hint="eastAsia" w:ascii="宋体" w:hAnsi="宋体" w:eastAsia="宋体" w:cs="宋体"/>
          <w:b/>
          <w:bCs/>
          <w:color w:val="auto"/>
        </w:rPr>
      </w:pPr>
      <w:r>
        <w:rPr>
          <w:rStyle w:val="6"/>
          <w:rFonts w:hint="eastAsia" w:ascii="宋体" w:hAnsi="宋体" w:eastAsia="宋体" w:cs="宋体"/>
          <w:b/>
          <w:bCs/>
          <w:color w:val="auto"/>
        </w:rPr>
        <w:t>1．工程承包方式</w:t>
      </w:r>
      <w:bookmarkEnd w:id="0"/>
      <w:bookmarkEnd w:id="1"/>
      <w:bookmarkEnd w:id="2"/>
      <w:bookmarkEnd w:id="3"/>
      <w:bookmarkEnd w:id="4"/>
      <w:bookmarkEnd w:id="5"/>
      <w:bookmarkEnd w:id="6"/>
      <w:bookmarkEnd w:id="7"/>
      <w:bookmarkEnd w:id="8"/>
      <w:bookmarkEnd w:id="9"/>
    </w:p>
    <w:p w14:paraId="5E1E643B">
      <w:pPr>
        <w:snapToGrid w:val="0"/>
        <w:spacing w:line="360" w:lineRule="auto"/>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1.1</w:t>
      </w:r>
      <w:r>
        <w:rPr>
          <w:rStyle w:val="6"/>
          <w:rFonts w:hint="eastAsia" w:ascii="宋体" w:hAnsi="宋体" w:eastAsia="宋体" w:cs="宋体"/>
          <w:color w:val="auto"/>
          <w:kern w:val="0"/>
        </w:rPr>
        <w:t xml:space="preserve"> 承包人以</w:t>
      </w:r>
      <w:r>
        <w:rPr>
          <w:rStyle w:val="6"/>
          <w:rFonts w:hint="eastAsia" w:hAnsi="宋体" w:cs="宋体"/>
          <w:color w:val="auto"/>
          <w:kern w:val="0"/>
          <w:lang w:eastAsia="zh-CN"/>
        </w:rPr>
        <w:t>成交价</w:t>
      </w:r>
      <w:r>
        <w:rPr>
          <w:rStyle w:val="6"/>
          <w:rFonts w:hint="eastAsia" w:ascii="宋体" w:hAnsi="宋体" w:eastAsia="宋体" w:cs="宋体"/>
          <w:color w:val="auto"/>
          <w:kern w:val="0"/>
        </w:rPr>
        <w:t>按包工包料、包质量、包安全包文明施工、包工期方式总承包施工，不允许转包和违法分包，如果确需分包须与发包人协商，在得到发包人和监理单位同意后报建设行政主管部门备案。</w:t>
      </w:r>
    </w:p>
    <w:p w14:paraId="02F684A6">
      <w:pPr>
        <w:snapToGrid w:val="0"/>
        <w:spacing w:line="360" w:lineRule="auto"/>
        <w:ind w:firstLine="560"/>
        <w:rPr>
          <w:rStyle w:val="6"/>
          <w:rFonts w:hint="eastAsia" w:ascii="宋体" w:hAnsi="宋体" w:eastAsia="宋体" w:cs="宋体"/>
          <w:color w:val="auto"/>
          <w:kern w:val="0"/>
        </w:rPr>
      </w:pPr>
      <w:r>
        <w:rPr>
          <w:rStyle w:val="6"/>
          <w:rFonts w:hint="eastAsia" w:ascii="宋体" w:hAnsi="宋体" w:eastAsia="宋体" w:cs="宋体"/>
          <w:b/>
          <w:bCs/>
          <w:color w:val="auto"/>
          <w:kern w:val="0"/>
        </w:rPr>
        <w:t>1.1.1</w:t>
      </w:r>
      <w:r>
        <w:rPr>
          <w:rStyle w:val="6"/>
          <w:rFonts w:hint="eastAsia" w:ascii="宋体" w:hAnsi="宋体" w:eastAsia="宋体" w:cs="宋体"/>
          <w:color w:val="auto"/>
          <w:kern w:val="0"/>
        </w:rPr>
        <w:t xml:space="preserve"> 包工包料：材料符合</w:t>
      </w:r>
      <w:r>
        <w:rPr>
          <w:rStyle w:val="6"/>
          <w:rFonts w:hint="eastAsia" w:hAnsi="宋体" w:cs="宋体"/>
          <w:color w:val="auto"/>
          <w:kern w:val="0"/>
          <w:lang w:eastAsia="zh-CN"/>
        </w:rPr>
        <w:t>竞争性磋商文件</w:t>
      </w:r>
      <w:r>
        <w:rPr>
          <w:rStyle w:val="6"/>
          <w:rFonts w:hint="eastAsia" w:ascii="宋体" w:hAnsi="宋体" w:eastAsia="宋体" w:cs="宋体"/>
          <w:color w:val="auto"/>
          <w:kern w:val="0"/>
        </w:rPr>
        <w:t>要求</w:t>
      </w:r>
      <w:r>
        <w:rPr>
          <w:rFonts w:hint="eastAsia" w:ascii="宋体" w:hAnsi="宋体" w:eastAsia="宋体" w:cs="宋体"/>
          <w:snapToGrid w:val="0"/>
          <w:color w:val="auto"/>
          <w:kern w:val="0"/>
        </w:rPr>
        <w:t>及合同的相关约定</w:t>
      </w:r>
      <w:r>
        <w:rPr>
          <w:rStyle w:val="6"/>
          <w:rFonts w:hint="eastAsia" w:ascii="宋体" w:hAnsi="宋体" w:eastAsia="宋体" w:cs="宋体"/>
          <w:color w:val="auto"/>
          <w:kern w:val="0"/>
        </w:rPr>
        <w:t>并报验使用；办理用工保险。</w:t>
      </w:r>
    </w:p>
    <w:p w14:paraId="1468E5BD">
      <w:pPr>
        <w:snapToGrid w:val="0"/>
        <w:spacing w:line="360" w:lineRule="auto"/>
        <w:ind w:firstLine="560"/>
        <w:rPr>
          <w:rStyle w:val="6"/>
          <w:rFonts w:hint="eastAsia" w:ascii="宋体" w:hAnsi="宋体" w:eastAsia="宋体" w:cs="宋体"/>
          <w:color w:val="auto"/>
          <w:kern w:val="0"/>
        </w:rPr>
      </w:pPr>
      <w:r>
        <w:rPr>
          <w:rStyle w:val="6"/>
          <w:rFonts w:hint="eastAsia" w:ascii="宋体" w:hAnsi="宋体" w:eastAsia="宋体" w:cs="宋体"/>
          <w:b/>
          <w:bCs/>
          <w:color w:val="auto"/>
          <w:kern w:val="0"/>
        </w:rPr>
        <w:t>1.1.2</w:t>
      </w:r>
      <w:r>
        <w:rPr>
          <w:rStyle w:val="6"/>
          <w:rFonts w:hint="eastAsia" w:ascii="宋体" w:hAnsi="宋体" w:eastAsia="宋体" w:cs="宋体"/>
          <w:color w:val="auto"/>
          <w:kern w:val="0"/>
        </w:rPr>
        <w:t xml:space="preserve"> 包质量：符合</w:t>
      </w:r>
      <w:r>
        <w:rPr>
          <w:rStyle w:val="6"/>
          <w:rFonts w:hint="eastAsia" w:hAnsi="宋体" w:cs="宋体"/>
          <w:color w:val="auto"/>
          <w:kern w:val="0"/>
          <w:lang w:eastAsia="zh-CN"/>
        </w:rPr>
        <w:t>竞争性磋商文件</w:t>
      </w:r>
      <w:r>
        <w:rPr>
          <w:rStyle w:val="6"/>
          <w:rFonts w:hint="eastAsia" w:ascii="宋体" w:hAnsi="宋体" w:eastAsia="宋体" w:cs="宋体"/>
          <w:color w:val="auto"/>
          <w:kern w:val="0"/>
        </w:rPr>
        <w:t>要求</w:t>
      </w:r>
      <w:r>
        <w:rPr>
          <w:rFonts w:hint="eastAsia" w:ascii="宋体" w:hAnsi="宋体" w:eastAsia="宋体" w:cs="宋体"/>
          <w:color w:val="auto"/>
        </w:rPr>
        <w:t>及合同有关质量的相关约定</w:t>
      </w:r>
      <w:r>
        <w:rPr>
          <w:rStyle w:val="6"/>
          <w:rFonts w:hint="eastAsia" w:ascii="宋体" w:hAnsi="宋体" w:eastAsia="宋体" w:cs="宋体"/>
          <w:color w:val="auto"/>
          <w:kern w:val="0"/>
        </w:rPr>
        <w:t>。</w:t>
      </w:r>
    </w:p>
    <w:p w14:paraId="3A8D40C3">
      <w:pPr>
        <w:snapToGrid w:val="0"/>
        <w:spacing w:line="360" w:lineRule="auto"/>
        <w:ind w:firstLine="560"/>
        <w:rPr>
          <w:rStyle w:val="6"/>
          <w:rFonts w:hint="eastAsia" w:ascii="宋体" w:hAnsi="宋体" w:eastAsia="宋体" w:cs="宋体"/>
          <w:color w:val="auto"/>
          <w:kern w:val="0"/>
        </w:rPr>
      </w:pPr>
      <w:r>
        <w:rPr>
          <w:rStyle w:val="6"/>
          <w:rFonts w:hint="eastAsia" w:ascii="宋体" w:hAnsi="宋体" w:eastAsia="宋体" w:cs="宋体"/>
          <w:b/>
          <w:bCs/>
          <w:color w:val="auto"/>
          <w:kern w:val="0"/>
        </w:rPr>
        <w:t>1.1.3</w:t>
      </w:r>
      <w:r>
        <w:rPr>
          <w:rStyle w:val="6"/>
          <w:rFonts w:hint="eastAsia" w:ascii="宋体" w:hAnsi="宋体" w:eastAsia="宋体" w:cs="宋体"/>
          <w:color w:val="auto"/>
          <w:kern w:val="0"/>
        </w:rPr>
        <w:t xml:space="preserve"> 包安全包文明施工：</w:t>
      </w:r>
      <w:r>
        <w:rPr>
          <w:rFonts w:hint="eastAsia" w:ascii="宋体" w:hAnsi="宋体" w:eastAsia="宋体" w:cs="宋体"/>
          <w:snapToGrid w:val="0"/>
          <w:color w:val="auto"/>
          <w:kern w:val="0"/>
        </w:rPr>
        <w:t>符合</w:t>
      </w:r>
      <w:r>
        <w:rPr>
          <w:rFonts w:hint="eastAsia" w:ascii="宋体" w:hAnsi="宋体" w:eastAsia="宋体" w:cs="宋体"/>
          <w:color w:val="auto"/>
          <w:szCs w:val="22"/>
        </w:rPr>
        <w:t>国家及省、市的相关规定及</w:t>
      </w:r>
      <w:r>
        <w:rPr>
          <w:rFonts w:hint="eastAsia" w:hAnsi="宋体" w:cs="宋体"/>
          <w:snapToGrid w:val="0"/>
          <w:color w:val="auto"/>
          <w:kern w:val="0"/>
          <w:lang w:eastAsia="zh-CN"/>
        </w:rPr>
        <w:t>竞争性磋商文件</w:t>
      </w:r>
      <w:r>
        <w:rPr>
          <w:rFonts w:hint="eastAsia" w:ascii="宋体" w:hAnsi="宋体" w:eastAsia="宋体" w:cs="宋体"/>
          <w:color w:val="auto"/>
          <w:szCs w:val="22"/>
        </w:rPr>
        <w:t>、合同的相关约定</w:t>
      </w:r>
      <w:r>
        <w:rPr>
          <w:rFonts w:hint="eastAsia" w:ascii="宋体" w:hAnsi="宋体" w:eastAsia="宋体" w:cs="宋体"/>
          <w:snapToGrid w:val="0"/>
          <w:color w:val="auto"/>
          <w:kern w:val="0"/>
        </w:rPr>
        <w:t>要求</w:t>
      </w:r>
      <w:r>
        <w:rPr>
          <w:rStyle w:val="6"/>
          <w:rFonts w:hint="eastAsia" w:ascii="宋体" w:hAnsi="宋体" w:eastAsia="宋体" w:cs="宋体"/>
          <w:color w:val="auto"/>
          <w:kern w:val="0"/>
        </w:rPr>
        <w:t>。</w:t>
      </w:r>
    </w:p>
    <w:p w14:paraId="2B78E822">
      <w:pPr>
        <w:snapToGrid w:val="0"/>
        <w:spacing w:line="360" w:lineRule="auto"/>
        <w:ind w:firstLine="560"/>
        <w:rPr>
          <w:rStyle w:val="6"/>
          <w:rFonts w:hint="eastAsia" w:ascii="宋体" w:hAnsi="宋体" w:eastAsia="宋体" w:cs="宋体"/>
          <w:color w:val="auto"/>
          <w:kern w:val="0"/>
        </w:rPr>
      </w:pPr>
      <w:r>
        <w:rPr>
          <w:rStyle w:val="6"/>
          <w:rFonts w:hint="eastAsia" w:ascii="宋体" w:hAnsi="宋体" w:eastAsia="宋体" w:cs="宋体"/>
          <w:b/>
          <w:bCs/>
          <w:color w:val="auto"/>
          <w:kern w:val="0"/>
        </w:rPr>
        <w:t xml:space="preserve">1.1.4 </w:t>
      </w:r>
      <w:r>
        <w:rPr>
          <w:rStyle w:val="6"/>
          <w:rFonts w:hint="eastAsia" w:ascii="宋体" w:hAnsi="宋体" w:eastAsia="宋体" w:cs="宋体"/>
          <w:color w:val="auto"/>
          <w:kern w:val="0"/>
        </w:rPr>
        <w:t>包工期：本工程施工必须在</w:t>
      </w:r>
      <w:r>
        <w:rPr>
          <w:rStyle w:val="6"/>
          <w:rFonts w:hint="eastAsia" w:hAnsi="宋体" w:cs="宋体"/>
          <w:color w:val="auto"/>
          <w:kern w:val="0"/>
          <w:lang w:eastAsia="zh-CN"/>
        </w:rPr>
        <w:t>要求</w:t>
      </w:r>
      <w:r>
        <w:rPr>
          <w:rStyle w:val="6"/>
          <w:rFonts w:hint="eastAsia" w:ascii="宋体" w:hAnsi="宋体" w:eastAsia="宋体" w:cs="宋体"/>
          <w:color w:val="auto"/>
          <w:kern w:val="0"/>
        </w:rPr>
        <w:t>工期内完成。</w:t>
      </w:r>
    </w:p>
    <w:p w14:paraId="784BC8FD">
      <w:pPr>
        <w:snapToGrid w:val="0"/>
        <w:spacing w:line="360" w:lineRule="auto"/>
        <w:ind w:firstLine="560"/>
        <w:rPr>
          <w:rStyle w:val="6"/>
          <w:rFonts w:hint="eastAsia" w:ascii="宋体" w:hAnsi="宋体" w:eastAsia="宋体" w:cs="宋体"/>
          <w:color w:val="auto"/>
          <w:kern w:val="0"/>
        </w:rPr>
      </w:pPr>
    </w:p>
    <w:p w14:paraId="414A94D7">
      <w:pPr>
        <w:pStyle w:val="5"/>
        <w:snapToGrid w:val="0"/>
        <w:spacing w:line="360" w:lineRule="auto"/>
        <w:ind w:firstLine="480"/>
        <w:jc w:val="both"/>
        <w:outlineLvl w:val="1"/>
        <w:rPr>
          <w:rStyle w:val="6"/>
          <w:rFonts w:hint="eastAsia" w:ascii="宋体" w:hAnsi="宋体" w:eastAsia="宋体" w:cs="宋体"/>
          <w:b/>
          <w:bCs/>
          <w:color w:val="auto"/>
        </w:rPr>
      </w:pPr>
      <w:bookmarkStart w:id="10" w:name="_Toc18897"/>
      <w:bookmarkStart w:id="11" w:name="_Toc23275"/>
      <w:bookmarkStart w:id="12" w:name="_Toc32741"/>
      <w:bookmarkStart w:id="13" w:name="_Toc27701"/>
      <w:bookmarkStart w:id="14" w:name="_Toc894"/>
      <w:bookmarkStart w:id="15" w:name="_Toc29526"/>
      <w:bookmarkStart w:id="16" w:name="_Toc5609"/>
      <w:bookmarkStart w:id="17" w:name="_Toc16753"/>
      <w:bookmarkStart w:id="18" w:name="_Toc211"/>
      <w:bookmarkStart w:id="19" w:name="_Toc20492"/>
      <w:r>
        <w:rPr>
          <w:rStyle w:val="6"/>
          <w:rFonts w:hint="eastAsia" w:ascii="宋体" w:hAnsi="宋体" w:eastAsia="宋体" w:cs="宋体"/>
          <w:b/>
          <w:bCs/>
          <w:color w:val="auto"/>
        </w:rPr>
        <w:t>2．工程结算原则</w:t>
      </w:r>
      <w:bookmarkEnd w:id="10"/>
      <w:bookmarkEnd w:id="11"/>
      <w:bookmarkEnd w:id="12"/>
      <w:bookmarkEnd w:id="13"/>
      <w:bookmarkEnd w:id="14"/>
      <w:bookmarkEnd w:id="15"/>
      <w:bookmarkEnd w:id="16"/>
      <w:bookmarkEnd w:id="17"/>
      <w:bookmarkEnd w:id="18"/>
      <w:bookmarkEnd w:id="19"/>
    </w:p>
    <w:p w14:paraId="7F00647C">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2.1</w:t>
      </w:r>
      <w:r>
        <w:rPr>
          <w:rStyle w:val="6"/>
          <w:rFonts w:hint="eastAsia" w:ascii="宋体" w:hAnsi="宋体" w:eastAsia="宋体" w:cs="宋体"/>
          <w:color w:val="auto"/>
          <w:kern w:val="0"/>
        </w:rPr>
        <w:t xml:space="preserve"> 承包人的</w:t>
      </w:r>
      <w:r>
        <w:rPr>
          <w:rStyle w:val="6"/>
          <w:rFonts w:hint="eastAsia" w:hAnsi="宋体" w:cs="宋体"/>
          <w:color w:val="auto"/>
          <w:kern w:val="0"/>
          <w:lang w:eastAsia="zh-CN"/>
        </w:rPr>
        <w:t>磋商报价</w:t>
      </w:r>
      <w:r>
        <w:rPr>
          <w:rStyle w:val="6"/>
          <w:rFonts w:hint="eastAsia" w:ascii="宋体" w:hAnsi="宋体" w:eastAsia="宋体" w:cs="宋体"/>
          <w:color w:val="auto"/>
          <w:kern w:val="0"/>
        </w:rPr>
        <w:t>为</w:t>
      </w:r>
      <w:r>
        <w:rPr>
          <w:rStyle w:val="6"/>
          <w:rFonts w:hint="eastAsia" w:hAnsi="宋体" w:cs="宋体"/>
          <w:color w:val="auto"/>
          <w:kern w:val="0"/>
          <w:lang w:eastAsia="zh-CN"/>
        </w:rPr>
        <w:t>成交价</w:t>
      </w:r>
      <w:r>
        <w:rPr>
          <w:rStyle w:val="6"/>
          <w:rFonts w:hint="eastAsia" w:ascii="宋体" w:hAnsi="宋体" w:eastAsia="宋体" w:cs="宋体"/>
          <w:color w:val="auto"/>
          <w:kern w:val="0"/>
        </w:rPr>
        <w:t>，即为签约合同价。</w:t>
      </w:r>
    </w:p>
    <w:p w14:paraId="72F01204">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2.2</w:t>
      </w:r>
      <w:r>
        <w:rPr>
          <w:rStyle w:val="6"/>
          <w:rFonts w:hint="eastAsia" w:ascii="宋体" w:hAnsi="宋体" w:eastAsia="宋体" w:cs="宋体"/>
          <w:color w:val="auto"/>
          <w:kern w:val="0"/>
        </w:rPr>
        <w:t xml:space="preserve"> 招标工程量清单标明的工程量是</w:t>
      </w:r>
      <w:r>
        <w:rPr>
          <w:rStyle w:val="6"/>
          <w:rFonts w:hint="eastAsia" w:hAnsi="宋体" w:cs="宋体"/>
          <w:color w:val="auto"/>
          <w:kern w:val="0"/>
          <w:lang w:eastAsia="zh-CN"/>
        </w:rPr>
        <w:t>供应商磋商报价</w:t>
      </w:r>
      <w:r>
        <w:rPr>
          <w:rStyle w:val="6"/>
          <w:rFonts w:hint="eastAsia" w:ascii="宋体" w:hAnsi="宋体" w:eastAsia="宋体" w:cs="宋体"/>
          <w:color w:val="auto"/>
          <w:kern w:val="0"/>
        </w:rPr>
        <w:t>的共同基础，竣工结算的工程量按《建设工程工程量清单计价规范》（GB50500—2013）对工程计量的规定进行计量，必须以承包人完成合同工程应予计量的工程量确定。施工中进行工程计量，当发现工程量清单中出现缺项、工程量偏差、或因工程变更引起工程量增减时，应按承包人在履行合同义务中完成的工程量计算。因承包人原因造成的超出合同工程范围施工或返工的工程量，发包人不予计量。</w:t>
      </w:r>
    </w:p>
    <w:p w14:paraId="58641216">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2.3</w:t>
      </w:r>
      <w:r>
        <w:rPr>
          <w:rStyle w:val="6"/>
          <w:rFonts w:hint="eastAsia" w:ascii="宋体" w:hAnsi="宋体" w:eastAsia="宋体" w:cs="宋体"/>
          <w:color w:val="auto"/>
          <w:kern w:val="0"/>
        </w:rPr>
        <w:t xml:space="preserve"> 施工合同履行期间，若出现下列情形的，发、承包双方应当按照以下规定调整合同价款：</w:t>
      </w:r>
    </w:p>
    <w:p w14:paraId="6DFBEE60">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2.3.1</w:t>
      </w:r>
      <w:r>
        <w:rPr>
          <w:rStyle w:val="6"/>
          <w:rFonts w:hint="eastAsia" w:ascii="宋体" w:hAnsi="宋体" w:eastAsia="宋体" w:cs="宋体"/>
          <w:color w:val="auto"/>
          <w:kern w:val="0"/>
        </w:rPr>
        <w:t xml:space="preserve"> 法律法规变化</w:t>
      </w:r>
    </w:p>
    <w:p w14:paraId="54233C94">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2.3.1.1</w:t>
      </w:r>
      <w:r>
        <w:rPr>
          <w:rStyle w:val="6"/>
          <w:rFonts w:hint="eastAsia" w:ascii="宋体" w:hAnsi="宋体" w:eastAsia="宋体" w:cs="宋体"/>
          <w:color w:val="auto"/>
          <w:kern w:val="0"/>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07D3DFDA">
      <w:pPr>
        <w:wordWrap w:val="0"/>
        <w:adjustRightInd w:val="0"/>
        <w:snapToGrid w:val="0"/>
        <w:spacing w:line="360" w:lineRule="auto"/>
        <w:ind w:firstLine="480"/>
        <w:rPr>
          <w:rStyle w:val="6"/>
          <w:rFonts w:hint="eastAsia" w:ascii="宋体" w:hAnsi="宋体" w:eastAsia="宋体" w:cs="宋体"/>
          <w:color w:val="auto"/>
          <w:kern w:val="0"/>
          <w:u w:val="single"/>
        </w:rPr>
      </w:pPr>
      <w:r>
        <w:rPr>
          <w:rFonts w:hint="eastAsia" w:ascii="宋体" w:hAnsi="宋体" w:eastAsia="宋体" w:cs="宋体"/>
          <w:b/>
          <w:bCs/>
          <w:snapToGrid w:val="0"/>
          <w:color w:val="auto"/>
          <w:kern w:val="0"/>
        </w:rPr>
        <w:t>注：本</w:t>
      </w:r>
      <w:r>
        <w:rPr>
          <w:rFonts w:hint="eastAsia" w:hAnsi="宋体" w:cs="宋体"/>
          <w:b/>
          <w:bCs/>
          <w:snapToGrid w:val="0"/>
          <w:color w:val="auto"/>
          <w:kern w:val="0"/>
          <w:lang w:val="en-US" w:eastAsia="zh-CN"/>
        </w:rPr>
        <w:t>竞争性磋商</w:t>
      </w:r>
      <w:r>
        <w:rPr>
          <w:rFonts w:hint="eastAsia" w:ascii="宋体" w:hAnsi="宋体" w:eastAsia="宋体" w:cs="宋体"/>
          <w:b/>
          <w:bCs/>
          <w:snapToGrid w:val="0"/>
          <w:color w:val="auto"/>
          <w:kern w:val="0"/>
        </w:rPr>
        <w:t>文件所称“基准日”，均指</w:t>
      </w:r>
      <w:r>
        <w:rPr>
          <w:rFonts w:hint="eastAsia" w:hAnsi="宋体" w:cs="宋体"/>
          <w:b/>
          <w:bCs/>
          <w:snapToGrid w:val="0"/>
          <w:color w:val="auto"/>
          <w:kern w:val="0"/>
          <w:lang w:val="en-US" w:eastAsia="zh-CN"/>
        </w:rPr>
        <w:t>响应</w:t>
      </w:r>
      <w:r>
        <w:rPr>
          <w:rFonts w:hint="eastAsia" w:ascii="宋体" w:hAnsi="宋体" w:eastAsia="宋体" w:cs="宋体"/>
          <w:b/>
          <w:bCs/>
          <w:snapToGrid w:val="0"/>
          <w:color w:val="auto"/>
          <w:kern w:val="0"/>
        </w:rPr>
        <w:t>文件递交截止时间前28天。</w:t>
      </w:r>
    </w:p>
    <w:p w14:paraId="3C6550FA">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2.3.1.2</w:t>
      </w:r>
      <w:r>
        <w:rPr>
          <w:rStyle w:val="6"/>
          <w:rFonts w:hint="eastAsia" w:ascii="宋体" w:hAnsi="宋体" w:eastAsia="宋体" w:cs="宋体"/>
          <w:color w:val="auto"/>
          <w:kern w:val="0"/>
        </w:rPr>
        <w:t xml:space="preserve"> 因承包人原因导致工程延误，第</w:t>
      </w:r>
      <w:r>
        <w:rPr>
          <w:rStyle w:val="6"/>
          <w:rFonts w:hint="eastAsia" w:ascii="宋体" w:hAnsi="宋体" w:eastAsia="宋体" w:cs="宋体"/>
          <w:b/>
          <w:bCs/>
          <w:color w:val="auto"/>
          <w:kern w:val="0"/>
        </w:rPr>
        <w:t>2.3.1.1</w:t>
      </w:r>
      <w:r>
        <w:rPr>
          <w:rStyle w:val="6"/>
          <w:rFonts w:hint="eastAsia" w:ascii="宋体" w:hAnsi="宋体" w:eastAsia="宋体" w:cs="宋体"/>
          <w:color w:val="auto"/>
          <w:kern w:val="0"/>
        </w:rPr>
        <w:t>子目中的法定机构根据国家法律法规变化发布新规的时间在合同工程原定竣工时间之后的，合同价款调增的不予调整，合同价款调减的予以调整。</w:t>
      </w:r>
    </w:p>
    <w:p w14:paraId="1784F3E9">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2.3.2</w:t>
      </w:r>
      <w:r>
        <w:rPr>
          <w:rStyle w:val="6"/>
          <w:rFonts w:hint="eastAsia" w:ascii="宋体" w:hAnsi="宋体" w:eastAsia="宋体" w:cs="宋体"/>
          <w:color w:val="auto"/>
          <w:kern w:val="0"/>
        </w:rPr>
        <w:t xml:space="preserve"> 工程量偏差或变化</w:t>
      </w:r>
    </w:p>
    <w:p w14:paraId="789321D9">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2.3.2.1</w:t>
      </w:r>
      <w:r>
        <w:rPr>
          <w:rStyle w:val="6"/>
          <w:rFonts w:hint="eastAsia" w:ascii="宋体" w:hAnsi="宋体" w:eastAsia="宋体" w:cs="宋体"/>
          <w:color w:val="auto"/>
          <w:kern w:val="0"/>
        </w:rPr>
        <w:t xml:space="preserve"> 合同履行期间，当应予计算的实际工程量与工程量清单出现偏差或因工程变更引起已标价工程量清单项目的工程数量发生变化时，工程量偏差或变化在15%以内（含15%）的，其综合单价不予调整；工程量偏差或变化超过15%的，按照以下规定调整：</w:t>
      </w:r>
    </w:p>
    <w:p w14:paraId="4354CD5C">
      <w:pPr>
        <w:wordWrap w:val="0"/>
        <w:adjustRightInd w:val="0"/>
        <w:snapToGrid w:val="0"/>
        <w:spacing w:line="360"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rPr>
        <w:t>对于合理报价的清单项目，当工程量增加超过15%时，增加部分的工程量的综合单价以</w:t>
      </w:r>
      <w:r>
        <w:rPr>
          <w:rFonts w:hint="eastAsia" w:ascii="宋体" w:hAnsi="宋体" w:eastAsia="宋体" w:cs="宋体"/>
          <w:snapToGrid w:val="0"/>
          <w:color w:val="auto"/>
          <w:kern w:val="0"/>
          <w:u w:val="single"/>
        </w:rPr>
        <w:t xml:space="preserve"> </w:t>
      </w:r>
      <w:r>
        <w:rPr>
          <w:rFonts w:hint="eastAsia" w:ascii="宋体" w:hAnsi="宋体" w:eastAsia="宋体" w:cs="宋体"/>
          <w:b/>
          <w:color w:val="auto"/>
          <w:u w:val="single"/>
        </w:rPr>
        <w:t>该分部分项工程量清单项目原综合单价</w:t>
      </w:r>
      <w:r>
        <w:rPr>
          <w:rFonts w:hint="eastAsia" w:ascii="宋体" w:hAnsi="宋体" w:eastAsia="宋体" w:cs="宋体"/>
          <w:snapToGrid w:val="0"/>
          <w:color w:val="auto"/>
          <w:kern w:val="0"/>
          <w:u w:val="single"/>
        </w:rPr>
        <w:t xml:space="preserve"> </w:t>
      </w:r>
      <w:r>
        <w:rPr>
          <w:rFonts w:hint="eastAsia" w:ascii="宋体" w:hAnsi="宋体" w:eastAsia="宋体" w:cs="宋体"/>
          <w:snapToGrid w:val="0"/>
          <w:color w:val="auto"/>
          <w:kern w:val="0"/>
        </w:rPr>
        <w:t>为基价调低</w:t>
      </w:r>
      <w:r>
        <w:rPr>
          <w:rFonts w:hint="eastAsia" w:ascii="宋体" w:hAnsi="宋体" w:eastAsia="宋体" w:cs="宋体"/>
          <w:b/>
          <w:bCs/>
          <w:snapToGrid w:val="0"/>
          <w:color w:val="auto"/>
          <w:kern w:val="0"/>
          <w:szCs w:val="24"/>
          <w:highlight w:val="none"/>
          <w:u w:val="single"/>
        </w:rPr>
        <w:t>该分部分项工程量清单项目原综合单价的</w:t>
      </w:r>
      <w:r>
        <w:rPr>
          <w:rFonts w:hint="eastAsia" w:ascii="宋体" w:hAnsi="宋体" w:eastAsia="宋体" w:cs="宋体"/>
          <w:snapToGrid w:val="0"/>
          <w:color w:val="auto"/>
          <w:kern w:val="0"/>
          <w:u w:val="single"/>
        </w:rPr>
        <w:t xml:space="preserve">3 </w:t>
      </w:r>
      <w:r>
        <w:rPr>
          <w:rFonts w:hint="eastAsia" w:ascii="宋体" w:hAnsi="宋体" w:eastAsia="宋体" w:cs="宋体"/>
          <w:snapToGrid w:val="0"/>
          <w:color w:val="auto"/>
          <w:kern w:val="0"/>
        </w:rPr>
        <w:t>%</w:t>
      </w:r>
      <w:r>
        <w:rPr>
          <w:rFonts w:hint="eastAsia" w:ascii="宋体" w:hAnsi="宋体" w:eastAsia="宋体" w:cs="宋体"/>
          <w:color w:val="auto"/>
        </w:rPr>
        <w:t>；</w:t>
      </w:r>
      <w:r>
        <w:rPr>
          <w:rFonts w:hint="eastAsia" w:ascii="宋体" w:hAnsi="宋体" w:eastAsia="宋体" w:cs="宋体"/>
          <w:snapToGrid w:val="0"/>
          <w:color w:val="auto"/>
          <w:kern w:val="0"/>
        </w:rPr>
        <w:t>当工程量减少超过15%时，减少后剩余部分的工程量的综合单价以</w:t>
      </w:r>
      <w:r>
        <w:rPr>
          <w:rFonts w:hint="eastAsia" w:ascii="宋体" w:hAnsi="宋体" w:eastAsia="宋体" w:cs="宋体"/>
          <w:snapToGrid w:val="0"/>
          <w:color w:val="auto"/>
          <w:kern w:val="0"/>
          <w:u w:val="single"/>
        </w:rPr>
        <w:t xml:space="preserve"> </w:t>
      </w:r>
      <w:r>
        <w:rPr>
          <w:rFonts w:hint="eastAsia" w:ascii="宋体" w:hAnsi="宋体" w:eastAsia="宋体" w:cs="宋体"/>
          <w:b/>
          <w:color w:val="auto"/>
          <w:u w:val="single"/>
        </w:rPr>
        <w:t>该分部分项工程量清单项目原综合单价</w:t>
      </w:r>
      <w:r>
        <w:rPr>
          <w:rFonts w:hint="eastAsia" w:ascii="宋体" w:hAnsi="宋体" w:eastAsia="宋体" w:cs="宋体"/>
          <w:snapToGrid w:val="0"/>
          <w:color w:val="auto"/>
          <w:kern w:val="0"/>
          <w:u w:val="single"/>
        </w:rPr>
        <w:t xml:space="preserve"> </w:t>
      </w:r>
      <w:r>
        <w:rPr>
          <w:rFonts w:hint="eastAsia" w:ascii="宋体" w:hAnsi="宋体" w:eastAsia="宋体" w:cs="宋体"/>
          <w:snapToGrid w:val="0"/>
          <w:color w:val="auto"/>
          <w:kern w:val="0"/>
        </w:rPr>
        <w:t>为基价调高</w:t>
      </w:r>
      <w:r>
        <w:rPr>
          <w:rFonts w:hint="eastAsia" w:ascii="宋体" w:hAnsi="宋体" w:eastAsia="宋体" w:cs="宋体"/>
          <w:b/>
          <w:bCs/>
          <w:snapToGrid w:val="0"/>
          <w:color w:val="auto"/>
          <w:kern w:val="0"/>
          <w:szCs w:val="24"/>
          <w:highlight w:val="none"/>
          <w:u w:val="single"/>
        </w:rPr>
        <w:t>该分部分项工程量清单项目原综合单价的</w:t>
      </w:r>
      <w:r>
        <w:rPr>
          <w:rFonts w:hint="eastAsia" w:ascii="宋体" w:hAnsi="宋体" w:eastAsia="宋体" w:cs="宋体"/>
          <w:snapToGrid w:val="0"/>
          <w:color w:val="auto"/>
          <w:kern w:val="0"/>
          <w:highlight w:val="none"/>
          <w:u w:val="single"/>
        </w:rPr>
        <w:t xml:space="preserve"> 3 </w:t>
      </w:r>
      <w:r>
        <w:rPr>
          <w:rFonts w:hint="eastAsia" w:ascii="宋体" w:hAnsi="宋体" w:eastAsia="宋体" w:cs="宋体"/>
          <w:snapToGrid w:val="0"/>
          <w:color w:val="auto"/>
          <w:kern w:val="0"/>
          <w:highlight w:val="none"/>
        </w:rPr>
        <w:t>%。</w:t>
      </w:r>
    </w:p>
    <w:p w14:paraId="5BDAC024">
      <w:pPr>
        <w:wordWrap w:val="0"/>
        <w:adjustRightInd w:val="0"/>
        <w:snapToGrid w:val="0"/>
        <w:spacing w:line="360" w:lineRule="auto"/>
        <w:ind w:firstLine="480"/>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对于按照</w:t>
      </w:r>
      <w:r>
        <w:rPr>
          <w:rFonts w:hint="eastAsia" w:hAnsi="宋体" w:cs="宋体"/>
          <w:b/>
          <w:bCs/>
          <w:snapToGrid w:val="0"/>
          <w:color w:val="auto"/>
          <w:kern w:val="0"/>
          <w:highlight w:val="none"/>
          <w:lang w:val="en-US" w:eastAsia="zh-CN"/>
        </w:rPr>
        <w:t>本合同主要条款</w:t>
      </w:r>
      <w:r>
        <w:rPr>
          <w:rFonts w:hint="eastAsia" w:ascii="宋体" w:hAnsi="宋体" w:eastAsia="宋体" w:cs="宋体"/>
          <w:b/>
          <w:bCs/>
          <w:snapToGrid w:val="0"/>
          <w:color w:val="auto"/>
          <w:kern w:val="0"/>
          <w:highlight w:val="none"/>
        </w:rPr>
        <w:t>“</w:t>
      </w:r>
      <w:r>
        <w:rPr>
          <w:rFonts w:hint="eastAsia" w:hAnsi="宋体" w:cs="宋体"/>
          <w:b/>
          <w:bCs/>
          <w:snapToGrid w:val="0"/>
          <w:color w:val="auto"/>
          <w:kern w:val="0"/>
          <w:highlight w:val="none"/>
          <w:lang w:val="en-US" w:eastAsia="zh-CN"/>
        </w:rPr>
        <w:t>4、</w:t>
      </w:r>
      <w:r>
        <w:rPr>
          <w:rStyle w:val="6"/>
          <w:rFonts w:hint="eastAsia" w:ascii="宋体" w:hAnsi="宋体" w:eastAsia="宋体" w:cs="宋体"/>
          <w:b/>
          <w:bCs/>
          <w:color w:val="auto"/>
          <w:kern w:val="0"/>
          <w:highlight w:val="none"/>
        </w:rPr>
        <w:t>合同订立</w:t>
      </w:r>
      <w:r>
        <w:rPr>
          <w:rFonts w:hint="eastAsia" w:ascii="宋体" w:hAnsi="宋体" w:eastAsia="宋体" w:cs="宋体"/>
          <w:b/>
          <w:bCs/>
          <w:snapToGrid w:val="0"/>
          <w:color w:val="auto"/>
          <w:kern w:val="0"/>
          <w:highlight w:val="none"/>
        </w:rPr>
        <w:t>”第4.2条被认定为不平衡报价的清单项目，其综合单价按照以下方法调整：</w:t>
      </w:r>
      <w:r>
        <w:rPr>
          <w:rFonts w:hint="eastAsia" w:ascii="宋体" w:hAnsi="宋体" w:eastAsia="宋体" w:cs="宋体"/>
          <w:b w:val="0"/>
          <w:bCs w:val="0"/>
          <w:snapToGrid w:val="0"/>
          <w:color w:val="auto"/>
          <w:kern w:val="0"/>
          <w:szCs w:val="24"/>
          <w:highlight w:val="none"/>
          <w:u w:val="single"/>
        </w:rPr>
        <w:t>以</w:t>
      </w:r>
      <w:r>
        <w:rPr>
          <w:rFonts w:hint="eastAsia" w:ascii="宋体" w:hAnsi="宋体" w:eastAsia="宋体" w:cs="宋体"/>
          <w:b w:val="0"/>
          <w:bCs w:val="0"/>
          <w:snapToGrid w:val="0"/>
          <w:color w:val="auto"/>
          <w:kern w:val="0"/>
          <w:highlight w:val="none"/>
          <w:u w:val="single"/>
        </w:rPr>
        <w:t>招标控制价中的《分部分项工程和单价措施项目清单与计价表》子目相对应综合单价</w:t>
      </w:r>
      <w:r>
        <w:rPr>
          <w:rFonts w:hint="eastAsia" w:ascii="宋体" w:hAnsi="宋体" w:eastAsia="宋体" w:cs="宋体"/>
          <w:b w:val="0"/>
          <w:bCs w:val="0"/>
          <w:snapToGrid w:val="0"/>
          <w:color w:val="auto"/>
          <w:kern w:val="0"/>
          <w:szCs w:val="24"/>
          <w:highlight w:val="none"/>
          <w:u w:val="single"/>
        </w:rPr>
        <w:t>×（1-</w:t>
      </w:r>
      <w:r>
        <w:rPr>
          <w:rFonts w:hint="eastAsia" w:hAnsi="宋体" w:cs="宋体"/>
          <w:b w:val="0"/>
          <w:bCs w:val="0"/>
          <w:snapToGrid w:val="0"/>
          <w:color w:val="auto"/>
          <w:kern w:val="0"/>
          <w:szCs w:val="24"/>
          <w:highlight w:val="none"/>
          <w:u w:val="single"/>
          <w:lang w:val="en-US" w:eastAsia="zh-CN"/>
        </w:rPr>
        <w:t>成交</w:t>
      </w:r>
      <w:r>
        <w:rPr>
          <w:rFonts w:hint="eastAsia" w:ascii="宋体" w:hAnsi="宋体" w:eastAsia="宋体" w:cs="宋体"/>
          <w:b w:val="0"/>
          <w:bCs w:val="0"/>
          <w:snapToGrid w:val="0"/>
          <w:color w:val="auto"/>
          <w:kern w:val="0"/>
          <w:szCs w:val="24"/>
          <w:highlight w:val="none"/>
          <w:u w:val="single"/>
        </w:rPr>
        <w:t>下浮率）</w:t>
      </w:r>
      <w:r>
        <w:rPr>
          <w:rStyle w:val="6"/>
          <w:rFonts w:hint="eastAsia" w:ascii="宋体" w:hAnsi="宋体" w:eastAsia="宋体" w:cs="宋体"/>
          <w:b w:val="0"/>
          <w:bCs w:val="0"/>
          <w:color w:val="auto"/>
          <w:kern w:val="0"/>
          <w:highlight w:val="none"/>
          <w:u w:val="single"/>
        </w:rPr>
        <w:t>。</w:t>
      </w:r>
    </w:p>
    <w:p w14:paraId="3828A5BD">
      <w:pPr>
        <w:snapToGrid w:val="0"/>
        <w:spacing w:line="360" w:lineRule="auto"/>
        <w:ind w:firstLine="480"/>
        <w:rPr>
          <w:rStyle w:val="6"/>
          <w:rFonts w:hint="eastAsia" w:ascii="宋体" w:hAnsi="宋体" w:eastAsia="宋体" w:cs="宋体"/>
          <w:color w:val="auto"/>
          <w:kern w:val="0"/>
          <w:highlight w:val="none"/>
        </w:rPr>
      </w:pPr>
      <w:r>
        <w:rPr>
          <w:rStyle w:val="6"/>
          <w:rFonts w:hint="eastAsia" w:ascii="宋体" w:hAnsi="宋体" w:eastAsia="宋体" w:cs="宋体"/>
          <w:b/>
          <w:bCs/>
          <w:color w:val="auto"/>
          <w:kern w:val="0"/>
          <w:highlight w:val="none"/>
        </w:rPr>
        <w:t>2.3.2.2</w:t>
      </w:r>
      <w:r>
        <w:rPr>
          <w:rStyle w:val="6"/>
          <w:rFonts w:hint="eastAsia" w:ascii="宋体" w:hAnsi="宋体" w:eastAsia="宋体" w:cs="宋体"/>
          <w:color w:val="auto"/>
          <w:kern w:val="0"/>
          <w:highlight w:val="none"/>
        </w:rPr>
        <w:t xml:space="preserve"> 如果工程量出现第</w:t>
      </w:r>
      <w:r>
        <w:rPr>
          <w:rStyle w:val="6"/>
          <w:rFonts w:hint="eastAsia" w:ascii="宋体" w:hAnsi="宋体" w:eastAsia="宋体" w:cs="宋体"/>
          <w:b/>
          <w:bCs/>
          <w:color w:val="auto"/>
          <w:kern w:val="0"/>
          <w:highlight w:val="none"/>
        </w:rPr>
        <w:t>2.3.2.1</w:t>
      </w:r>
      <w:r>
        <w:rPr>
          <w:rStyle w:val="6"/>
          <w:rFonts w:hint="eastAsia" w:ascii="宋体" w:hAnsi="宋体" w:eastAsia="宋体" w:cs="宋体"/>
          <w:color w:val="auto"/>
          <w:kern w:val="0"/>
          <w:highlight w:val="none"/>
        </w:rPr>
        <w:t>子目的变化，且该变化引起相关措施项目相应发生变化时，按系数或单一总价方式计价的，工程量增加的措施项目费调增，工程量减少的措施项目费调减。</w:t>
      </w:r>
    </w:p>
    <w:p w14:paraId="06401422">
      <w:pPr>
        <w:snapToGrid w:val="0"/>
        <w:spacing w:line="360" w:lineRule="auto"/>
        <w:ind w:firstLine="480"/>
        <w:rPr>
          <w:rStyle w:val="6"/>
          <w:rFonts w:hint="eastAsia" w:ascii="宋体" w:hAnsi="宋体" w:eastAsia="宋体" w:cs="宋体"/>
          <w:color w:val="auto"/>
          <w:kern w:val="0"/>
          <w:highlight w:val="none"/>
        </w:rPr>
      </w:pPr>
      <w:r>
        <w:rPr>
          <w:rStyle w:val="6"/>
          <w:rFonts w:hint="eastAsia" w:ascii="宋体" w:hAnsi="宋体" w:eastAsia="宋体" w:cs="宋体"/>
          <w:b/>
          <w:bCs/>
          <w:color w:val="auto"/>
          <w:kern w:val="0"/>
          <w:highlight w:val="none"/>
        </w:rPr>
        <w:t>2.3.3</w:t>
      </w:r>
      <w:r>
        <w:rPr>
          <w:rStyle w:val="6"/>
          <w:rFonts w:hint="eastAsia" w:ascii="宋体" w:hAnsi="宋体" w:eastAsia="宋体" w:cs="宋体"/>
          <w:color w:val="auto"/>
          <w:kern w:val="0"/>
          <w:highlight w:val="none"/>
        </w:rPr>
        <w:t xml:space="preserve"> 工程变更</w:t>
      </w:r>
    </w:p>
    <w:p w14:paraId="5533133A">
      <w:pPr>
        <w:snapToGrid w:val="0"/>
        <w:spacing w:line="360" w:lineRule="auto"/>
        <w:ind w:firstLine="480"/>
        <w:rPr>
          <w:rStyle w:val="6"/>
          <w:rFonts w:hint="eastAsia" w:ascii="宋体" w:hAnsi="宋体" w:eastAsia="宋体" w:cs="宋体"/>
          <w:color w:val="auto"/>
          <w:kern w:val="0"/>
          <w:highlight w:val="none"/>
        </w:rPr>
      </w:pPr>
      <w:r>
        <w:rPr>
          <w:rStyle w:val="6"/>
          <w:rFonts w:hint="eastAsia" w:ascii="宋体" w:hAnsi="宋体" w:eastAsia="宋体" w:cs="宋体"/>
          <w:b/>
          <w:bCs/>
          <w:color w:val="auto"/>
          <w:kern w:val="0"/>
          <w:highlight w:val="none"/>
        </w:rPr>
        <w:t>2.3.3.1</w:t>
      </w:r>
      <w:r>
        <w:rPr>
          <w:rStyle w:val="6"/>
          <w:rFonts w:hint="eastAsia" w:ascii="宋体" w:hAnsi="宋体" w:eastAsia="宋体" w:cs="宋体"/>
          <w:color w:val="auto"/>
          <w:kern w:val="0"/>
          <w:highlight w:val="none"/>
        </w:rPr>
        <w:t xml:space="preserve"> 合同履行期间，因工程变更引起已标价工程量清单项目发生变化时，按照以下规定调整：</w:t>
      </w:r>
    </w:p>
    <w:p w14:paraId="03E0244D">
      <w:pPr>
        <w:snapToGrid w:val="0"/>
        <w:spacing w:line="360" w:lineRule="auto"/>
        <w:ind w:firstLine="480" w:firstLineChars="200"/>
        <w:rPr>
          <w:rStyle w:val="6"/>
          <w:rFonts w:hint="eastAsia" w:ascii="宋体" w:hAnsi="宋体" w:eastAsia="宋体" w:cs="宋体"/>
          <w:color w:val="auto"/>
          <w:kern w:val="0"/>
        </w:rPr>
      </w:pPr>
      <w:r>
        <w:rPr>
          <w:rStyle w:val="6"/>
          <w:rFonts w:hint="eastAsia" w:ascii="宋体" w:hAnsi="宋体" w:eastAsia="宋体" w:cs="宋体"/>
          <w:color w:val="auto"/>
          <w:kern w:val="0"/>
          <w:highlight w:val="none"/>
        </w:rPr>
        <w:t>（1）已标价工程量清单中有适用于变更工程项目的，采用该项目的单价。</w:t>
      </w:r>
      <w:r>
        <w:rPr>
          <w:rStyle w:val="6"/>
          <w:rFonts w:hint="eastAsia" w:ascii="宋体" w:hAnsi="宋体" w:eastAsia="宋体" w:cs="宋体"/>
          <w:b/>
          <w:bCs/>
          <w:color w:val="auto"/>
          <w:kern w:val="0"/>
          <w:highlight w:val="none"/>
        </w:rPr>
        <w:t>但如果被采用的项目属于按照</w:t>
      </w:r>
      <w:r>
        <w:rPr>
          <w:rStyle w:val="6"/>
          <w:rFonts w:hint="eastAsia" w:ascii="宋体" w:hAnsi="宋体" w:eastAsia="宋体" w:cs="宋体"/>
          <w:b/>
          <w:bCs/>
          <w:color w:val="auto"/>
          <w:kern w:val="0"/>
          <w:highlight w:val="none"/>
          <w:lang w:val="en-US" w:eastAsia="zh-CN"/>
        </w:rPr>
        <w:t>本合同主要条款</w:t>
      </w:r>
      <w:r>
        <w:rPr>
          <w:rFonts w:hint="eastAsia" w:ascii="宋体" w:hAnsi="宋体" w:eastAsia="宋体" w:cs="宋体"/>
          <w:b/>
          <w:bCs/>
          <w:snapToGrid w:val="0"/>
          <w:color w:val="auto"/>
          <w:kern w:val="0"/>
          <w:highlight w:val="none"/>
        </w:rPr>
        <w:t>“</w:t>
      </w:r>
      <w:r>
        <w:rPr>
          <w:rFonts w:hint="eastAsia" w:hAnsi="宋体" w:cs="宋体"/>
          <w:b/>
          <w:bCs/>
          <w:snapToGrid w:val="0"/>
          <w:color w:val="auto"/>
          <w:kern w:val="0"/>
          <w:highlight w:val="none"/>
          <w:lang w:val="en-US" w:eastAsia="zh-CN"/>
        </w:rPr>
        <w:t>4、</w:t>
      </w:r>
      <w:r>
        <w:rPr>
          <w:rStyle w:val="6"/>
          <w:rFonts w:hint="eastAsia" w:ascii="宋体" w:hAnsi="宋体" w:eastAsia="宋体" w:cs="宋体"/>
          <w:b/>
          <w:bCs/>
          <w:color w:val="auto"/>
          <w:kern w:val="0"/>
          <w:highlight w:val="none"/>
        </w:rPr>
        <w:t>合同订立</w:t>
      </w:r>
      <w:r>
        <w:rPr>
          <w:rFonts w:hint="eastAsia" w:ascii="宋体" w:hAnsi="宋体" w:eastAsia="宋体" w:cs="宋体"/>
          <w:b/>
          <w:bCs/>
          <w:snapToGrid w:val="0"/>
          <w:color w:val="auto"/>
          <w:kern w:val="0"/>
          <w:highlight w:val="none"/>
        </w:rPr>
        <w:t>”第4.2条</w:t>
      </w:r>
      <w:r>
        <w:rPr>
          <w:rStyle w:val="6"/>
          <w:rFonts w:hint="eastAsia" w:ascii="宋体" w:hAnsi="宋体" w:eastAsia="宋体" w:cs="宋体"/>
          <w:b/>
          <w:bCs/>
          <w:color w:val="auto"/>
          <w:kern w:val="0"/>
          <w:highlight w:val="none"/>
        </w:rPr>
        <w:t>被认定为不平衡报价的清单项目，变更工程项目的单价按照以下方法调整：</w:t>
      </w:r>
      <w:r>
        <w:rPr>
          <w:rFonts w:hint="eastAsia" w:ascii="宋体" w:hAnsi="宋体" w:eastAsia="宋体" w:cs="宋体"/>
          <w:b w:val="0"/>
          <w:bCs w:val="0"/>
          <w:snapToGrid w:val="0"/>
          <w:color w:val="auto"/>
          <w:kern w:val="0"/>
          <w:szCs w:val="24"/>
          <w:highlight w:val="none"/>
          <w:u w:val="single"/>
        </w:rPr>
        <w:t>以</w:t>
      </w:r>
      <w:r>
        <w:rPr>
          <w:rFonts w:hint="eastAsia" w:ascii="宋体" w:hAnsi="宋体" w:eastAsia="宋体" w:cs="宋体"/>
          <w:b w:val="0"/>
          <w:bCs w:val="0"/>
          <w:snapToGrid w:val="0"/>
          <w:color w:val="auto"/>
          <w:kern w:val="0"/>
          <w:highlight w:val="none"/>
          <w:u w:val="single"/>
        </w:rPr>
        <w:t>招标控制价中的《分部分项工程和单价措施项目清单与计价表》子目相对应综合单价</w:t>
      </w:r>
      <w:r>
        <w:rPr>
          <w:rFonts w:hint="eastAsia" w:ascii="宋体" w:hAnsi="宋体" w:eastAsia="宋体" w:cs="宋体"/>
          <w:b w:val="0"/>
          <w:bCs w:val="0"/>
          <w:snapToGrid w:val="0"/>
          <w:color w:val="auto"/>
          <w:kern w:val="0"/>
          <w:szCs w:val="24"/>
          <w:highlight w:val="none"/>
          <w:u w:val="single"/>
        </w:rPr>
        <w:t>×（1-</w:t>
      </w:r>
      <w:r>
        <w:rPr>
          <w:rFonts w:hint="eastAsia" w:hAnsi="宋体" w:cs="宋体"/>
          <w:b w:val="0"/>
          <w:bCs w:val="0"/>
          <w:snapToGrid w:val="0"/>
          <w:color w:val="auto"/>
          <w:kern w:val="0"/>
          <w:szCs w:val="24"/>
          <w:highlight w:val="none"/>
          <w:u w:val="single"/>
          <w:lang w:eastAsia="zh-CN"/>
        </w:rPr>
        <w:t>成交下浮率</w:t>
      </w:r>
      <w:r>
        <w:rPr>
          <w:rFonts w:hint="eastAsia" w:ascii="宋体" w:hAnsi="宋体" w:eastAsia="宋体" w:cs="宋体"/>
          <w:b w:val="0"/>
          <w:bCs w:val="0"/>
          <w:snapToGrid w:val="0"/>
          <w:color w:val="auto"/>
          <w:kern w:val="0"/>
          <w:szCs w:val="24"/>
          <w:highlight w:val="none"/>
          <w:u w:val="single"/>
        </w:rPr>
        <w:t>）</w:t>
      </w:r>
      <w:r>
        <w:rPr>
          <w:rStyle w:val="6"/>
          <w:rFonts w:hint="eastAsia" w:ascii="宋体" w:hAnsi="宋体" w:eastAsia="宋体" w:cs="宋体"/>
          <w:b w:val="0"/>
          <w:bCs w:val="0"/>
          <w:color w:val="auto"/>
          <w:kern w:val="0"/>
          <w:highlight w:val="none"/>
          <w:u w:val="single"/>
        </w:rPr>
        <w:t>。</w:t>
      </w:r>
    </w:p>
    <w:p w14:paraId="74D27560">
      <w:pPr>
        <w:snapToGrid w:val="0"/>
        <w:spacing w:line="360" w:lineRule="auto"/>
        <w:ind w:firstLine="480" w:firstLineChars="200"/>
        <w:rPr>
          <w:rStyle w:val="6"/>
          <w:rFonts w:hint="eastAsia" w:ascii="宋体" w:hAnsi="宋体" w:eastAsia="宋体" w:cs="宋体"/>
          <w:color w:val="auto"/>
          <w:kern w:val="0"/>
        </w:rPr>
      </w:pPr>
      <w:r>
        <w:rPr>
          <w:rStyle w:val="6"/>
          <w:rFonts w:hint="eastAsia" w:ascii="宋体" w:hAnsi="宋体" w:eastAsia="宋体" w:cs="宋体"/>
          <w:color w:val="auto"/>
          <w:kern w:val="0"/>
        </w:rPr>
        <w:t>（2）已标价工程量清单中没有适用但有类似于变更工程项目的，可在合理范围内参照类似项目的单价。</w:t>
      </w:r>
      <w:r>
        <w:rPr>
          <w:rStyle w:val="6"/>
          <w:rFonts w:hint="eastAsia" w:ascii="宋体" w:hAnsi="宋体" w:eastAsia="宋体" w:cs="宋体"/>
          <w:b/>
          <w:bCs/>
          <w:color w:val="auto"/>
          <w:kern w:val="0"/>
        </w:rPr>
        <w:t>但如果被参考的类似项目属于按照</w:t>
      </w:r>
      <w:r>
        <w:rPr>
          <w:rStyle w:val="6"/>
          <w:rFonts w:hint="eastAsia" w:hAnsi="宋体" w:cs="宋体"/>
          <w:b/>
          <w:bCs/>
          <w:color w:val="auto"/>
          <w:kern w:val="0"/>
          <w:lang w:eastAsia="zh-CN"/>
        </w:rPr>
        <w:t>“4、合同订立”第4.2条</w:t>
      </w:r>
      <w:r>
        <w:rPr>
          <w:rStyle w:val="6"/>
          <w:rFonts w:hint="eastAsia" w:ascii="宋体" w:hAnsi="宋体" w:eastAsia="宋体" w:cs="宋体"/>
          <w:b/>
          <w:bCs/>
          <w:color w:val="auto"/>
          <w:kern w:val="0"/>
        </w:rPr>
        <w:t>被认定为不平衡报价的清单项目，变更工程项目的单价按照以下方法调整：</w:t>
      </w:r>
      <w:r>
        <w:rPr>
          <w:rFonts w:hint="eastAsia" w:ascii="宋体" w:hAnsi="宋体" w:eastAsia="宋体" w:cs="宋体"/>
          <w:b w:val="0"/>
          <w:bCs w:val="0"/>
          <w:snapToGrid w:val="0"/>
          <w:color w:val="auto"/>
          <w:kern w:val="0"/>
          <w:szCs w:val="24"/>
          <w:highlight w:val="none"/>
          <w:u w:val="single"/>
        </w:rPr>
        <w:t>以</w:t>
      </w:r>
      <w:r>
        <w:rPr>
          <w:rFonts w:hint="eastAsia" w:ascii="宋体" w:hAnsi="宋体" w:eastAsia="宋体" w:cs="宋体"/>
          <w:b w:val="0"/>
          <w:bCs w:val="0"/>
          <w:snapToGrid w:val="0"/>
          <w:color w:val="auto"/>
          <w:kern w:val="0"/>
          <w:highlight w:val="none"/>
          <w:u w:val="single"/>
        </w:rPr>
        <w:t>招标控制价中的《分部分项工程和单价措施项目清单与计价表》子目相对应综合单价</w:t>
      </w:r>
      <w:r>
        <w:rPr>
          <w:rFonts w:hint="eastAsia" w:ascii="宋体" w:hAnsi="宋体" w:eastAsia="宋体" w:cs="宋体"/>
          <w:b w:val="0"/>
          <w:bCs w:val="0"/>
          <w:snapToGrid w:val="0"/>
          <w:color w:val="auto"/>
          <w:kern w:val="0"/>
          <w:szCs w:val="24"/>
          <w:highlight w:val="none"/>
          <w:u w:val="single"/>
        </w:rPr>
        <w:t>×（1-</w:t>
      </w:r>
      <w:r>
        <w:rPr>
          <w:rFonts w:hint="eastAsia" w:hAnsi="宋体" w:cs="宋体"/>
          <w:b w:val="0"/>
          <w:bCs w:val="0"/>
          <w:snapToGrid w:val="0"/>
          <w:color w:val="auto"/>
          <w:kern w:val="0"/>
          <w:szCs w:val="24"/>
          <w:highlight w:val="none"/>
          <w:u w:val="single"/>
          <w:lang w:eastAsia="zh-CN"/>
        </w:rPr>
        <w:t>成交下浮率</w:t>
      </w:r>
      <w:r>
        <w:rPr>
          <w:rFonts w:hint="eastAsia" w:ascii="宋体" w:hAnsi="宋体" w:eastAsia="宋体" w:cs="宋体"/>
          <w:b w:val="0"/>
          <w:bCs w:val="0"/>
          <w:snapToGrid w:val="0"/>
          <w:color w:val="auto"/>
          <w:kern w:val="0"/>
          <w:szCs w:val="24"/>
          <w:highlight w:val="none"/>
          <w:u w:val="single"/>
        </w:rPr>
        <w:t>）</w:t>
      </w:r>
      <w:r>
        <w:rPr>
          <w:rStyle w:val="6"/>
          <w:rFonts w:hint="eastAsia" w:ascii="宋体" w:hAnsi="宋体" w:eastAsia="宋体" w:cs="宋体"/>
          <w:b w:val="0"/>
          <w:bCs w:val="0"/>
          <w:color w:val="auto"/>
          <w:kern w:val="0"/>
          <w:highlight w:val="none"/>
          <w:u w:val="single"/>
        </w:rPr>
        <w:t>。</w:t>
      </w:r>
    </w:p>
    <w:p w14:paraId="62E7E64B">
      <w:pPr>
        <w:wordWrap w:val="0"/>
        <w:adjustRightInd w:val="0"/>
        <w:snapToGrid w:val="0"/>
        <w:spacing w:line="360" w:lineRule="auto"/>
        <w:ind w:firstLine="480" w:firstLineChars="200"/>
        <w:rPr>
          <w:rFonts w:hint="eastAsia" w:ascii="宋体" w:hAnsi="宋体" w:eastAsia="宋体" w:cs="宋体"/>
          <w:snapToGrid w:val="0"/>
          <w:color w:val="auto"/>
          <w:kern w:val="0"/>
        </w:rPr>
      </w:pPr>
      <w:r>
        <w:rPr>
          <w:rStyle w:val="6"/>
          <w:rFonts w:hint="eastAsia" w:ascii="宋体" w:hAnsi="宋体" w:eastAsia="宋体" w:cs="宋体"/>
          <w:color w:val="auto"/>
          <w:kern w:val="0"/>
        </w:rPr>
        <w:t>（3）已标价工程量清单中没有适用也没有类似于变更工程项目的，由承包人根据变更工程资料、计量规则、计价办法、施工当月项目所在地工程造价管理机构发布的价格信息和</w:t>
      </w:r>
      <w:r>
        <w:rPr>
          <w:rStyle w:val="6"/>
          <w:rFonts w:hint="eastAsia" w:hAnsi="宋体" w:cs="宋体"/>
          <w:color w:val="auto"/>
          <w:kern w:val="0"/>
          <w:lang w:eastAsia="zh-CN"/>
        </w:rPr>
        <w:t>成交下浮率</w:t>
      </w:r>
      <w:r>
        <w:rPr>
          <w:rStyle w:val="6"/>
          <w:rFonts w:hint="eastAsia" w:ascii="宋体" w:hAnsi="宋体" w:eastAsia="宋体" w:cs="宋体"/>
          <w:color w:val="auto"/>
          <w:kern w:val="0"/>
        </w:rPr>
        <w:t>提出变更工程项目的单价，报发包人确认后调整。</w:t>
      </w:r>
      <w:r>
        <w:rPr>
          <w:rFonts w:hint="eastAsia" w:hAnsi="宋体" w:cs="宋体"/>
          <w:snapToGrid w:val="0"/>
          <w:color w:val="auto"/>
          <w:kern w:val="0"/>
          <w:lang w:eastAsia="zh-CN"/>
        </w:rPr>
        <w:t>成交下浮率</w:t>
      </w:r>
      <w:r>
        <w:rPr>
          <w:rFonts w:hint="eastAsia" w:ascii="宋体" w:hAnsi="宋体" w:eastAsia="宋体" w:cs="宋体"/>
          <w:snapToGrid w:val="0"/>
          <w:color w:val="auto"/>
          <w:kern w:val="0"/>
        </w:rPr>
        <w:t>的计算公式如下：</w:t>
      </w:r>
    </w:p>
    <w:p w14:paraId="663A216E">
      <w:pPr>
        <w:wordWrap w:val="0"/>
        <w:adjustRightInd w:val="0"/>
        <w:snapToGrid w:val="0"/>
        <w:spacing w:line="360" w:lineRule="auto"/>
        <w:jc w:val="both"/>
        <w:rPr>
          <w:rFonts w:hint="eastAsia" w:ascii="宋体" w:hAnsi="宋体" w:eastAsia="宋体" w:cs="宋体"/>
          <w:snapToGrid w:val="0"/>
          <w:color w:val="auto"/>
          <w:kern w:val="0"/>
          <w:u w:val="wave"/>
        </w:rPr>
      </w:pPr>
      <w:r>
        <w:rPr>
          <w:rFonts w:hint="eastAsia" w:ascii="宋体" w:hAnsi="宋体" w:eastAsia="宋体" w:cs="宋体"/>
          <w:snapToGrid w:val="0"/>
          <w:color w:val="auto"/>
          <w:kern w:val="0"/>
          <w:lang w:val="en-US" w:eastAsia="zh-CN"/>
        </w:rPr>
        <w:t>成交下浮率=[1-（成交价-成交绿色施工安全防护措施费-暂列金额-暂估价）÷（招标控制价-成交绿色施工安全防护措施费-暂列金额-暂估价）]×100%</w:t>
      </w:r>
    </w:p>
    <w:p w14:paraId="62FF6461">
      <w:pPr>
        <w:snapToGrid w:val="0"/>
        <w:spacing w:line="360" w:lineRule="auto"/>
        <w:ind w:firstLine="480" w:firstLineChars="200"/>
        <w:rPr>
          <w:rStyle w:val="6"/>
          <w:rFonts w:hint="eastAsia" w:ascii="宋体" w:hAnsi="宋体" w:eastAsia="宋体" w:cs="宋体"/>
          <w:color w:val="auto"/>
          <w:kern w:val="0"/>
        </w:rPr>
      </w:pPr>
      <w:r>
        <w:rPr>
          <w:rStyle w:val="6"/>
          <w:rFonts w:hint="eastAsia" w:ascii="宋体" w:hAnsi="宋体" w:eastAsia="宋体" w:cs="宋体"/>
          <w:color w:val="auto"/>
          <w:kern w:val="0"/>
        </w:rPr>
        <w:t>（4）已标价工程量清单中没有适用也没有类似于变更工程项目，且施工当月项目所在地工程造价管理机构发布的价格信息缺项的，</w:t>
      </w:r>
      <w:r>
        <w:rPr>
          <w:rFonts w:hint="eastAsia" w:ascii="宋体" w:hAnsi="宋体" w:eastAsia="宋体" w:cs="宋体"/>
          <w:snapToGrid w:val="0"/>
          <w:color w:val="auto"/>
          <w:kern w:val="0"/>
        </w:rPr>
        <w:t>由承包人根据变更工程资料、计量规则、计价办法和通过市场调查等取得有合法依据的市场价格提出变更工程项目的单价，报发包人确认后调整。</w:t>
      </w:r>
    </w:p>
    <w:p w14:paraId="30DA9A6B">
      <w:pPr>
        <w:snapToGrid w:val="0"/>
        <w:spacing w:line="360" w:lineRule="auto"/>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2.3.3.2</w:t>
      </w:r>
      <w:r>
        <w:rPr>
          <w:rStyle w:val="6"/>
          <w:rFonts w:hint="eastAsia" w:ascii="宋体" w:hAnsi="宋体" w:eastAsia="宋体" w:cs="宋体"/>
          <w:color w:val="auto"/>
          <w:kern w:val="0"/>
        </w:rPr>
        <w:t xml:space="preserve"> 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w:t>
      </w:r>
      <w:r>
        <w:rPr>
          <w:rStyle w:val="6"/>
          <w:rFonts w:hint="eastAsia" w:ascii="宋体" w:hAnsi="宋体" w:eastAsia="宋体" w:cs="宋体"/>
          <w:color w:val="auto"/>
          <w:kern w:val="0"/>
          <w:lang w:val="en-US" w:eastAsia="zh-CN"/>
        </w:rPr>
        <w:t>本合同主要条款</w:t>
      </w:r>
      <w:r>
        <w:rPr>
          <w:rStyle w:val="6"/>
          <w:rFonts w:hint="eastAsia" w:ascii="宋体" w:hAnsi="宋体" w:eastAsia="宋体" w:cs="宋体"/>
          <w:color w:val="auto"/>
          <w:kern w:val="0"/>
        </w:rPr>
        <w:t>下列规定调整措施项目费：</w:t>
      </w:r>
    </w:p>
    <w:p w14:paraId="51FECA7F">
      <w:pPr>
        <w:snapToGrid w:val="0"/>
        <w:spacing w:line="360" w:lineRule="auto"/>
        <w:ind w:firstLine="480" w:firstLineChars="200"/>
        <w:rPr>
          <w:rStyle w:val="6"/>
          <w:rFonts w:hint="eastAsia" w:ascii="宋体" w:hAnsi="宋体" w:eastAsia="宋体" w:cs="宋体"/>
          <w:color w:val="auto"/>
          <w:kern w:val="0"/>
        </w:rPr>
      </w:pPr>
      <w:r>
        <w:rPr>
          <w:rStyle w:val="6"/>
          <w:rFonts w:hint="eastAsia" w:ascii="宋体" w:hAnsi="宋体" w:eastAsia="宋体" w:cs="宋体"/>
          <w:color w:val="auto"/>
          <w:kern w:val="0"/>
        </w:rPr>
        <w:t>（1）绿色施工安全防护措施费应按照实际发生变化的措施项目计算。</w:t>
      </w:r>
    </w:p>
    <w:p w14:paraId="4327DC09">
      <w:pPr>
        <w:snapToGrid w:val="0"/>
        <w:spacing w:line="360" w:lineRule="auto"/>
        <w:ind w:firstLine="480" w:firstLineChars="200"/>
        <w:rPr>
          <w:rStyle w:val="6"/>
          <w:rFonts w:hint="eastAsia" w:ascii="宋体" w:hAnsi="宋体" w:eastAsia="宋体" w:cs="宋体"/>
          <w:color w:val="auto"/>
          <w:kern w:val="0"/>
        </w:rPr>
      </w:pPr>
      <w:r>
        <w:rPr>
          <w:rStyle w:val="6"/>
          <w:rFonts w:hint="eastAsia" w:ascii="宋体" w:hAnsi="宋体" w:eastAsia="宋体" w:cs="宋体"/>
          <w:color w:val="auto"/>
          <w:kern w:val="0"/>
        </w:rPr>
        <w:t>（2）采用单价计算的措施项目费，应按照实际发生变化的措施项目，按第</w:t>
      </w:r>
      <w:r>
        <w:rPr>
          <w:rStyle w:val="6"/>
          <w:rFonts w:hint="eastAsia" w:ascii="宋体" w:hAnsi="宋体" w:eastAsia="宋体" w:cs="宋体"/>
          <w:b/>
          <w:bCs/>
          <w:color w:val="auto"/>
          <w:kern w:val="0"/>
        </w:rPr>
        <w:t>2.3.3.1</w:t>
      </w:r>
      <w:r>
        <w:rPr>
          <w:rStyle w:val="6"/>
          <w:rFonts w:hint="eastAsia" w:ascii="宋体" w:hAnsi="宋体" w:eastAsia="宋体" w:cs="宋体"/>
          <w:color w:val="auto"/>
          <w:kern w:val="0"/>
        </w:rPr>
        <w:t>子目的规定确定单价。</w:t>
      </w:r>
    </w:p>
    <w:p w14:paraId="7B1021CA">
      <w:pPr>
        <w:snapToGrid w:val="0"/>
        <w:spacing w:line="360" w:lineRule="auto"/>
        <w:ind w:firstLine="480" w:firstLineChars="200"/>
        <w:rPr>
          <w:rStyle w:val="6"/>
          <w:rFonts w:hint="eastAsia" w:ascii="宋体" w:hAnsi="宋体" w:eastAsia="宋体" w:cs="宋体"/>
          <w:color w:val="auto"/>
          <w:kern w:val="0"/>
        </w:rPr>
      </w:pPr>
      <w:r>
        <w:rPr>
          <w:rStyle w:val="6"/>
          <w:rFonts w:hint="eastAsia" w:ascii="宋体" w:hAnsi="宋体" w:eastAsia="宋体" w:cs="宋体"/>
          <w:color w:val="auto"/>
          <w:kern w:val="0"/>
        </w:rPr>
        <w:t>（3）按总价或系数计算的措施项目费，应按照实际发生变化的措施项目费调整并考虑</w:t>
      </w:r>
      <w:r>
        <w:rPr>
          <w:rStyle w:val="6"/>
          <w:rFonts w:hint="eastAsia" w:hAnsi="宋体" w:cs="宋体"/>
          <w:color w:val="auto"/>
          <w:kern w:val="0"/>
          <w:lang w:eastAsia="zh-CN"/>
        </w:rPr>
        <w:t>成交下浮率</w:t>
      </w:r>
      <w:r>
        <w:rPr>
          <w:rStyle w:val="6"/>
          <w:rFonts w:hint="eastAsia" w:ascii="宋体" w:hAnsi="宋体" w:eastAsia="宋体" w:cs="宋体"/>
          <w:color w:val="auto"/>
          <w:kern w:val="0"/>
        </w:rPr>
        <w:t>因素，即调整金额＝按照实际变化调整后的金额×</w:t>
      </w:r>
      <w:r>
        <w:rPr>
          <w:rFonts w:hint="eastAsia" w:ascii="宋体" w:hAnsi="宋体" w:eastAsia="宋体" w:cs="宋体"/>
          <w:bCs/>
          <w:snapToGrid w:val="0"/>
          <w:color w:val="auto"/>
          <w:kern w:val="0"/>
          <w:szCs w:val="28"/>
        </w:rPr>
        <w:t>（1-</w:t>
      </w:r>
      <w:r>
        <w:rPr>
          <w:rFonts w:hint="eastAsia" w:hAnsi="宋体" w:cs="宋体"/>
          <w:snapToGrid w:val="0"/>
          <w:color w:val="auto"/>
          <w:kern w:val="0"/>
          <w:lang w:eastAsia="zh-CN"/>
        </w:rPr>
        <w:t>成交下浮率</w:t>
      </w:r>
      <w:r>
        <w:rPr>
          <w:rFonts w:hint="eastAsia" w:ascii="宋体" w:hAnsi="宋体" w:eastAsia="宋体" w:cs="宋体"/>
          <w:snapToGrid w:val="0"/>
          <w:color w:val="auto"/>
          <w:kern w:val="0"/>
        </w:rPr>
        <w:t>）</w:t>
      </w:r>
      <w:r>
        <w:rPr>
          <w:rStyle w:val="6"/>
          <w:rFonts w:hint="eastAsia" w:ascii="宋体" w:hAnsi="宋体" w:eastAsia="宋体" w:cs="宋体"/>
          <w:color w:val="auto"/>
          <w:kern w:val="0"/>
        </w:rPr>
        <w:t>。</w:t>
      </w:r>
    </w:p>
    <w:p w14:paraId="5D74D2F2">
      <w:pPr>
        <w:snapToGrid w:val="0"/>
        <w:spacing w:line="360" w:lineRule="auto"/>
        <w:ind w:firstLine="480" w:firstLineChars="200"/>
        <w:rPr>
          <w:rStyle w:val="6"/>
          <w:rFonts w:hint="eastAsia" w:ascii="宋体" w:hAnsi="宋体" w:eastAsia="宋体" w:cs="宋体"/>
          <w:color w:val="auto"/>
          <w:kern w:val="0"/>
        </w:rPr>
      </w:pPr>
      <w:r>
        <w:rPr>
          <w:rStyle w:val="6"/>
          <w:rFonts w:hint="eastAsia" w:ascii="宋体" w:hAnsi="宋体" w:eastAsia="宋体" w:cs="宋体"/>
          <w:color w:val="auto"/>
          <w:kern w:val="0"/>
        </w:rPr>
        <w:t>如果承包人未事先将拟实施的方案提交发包人确认，视为工程变更不引起措施项目费的调整或承包人放弃调整措施项目费的权利。</w:t>
      </w:r>
    </w:p>
    <w:p w14:paraId="786DF2C0">
      <w:pPr>
        <w:snapToGrid w:val="0"/>
        <w:spacing w:line="360" w:lineRule="auto"/>
        <w:ind w:firstLine="482" w:firstLineChars="200"/>
        <w:rPr>
          <w:rStyle w:val="6"/>
          <w:rFonts w:hint="eastAsia" w:ascii="宋体" w:hAnsi="宋体" w:eastAsia="宋体" w:cs="宋体"/>
          <w:color w:val="auto"/>
          <w:kern w:val="0"/>
          <w:sz w:val="44"/>
          <w:szCs w:val="44"/>
        </w:rPr>
      </w:pPr>
      <w:r>
        <w:rPr>
          <w:rStyle w:val="6"/>
          <w:rFonts w:hint="eastAsia" w:ascii="宋体" w:hAnsi="宋体" w:eastAsia="宋体" w:cs="宋体"/>
          <w:b/>
          <w:bCs/>
          <w:color w:val="auto"/>
          <w:kern w:val="0"/>
        </w:rPr>
        <w:t>2.3.3.3</w:t>
      </w:r>
      <w:r>
        <w:rPr>
          <w:rStyle w:val="6"/>
          <w:rFonts w:hint="eastAsia" w:ascii="宋体" w:hAnsi="宋体" w:eastAsia="宋体" w:cs="宋体"/>
          <w:color w:val="auto"/>
          <w:kern w:val="0"/>
        </w:rPr>
        <w:t xml:space="preserve"> 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756CED46">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2.3.4</w:t>
      </w:r>
      <w:r>
        <w:rPr>
          <w:rStyle w:val="6"/>
          <w:rFonts w:hint="eastAsia" w:ascii="宋体" w:hAnsi="宋体" w:eastAsia="宋体" w:cs="宋体"/>
          <w:color w:val="auto"/>
          <w:kern w:val="0"/>
        </w:rPr>
        <w:t xml:space="preserve"> 项目特征不符</w:t>
      </w:r>
    </w:p>
    <w:p w14:paraId="02084656">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color w:val="auto"/>
          <w:kern w:val="0"/>
        </w:rPr>
        <w:t>承包人应按照发包人提供的设计图纸实施合同工程，若在合同履行期间出现设计图纸（含设计变更）与工程量清单任一项目的特征描述不符，且该变化引起该项目工程造价增减变化的，应按照实际施工的项目特征，并按第</w:t>
      </w:r>
      <w:r>
        <w:rPr>
          <w:rStyle w:val="6"/>
          <w:rFonts w:hint="eastAsia" w:ascii="宋体" w:hAnsi="宋体" w:eastAsia="宋体" w:cs="宋体"/>
          <w:b/>
          <w:bCs/>
          <w:color w:val="auto"/>
          <w:kern w:val="0"/>
        </w:rPr>
        <w:t>2.3.3</w:t>
      </w:r>
      <w:r>
        <w:rPr>
          <w:rStyle w:val="6"/>
          <w:rFonts w:hint="eastAsia" w:ascii="宋体" w:hAnsi="宋体" w:eastAsia="宋体" w:cs="宋体"/>
          <w:color w:val="auto"/>
          <w:kern w:val="0"/>
        </w:rPr>
        <w:t>目相关条款的规定重新确定相应工程量清单项目的综合单价，并调整合同价款。</w:t>
      </w:r>
    </w:p>
    <w:p w14:paraId="70ED285D">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2.3.5</w:t>
      </w:r>
      <w:r>
        <w:rPr>
          <w:rStyle w:val="6"/>
          <w:rFonts w:hint="eastAsia" w:ascii="宋体" w:hAnsi="宋体" w:eastAsia="宋体" w:cs="宋体"/>
          <w:color w:val="auto"/>
          <w:kern w:val="0"/>
        </w:rPr>
        <w:t xml:space="preserve"> 招标工程量清单缺项</w:t>
      </w:r>
    </w:p>
    <w:p w14:paraId="4831B9FA">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2.3.5.1</w:t>
      </w:r>
      <w:r>
        <w:rPr>
          <w:rStyle w:val="6"/>
          <w:rFonts w:hint="eastAsia" w:ascii="宋体" w:hAnsi="宋体" w:eastAsia="宋体" w:cs="宋体"/>
          <w:color w:val="auto"/>
          <w:kern w:val="0"/>
        </w:rPr>
        <w:t xml:space="preserve"> 合同履行期间，由于工程量清单中缺项，新增分部分项工程清单项目，应按照第</w:t>
      </w:r>
      <w:r>
        <w:rPr>
          <w:rStyle w:val="6"/>
          <w:rFonts w:hint="eastAsia" w:ascii="宋体" w:hAnsi="宋体" w:eastAsia="宋体" w:cs="宋体"/>
          <w:b/>
          <w:bCs/>
          <w:color w:val="auto"/>
          <w:kern w:val="0"/>
        </w:rPr>
        <w:t>2.3.3.1</w:t>
      </w:r>
      <w:r>
        <w:rPr>
          <w:rStyle w:val="6"/>
          <w:rFonts w:hint="eastAsia" w:ascii="宋体" w:hAnsi="宋体" w:eastAsia="宋体" w:cs="宋体"/>
          <w:color w:val="auto"/>
          <w:kern w:val="0"/>
        </w:rPr>
        <w:t>子目的规定确定单价，并调整合同价款。</w:t>
      </w:r>
    </w:p>
    <w:p w14:paraId="499E10DC">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2.3.5.2</w:t>
      </w:r>
      <w:r>
        <w:rPr>
          <w:rStyle w:val="6"/>
          <w:rFonts w:hint="eastAsia" w:ascii="宋体" w:hAnsi="宋体" w:eastAsia="宋体" w:cs="宋体"/>
          <w:color w:val="auto"/>
          <w:kern w:val="0"/>
        </w:rPr>
        <w:t xml:space="preserve"> 新增分部分项工程清单项目后，引起措施项目发生变化的，应按照第</w:t>
      </w:r>
      <w:r>
        <w:rPr>
          <w:rStyle w:val="6"/>
          <w:rFonts w:hint="eastAsia" w:ascii="宋体" w:hAnsi="宋体" w:eastAsia="宋体" w:cs="宋体"/>
          <w:b/>
          <w:bCs/>
          <w:color w:val="auto"/>
          <w:kern w:val="0"/>
        </w:rPr>
        <w:t>2.3.3.2</w:t>
      </w:r>
      <w:r>
        <w:rPr>
          <w:rStyle w:val="6"/>
          <w:rFonts w:hint="eastAsia" w:ascii="宋体" w:hAnsi="宋体" w:eastAsia="宋体" w:cs="宋体"/>
          <w:color w:val="auto"/>
          <w:kern w:val="0"/>
        </w:rPr>
        <w:t>子目的规定，在承包人提交的实施方案被发包人批准后调整合同价款。</w:t>
      </w:r>
    </w:p>
    <w:p w14:paraId="6D4F1522">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2.3.5.3</w:t>
      </w:r>
      <w:r>
        <w:rPr>
          <w:rStyle w:val="6"/>
          <w:rFonts w:hint="eastAsia" w:ascii="宋体" w:hAnsi="宋体" w:eastAsia="宋体" w:cs="宋体"/>
          <w:color w:val="auto"/>
          <w:kern w:val="0"/>
        </w:rPr>
        <w:t xml:space="preserve"> 由于工程量清单中措施项目缺项，承包人应将新增措施项目实施方案提交发包人批准后，按照第</w:t>
      </w:r>
      <w:r>
        <w:rPr>
          <w:rStyle w:val="6"/>
          <w:rFonts w:hint="eastAsia" w:ascii="宋体" w:hAnsi="宋体" w:eastAsia="宋体" w:cs="宋体"/>
          <w:b/>
          <w:bCs/>
          <w:color w:val="auto"/>
          <w:kern w:val="0"/>
        </w:rPr>
        <w:t>2.3.3.1</w:t>
      </w:r>
      <w:r>
        <w:rPr>
          <w:rStyle w:val="6"/>
          <w:rFonts w:hint="eastAsia" w:ascii="宋体" w:hAnsi="宋体" w:eastAsia="宋体" w:cs="宋体"/>
          <w:color w:val="auto"/>
          <w:kern w:val="0"/>
        </w:rPr>
        <w:t>子目、第</w:t>
      </w:r>
      <w:r>
        <w:rPr>
          <w:rStyle w:val="6"/>
          <w:rFonts w:hint="eastAsia" w:ascii="宋体" w:hAnsi="宋体" w:eastAsia="宋体" w:cs="宋体"/>
          <w:b/>
          <w:bCs/>
          <w:color w:val="auto"/>
          <w:kern w:val="0"/>
        </w:rPr>
        <w:t>2.3.3.2</w:t>
      </w:r>
      <w:r>
        <w:rPr>
          <w:rStyle w:val="6"/>
          <w:rFonts w:hint="eastAsia" w:ascii="宋体" w:hAnsi="宋体" w:eastAsia="宋体" w:cs="宋体"/>
          <w:color w:val="auto"/>
          <w:kern w:val="0"/>
        </w:rPr>
        <w:t>子目的规定调整合同价款。</w:t>
      </w:r>
    </w:p>
    <w:p w14:paraId="05619FD2">
      <w:pPr>
        <w:snapToGrid w:val="0"/>
        <w:spacing w:line="360" w:lineRule="auto"/>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2.3.6</w:t>
      </w:r>
      <w:r>
        <w:rPr>
          <w:rStyle w:val="6"/>
          <w:rFonts w:hint="eastAsia" w:ascii="宋体" w:hAnsi="宋体" w:eastAsia="宋体" w:cs="宋体"/>
          <w:color w:val="auto"/>
          <w:kern w:val="0"/>
        </w:rPr>
        <w:t xml:space="preserve"> 物价变化</w:t>
      </w:r>
    </w:p>
    <w:p w14:paraId="49E46674">
      <w:pPr>
        <w:snapToGrid w:val="0"/>
        <w:spacing w:line="360" w:lineRule="auto"/>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2.3.6.1</w:t>
      </w:r>
      <w:r>
        <w:rPr>
          <w:rStyle w:val="6"/>
          <w:rFonts w:hint="eastAsia" w:ascii="宋体" w:hAnsi="宋体" w:eastAsia="宋体" w:cs="宋体"/>
          <w:color w:val="auto"/>
          <w:kern w:val="0"/>
        </w:rPr>
        <w:t xml:space="preserve"> 合同履行期间，项目所在地工程造价管理机构发布的动态人工调整系数发生变化时，如果承包人</w:t>
      </w:r>
      <w:r>
        <w:rPr>
          <w:rStyle w:val="6"/>
          <w:rFonts w:hint="eastAsia" w:hAnsi="宋体" w:cs="宋体"/>
          <w:color w:val="auto"/>
          <w:kern w:val="0"/>
          <w:lang w:eastAsia="zh-CN"/>
        </w:rPr>
        <w:t>磋商报价</w:t>
      </w:r>
      <w:r>
        <w:rPr>
          <w:rStyle w:val="6"/>
          <w:rFonts w:hint="eastAsia" w:ascii="宋体" w:hAnsi="宋体" w:eastAsia="宋体" w:cs="宋体"/>
          <w:color w:val="auto"/>
          <w:kern w:val="0"/>
        </w:rPr>
        <w:t>中人工费（以下简称“</w:t>
      </w:r>
      <w:r>
        <w:rPr>
          <w:rStyle w:val="6"/>
          <w:rFonts w:hint="eastAsia" w:hAnsi="宋体" w:cs="宋体"/>
          <w:color w:val="auto"/>
          <w:kern w:val="0"/>
          <w:lang w:eastAsia="zh-CN"/>
        </w:rPr>
        <w:t>成交供应商</w:t>
      </w:r>
      <w:r>
        <w:rPr>
          <w:rStyle w:val="6"/>
          <w:rFonts w:hint="eastAsia" w:ascii="宋体" w:hAnsi="宋体" w:eastAsia="宋体" w:cs="宋体"/>
          <w:color w:val="auto"/>
          <w:kern w:val="0"/>
        </w:rPr>
        <w:t>工费”）等于或超过施工当月经动态调整后的定额人工费，该清单项目</w:t>
      </w:r>
      <w:r>
        <w:rPr>
          <w:rStyle w:val="6"/>
          <w:rFonts w:hint="eastAsia" w:hAnsi="宋体" w:cs="宋体"/>
          <w:color w:val="auto"/>
          <w:kern w:val="0"/>
          <w:lang w:eastAsia="zh-CN"/>
        </w:rPr>
        <w:t>成交供应商</w:t>
      </w:r>
      <w:r>
        <w:rPr>
          <w:rStyle w:val="6"/>
          <w:rFonts w:hint="eastAsia" w:ascii="宋体" w:hAnsi="宋体" w:eastAsia="宋体" w:cs="宋体"/>
          <w:color w:val="auto"/>
          <w:kern w:val="0"/>
        </w:rPr>
        <w:t>工费不予调整；如果</w:t>
      </w:r>
      <w:r>
        <w:rPr>
          <w:rStyle w:val="6"/>
          <w:rFonts w:hint="eastAsia" w:hAnsi="宋体" w:cs="宋体"/>
          <w:color w:val="auto"/>
          <w:kern w:val="0"/>
          <w:lang w:eastAsia="zh-CN"/>
        </w:rPr>
        <w:t>成交供应商</w:t>
      </w:r>
      <w:r>
        <w:rPr>
          <w:rStyle w:val="6"/>
          <w:rFonts w:hint="eastAsia" w:ascii="宋体" w:hAnsi="宋体" w:eastAsia="宋体" w:cs="宋体"/>
          <w:color w:val="auto"/>
          <w:kern w:val="0"/>
        </w:rPr>
        <w:t>工费低于施工当月经动态调整后的定额人工费，该清单项目</w:t>
      </w:r>
      <w:r>
        <w:rPr>
          <w:rStyle w:val="6"/>
          <w:rFonts w:hint="eastAsia" w:hAnsi="宋体" w:cs="宋体"/>
          <w:color w:val="auto"/>
          <w:kern w:val="0"/>
          <w:lang w:eastAsia="zh-CN"/>
        </w:rPr>
        <w:t>成交供应商</w:t>
      </w:r>
      <w:r>
        <w:rPr>
          <w:rStyle w:val="6"/>
          <w:rFonts w:hint="eastAsia" w:ascii="宋体" w:hAnsi="宋体" w:eastAsia="宋体" w:cs="宋体"/>
          <w:color w:val="auto"/>
          <w:kern w:val="0"/>
        </w:rPr>
        <w:t>工费可以调整，相关费用按有关规定进行相应调整。结算人工费调整公式为：</w:t>
      </w:r>
    </w:p>
    <w:p w14:paraId="7F3C138C">
      <w:pPr>
        <w:snapToGrid w:val="0"/>
        <w:spacing w:line="360" w:lineRule="auto"/>
        <w:ind w:firstLine="480" w:firstLineChars="200"/>
        <w:jc w:val="center"/>
        <w:rPr>
          <w:rStyle w:val="6"/>
          <w:rFonts w:hint="eastAsia" w:ascii="宋体" w:hAnsi="宋体" w:eastAsia="宋体" w:cs="宋体"/>
          <w:color w:val="auto"/>
          <w:kern w:val="0"/>
        </w:rPr>
      </w:pPr>
      <w:r>
        <w:rPr>
          <w:rStyle w:val="6"/>
          <w:rFonts w:hint="eastAsia" w:ascii="宋体" w:hAnsi="宋体" w:eastAsia="宋体" w:cs="宋体"/>
          <w:color w:val="auto"/>
          <w:kern w:val="0"/>
        </w:rPr>
        <w:t>结算人工费＝</w:t>
      </w:r>
      <w:r>
        <w:rPr>
          <w:rStyle w:val="6"/>
          <w:rFonts w:hint="eastAsia" w:hAnsi="宋体" w:cs="宋体"/>
          <w:color w:val="auto"/>
          <w:kern w:val="0"/>
          <w:lang w:eastAsia="zh-CN"/>
        </w:rPr>
        <w:t>成交供应商</w:t>
      </w:r>
      <w:r>
        <w:rPr>
          <w:rStyle w:val="6"/>
          <w:rFonts w:hint="eastAsia" w:ascii="宋体" w:hAnsi="宋体" w:eastAsia="宋体" w:cs="宋体"/>
          <w:color w:val="auto"/>
          <w:kern w:val="0"/>
        </w:rPr>
        <w:t>工费×F</w:t>
      </w:r>
      <w:r>
        <w:rPr>
          <w:rStyle w:val="6"/>
          <w:rFonts w:hint="eastAsia" w:ascii="宋体" w:hAnsi="宋体" w:eastAsia="宋体" w:cs="宋体"/>
          <w:color w:val="auto"/>
          <w:kern w:val="0"/>
          <w:vertAlign w:val="subscript"/>
        </w:rPr>
        <w:t>1</w:t>
      </w:r>
    </w:p>
    <w:p w14:paraId="662D0929">
      <w:pPr>
        <w:snapToGrid w:val="0"/>
        <w:spacing w:line="360" w:lineRule="auto"/>
        <w:ind w:firstLine="480" w:firstLineChars="200"/>
        <w:rPr>
          <w:rStyle w:val="6"/>
          <w:rFonts w:hint="eastAsia" w:ascii="宋体" w:hAnsi="宋体" w:eastAsia="宋体" w:cs="宋体"/>
          <w:color w:val="auto"/>
          <w:kern w:val="0"/>
        </w:rPr>
      </w:pPr>
      <w:r>
        <w:rPr>
          <w:rStyle w:val="6"/>
          <w:rFonts w:hint="eastAsia" w:ascii="宋体" w:hAnsi="宋体" w:eastAsia="宋体" w:cs="宋体"/>
          <w:color w:val="auto"/>
          <w:kern w:val="0"/>
        </w:rPr>
        <w:t>式中，F</w:t>
      </w:r>
      <w:r>
        <w:rPr>
          <w:rStyle w:val="6"/>
          <w:rFonts w:hint="eastAsia" w:ascii="宋体" w:hAnsi="宋体" w:eastAsia="宋体" w:cs="宋体"/>
          <w:color w:val="auto"/>
          <w:kern w:val="0"/>
          <w:vertAlign w:val="subscript"/>
        </w:rPr>
        <w:t>1</w:t>
      </w:r>
      <w:r>
        <w:rPr>
          <w:rStyle w:val="6"/>
          <w:rFonts w:hint="eastAsia" w:ascii="宋体" w:hAnsi="宋体" w:eastAsia="宋体" w:cs="宋体"/>
          <w:color w:val="auto"/>
          <w:kern w:val="0"/>
        </w:rPr>
        <w:t>为施工当月项目所在地工程造价管理机构发布的动态人工调整系数。</w:t>
      </w:r>
    </w:p>
    <w:p w14:paraId="543C7A89">
      <w:pPr>
        <w:snapToGrid w:val="0"/>
        <w:spacing w:line="360" w:lineRule="auto"/>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2.3.6.2</w:t>
      </w:r>
      <w:r>
        <w:rPr>
          <w:rStyle w:val="6"/>
          <w:rFonts w:hint="eastAsia" w:ascii="宋体" w:hAnsi="宋体" w:eastAsia="宋体" w:cs="宋体"/>
          <w:color w:val="auto"/>
          <w:kern w:val="0"/>
        </w:rPr>
        <w:t xml:space="preserve"> 本工程约定，材料、工程设备单价涨跌风险幅度值A为</w:t>
      </w:r>
      <w:r>
        <w:rPr>
          <w:rStyle w:val="6"/>
          <w:rFonts w:hint="eastAsia" w:ascii="宋体" w:hAnsi="宋体" w:eastAsia="宋体" w:cs="宋体"/>
          <w:color w:val="auto"/>
          <w:kern w:val="0"/>
          <w:u w:val="single"/>
        </w:rPr>
        <w:t xml:space="preserve"> 5% </w:t>
      </w:r>
      <w:r>
        <w:rPr>
          <w:rStyle w:val="6"/>
          <w:rFonts w:hint="eastAsia" w:ascii="宋体" w:hAnsi="宋体" w:eastAsia="宋体" w:cs="宋体"/>
          <w:color w:val="auto"/>
          <w:kern w:val="0"/>
        </w:rPr>
        <w:t>。合同履行期间，当《承包人提供主要材料和工程设备一览表》（详见招标工程量清单）中的材料、工程设备（</w:t>
      </w:r>
      <w:r>
        <w:rPr>
          <w:rFonts w:hint="eastAsia" w:ascii="宋体" w:hAnsi="宋体" w:eastAsia="宋体" w:cs="宋体"/>
          <w:snapToGrid w:val="0"/>
          <w:color w:val="auto"/>
          <w:kern w:val="0"/>
        </w:rPr>
        <w:t>指钢材、商品砼、水泥、砂、石等主要材料及工程设备</w:t>
      </w:r>
      <w:r>
        <w:rPr>
          <w:rStyle w:val="6"/>
          <w:rFonts w:hint="eastAsia" w:ascii="宋体" w:hAnsi="宋体" w:eastAsia="宋体" w:cs="宋体"/>
          <w:color w:val="auto"/>
          <w:kern w:val="0"/>
        </w:rPr>
        <w:t>）单价涨跌幅度等于或低于A值时，该材料、工程设备单价不予调整；超过A值时，其超过部分可以调整。相关费用按有关规定进行相应调整。</w:t>
      </w:r>
    </w:p>
    <w:p w14:paraId="6DFBF903">
      <w:pPr>
        <w:wordWrap w:val="0"/>
        <w:adjustRightInd w:val="0"/>
        <w:snapToGrid w:val="0"/>
        <w:spacing w:line="360" w:lineRule="auto"/>
        <w:ind w:firstLine="482" w:firstLineChars="200"/>
        <w:rPr>
          <w:rFonts w:hint="eastAsia" w:ascii="宋体" w:hAnsi="宋体" w:eastAsia="宋体" w:cs="宋体"/>
          <w:strike/>
          <w:color w:val="auto"/>
          <w:sz w:val="14"/>
          <w:szCs w:val="14"/>
        </w:rPr>
      </w:pPr>
      <w:r>
        <w:rPr>
          <w:rFonts w:hint="eastAsia" w:ascii="宋体" w:hAnsi="宋体" w:eastAsia="宋体" w:cs="宋体"/>
          <w:b/>
          <w:bCs/>
          <w:snapToGrid w:val="0"/>
          <w:color w:val="auto"/>
          <w:kern w:val="0"/>
        </w:rPr>
        <w:t>a</w:t>
      </w:r>
      <w:r>
        <w:rPr>
          <w:rFonts w:hint="eastAsia" w:ascii="宋体" w:hAnsi="宋体" w:eastAsia="宋体" w:cs="宋体"/>
          <w:snapToGrid w:val="0"/>
          <w:color w:val="auto"/>
          <w:kern w:val="0"/>
        </w:rPr>
        <w:t>．如果承包人</w:t>
      </w:r>
      <w:r>
        <w:rPr>
          <w:rFonts w:hint="eastAsia" w:hAnsi="宋体" w:cs="宋体"/>
          <w:snapToGrid w:val="0"/>
          <w:color w:val="auto"/>
          <w:kern w:val="0"/>
          <w:lang w:eastAsia="zh-CN"/>
        </w:rPr>
        <w:t>磋商报价</w:t>
      </w:r>
      <w:r>
        <w:rPr>
          <w:rFonts w:hint="eastAsia" w:ascii="宋体" w:hAnsi="宋体" w:eastAsia="宋体" w:cs="宋体"/>
          <w:snapToGrid w:val="0"/>
          <w:color w:val="auto"/>
          <w:kern w:val="0"/>
        </w:rPr>
        <w:t>中材料、工程设备单价（以下简称“</w:t>
      </w:r>
      <w:r>
        <w:rPr>
          <w:rFonts w:hint="eastAsia" w:hAnsi="宋体" w:cs="宋体"/>
          <w:snapToGrid w:val="0"/>
          <w:color w:val="auto"/>
          <w:kern w:val="0"/>
          <w:lang w:eastAsia="zh-CN"/>
        </w:rPr>
        <w:t>成交</w:t>
      </w:r>
      <w:r>
        <w:rPr>
          <w:rFonts w:hint="eastAsia" w:ascii="宋体" w:hAnsi="宋体" w:eastAsia="宋体" w:cs="宋体"/>
          <w:snapToGrid w:val="0"/>
          <w:color w:val="auto"/>
          <w:kern w:val="0"/>
        </w:rPr>
        <w:t>单价”）低于基准日当月项目所在地工程造价管理机构发布的对应材料、工程设备单价（以下简称“基准单价”），该材料、工程设备的结算单价调整公式为：</w:t>
      </w:r>
    </w:p>
    <w:p w14:paraId="57123FFA">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涨价时，</w:t>
      </w:r>
      <w:r>
        <w:rPr>
          <w:rFonts w:hint="eastAsia" w:ascii="宋体" w:hAnsi="宋体" w:eastAsia="宋体" w:cs="宋体"/>
          <w:snapToGrid w:val="0"/>
          <w:color w:val="auto"/>
          <w:kern w:val="0"/>
          <w:position w:val="-30"/>
        </w:rPr>
        <w:object>
          <v:shape id="_x0000_i1025" o:spt="75" type="#_x0000_t75" style="height:33.95pt;width:200.95pt;" o:ole="t" filled="f" stroked="f" coordsize="21600,21600">
            <v:path/>
            <v:fill on="f" focussize="0,0"/>
            <v:stroke on="f"/>
            <v:imagedata r:id="rId7" o:title=""/>
            <o:lock v:ext="edit" grouping="f" rotation="f" text="f" aspectratio="t"/>
            <w10:wrap type="none"/>
            <w10:anchorlock/>
          </v:shape>
          <o:OLEObject Type="Embed" ProgID="Equation.KSEE3" ShapeID="_x0000_i1025" DrawAspect="Content" ObjectID="_1468075725" r:id="rId6">
            <o:LockedField>false</o:LockedField>
          </o:OLEObject>
        </w:object>
      </w:r>
    </w:p>
    <w:p w14:paraId="37672CC8">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跌价时，</w:t>
      </w:r>
      <w:r>
        <w:rPr>
          <w:rFonts w:hint="eastAsia" w:ascii="宋体" w:hAnsi="宋体" w:eastAsia="宋体" w:cs="宋体"/>
          <w:snapToGrid w:val="0"/>
          <w:color w:val="auto"/>
          <w:kern w:val="0"/>
          <w:position w:val="-30"/>
        </w:rPr>
        <w:object>
          <v:shape id="_x0000_i1026" o:spt="75" type="#_x0000_t75" style="height:33.95pt;width:198.95pt;" o:ole="t" filled="f" stroked="f" coordsize="21600,21600">
            <v:path/>
            <v:fill on="f" focussize="0,0"/>
            <v:stroke on="f"/>
            <v:imagedata r:id="rId9" o:title=""/>
            <o:lock v:ext="edit" grouping="f" rotation="f" text="f" aspectratio="t"/>
            <w10:wrap type="none"/>
            <w10:anchorlock/>
          </v:shape>
          <o:OLEObject Type="Embed" ProgID="Equation.KSEE3" ShapeID="_x0000_i1026" DrawAspect="Content" ObjectID="_1468075726" r:id="rId8">
            <o:LockedField>false</o:LockedField>
          </o:OLEObject>
        </w:object>
      </w:r>
    </w:p>
    <w:p w14:paraId="11D84E92">
      <w:pPr>
        <w:wordWrap w:val="0"/>
        <w:adjustRightInd w:val="0"/>
        <w:snapToGrid w:val="0"/>
        <w:spacing w:line="360" w:lineRule="auto"/>
        <w:ind w:firstLine="482" w:firstLineChars="200"/>
        <w:rPr>
          <w:rFonts w:hint="eastAsia" w:ascii="宋体" w:hAnsi="宋体" w:eastAsia="宋体" w:cs="宋体"/>
          <w:snapToGrid w:val="0"/>
          <w:color w:val="auto"/>
          <w:kern w:val="0"/>
        </w:rPr>
      </w:pPr>
      <w:r>
        <w:rPr>
          <w:rFonts w:hint="eastAsia" w:ascii="宋体" w:hAnsi="宋体" w:eastAsia="宋体" w:cs="宋体"/>
          <w:b/>
          <w:bCs/>
          <w:snapToGrid w:val="0"/>
          <w:color w:val="auto"/>
          <w:kern w:val="0"/>
        </w:rPr>
        <w:t>b</w:t>
      </w:r>
      <w:r>
        <w:rPr>
          <w:rFonts w:hint="eastAsia" w:ascii="宋体" w:hAnsi="宋体" w:eastAsia="宋体" w:cs="宋体"/>
          <w:snapToGrid w:val="0"/>
          <w:color w:val="auto"/>
          <w:kern w:val="0"/>
        </w:rPr>
        <w:t>．如果</w:t>
      </w:r>
      <w:r>
        <w:rPr>
          <w:rFonts w:hint="eastAsia" w:hAnsi="宋体" w:cs="宋体"/>
          <w:snapToGrid w:val="0"/>
          <w:color w:val="auto"/>
          <w:kern w:val="0"/>
          <w:lang w:eastAsia="zh-CN"/>
        </w:rPr>
        <w:t>成交</w:t>
      </w:r>
      <w:r>
        <w:rPr>
          <w:rFonts w:hint="eastAsia" w:ascii="宋体" w:hAnsi="宋体" w:eastAsia="宋体" w:cs="宋体"/>
          <w:snapToGrid w:val="0"/>
          <w:color w:val="auto"/>
          <w:kern w:val="0"/>
        </w:rPr>
        <w:t>单价高于基准单价，该材料、工程设备的结算单价调整公式为：</w:t>
      </w:r>
    </w:p>
    <w:p w14:paraId="270EC8A9">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涨价时，</w:t>
      </w:r>
      <w:r>
        <w:rPr>
          <w:rFonts w:hint="eastAsia" w:ascii="宋体" w:hAnsi="宋体" w:eastAsia="宋体" w:cs="宋体"/>
          <w:snapToGrid w:val="0"/>
          <w:color w:val="auto"/>
          <w:kern w:val="0"/>
          <w:position w:val="-30"/>
        </w:rPr>
        <w:object>
          <v:shape id="_x0000_i1027" o:spt="75" type="#_x0000_t75" style="height:33.95pt;width:198.95pt;" o:ole="t" filled="f" stroked="f" coordsize="21600,21600">
            <v:path/>
            <v:fill on="f" focussize="0,0"/>
            <v:stroke on="f"/>
            <v:imagedata r:id="rId11" o:title=""/>
            <o:lock v:ext="edit" grouping="f" rotation="f" text="f" aspectratio="t"/>
            <w10:wrap type="none"/>
            <w10:anchorlock/>
          </v:shape>
          <o:OLEObject Type="Embed" ProgID="Equation.KSEE3" ShapeID="_x0000_i1027" DrawAspect="Content" ObjectID="_1468075727" r:id="rId10">
            <o:LockedField>false</o:LockedField>
          </o:OLEObject>
        </w:object>
      </w:r>
    </w:p>
    <w:p w14:paraId="010F6940">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跌价时，</w:t>
      </w:r>
      <w:r>
        <w:rPr>
          <w:rFonts w:hint="eastAsia" w:ascii="宋体" w:hAnsi="宋体" w:eastAsia="宋体" w:cs="宋体"/>
          <w:snapToGrid w:val="0"/>
          <w:color w:val="auto"/>
          <w:kern w:val="0"/>
          <w:position w:val="-30"/>
        </w:rPr>
        <w:object>
          <v:shape id="_x0000_i1028" o:spt="75" type="#_x0000_t75" style="height:33.95pt;width:200.95pt;" o:ole="t" filled="f" stroked="f" coordsize="21600,21600">
            <v:path/>
            <v:fill on="f" focussize="0,0"/>
            <v:stroke on="f"/>
            <v:imagedata r:id="rId13" o:title=""/>
            <o:lock v:ext="edit" grouping="f" rotation="f" text="f" aspectratio="t"/>
            <w10:wrap type="none"/>
            <w10:anchorlock/>
          </v:shape>
          <o:OLEObject Type="Embed" ProgID="Equation.KSEE3" ShapeID="_x0000_i1028" DrawAspect="Content" ObjectID="_1468075728" r:id="rId12">
            <o:LockedField>false</o:LockedField>
          </o:OLEObject>
        </w:object>
      </w:r>
    </w:p>
    <w:p w14:paraId="4B5BF1A5">
      <w:pPr>
        <w:wordWrap w:val="0"/>
        <w:adjustRightInd w:val="0"/>
        <w:snapToGrid w:val="0"/>
        <w:spacing w:line="360" w:lineRule="auto"/>
        <w:ind w:firstLine="482" w:firstLineChars="200"/>
        <w:rPr>
          <w:rFonts w:hint="eastAsia" w:ascii="宋体" w:hAnsi="宋体" w:eastAsia="宋体" w:cs="宋体"/>
          <w:snapToGrid w:val="0"/>
          <w:color w:val="auto"/>
          <w:kern w:val="0"/>
        </w:rPr>
      </w:pPr>
      <w:r>
        <w:rPr>
          <w:rFonts w:hint="eastAsia" w:ascii="宋体" w:hAnsi="宋体" w:eastAsia="宋体" w:cs="宋体"/>
          <w:b/>
          <w:bCs/>
          <w:snapToGrid w:val="0"/>
          <w:color w:val="auto"/>
          <w:kern w:val="0"/>
        </w:rPr>
        <w:t>c</w:t>
      </w:r>
      <w:r>
        <w:rPr>
          <w:rFonts w:hint="eastAsia" w:ascii="宋体" w:hAnsi="宋体" w:eastAsia="宋体" w:cs="宋体"/>
          <w:snapToGrid w:val="0"/>
          <w:color w:val="auto"/>
          <w:kern w:val="0"/>
        </w:rPr>
        <w:t>．如果</w:t>
      </w:r>
      <w:r>
        <w:rPr>
          <w:rFonts w:hint="eastAsia" w:hAnsi="宋体" w:cs="宋体"/>
          <w:snapToGrid w:val="0"/>
          <w:color w:val="auto"/>
          <w:kern w:val="0"/>
          <w:lang w:eastAsia="zh-CN"/>
        </w:rPr>
        <w:t>成交</w:t>
      </w:r>
      <w:r>
        <w:rPr>
          <w:rFonts w:hint="eastAsia" w:ascii="宋体" w:hAnsi="宋体" w:eastAsia="宋体" w:cs="宋体"/>
          <w:snapToGrid w:val="0"/>
          <w:color w:val="auto"/>
          <w:kern w:val="0"/>
        </w:rPr>
        <w:t>单价等于基准单价，该材料、工程设备的结算单价调整公式为：</w:t>
      </w:r>
    </w:p>
    <w:p w14:paraId="63DCC3CB">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涨价时，</w:t>
      </w:r>
      <w:r>
        <w:rPr>
          <w:rFonts w:hint="eastAsia" w:ascii="宋体" w:hAnsi="宋体" w:eastAsia="宋体" w:cs="宋体"/>
          <w:snapToGrid w:val="0"/>
          <w:color w:val="auto"/>
          <w:kern w:val="0"/>
          <w:position w:val="-30"/>
        </w:rPr>
        <w:object>
          <v:shape id="_x0000_i1029" o:spt="75" type="#_x0000_t75" style="height:33.95pt;width:200.95pt;" o:ole="t" filled="f" stroked="f" coordsize="21600,21600">
            <v:path/>
            <v:fill on="f" focussize="0,0"/>
            <v:stroke on="f"/>
            <v:imagedata r:id="rId15" o:title=""/>
            <o:lock v:ext="edit" grouping="f" rotation="f" text="f" aspectratio="t"/>
            <w10:wrap type="none"/>
            <w10:anchorlock/>
          </v:shape>
          <o:OLEObject Type="Embed" ProgID="Equation.KSEE3" ShapeID="_x0000_i1029" DrawAspect="Content" ObjectID="_1468075729" r:id="rId14">
            <o:LockedField>false</o:LockedField>
          </o:OLEObject>
        </w:object>
      </w:r>
    </w:p>
    <w:p w14:paraId="465A3307">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跌价时，</w:t>
      </w:r>
      <w:r>
        <w:rPr>
          <w:rFonts w:hint="eastAsia" w:ascii="宋体" w:hAnsi="宋体" w:eastAsia="宋体" w:cs="宋体"/>
          <w:snapToGrid w:val="0"/>
          <w:color w:val="auto"/>
          <w:kern w:val="0"/>
          <w:position w:val="-30"/>
        </w:rPr>
        <w:object>
          <v:shape id="_x0000_i1030" o:spt="75" type="#_x0000_t75" style="height:33.95pt;width:200.95pt;" o:ole="t" filled="f" o:preferrelative="t" stroked="f" coordsize="21600,21600">
            <v:path/>
            <v:fill on="f" focussize="0,0"/>
            <v:stroke on="f"/>
            <v:imagedata r:id="rId17" o:title=""/>
            <o:lock v:ext="edit" grouping="f" rotation="f" text="f" aspectratio="t"/>
            <w10:wrap type="none"/>
            <w10:anchorlock/>
          </v:shape>
          <o:OLEObject Type="Embed" ProgID="Equation.KSEE3" ShapeID="_x0000_i1030" DrawAspect="Content" ObjectID="_1468075730" r:id="rId16">
            <o:LockedField>false</o:LockedField>
          </o:OLEObject>
        </w:object>
      </w:r>
    </w:p>
    <w:p w14:paraId="16AAF902">
      <w:pPr>
        <w:wordWrap w:val="0"/>
        <w:adjustRightInd w:val="0"/>
        <w:snapToGrid w:val="0"/>
        <w:spacing w:line="360" w:lineRule="auto"/>
        <w:ind w:firstLine="480" w:firstLineChars="200"/>
        <w:rPr>
          <w:rFonts w:hint="eastAsia" w:ascii="宋体" w:hAnsi="宋体" w:eastAsia="宋体" w:cs="宋体"/>
          <w:snapToGrid w:val="0"/>
          <w:color w:val="auto"/>
          <w:kern w:val="0"/>
        </w:rPr>
      </w:pPr>
    </w:p>
    <w:p w14:paraId="1E1B4321">
      <w:pPr>
        <w:wordWrap w:val="0"/>
        <w:adjustRightInd w:val="0"/>
        <w:snapToGrid w:val="0"/>
        <w:spacing w:line="360" w:lineRule="auto"/>
        <w:ind w:firstLine="480" w:firstLineChars="200"/>
        <w:rPr>
          <w:rFonts w:hint="eastAsia" w:ascii="宋体" w:hAnsi="宋体" w:eastAsia="宋体" w:cs="宋体"/>
          <w:bCs/>
          <w:snapToGrid w:val="0"/>
          <w:color w:val="auto"/>
          <w:kern w:val="0"/>
          <w:szCs w:val="28"/>
        </w:rPr>
      </w:pPr>
      <w:r>
        <w:rPr>
          <w:rFonts w:hint="eastAsia" w:ascii="宋体" w:hAnsi="宋体" w:eastAsia="宋体" w:cs="宋体"/>
          <w:snapToGrid w:val="0"/>
          <w:color w:val="auto"/>
          <w:kern w:val="0"/>
        </w:rPr>
        <w:t>以上公式中，</w:t>
      </w:r>
      <w:r>
        <w:rPr>
          <w:rFonts w:hint="eastAsia" w:ascii="宋体" w:hAnsi="宋体" w:eastAsia="宋体" w:cs="宋体"/>
          <w:bCs/>
          <w:snapToGrid w:val="0"/>
          <w:color w:val="auto"/>
          <w:kern w:val="0"/>
          <w:szCs w:val="28"/>
        </w:rPr>
        <w:t>F</w:t>
      </w:r>
      <w:r>
        <w:rPr>
          <w:rFonts w:hint="eastAsia" w:ascii="宋体" w:hAnsi="宋体" w:eastAsia="宋体" w:cs="宋体"/>
          <w:bCs/>
          <w:snapToGrid w:val="0"/>
          <w:color w:val="auto"/>
          <w:kern w:val="0"/>
          <w:szCs w:val="28"/>
          <w:vertAlign w:val="subscript"/>
        </w:rPr>
        <w:t>1</w:t>
      </w:r>
      <w:r>
        <w:rPr>
          <w:rFonts w:hint="eastAsia" w:ascii="宋体" w:hAnsi="宋体" w:eastAsia="宋体" w:cs="宋体"/>
          <w:bCs/>
          <w:snapToGrid w:val="0"/>
          <w:color w:val="auto"/>
          <w:kern w:val="0"/>
          <w:szCs w:val="28"/>
        </w:rPr>
        <w:t>为</w:t>
      </w:r>
      <w:r>
        <w:rPr>
          <w:rFonts w:hint="eastAsia" w:hAnsi="宋体" w:cs="宋体"/>
          <w:bCs/>
          <w:snapToGrid w:val="0"/>
          <w:color w:val="auto"/>
          <w:kern w:val="0"/>
          <w:szCs w:val="28"/>
          <w:lang w:eastAsia="zh-CN"/>
        </w:rPr>
        <w:t>成交</w:t>
      </w:r>
      <w:r>
        <w:rPr>
          <w:rFonts w:hint="eastAsia" w:ascii="宋体" w:hAnsi="宋体" w:eastAsia="宋体" w:cs="宋体"/>
          <w:bCs/>
          <w:snapToGrid w:val="0"/>
          <w:color w:val="auto"/>
          <w:kern w:val="0"/>
          <w:szCs w:val="28"/>
        </w:rPr>
        <w:t>单价；F</w:t>
      </w:r>
      <w:r>
        <w:rPr>
          <w:rFonts w:hint="eastAsia" w:ascii="宋体" w:hAnsi="宋体" w:eastAsia="宋体" w:cs="宋体"/>
          <w:bCs/>
          <w:snapToGrid w:val="0"/>
          <w:color w:val="auto"/>
          <w:kern w:val="0"/>
          <w:szCs w:val="28"/>
          <w:vertAlign w:val="subscript"/>
        </w:rPr>
        <w:t>0</w:t>
      </w:r>
      <w:r>
        <w:rPr>
          <w:rFonts w:hint="eastAsia" w:ascii="宋体" w:hAnsi="宋体" w:eastAsia="宋体" w:cs="宋体"/>
          <w:bCs/>
          <w:snapToGrid w:val="0"/>
          <w:color w:val="auto"/>
          <w:kern w:val="0"/>
          <w:szCs w:val="28"/>
        </w:rPr>
        <w:t>为基准单价；F</w:t>
      </w:r>
      <w:r>
        <w:rPr>
          <w:rFonts w:hint="eastAsia" w:ascii="宋体" w:hAnsi="宋体" w:eastAsia="宋体" w:cs="宋体"/>
          <w:bCs/>
          <w:snapToGrid w:val="0"/>
          <w:color w:val="auto"/>
          <w:kern w:val="0"/>
          <w:szCs w:val="28"/>
          <w:vertAlign w:val="subscript"/>
        </w:rPr>
        <w:t>2</w:t>
      </w:r>
      <w:r>
        <w:rPr>
          <w:rFonts w:hint="eastAsia" w:ascii="宋体" w:hAnsi="宋体" w:eastAsia="宋体" w:cs="宋体"/>
          <w:bCs/>
          <w:snapToGrid w:val="0"/>
          <w:color w:val="auto"/>
          <w:kern w:val="0"/>
          <w:szCs w:val="28"/>
        </w:rPr>
        <w:t>为施工当月项目所在地工程造价管理机构发布的材料、工程设备单价；A为合同约定的材料、工程设备单价涨跌风险幅度值。</w:t>
      </w:r>
    </w:p>
    <w:p w14:paraId="165D8D57">
      <w:pPr>
        <w:wordWrap w:val="0"/>
        <w:adjustRightInd w:val="0"/>
        <w:snapToGrid w:val="0"/>
        <w:spacing w:line="360" w:lineRule="auto"/>
        <w:ind w:firstLine="482" w:firstLineChars="200"/>
        <w:rPr>
          <w:rFonts w:hint="eastAsia" w:ascii="宋体" w:hAnsi="宋体" w:eastAsia="宋体" w:cs="宋体"/>
          <w:bCs/>
          <w:snapToGrid w:val="0"/>
          <w:color w:val="auto"/>
          <w:kern w:val="0"/>
          <w:szCs w:val="28"/>
        </w:rPr>
      </w:pPr>
      <w:r>
        <w:rPr>
          <w:rFonts w:hint="eastAsia" w:ascii="宋体" w:hAnsi="宋体" w:eastAsia="宋体" w:cs="宋体"/>
          <w:b/>
          <w:bCs/>
          <w:snapToGrid w:val="0"/>
          <w:color w:val="auto"/>
          <w:kern w:val="0"/>
        </w:rPr>
        <w:t>2.3.6.3</w:t>
      </w:r>
      <w:r>
        <w:rPr>
          <w:rFonts w:hint="eastAsia" w:ascii="宋体" w:hAnsi="宋体" w:eastAsia="宋体" w:cs="宋体"/>
          <w:snapToGrid w:val="0"/>
          <w:color w:val="auto"/>
          <w:kern w:val="0"/>
        </w:rPr>
        <w:t xml:space="preserve"> 合同履行期间，当《发包人提供材料和工程设备一览表》（详见招标工程量清单）中的材料、工程设备单价发生变化时，由发包人按照实际变化调整，并列入合同价款。</w:t>
      </w:r>
    </w:p>
    <w:p w14:paraId="049172A6">
      <w:pPr>
        <w:wordWrap w:val="0"/>
        <w:adjustRightInd w:val="0"/>
        <w:snapToGrid w:val="0"/>
        <w:spacing w:line="360" w:lineRule="auto"/>
        <w:ind w:firstLine="482" w:firstLineChars="200"/>
        <w:rPr>
          <w:rFonts w:hint="eastAsia" w:ascii="宋体" w:hAnsi="宋体" w:eastAsia="宋体" w:cs="宋体"/>
          <w:snapToGrid w:val="0"/>
          <w:color w:val="auto"/>
          <w:kern w:val="0"/>
        </w:rPr>
      </w:pPr>
      <w:r>
        <w:rPr>
          <w:rFonts w:hint="eastAsia" w:ascii="宋体" w:hAnsi="宋体" w:eastAsia="宋体" w:cs="宋体"/>
          <w:b/>
          <w:bCs/>
          <w:snapToGrid w:val="0"/>
          <w:color w:val="auto"/>
          <w:kern w:val="0"/>
        </w:rPr>
        <w:t>2.3.6.4</w:t>
      </w:r>
      <w:r>
        <w:rPr>
          <w:rFonts w:hint="eastAsia" w:ascii="宋体" w:hAnsi="宋体" w:eastAsia="宋体" w:cs="宋体"/>
          <w:snapToGrid w:val="0"/>
          <w:color w:val="auto"/>
          <w:kern w:val="0"/>
        </w:rPr>
        <w:t xml:space="preserve"> 本项目约定，施工机具台班单价涨跌风险幅度值B为</w:t>
      </w:r>
      <w:r>
        <w:rPr>
          <w:rFonts w:hint="eastAsia" w:ascii="宋体" w:hAnsi="宋体" w:eastAsia="宋体" w:cs="宋体"/>
          <w:snapToGrid w:val="0"/>
          <w:color w:val="auto"/>
          <w:kern w:val="0"/>
          <w:u w:val="single"/>
        </w:rPr>
        <w:t xml:space="preserve"> 10% </w:t>
      </w:r>
      <w:r>
        <w:rPr>
          <w:rFonts w:hint="eastAsia" w:ascii="宋体" w:hAnsi="宋体" w:eastAsia="宋体" w:cs="宋体"/>
          <w:snapToGrid w:val="0"/>
          <w:color w:val="auto"/>
          <w:kern w:val="0"/>
        </w:rPr>
        <w:t>。合同履行期间，当施工机具台班单价涨跌幅度等于或低于B值时，该施工机具台班单价不予调整；超过B值时，其超过部分可以调整。相关费用按有关规定进行相应调整。</w:t>
      </w:r>
    </w:p>
    <w:p w14:paraId="0BF1E6A0">
      <w:pPr>
        <w:wordWrap w:val="0"/>
        <w:adjustRightInd w:val="0"/>
        <w:snapToGrid w:val="0"/>
        <w:spacing w:line="360" w:lineRule="auto"/>
        <w:ind w:firstLine="482" w:firstLineChars="200"/>
        <w:rPr>
          <w:rFonts w:hint="eastAsia" w:ascii="宋体" w:hAnsi="宋体" w:eastAsia="宋体" w:cs="宋体"/>
          <w:snapToGrid w:val="0"/>
          <w:color w:val="auto"/>
          <w:kern w:val="0"/>
        </w:rPr>
      </w:pPr>
      <w:r>
        <w:rPr>
          <w:rFonts w:hint="eastAsia" w:ascii="宋体" w:hAnsi="宋体" w:eastAsia="宋体" w:cs="宋体"/>
          <w:b/>
          <w:bCs/>
          <w:snapToGrid w:val="0"/>
          <w:color w:val="auto"/>
          <w:kern w:val="0"/>
        </w:rPr>
        <w:t>a</w:t>
      </w:r>
      <w:r>
        <w:rPr>
          <w:rFonts w:hint="eastAsia" w:ascii="宋体" w:hAnsi="宋体" w:eastAsia="宋体" w:cs="宋体"/>
          <w:snapToGrid w:val="0"/>
          <w:color w:val="auto"/>
          <w:kern w:val="0"/>
        </w:rPr>
        <w:t>．如果承包人</w:t>
      </w:r>
      <w:r>
        <w:rPr>
          <w:rFonts w:hint="eastAsia" w:hAnsi="宋体" w:cs="宋体"/>
          <w:snapToGrid w:val="0"/>
          <w:color w:val="auto"/>
          <w:kern w:val="0"/>
          <w:lang w:eastAsia="zh-CN"/>
        </w:rPr>
        <w:t>磋商报价</w:t>
      </w:r>
      <w:r>
        <w:rPr>
          <w:rFonts w:hint="eastAsia" w:ascii="宋体" w:hAnsi="宋体" w:eastAsia="宋体" w:cs="宋体"/>
          <w:snapToGrid w:val="0"/>
          <w:color w:val="auto"/>
          <w:kern w:val="0"/>
        </w:rPr>
        <w:t>中施工机具台班单价（以下简称“</w:t>
      </w:r>
      <w:r>
        <w:rPr>
          <w:rFonts w:hint="eastAsia" w:hAnsi="宋体" w:cs="宋体"/>
          <w:snapToGrid w:val="0"/>
          <w:color w:val="auto"/>
          <w:kern w:val="0"/>
          <w:lang w:eastAsia="zh-CN"/>
        </w:rPr>
        <w:t>成交</w:t>
      </w:r>
      <w:r>
        <w:rPr>
          <w:rFonts w:hint="eastAsia" w:ascii="宋体" w:hAnsi="宋体" w:eastAsia="宋体" w:cs="宋体"/>
          <w:snapToGrid w:val="0"/>
          <w:color w:val="auto"/>
          <w:kern w:val="0"/>
        </w:rPr>
        <w:t>单价”）低于基准日当月项目所在地工程造价管理机构发布的对应施工机具台班单价（以下简称“基准单价”），该施工机具台班的结算单价调整公式为：</w:t>
      </w:r>
    </w:p>
    <w:p w14:paraId="53427BE5">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涨价时，</w:t>
      </w:r>
      <w:r>
        <w:rPr>
          <w:rFonts w:hint="eastAsia" w:ascii="宋体" w:hAnsi="宋体" w:eastAsia="宋体" w:cs="宋体"/>
          <w:snapToGrid w:val="0"/>
          <w:color w:val="auto"/>
          <w:kern w:val="0"/>
          <w:position w:val="-30"/>
        </w:rPr>
        <w:object>
          <v:shape id="_x0000_i1031" o:spt="75" type="#_x0000_t75" style="height:33.95pt;width:200.95pt;" o:ole="t" filled="f" o:preferrelative="t" stroked="f" coordsize="21600,21600">
            <v:path/>
            <v:fill on="f" focussize="0,0"/>
            <v:stroke on="f"/>
            <v:imagedata r:id="rId19" o:title=""/>
            <o:lock v:ext="edit" grouping="f" rotation="f" text="f" aspectratio="t"/>
            <w10:wrap type="none"/>
            <w10:anchorlock/>
          </v:shape>
          <o:OLEObject Type="Embed" ProgID="Equation.KSEE3" ShapeID="_x0000_i1031" DrawAspect="Content" ObjectID="_1468075731" r:id="rId18">
            <o:LockedField>false</o:LockedField>
          </o:OLEObject>
        </w:object>
      </w:r>
    </w:p>
    <w:p w14:paraId="726FEE8D">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跌价时，</w:t>
      </w:r>
      <w:r>
        <w:rPr>
          <w:rFonts w:hint="eastAsia" w:ascii="宋体" w:hAnsi="宋体" w:eastAsia="宋体" w:cs="宋体"/>
          <w:snapToGrid w:val="0"/>
          <w:color w:val="auto"/>
          <w:kern w:val="0"/>
          <w:position w:val="-30"/>
        </w:rPr>
        <w:object>
          <v:shape id="_x0000_i1032" o:spt="75" type="#_x0000_t75" style="height:33.95pt;width:198pt;" o:ole="t" filled="f" o:preferrelative="t" stroked="f" coordsize="21600,21600">
            <v:path/>
            <v:fill on="f" focussize="0,0"/>
            <v:stroke on="f"/>
            <v:imagedata r:id="rId21" o:title=""/>
            <o:lock v:ext="edit" grouping="f" rotation="f" text="f" aspectratio="t"/>
            <w10:wrap type="none"/>
            <w10:anchorlock/>
          </v:shape>
          <o:OLEObject Type="Embed" ProgID="Equation.KSEE3" ShapeID="_x0000_i1032" DrawAspect="Content" ObjectID="_1468075732" r:id="rId20">
            <o:LockedField>false</o:LockedField>
          </o:OLEObject>
        </w:object>
      </w:r>
    </w:p>
    <w:p w14:paraId="7C9841CB">
      <w:pPr>
        <w:wordWrap w:val="0"/>
        <w:adjustRightInd w:val="0"/>
        <w:snapToGrid w:val="0"/>
        <w:spacing w:line="360" w:lineRule="auto"/>
        <w:ind w:firstLine="482" w:firstLineChars="200"/>
        <w:rPr>
          <w:rFonts w:hint="eastAsia" w:ascii="宋体" w:hAnsi="宋体" w:eastAsia="宋体" w:cs="宋体"/>
          <w:b/>
          <w:bCs/>
          <w:snapToGrid w:val="0"/>
          <w:color w:val="auto"/>
          <w:kern w:val="0"/>
        </w:rPr>
      </w:pPr>
    </w:p>
    <w:p w14:paraId="19BCBF31">
      <w:pPr>
        <w:wordWrap w:val="0"/>
        <w:adjustRightInd w:val="0"/>
        <w:snapToGrid w:val="0"/>
        <w:spacing w:line="360" w:lineRule="auto"/>
        <w:ind w:firstLine="482" w:firstLineChars="200"/>
        <w:rPr>
          <w:rFonts w:hint="eastAsia" w:ascii="宋体" w:hAnsi="宋体" w:eastAsia="宋体" w:cs="宋体"/>
          <w:strike/>
          <w:color w:val="auto"/>
          <w:sz w:val="20"/>
        </w:rPr>
      </w:pPr>
      <w:r>
        <w:rPr>
          <w:rFonts w:hint="eastAsia" w:ascii="宋体" w:hAnsi="宋体" w:eastAsia="宋体" w:cs="宋体"/>
          <w:b/>
          <w:bCs/>
          <w:snapToGrid w:val="0"/>
          <w:color w:val="auto"/>
          <w:kern w:val="0"/>
        </w:rPr>
        <w:t>b</w:t>
      </w:r>
      <w:r>
        <w:rPr>
          <w:rFonts w:hint="eastAsia" w:ascii="宋体" w:hAnsi="宋体" w:eastAsia="宋体" w:cs="宋体"/>
          <w:snapToGrid w:val="0"/>
          <w:color w:val="auto"/>
          <w:kern w:val="0"/>
        </w:rPr>
        <w:t>．如果</w:t>
      </w:r>
      <w:r>
        <w:rPr>
          <w:rFonts w:hint="eastAsia" w:hAnsi="宋体" w:cs="宋体"/>
          <w:snapToGrid w:val="0"/>
          <w:color w:val="auto"/>
          <w:kern w:val="0"/>
          <w:lang w:eastAsia="zh-CN"/>
        </w:rPr>
        <w:t>成交</w:t>
      </w:r>
      <w:r>
        <w:rPr>
          <w:rFonts w:hint="eastAsia" w:ascii="宋体" w:hAnsi="宋体" w:eastAsia="宋体" w:cs="宋体"/>
          <w:snapToGrid w:val="0"/>
          <w:color w:val="auto"/>
          <w:kern w:val="0"/>
        </w:rPr>
        <w:t>单价高于基准单价，该施工机具台班的结算单价调整公式为：</w:t>
      </w:r>
    </w:p>
    <w:p w14:paraId="12C7DF0F">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涨价时，</w:t>
      </w:r>
      <w:r>
        <w:rPr>
          <w:rFonts w:hint="eastAsia" w:ascii="宋体" w:hAnsi="宋体" w:eastAsia="宋体" w:cs="宋体"/>
          <w:snapToGrid w:val="0"/>
          <w:color w:val="auto"/>
          <w:kern w:val="0"/>
          <w:position w:val="-30"/>
        </w:rPr>
        <w:object>
          <v:shape id="_x0000_i1033" o:spt="75" type="#_x0000_t75" style="height:33.95pt;width:198pt;" o:ole="t" filled="f" o:preferrelative="t" stroked="f" coordsize="21600,21600">
            <v:path/>
            <v:fill on="f" focussize="0,0"/>
            <v:stroke on="f"/>
            <v:imagedata r:id="rId23" o:title=""/>
            <o:lock v:ext="edit" grouping="f" rotation="f" text="f" aspectratio="t"/>
            <w10:wrap type="none"/>
            <w10:anchorlock/>
          </v:shape>
          <o:OLEObject Type="Embed" ProgID="Equation.KSEE3" ShapeID="_x0000_i1033" DrawAspect="Content" ObjectID="_1468075733" r:id="rId22">
            <o:LockedField>false</o:LockedField>
          </o:OLEObject>
        </w:object>
      </w:r>
    </w:p>
    <w:p w14:paraId="0936CF15">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跌价时，</w:t>
      </w:r>
      <w:r>
        <w:rPr>
          <w:rFonts w:hint="eastAsia" w:ascii="宋体" w:hAnsi="宋体" w:eastAsia="宋体" w:cs="宋体"/>
          <w:snapToGrid w:val="0"/>
          <w:color w:val="auto"/>
          <w:kern w:val="0"/>
          <w:position w:val="-30"/>
        </w:rPr>
        <w:object>
          <v:shape id="_x0000_i1034" o:spt="75" type="#_x0000_t75" style="height:33.95pt;width:200.95pt;" o:ole="t" filled="f" o:preferrelative="t" stroked="f" coordsize="21600,21600">
            <v:path/>
            <v:fill on="f" focussize="0,0"/>
            <v:stroke on="f"/>
            <v:imagedata r:id="rId25" o:title=""/>
            <o:lock v:ext="edit" grouping="f" rotation="f" text="f" aspectratio="t"/>
            <w10:wrap type="none"/>
            <w10:anchorlock/>
          </v:shape>
          <o:OLEObject Type="Embed" ProgID="Equation.KSEE3" ShapeID="_x0000_i1034" DrawAspect="Content" ObjectID="_1468075734" r:id="rId24">
            <o:LockedField>false</o:LockedField>
          </o:OLEObject>
        </w:object>
      </w:r>
    </w:p>
    <w:p w14:paraId="1DD2C819">
      <w:pPr>
        <w:spacing w:line="360" w:lineRule="auto"/>
        <w:rPr>
          <w:rFonts w:hint="eastAsia" w:ascii="宋体" w:hAnsi="宋体" w:eastAsia="宋体" w:cs="宋体"/>
          <w:color w:val="auto"/>
          <w:sz w:val="20"/>
        </w:rPr>
      </w:pPr>
    </w:p>
    <w:p w14:paraId="1454C55F">
      <w:pPr>
        <w:wordWrap w:val="0"/>
        <w:adjustRightInd w:val="0"/>
        <w:snapToGrid w:val="0"/>
        <w:spacing w:line="360" w:lineRule="auto"/>
        <w:ind w:firstLine="482" w:firstLineChars="200"/>
        <w:rPr>
          <w:rFonts w:hint="eastAsia" w:ascii="宋体" w:hAnsi="宋体" w:eastAsia="宋体" w:cs="宋体"/>
          <w:snapToGrid w:val="0"/>
          <w:color w:val="auto"/>
          <w:kern w:val="0"/>
        </w:rPr>
      </w:pPr>
      <w:r>
        <w:rPr>
          <w:rFonts w:hint="eastAsia" w:ascii="宋体" w:hAnsi="宋体" w:eastAsia="宋体" w:cs="宋体"/>
          <w:b/>
          <w:bCs/>
          <w:snapToGrid w:val="0"/>
          <w:color w:val="auto"/>
          <w:kern w:val="0"/>
        </w:rPr>
        <w:t>c</w:t>
      </w:r>
      <w:r>
        <w:rPr>
          <w:rFonts w:hint="eastAsia" w:ascii="宋体" w:hAnsi="宋体" w:eastAsia="宋体" w:cs="宋体"/>
          <w:snapToGrid w:val="0"/>
          <w:color w:val="auto"/>
          <w:kern w:val="0"/>
        </w:rPr>
        <w:t>．如果</w:t>
      </w:r>
      <w:r>
        <w:rPr>
          <w:rFonts w:hint="eastAsia" w:hAnsi="宋体" w:cs="宋体"/>
          <w:snapToGrid w:val="0"/>
          <w:color w:val="auto"/>
          <w:kern w:val="0"/>
          <w:lang w:eastAsia="zh-CN"/>
        </w:rPr>
        <w:t>成交</w:t>
      </w:r>
      <w:r>
        <w:rPr>
          <w:rFonts w:hint="eastAsia" w:ascii="宋体" w:hAnsi="宋体" w:eastAsia="宋体" w:cs="宋体"/>
          <w:snapToGrid w:val="0"/>
          <w:color w:val="auto"/>
          <w:kern w:val="0"/>
        </w:rPr>
        <w:t>单价等于基准单价，该施工机具台班的结算单价调整公式为：</w:t>
      </w:r>
    </w:p>
    <w:p w14:paraId="0DC4DA5B">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涨价时，</w:t>
      </w:r>
      <w:r>
        <w:rPr>
          <w:rFonts w:hint="eastAsia" w:ascii="宋体" w:hAnsi="宋体" w:eastAsia="宋体" w:cs="宋体"/>
          <w:snapToGrid w:val="0"/>
          <w:color w:val="auto"/>
          <w:kern w:val="0"/>
          <w:position w:val="-30"/>
        </w:rPr>
        <w:object>
          <v:shape id="_x0000_i1035" o:spt="75" type="#_x0000_t75" style="height:33.95pt;width:200.95pt;" o:ole="t" filled="f" o:preferrelative="t" stroked="f" coordsize="21600,21600">
            <v:path/>
            <v:fill on="f" focussize="0,0"/>
            <v:stroke on="f"/>
            <v:imagedata r:id="rId27" o:title=""/>
            <o:lock v:ext="edit" grouping="f" rotation="f" text="f" aspectratio="t"/>
            <w10:wrap type="none"/>
            <w10:anchorlock/>
          </v:shape>
          <o:OLEObject Type="Embed" ProgID="Equation.KSEE3" ShapeID="_x0000_i1035" DrawAspect="Content" ObjectID="_1468075735" r:id="rId26">
            <o:LockedField>false</o:LockedField>
          </o:OLEObject>
        </w:object>
      </w:r>
    </w:p>
    <w:p w14:paraId="0240F5CD">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t>跌价时，</w:t>
      </w:r>
      <w:r>
        <w:rPr>
          <w:rFonts w:hint="eastAsia" w:ascii="宋体" w:hAnsi="宋体" w:eastAsia="宋体" w:cs="宋体"/>
          <w:snapToGrid w:val="0"/>
          <w:color w:val="auto"/>
          <w:kern w:val="0"/>
          <w:position w:val="-30"/>
        </w:rPr>
        <w:object>
          <v:shape id="_x0000_i1036" o:spt="75" type="#_x0000_t75" style="height:33.95pt;width:200.95pt;" o:ole="t" filled="f" o:preferrelative="t" stroked="f" coordsize="21600,21600">
            <v:path/>
            <v:fill on="f" focussize="0,0"/>
            <v:stroke on="f"/>
            <v:imagedata r:id="rId29" o:title=""/>
            <o:lock v:ext="edit" grouping="f" rotation="f" text="f" aspectratio="t"/>
            <w10:wrap type="none"/>
            <w10:anchorlock/>
          </v:shape>
          <o:OLEObject Type="Embed" ProgID="Equation.KSEE3" ShapeID="_x0000_i1036" DrawAspect="Content" ObjectID="_1468075736" r:id="rId28">
            <o:LockedField>false</o:LockedField>
          </o:OLEObject>
        </w:object>
      </w:r>
    </w:p>
    <w:p w14:paraId="5431D869">
      <w:pPr>
        <w:wordWrap w:val="0"/>
        <w:adjustRightInd w:val="0"/>
        <w:snapToGrid w:val="0"/>
        <w:spacing w:line="360" w:lineRule="auto"/>
        <w:ind w:firstLine="480" w:firstLineChars="200"/>
        <w:rPr>
          <w:rFonts w:hint="eastAsia" w:ascii="宋体" w:hAnsi="宋体" w:eastAsia="宋体" w:cs="宋体"/>
          <w:bCs/>
          <w:snapToGrid w:val="0"/>
          <w:color w:val="auto"/>
          <w:kern w:val="0"/>
          <w:szCs w:val="28"/>
        </w:rPr>
      </w:pPr>
      <w:r>
        <w:rPr>
          <w:rFonts w:hint="eastAsia" w:ascii="宋体" w:hAnsi="宋体" w:eastAsia="宋体" w:cs="宋体"/>
          <w:snapToGrid w:val="0"/>
          <w:color w:val="auto"/>
          <w:kern w:val="0"/>
        </w:rPr>
        <w:t>以上公式中，</w:t>
      </w:r>
      <w:r>
        <w:rPr>
          <w:rFonts w:hint="eastAsia" w:ascii="宋体" w:hAnsi="宋体" w:eastAsia="宋体" w:cs="宋体"/>
          <w:bCs/>
          <w:snapToGrid w:val="0"/>
          <w:color w:val="auto"/>
          <w:kern w:val="0"/>
          <w:szCs w:val="28"/>
        </w:rPr>
        <w:t>F</w:t>
      </w:r>
      <w:r>
        <w:rPr>
          <w:rFonts w:hint="eastAsia" w:ascii="宋体" w:hAnsi="宋体" w:eastAsia="宋体" w:cs="宋体"/>
          <w:bCs/>
          <w:snapToGrid w:val="0"/>
          <w:color w:val="auto"/>
          <w:kern w:val="0"/>
          <w:szCs w:val="28"/>
          <w:vertAlign w:val="subscript"/>
        </w:rPr>
        <w:t>1</w:t>
      </w:r>
      <w:r>
        <w:rPr>
          <w:rFonts w:hint="eastAsia" w:ascii="宋体" w:hAnsi="宋体" w:eastAsia="宋体" w:cs="宋体"/>
          <w:bCs/>
          <w:snapToGrid w:val="0"/>
          <w:color w:val="auto"/>
          <w:kern w:val="0"/>
          <w:szCs w:val="28"/>
        </w:rPr>
        <w:t>为</w:t>
      </w:r>
      <w:r>
        <w:rPr>
          <w:rFonts w:hint="eastAsia" w:hAnsi="宋体" w:cs="宋体"/>
          <w:bCs/>
          <w:snapToGrid w:val="0"/>
          <w:color w:val="auto"/>
          <w:kern w:val="0"/>
          <w:szCs w:val="28"/>
          <w:lang w:eastAsia="zh-CN"/>
        </w:rPr>
        <w:t>成交</w:t>
      </w:r>
      <w:r>
        <w:rPr>
          <w:rFonts w:hint="eastAsia" w:ascii="宋体" w:hAnsi="宋体" w:eastAsia="宋体" w:cs="宋体"/>
          <w:bCs/>
          <w:snapToGrid w:val="0"/>
          <w:color w:val="auto"/>
          <w:kern w:val="0"/>
          <w:szCs w:val="28"/>
        </w:rPr>
        <w:t>单价；F</w:t>
      </w:r>
      <w:r>
        <w:rPr>
          <w:rFonts w:hint="eastAsia" w:ascii="宋体" w:hAnsi="宋体" w:eastAsia="宋体" w:cs="宋体"/>
          <w:bCs/>
          <w:snapToGrid w:val="0"/>
          <w:color w:val="auto"/>
          <w:kern w:val="0"/>
          <w:szCs w:val="28"/>
          <w:vertAlign w:val="subscript"/>
        </w:rPr>
        <w:t>0</w:t>
      </w:r>
      <w:r>
        <w:rPr>
          <w:rFonts w:hint="eastAsia" w:ascii="宋体" w:hAnsi="宋体" w:eastAsia="宋体" w:cs="宋体"/>
          <w:bCs/>
          <w:snapToGrid w:val="0"/>
          <w:color w:val="auto"/>
          <w:kern w:val="0"/>
          <w:szCs w:val="28"/>
        </w:rPr>
        <w:t>为基准单价；F</w:t>
      </w:r>
      <w:r>
        <w:rPr>
          <w:rFonts w:hint="eastAsia" w:ascii="宋体" w:hAnsi="宋体" w:eastAsia="宋体" w:cs="宋体"/>
          <w:bCs/>
          <w:snapToGrid w:val="0"/>
          <w:color w:val="auto"/>
          <w:kern w:val="0"/>
          <w:szCs w:val="28"/>
          <w:vertAlign w:val="subscript"/>
        </w:rPr>
        <w:t>2</w:t>
      </w:r>
      <w:r>
        <w:rPr>
          <w:rFonts w:hint="eastAsia" w:ascii="宋体" w:hAnsi="宋体" w:eastAsia="宋体" w:cs="宋体"/>
          <w:bCs/>
          <w:snapToGrid w:val="0"/>
          <w:color w:val="auto"/>
          <w:kern w:val="0"/>
          <w:szCs w:val="28"/>
        </w:rPr>
        <w:t>为施工当月项目所在地工程造价管理机构发布的施工机具台班单价；B为合同约定的施工机具台班单价涨跌风险幅度值。</w:t>
      </w:r>
    </w:p>
    <w:p w14:paraId="051950D0">
      <w:pPr>
        <w:snapToGrid w:val="0"/>
        <w:spacing w:line="360" w:lineRule="auto"/>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2.3.7</w:t>
      </w:r>
      <w:r>
        <w:rPr>
          <w:rStyle w:val="6"/>
          <w:rFonts w:hint="eastAsia" w:ascii="宋体" w:hAnsi="宋体" w:eastAsia="宋体" w:cs="宋体"/>
          <w:color w:val="auto"/>
          <w:kern w:val="0"/>
        </w:rPr>
        <w:t xml:space="preserve"> 暂估价和暂列金额</w:t>
      </w:r>
    </w:p>
    <w:p w14:paraId="1AC2B631">
      <w:pPr>
        <w:snapToGrid w:val="0"/>
        <w:spacing w:line="360" w:lineRule="auto"/>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2.3.7.1</w:t>
      </w:r>
      <w:r>
        <w:rPr>
          <w:rStyle w:val="6"/>
          <w:rFonts w:hint="eastAsia" w:ascii="宋体" w:hAnsi="宋体" w:eastAsia="宋体" w:cs="宋体"/>
          <w:color w:val="auto"/>
          <w:kern w:val="0"/>
        </w:rPr>
        <w:t xml:space="preserve"> 暂估价项目</w:t>
      </w:r>
      <w:r>
        <w:rPr>
          <w:rStyle w:val="6"/>
          <w:rFonts w:hint="eastAsia" w:ascii="宋体" w:hAnsi="宋体" w:eastAsia="宋体" w:cs="宋体"/>
          <w:color w:val="auto"/>
          <w:kern w:val="0"/>
          <w:highlight w:val="none"/>
        </w:rPr>
        <w:t>按</w:t>
      </w:r>
      <w:r>
        <w:rPr>
          <w:rStyle w:val="6"/>
          <w:rFonts w:hint="eastAsia" w:ascii="宋体" w:hAnsi="宋体" w:eastAsia="宋体" w:cs="宋体"/>
          <w:color w:val="auto"/>
          <w:kern w:val="0"/>
          <w:highlight w:val="none"/>
          <w:lang w:val="en-US" w:eastAsia="zh-CN"/>
        </w:rPr>
        <w:t>本合同主要条款</w:t>
      </w:r>
      <w:r>
        <w:rPr>
          <w:rStyle w:val="6"/>
          <w:rFonts w:hint="eastAsia" w:ascii="宋体" w:hAnsi="宋体" w:eastAsia="宋体" w:cs="宋体"/>
          <w:color w:val="auto"/>
          <w:kern w:val="0"/>
          <w:highlight w:val="none"/>
        </w:rPr>
        <w:t>第</w:t>
      </w:r>
      <w:r>
        <w:rPr>
          <w:rStyle w:val="6"/>
          <w:rFonts w:hint="eastAsia" w:hAnsi="宋体" w:cs="宋体"/>
          <w:color w:val="auto"/>
          <w:kern w:val="0"/>
          <w:highlight w:val="none"/>
          <w:lang w:val="en-US" w:eastAsia="zh-CN"/>
        </w:rPr>
        <w:t>5</w:t>
      </w:r>
      <w:r>
        <w:rPr>
          <w:rStyle w:val="6"/>
          <w:rFonts w:hint="eastAsia" w:ascii="宋体" w:hAnsi="宋体" w:eastAsia="宋体" w:cs="宋体"/>
          <w:color w:val="auto"/>
          <w:kern w:val="0"/>
          <w:highlight w:val="none"/>
        </w:rPr>
        <w:t>条</w:t>
      </w:r>
      <w:r>
        <w:rPr>
          <w:rStyle w:val="6"/>
          <w:rFonts w:hint="eastAsia" w:ascii="宋体" w:hAnsi="宋体" w:eastAsia="宋体" w:cs="宋体"/>
          <w:color w:val="auto"/>
          <w:kern w:val="0"/>
        </w:rPr>
        <w:t>的规定确定专业工程承包人（或材料供应商、工程设备供应商）后，将专业工程合同价款（或材料单价、工程设备单价）取代相应暂估价，并调整合同价款。</w:t>
      </w:r>
    </w:p>
    <w:p w14:paraId="31955EB6">
      <w:pPr>
        <w:snapToGrid w:val="0"/>
        <w:spacing w:line="360" w:lineRule="auto"/>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2.3.7.2</w:t>
      </w:r>
      <w:r>
        <w:rPr>
          <w:rStyle w:val="6"/>
          <w:rFonts w:hint="eastAsia" w:ascii="宋体" w:hAnsi="宋体" w:eastAsia="宋体" w:cs="宋体"/>
          <w:color w:val="auto"/>
          <w:kern w:val="0"/>
        </w:rPr>
        <w:t xml:space="preserve"> 暂列金额由发包人掌握和使用。暂列金额项目若有发生，按</w:t>
      </w:r>
      <w:r>
        <w:rPr>
          <w:rStyle w:val="6"/>
          <w:rFonts w:hint="eastAsia" w:ascii="宋体" w:hAnsi="宋体" w:eastAsia="宋体" w:cs="宋体"/>
          <w:color w:val="auto"/>
          <w:kern w:val="0"/>
          <w:lang w:val="en-US" w:eastAsia="zh-CN"/>
        </w:rPr>
        <w:t>本合同主要条款</w:t>
      </w:r>
      <w:r>
        <w:rPr>
          <w:rStyle w:val="6"/>
          <w:rFonts w:hint="eastAsia" w:ascii="宋体" w:hAnsi="宋体" w:eastAsia="宋体" w:cs="宋体"/>
          <w:color w:val="auto"/>
          <w:kern w:val="0"/>
        </w:rPr>
        <w:t>第</w:t>
      </w:r>
      <w:r>
        <w:rPr>
          <w:rStyle w:val="6"/>
          <w:rFonts w:hint="eastAsia" w:hAnsi="宋体" w:cs="宋体"/>
          <w:color w:val="auto"/>
          <w:kern w:val="0"/>
          <w:lang w:val="en-US" w:eastAsia="zh-CN"/>
        </w:rPr>
        <w:t>6</w:t>
      </w:r>
      <w:r>
        <w:rPr>
          <w:rStyle w:val="6"/>
          <w:rFonts w:hint="eastAsia" w:ascii="宋体" w:hAnsi="宋体" w:eastAsia="宋体" w:cs="宋体"/>
          <w:color w:val="auto"/>
          <w:kern w:val="0"/>
        </w:rPr>
        <w:t>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余额（若有）归发包人所有。</w:t>
      </w:r>
    </w:p>
    <w:p w14:paraId="4ECA9E9D">
      <w:pPr>
        <w:pStyle w:val="7"/>
        <w:spacing w:line="360" w:lineRule="auto"/>
        <w:ind w:firstLine="480"/>
        <w:jc w:val="left"/>
        <w:rPr>
          <w:rStyle w:val="6"/>
          <w:rFonts w:hint="eastAsia" w:ascii="宋体" w:hAnsi="宋体" w:eastAsia="宋体" w:cs="宋体"/>
          <w:color w:val="auto"/>
          <w:kern w:val="0"/>
        </w:rPr>
      </w:pPr>
      <w:r>
        <w:rPr>
          <w:rStyle w:val="6"/>
          <w:rFonts w:hint="eastAsia" w:ascii="宋体" w:hAnsi="宋体" w:eastAsia="宋体" w:cs="宋体"/>
          <w:color w:val="auto"/>
          <w:kern w:val="0"/>
        </w:rPr>
        <w:t xml:space="preserve">2.3.8 </w:t>
      </w:r>
      <w:r>
        <w:rPr>
          <w:rStyle w:val="6"/>
          <w:rFonts w:hint="eastAsia" w:ascii="宋体" w:hAnsi="宋体" w:eastAsia="宋体" w:cs="宋体"/>
          <w:b w:val="0"/>
          <w:bCs w:val="0"/>
          <w:color w:val="auto"/>
          <w:kern w:val="0"/>
          <w:highlight w:val="none"/>
        </w:rPr>
        <w:t>预算包干费按照分部分项的人工费与施工机具费之和的7%计算。本工程的预算包干内容包括：</w:t>
      </w:r>
      <w:r>
        <w:rPr>
          <w:rStyle w:val="6"/>
          <w:rFonts w:hint="eastAsia" w:ascii="宋体" w:hAnsi="宋体" w:eastAsia="宋体" w:cs="宋体"/>
          <w:b w:val="0"/>
          <w:bCs w:val="0"/>
          <w:color w:val="auto"/>
          <w:kern w:val="0"/>
          <w:highlight w:val="none"/>
          <w:u w:val="single"/>
        </w:rPr>
        <w:t xml:space="preserve">具体详见工程量清单 </w:t>
      </w:r>
      <w:r>
        <w:rPr>
          <w:rStyle w:val="6"/>
          <w:rFonts w:hint="eastAsia" w:ascii="宋体" w:hAnsi="宋体" w:eastAsia="宋体" w:cs="宋体"/>
          <w:b w:val="0"/>
          <w:bCs w:val="0"/>
          <w:color w:val="auto"/>
          <w:kern w:val="0"/>
          <w:highlight w:val="none"/>
        </w:rPr>
        <w:t>。对于以上预算包干内容，承包人不得提出额外付款或延长工期等要求。对此类要求，发包人不作任何考虑及答复。</w:t>
      </w:r>
    </w:p>
    <w:p w14:paraId="6DCEFF81">
      <w:pPr>
        <w:snapToGrid w:val="0"/>
        <w:spacing w:line="360" w:lineRule="auto"/>
        <w:ind w:firstLine="602" w:firstLineChars="250"/>
        <w:rPr>
          <w:rStyle w:val="6"/>
          <w:rFonts w:hint="eastAsia" w:ascii="宋体" w:hAnsi="宋体" w:eastAsia="宋体" w:cs="宋体"/>
          <w:color w:val="auto"/>
          <w:kern w:val="0"/>
        </w:rPr>
      </w:pPr>
      <w:r>
        <w:rPr>
          <w:rStyle w:val="6"/>
          <w:rFonts w:hint="eastAsia" w:ascii="宋体" w:hAnsi="宋体" w:eastAsia="宋体" w:cs="宋体"/>
          <w:b/>
          <w:bCs/>
          <w:color w:val="auto"/>
          <w:kern w:val="0"/>
        </w:rPr>
        <w:t>2.3.9</w:t>
      </w:r>
      <w:r>
        <w:rPr>
          <w:rStyle w:val="6"/>
          <w:rFonts w:hint="eastAsia" w:ascii="宋体" w:hAnsi="宋体" w:eastAsia="宋体" w:cs="宋体"/>
          <w:color w:val="auto"/>
          <w:kern w:val="0"/>
        </w:rPr>
        <w:t xml:space="preserve"> 其余事项（如不可抗力、索赔、现场签证等）的调整原则按照《建设工程工程量清单计价规范》（GB50500—2013）有关规定执行。</w:t>
      </w:r>
    </w:p>
    <w:p w14:paraId="2489185B">
      <w:pPr>
        <w:snapToGrid w:val="0"/>
        <w:spacing w:line="360" w:lineRule="auto"/>
        <w:ind w:firstLine="602" w:firstLineChars="250"/>
        <w:rPr>
          <w:rStyle w:val="6"/>
          <w:rFonts w:hint="eastAsia" w:ascii="宋体" w:hAnsi="宋体" w:eastAsia="宋体" w:cs="宋体"/>
          <w:b/>
          <w:bCs/>
          <w:color w:val="auto"/>
          <w:kern w:val="0"/>
        </w:rPr>
      </w:pPr>
      <w:r>
        <w:rPr>
          <w:rStyle w:val="6"/>
          <w:rFonts w:hint="eastAsia" w:ascii="宋体" w:hAnsi="宋体" w:eastAsia="宋体" w:cs="宋体"/>
          <w:b/>
          <w:bCs/>
          <w:color w:val="auto"/>
          <w:kern w:val="0"/>
        </w:rPr>
        <w:t>2.4</w:t>
      </w:r>
      <w:r>
        <w:rPr>
          <w:rStyle w:val="6"/>
          <w:rFonts w:hint="eastAsia" w:ascii="宋体" w:hAnsi="宋体" w:eastAsia="宋体" w:cs="宋体"/>
          <w:color w:val="auto"/>
          <w:kern w:val="0"/>
        </w:rPr>
        <w:t xml:space="preserve"> 凡将引起合同价款调增的事项，承包人必须于拟实施14天前，将详细的报价书（含拟实施项目名称、变更部位、理由、预计造价等）报监理单位审核和发包人批准后方可实施。</w:t>
      </w:r>
    </w:p>
    <w:p w14:paraId="621D01D5">
      <w:pPr>
        <w:snapToGrid w:val="0"/>
        <w:spacing w:line="360" w:lineRule="auto"/>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2.5</w:t>
      </w:r>
      <w:r>
        <w:rPr>
          <w:rStyle w:val="6"/>
          <w:rFonts w:hint="eastAsia" w:ascii="宋体" w:hAnsi="宋体" w:eastAsia="宋体" w:cs="宋体"/>
          <w:color w:val="auto"/>
          <w:kern w:val="0"/>
        </w:rPr>
        <w:t xml:space="preserve"> 承包人不得以不完全了解现场情况为理由，提出额外付款或延长工期等要求。对此类要求，发包人不作任何考虑及答复。</w:t>
      </w:r>
    </w:p>
    <w:p w14:paraId="431EC9A8">
      <w:pPr>
        <w:snapToGrid w:val="0"/>
        <w:spacing w:line="360" w:lineRule="auto"/>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2.6</w:t>
      </w:r>
      <w:r>
        <w:rPr>
          <w:rStyle w:val="6"/>
          <w:rFonts w:hint="eastAsia" w:ascii="宋体" w:hAnsi="宋体" w:eastAsia="宋体" w:cs="宋体"/>
          <w:color w:val="auto"/>
          <w:kern w:val="0"/>
        </w:rPr>
        <w:t xml:space="preserve"> 承包人已标价工程量清单中漏报、错报或少报的清单项目，其价格均视为已经包含在其它清单项目中，竣工结算时不得重新组价和调整。</w:t>
      </w:r>
    </w:p>
    <w:p w14:paraId="054F82F4">
      <w:pPr>
        <w:snapToGrid w:val="0"/>
        <w:spacing w:line="360" w:lineRule="auto"/>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2.7</w:t>
      </w:r>
      <w:r>
        <w:rPr>
          <w:rStyle w:val="6"/>
          <w:rFonts w:hint="eastAsia" w:ascii="宋体" w:hAnsi="宋体" w:eastAsia="宋体" w:cs="宋体"/>
          <w:color w:val="auto"/>
          <w:kern w:val="0"/>
        </w:rPr>
        <w:t xml:space="preserve"> 工程完工后，发、承包双方和受其委托具备相应资质的工程造价咨询单位必须按照《建设工程工程量清单计价规范》（GB50500—2013）和国家、省、市的有关规定办理竣工结算。</w:t>
      </w:r>
    </w:p>
    <w:p w14:paraId="31A8520A">
      <w:pPr>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2.8</w:t>
      </w:r>
      <w:r>
        <w:rPr>
          <w:rStyle w:val="6"/>
          <w:rFonts w:hint="eastAsia" w:ascii="宋体" w:hAnsi="宋体" w:eastAsia="宋体" w:cs="宋体"/>
          <w:color w:val="auto"/>
          <w:kern w:val="0"/>
        </w:rPr>
        <w:t xml:space="preserve">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14:paraId="418E5CB2">
      <w:pPr>
        <w:keepNext w:val="0"/>
        <w:keepLines w:val="0"/>
        <w:pageBreakBefore w:val="0"/>
        <w:kinsoku/>
        <w:overflowPunct/>
        <w:autoSpaceDE/>
        <w:autoSpaceDN/>
        <w:bidi w:val="0"/>
        <w:snapToGrid w:val="0"/>
        <w:spacing w:line="360" w:lineRule="auto"/>
        <w:ind w:firstLine="482" w:firstLineChars="200"/>
        <w:rPr>
          <w:rStyle w:val="6"/>
          <w:rFonts w:hint="eastAsia" w:ascii="宋体" w:hAnsi="宋体" w:eastAsia="宋体" w:cs="宋体"/>
          <w:b w:val="0"/>
          <w:bCs w:val="0"/>
          <w:color w:val="auto"/>
          <w:kern w:val="1"/>
          <w:highlight w:val="none"/>
        </w:rPr>
      </w:pPr>
      <w:r>
        <w:rPr>
          <w:rStyle w:val="6"/>
          <w:rFonts w:hint="eastAsia" w:ascii="宋体" w:hAnsi="宋体" w:eastAsia="宋体" w:cs="宋体"/>
          <w:b/>
          <w:bCs/>
          <w:color w:val="auto"/>
          <w:kern w:val="0"/>
          <w:highlight w:val="none"/>
        </w:rPr>
        <w:t>3.</w:t>
      </w:r>
      <w:r>
        <w:rPr>
          <w:rStyle w:val="6"/>
          <w:rFonts w:hint="eastAsia" w:ascii="宋体" w:hAnsi="宋体" w:eastAsia="宋体" w:cs="宋体"/>
          <w:b/>
          <w:bCs/>
          <w:color w:val="auto"/>
          <w:kern w:val="0"/>
          <w:highlight w:val="none"/>
          <w:lang w:val="en-US" w:eastAsia="zh-CN"/>
        </w:rPr>
        <w:t>9</w:t>
      </w:r>
      <w:r>
        <w:rPr>
          <w:rStyle w:val="6"/>
          <w:rFonts w:hint="eastAsia" w:ascii="宋体" w:hAnsi="宋体" w:eastAsia="宋体" w:cs="宋体"/>
          <w:b/>
          <w:bCs/>
          <w:color w:val="auto"/>
          <w:kern w:val="0"/>
          <w:highlight w:val="none"/>
        </w:rPr>
        <w:t xml:space="preserve"> </w:t>
      </w:r>
      <w:r>
        <w:rPr>
          <w:rStyle w:val="6"/>
          <w:rFonts w:hint="eastAsia" w:ascii="宋体" w:hAnsi="宋体" w:eastAsia="宋体" w:cs="宋体"/>
          <w:b w:val="0"/>
          <w:bCs w:val="0"/>
          <w:color w:val="auto"/>
          <w:kern w:val="1"/>
          <w:highlight w:val="none"/>
        </w:rPr>
        <w:t>暂列金额结算方式：</w:t>
      </w:r>
      <w:r>
        <w:rPr>
          <w:rStyle w:val="6"/>
          <w:rFonts w:hint="eastAsia" w:ascii="宋体" w:hAnsi="宋体" w:eastAsia="宋体" w:cs="宋体"/>
          <w:b w:val="0"/>
          <w:bCs w:val="0"/>
          <w:color w:val="auto"/>
          <w:kern w:val="1"/>
          <w:highlight w:val="none"/>
          <w:u w:val="single"/>
        </w:rPr>
        <w:t xml:space="preserve"> 按实结算。</w:t>
      </w:r>
    </w:p>
    <w:p w14:paraId="3DB19B22">
      <w:pPr>
        <w:snapToGrid w:val="0"/>
        <w:ind w:firstLine="482" w:firstLineChars="200"/>
        <w:rPr>
          <w:rStyle w:val="6"/>
          <w:rFonts w:hint="eastAsia" w:ascii="宋体" w:hAnsi="宋体" w:eastAsia="宋体" w:cs="宋体"/>
          <w:b/>
          <w:bCs/>
          <w:color w:val="auto"/>
          <w:kern w:val="0"/>
          <w:highlight w:val="none"/>
        </w:rPr>
      </w:pPr>
      <w:r>
        <w:rPr>
          <w:rStyle w:val="6"/>
          <w:rFonts w:hint="eastAsia" w:ascii="宋体" w:hAnsi="宋体" w:eastAsia="宋体" w:cs="宋体"/>
          <w:b/>
          <w:bCs/>
          <w:color w:val="auto"/>
          <w:kern w:val="0"/>
          <w:highlight w:val="none"/>
        </w:rPr>
        <w:t>3.</w:t>
      </w:r>
      <w:r>
        <w:rPr>
          <w:rStyle w:val="6"/>
          <w:rFonts w:hint="eastAsia" w:ascii="宋体" w:hAnsi="宋体" w:eastAsia="宋体" w:cs="宋体"/>
          <w:b/>
          <w:bCs/>
          <w:color w:val="auto"/>
          <w:kern w:val="0"/>
          <w:highlight w:val="none"/>
          <w:lang w:val="en-US" w:eastAsia="zh-CN"/>
        </w:rPr>
        <w:t>10</w:t>
      </w:r>
      <w:r>
        <w:rPr>
          <w:rStyle w:val="6"/>
          <w:rFonts w:hint="eastAsia" w:ascii="宋体" w:hAnsi="宋体" w:eastAsia="宋体" w:cs="宋体"/>
          <w:b/>
          <w:bCs/>
          <w:color w:val="auto"/>
          <w:kern w:val="0"/>
          <w:highlight w:val="none"/>
        </w:rPr>
        <w:t xml:space="preserve"> </w:t>
      </w:r>
      <w:r>
        <w:rPr>
          <w:rStyle w:val="6"/>
          <w:rFonts w:hint="eastAsia" w:ascii="宋体" w:hAnsi="宋体" w:eastAsia="宋体" w:cs="宋体"/>
          <w:b w:val="0"/>
          <w:bCs w:val="0"/>
          <w:color w:val="auto"/>
          <w:kern w:val="1"/>
          <w:highlight w:val="none"/>
        </w:rPr>
        <w:t>暂列金额支付方式：</w:t>
      </w:r>
      <w:r>
        <w:rPr>
          <w:rStyle w:val="6"/>
          <w:rFonts w:hint="eastAsia" w:ascii="宋体" w:hAnsi="宋体" w:eastAsia="宋体" w:cs="宋体"/>
          <w:b w:val="0"/>
          <w:bCs w:val="0"/>
          <w:color w:val="auto"/>
          <w:kern w:val="1"/>
          <w:highlight w:val="none"/>
          <w:u w:val="single"/>
        </w:rPr>
        <w:t>承包人需根据发包人发布的《工程变更管理办法》和《工程签证管理办法》完善工程变更签证相关程序后，与每次的工程进度款一并报送；若承包人原因未按上述办法在规定时间内完善工程变更签证相关程序的，当次工程进度款暂停拨付。在暂列金额的范围内，最终经发包人确认后支付至该部分实际完成工程量的80％，其余部分待结算完成审核后支付至97%，剩余3%为工程质量保修金。</w:t>
      </w:r>
    </w:p>
    <w:p w14:paraId="575EBA57">
      <w:pPr>
        <w:pStyle w:val="8"/>
        <w:spacing w:line="360" w:lineRule="auto"/>
        <w:ind w:firstLine="480"/>
        <w:rPr>
          <w:rFonts w:hint="eastAsia" w:ascii="宋体" w:hAnsi="宋体" w:eastAsia="宋体" w:cs="宋体"/>
          <w:color w:val="auto"/>
        </w:rPr>
      </w:pPr>
      <w:r>
        <w:rPr>
          <w:rStyle w:val="6"/>
          <w:rFonts w:hint="eastAsia" w:ascii="宋体" w:hAnsi="宋体" w:eastAsia="宋体" w:cs="宋体"/>
          <w:b/>
          <w:bCs/>
          <w:color w:val="auto"/>
          <w:kern w:val="0"/>
          <w:highlight w:val="none"/>
        </w:rPr>
        <w:t>3.</w:t>
      </w:r>
      <w:r>
        <w:rPr>
          <w:rStyle w:val="6"/>
          <w:rFonts w:hint="eastAsia" w:ascii="宋体" w:hAnsi="宋体" w:eastAsia="宋体" w:cs="宋体"/>
          <w:b/>
          <w:bCs/>
          <w:color w:val="auto"/>
          <w:kern w:val="0"/>
          <w:highlight w:val="none"/>
          <w:lang w:val="en-US" w:eastAsia="zh-CN"/>
        </w:rPr>
        <w:t>11</w:t>
      </w:r>
      <w:r>
        <w:rPr>
          <w:rStyle w:val="6"/>
          <w:rFonts w:hint="eastAsia" w:ascii="宋体" w:hAnsi="宋体" w:eastAsia="宋体" w:cs="宋体"/>
          <w:b/>
          <w:bCs/>
          <w:color w:val="auto"/>
          <w:kern w:val="0"/>
          <w:highlight w:val="none"/>
        </w:rPr>
        <w:t xml:space="preserve"> </w:t>
      </w:r>
      <w:r>
        <w:rPr>
          <w:rStyle w:val="6"/>
          <w:rFonts w:hint="eastAsia" w:ascii="宋体" w:hAnsi="宋体" w:eastAsia="宋体" w:cs="宋体"/>
          <w:b w:val="0"/>
          <w:bCs w:val="0"/>
          <w:color w:val="auto"/>
          <w:kern w:val="1"/>
          <w:highlight w:val="none"/>
        </w:rPr>
        <w:t>材料暂估价、专业工程暂估价支付方式：</w:t>
      </w:r>
      <w:r>
        <w:rPr>
          <w:rStyle w:val="6"/>
          <w:rFonts w:hint="eastAsia" w:ascii="宋体" w:hAnsi="宋体" w:eastAsia="宋体" w:cs="宋体"/>
          <w:b w:val="0"/>
          <w:bCs w:val="0"/>
          <w:color w:val="auto"/>
          <w:kern w:val="1"/>
          <w:highlight w:val="none"/>
          <w:u w:val="single"/>
        </w:rPr>
        <w:t>材料暂估价、专业工程暂估价与每个月的工程进度款一并报送，但需要列明详细项目内容，该部分材料暂估价、专业工程暂估价按该部分实际完成工程量的</w:t>
      </w:r>
      <w:r>
        <w:rPr>
          <w:rStyle w:val="6"/>
          <w:rFonts w:hint="eastAsia" w:ascii="宋体" w:hAnsi="宋体" w:eastAsia="宋体" w:cs="宋体"/>
          <w:b w:val="0"/>
          <w:bCs w:val="0"/>
          <w:color w:val="auto"/>
          <w:kern w:val="1"/>
          <w:highlight w:val="none"/>
          <w:u w:val="single"/>
          <w:lang w:val="en-US" w:eastAsia="zh-CN"/>
        </w:rPr>
        <w:t>8</w:t>
      </w:r>
      <w:r>
        <w:rPr>
          <w:rStyle w:val="6"/>
          <w:rFonts w:hint="eastAsia" w:ascii="宋体" w:hAnsi="宋体" w:eastAsia="宋体" w:cs="宋体"/>
          <w:b w:val="0"/>
          <w:bCs w:val="0"/>
          <w:color w:val="auto"/>
          <w:kern w:val="1"/>
          <w:highlight w:val="none"/>
          <w:u w:val="single"/>
        </w:rPr>
        <w:t>0%支付，剩余部分结算完成后支付至97%，剩余3%为工程质量保修金。</w:t>
      </w:r>
    </w:p>
    <w:p w14:paraId="1683EB99">
      <w:pPr>
        <w:snapToGrid w:val="0"/>
        <w:spacing w:line="440" w:lineRule="exact"/>
        <w:ind w:firstLine="482" w:firstLineChars="200"/>
        <w:outlineLvl w:val="1"/>
        <w:rPr>
          <w:rStyle w:val="6"/>
          <w:rFonts w:hint="eastAsia" w:ascii="宋体" w:hAnsi="宋体" w:eastAsia="宋体" w:cs="宋体"/>
          <w:b/>
          <w:bCs/>
          <w:color w:val="auto"/>
          <w:kern w:val="0"/>
        </w:rPr>
      </w:pPr>
      <w:bookmarkStart w:id="20" w:name="_Toc15062"/>
      <w:bookmarkStart w:id="21" w:name="_Toc27814"/>
      <w:bookmarkStart w:id="22" w:name="_Toc7452"/>
      <w:bookmarkStart w:id="23" w:name="_Toc8187"/>
      <w:bookmarkStart w:id="24" w:name="_Toc17066"/>
      <w:bookmarkStart w:id="25" w:name="_Toc31219"/>
      <w:bookmarkStart w:id="26" w:name="_Toc26477"/>
      <w:bookmarkStart w:id="27" w:name="_Toc24211"/>
      <w:bookmarkStart w:id="28" w:name="_Toc31886"/>
      <w:bookmarkStart w:id="29" w:name="_Toc23036"/>
      <w:r>
        <w:rPr>
          <w:rStyle w:val="6"/>
          <w:rFonts w:hint="eastAsia" w:ascii="宋体" w:hAnsi="宋体" w:eastAsia="宋体" w:cs="宋体"/>
          <w:b/>
          <w:bCs/>
          <w:color w:val="auto"/>
          <w:kern w:val="0"/>
        </w:rPr>
        <w:t>4．合同订立</w:t>
      </w:r>
      <w:bookmarkEnd w:id="20"/>
      <w:bookmarkEnd w:id="21"/>
      <w:bookmarkEnd w:id="22"/>
      <w:bookmarkEnd w:id="23"/>
      <w:bookmarkEnd w:id="24"/>
      <w:bookmarkEnd w:id="25"/>
      <w:bookmarkEnd w:id="26"/>
      <w:bookmarkEnd w:id="27"/>
      <w:bookmarkEnd w:id="28"/>
      <w:bookmarkEnd w:id="29"/>
    </w:p>
    <w:p w14:paraId="5679938D">
      <w:pPr>
        <w:snapToGrid w:val="0"/>
        <w:spacing w:line="440" w:lineRule="exact"/>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4.1</w:t>
      </w:r>
      <w:r>
        <w:rPr>
          <w:rStyle w:val="6"/>
          <w:rFonts w:hint="eastAsia" w:ascii="宋体" w:hAnsi="宋体" w:eastAsia="宋体" w:cs="宋体"/>
          <w:color w:val="auto"/>
          <w:kern w:val="0"/>
        </w:rPr>
        <w:t xml:space="preserve"> </w:t>
      </w:r>
      <w:r>
        <w:rPr>
          <w:rStyle w:val="6"/>
          <w:rFonts w:hint="eastAsia" w:hAnsi="宋体" w:cs="宋体"/>
          <w:color w:val="auto"/>
          <w:kern w:val="0"/>
          <w:lang w:eastAsia="zh-CN"/>
        </w:rPr>
        <w:t>采购人</w:t>
      </w:r>
      <w:r>
        <w:rPr>
          <w:rStyle w:val="6"/>
          <w:rFonts w:hint="eastAsia" w:ascii="宋体" w:hAnsi="宋体" w:eastAsia="宋体" w:cs="宋体"/>
          <w:color w:val="auto"/>
          <w:kern w:val="0"/>
        </w:rPr>
        <w:t>应当自</w:t>
      </w:r>
      <w:r>
        <w:rPr>
          <w:rStyle w:val="6"/>
          <w:rFonts w:hint="eastAsia" w:hAnsi="宋体" w:cs="宋体"/>
          <w:color w:val="auto"/>
          <w:kern w:val="0"/>
          <w:lang w:eastAsia="zh-CN"/>
        </w:rPr>
        <w:t>成交通知书</w:t>
      </w:r>
      <w:r>
        <w:rPr>
          <w:rStyle w:val="6"/>
          <w:rFonts w:hint="eastAsia" w:ascii="宋体" w:hAnsi="宋体" w:eastAsia="宋体" w:cs="宋体"/>
          <w:color w:val="auto"/>
          <w:kern w:val="0"/>
        </w:rPr>
        <w:t>发出之日起</w:t>
      </w:r>
      <w:r>
        <w:rPr>
          <w:rStyle w:val="6"/>
          <w:rFonts w:hint="eastAsia" w:ascii="宋体" w:hAnsi="宋体" w:eastAsia="宋体" w:cs="宋体"/>
          <w:color w:val="auto"/>
          <w:kern w:val="0"/>
          <w:u w:val="single"/>
        </w:rPr>
        <w:t>30</w:t>
      </w:r>
      <w:r>
        <w:rPr>
          <w:rStyle w:val="6"/>
          <w:rFonts w:hint="eastAsia" w:ascii="宋体" w:hAnsi="宋体" w:eastAsia="宋体" w:cs="宋体"/>
          <w:color w:val="auto"/>
          <w:kern w:val="0"/>
        </w:rPr>
        <w:t>日内，按照</w:t>
      </w:r>
      <w:r>
        <w:rPr>
          <w:rStyle w:val="6"/>
          <w:rFonts w:hint="eastAsia" w:hAnsi="宋体" w:cs="宋体"/>
          <w:color w:val="auto"/>
          <w:kern w:val="0"/>
          <w:lang w:eastAsia="zh-CN"/>
        </w:rPr>
        <w:t>竞争性磋商文件</w:t>
      </w:r>
      <w:r>
        <w:rPr>
          <w:rStyle w:val="6"/>
          <w:rFonts w:hint="eastAsia" w:ascii="宋体" w:hAnsi="宋体" w:eastAsia="宋体" w:cs="宋体"/>
          <w:color w:val="auto"/>
          <w:kern w:val="0"/>
        </w:rPr>
        <w:t>、</w:t>
      </w:r>
      <w:r>
        <w:rPr>
          <w:rStyle w:val="6"/>
          <w:rFonts w:hint="eastAsia" w:hAnsi="宋体" w:cs="宋体"/>
          <w:color w:val="auto"/>
          <w:kern w:val="0"/>
          <w:lang w:eastAsia="zh-CN"/>
        </w:rPr>
        <w:t>成交供应商</w:t>
      </w:r>
      <w:r>
        <w:rPr>
          <w:rStyle w:val="6"/>
          <w:rFonts w:hint="eastAsia" w:ascii="宋体" w:hAnsi="宋体" w:eastAsia="宋体" w:cs="宋体"/>
          <w:color w:val="auto"/>
          <w:kern w:val="0"/>
        </w:rPr>
        <w:t>的投标文件与</w:t>
      </w:r>
      <w:r>
        <w:rPr>
          <w:rStyle w:val="6"/>
          <w:rFonts w:hint="eastAsia" w:hAnsi="宋体" w:cs="宋体"/>
          <w:color w:val="auto"/>
          <w:kern w:val="0"/>
          <w:lang w:eastAsia="zh-CN"/>
        </w:rPr>
        <w:t>成交供应商</w:t>
      </w:r>
      <w:r>
        <w:rPr>
          <w:rStyle w:val="6"/>
          <w:rFonts w:hint="eastAsia" w:ascii="宋体" w:hAnsi="宋体" w:eastAsia="宋体" w:cs="宋体"/>
          <w:color w:val="auto"/>
          <w:kern w:val="0"/>
        </w:rPr>
        <w:t>订立书面合同。</w:t>
      </w:r>
    </w:p>
    <w:p w14:paraId="0D5975AF">
      <w:pPr>
        <w:snapToGrid w:val="0"/>
        <w:spacing w:line="440" w:lineRule="exact"/>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4.2</w:t>
      </w:r>
      <w:r>
        <w:rPr>
          <w:rStyle w:val="6"/>
          <w:rFonts w:hint="eastAsia" w:ascii="宋体" w:hAnsi="宋体" w:eastAsia="宋体" w:cs="宋体"/>
          <w:color w:val="auto"/>
          <w:kern w:val="0"/>
        </w:rPr>
        <w:t xml:space="preserve"> 不正常报价的梳理和确认</w:t>
      </w:r>
    </w:p>
    <w:p w14:paraId="5FC7B4F0">
      <w:pPr>
        <w:snapToGrid w:val="0"/>
        <w:spacing w:line="440" w:lineRule="exact"/>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4.2.1</w:t>
      </w:r>
      <w:r>
        <w:rPr>
          <w:rStyle w:val="6"/>
          <w:rFonts w:hint="eastAsia" w:ascii="宋体" w:hAnsi="宋体" w:eastAsia="宋体" w:cs="宋体"/>
          <w:color w:val="auto"/>
          <w:kern w:val="0"/>
        </w:rPr>
        <w:t xml:space="preserve"> </w:t>
      </w:r>
      <w:r>
        <w:rPr>
          <w:rStyle w:val="6"/>
          <w:rFonts w:hint="eastAsia" w:ascii="宋体" w:hAnsi="宋体" w:eastAsia="宋体" w:cs="宋体"/>
          <w:b/>
          <w:bCs/>
          <w:color w:val="auto"/>
          <w:kern w:val="0"/>
        </w:rPr>
        <w:t>合同订立期间</w:t>
      </w:r>
      <w:r>
        <w:rPr>
          <w:rFonts w:hint="eastAsia" w:ascii="宋体" w:hAnsi="宋体" w:eastAsia="宋体" w:cs="宋体"/>
          <w:b/>
          <w:bCs/>
          <w:snapToGrid w:val="0"/>
          <w:color w:val="auto"/>
          <w:kern w:val="0"/>
        </w:rPr>
        <w:t>或在合同履行过程中</w:t>
      </w:r>
      <w:r>
        <w:rPr>
          <w:rStyle w:val="6"/>
          <w:rFonts w:hint="eastAsia" w:ascii="宋体" w:hAnsi="宋体" w:eastAsia="宋体" w:cs="宋体"/>
          <w:b/>
          <w:bCs/>
          <w:color w:val="auto"/>
          <w:kern w:val="0"/>
        </w:rPr>
        <w:t>，</w:t>
      </w:r>
      <w:r>
        <w:rPr>
          <w:rFonts w:hint="eastAsia" w:ascii="宋体" w:hAnsi="宋体" w:eastAsia="宋体" w:cs="宋体"/>
          <w:b/>
          <w:bCs/>
          <w:snapToGrid w:val="0"/>
          <w:color w:val="auto"/>
          <w:kern w:val="0"/>
        </w:rPr>
        <w:t>在不改变</w:t>
      </w:r>
      <w:r>
        <w:rPr>
          <w:rFonts w:hint="eastAsia" w:hAnsi="宋体" w:cs="宋体"/>
          <w:b/>
          <w:bCs/>
          <w:snapToGrid w:val="0"/>
          <w:color w:val="auto"/>
          <w:kern w:val="0"/>
          <w:lang w:eastAsia="zh-CN"/>
        </w:rPr>
        <w:t>成交供应商</w:t>
      </w:r>
      <w:r>
        <w:rPr>
          <w:rFonts w:hint="eastAsia" w:ascii="宋体" w:hAnsi="宋体" w:eastAsia="宋体" w:cs="宋体"/>
          <w:b/>
          <w:bCs/>
          <w:snapToGrid w:val="0"/>
          <w:color w:val="auto"/>
          <w:kern w:val="0"/>
        </w:rPr>
        <w:t>的</w:t>
      </w:r>
      <w:r>
        <w:rPr>
          <w:rFonts w:hint="eastAsia" w:hAnsi="宋体" w:cs="宋体"/>
          <w:b/>
          <w:bCs/>
          <w:snapToGrid w:val="0"/>
          <w:color w:val="auto"/>
          <w:kern w:val="0"/>
          <w:lang w:eastAsia="zh-CN"/>
        </w:rPr>
        <w:t>磋商报价</w:t>
      </w:r>
      <w:r>
        <w:rPr>
          <w:rFonts w:hint="eastAsia" w:ascii="宋体" w:hAnsi="宋体" w:eastAsia="宋体" w:cs="宋体"/>
          <w:b/>
          <w:bCs/>
          <w:snapToGrid w:val="0"/>
          <w:color w:val="auto"/>
          <w:kern w:val="0"/>
        </w:rPr>
        <w:t>的前提下，</w:t>
      </w:r>
      <w:r>
        <w:rPr>
          <w:rStyle w:val="6"/>
          <w:rFonts w:hint="eastAsia" w:hAnsi="宋体" w:cs="宋体"/>
          <w:b/>
          <w:bCs/>
          <w:color w:val="auto"/>
          <w:kern w:val="0"/>
          <w:lang w:eastAsia="zh-CN"/>
        </w:rPr>
        <w:t>采购人</w:t>
      </w:r>
      <w:r>
        <w:rPr>
          <w:rStyle w:val="6"/>
          <w:rFonts w:hint="eastAsia" w:ascii="宋体" w:hAnsi="宋体" w:eastAsia="宋体" w:cs="宋体"/>
          <w:b/>
          <w:bCs/>
          <w:color w:val="auto"/>
          <w:kern w:val="0"/>
        </w:rPr>
        <w:t>应对</w:t>
      </w:r>
      <w:r>
        <w:rPr>
          <w:rStyle w:val="6"/>
          <w:rFonts w:hint="eastAsia" w:hAnsi="宋体" w:cs="宋体"/>
          <w:b/>
          <w:bCs/>
          <w:color w:val="auto"/>
          <w:kern w:val="0"/>
          <w:lang w:eastAsia="zh-CN"/>
        </w:rPr>
        <w:t>成交供应商</w:t>
      </w:r>
      <w:r>
        <w:rPr>
          <w:rStyle w:val="6"/>
          <w:rFonts w:hint="eastAsia" w:ascii="宋体" w:hAnsi="宋体" w:eastAsia="宋体" w:cs="宋体"/>
          <w:b/>
          <w:bCs/>
          <w:color w:val="auto"/>
          <w:kern w:val="0"/>
        </w:rPr>
        <w:t>的</w:t>
      </w:r>
      <w:r>
        <w:rPr>
          <w:rStyle w:val="6"/>
          <w:rFonts w:hint="eastAsia" w:hAnsi="宋体" w:cs="宋体"/>
          <w:b/>
          <w:bCs/>
          <w:color w:val="auto"/>
          <w:kern w:val="0"/>
          <w:lang w:eastAsia="zh-CN"/>
        </w:rPr>
        <w:t>磋商报价</w:t>
      </w:r>
      <w:r>
        <w:rPr>
          <w:rStyle w:val="6"/>
          <w:rFonts w:hint="eastAsia" w:ascii="宋体" w:hAnsi="宋体" w:eastAsia="宋体" w:cs="宋体"/>
          <w:b/>
          <w:bCs/>
          <w:color w:val="auto"/>
          <w:kern w:val="0"/>
        </w:rPr>
        <w:t>进行全面分析和整理，从而发现并提取其中可能存在的算术性错误、错漏项、不平衡报价等不正常报价，并修正其中的算术性错误。</w:t>
      </w:r>
      <w:r>
        <w:rPr>
          <w:rStyle w:val="6"/>
          <w:rFonts w:hint="eastAsia" w:hAnsi="宋体" w:cs="宋体"/>
          <w:color w:val="auto"/>
          <w:kern w:val="0"/>
          <w:lang w:eastAsia="zh-CN"/>
        </w:rPr>
        <w:t>采购人</w:t>
      </w:r>
      <w:r>
        <w:rPr>
          <w:rStyle w:val="6"/>
          <w:rFonts w:hint="eastAsia" w:ascii="宋体" w:hAnsi="宋体" w:eastAsia="宋体" w:cs="宋体"/>
          <w:color w:val="auto"/>
          <w:kern w:val="0"/>
        </w:rPr>
        <w:t>不具备以上能力的，可授权编制本工程招标控制价的造价咨询单位实施</w:t>
      </w:r>
      <w:r>
        <w:rPr>
          <w:rFonts w:hint="eastAsia" w:ascii="宋体" w:hAnsi="宋体" w:eastAsia="宋体" w:cs="宋体"/>
          <w:snapToGrid w:val="0"/>
          <w:color w:val="auto"/>
          <w:kern w:val="0"/>
        </w:rPr>
        <w:t>或</w:t>
      </w:r>
      <w:r>
        <w:rPr>
          <w:rFonts w:hint="eastAsia" w:hAnsi="宋体" w:cs="宋体"/>
          <w:snapToGrid w:val="0"/>
          <w:color w:val="auto"/>
          <w:kern w:val="0"/>
          <w:lang w:eastAsia="zh-CN"/>
        </w:rPr>
        <w:t>采购人</w:t>
      </w:r>
      <w:r>
        <w:rPr>
          <w:rFonts w:hint="eastAsia" w:ascii="宋体" w:hAnsi="宋体" w:eastAsia="宋体" w:cs="宋体"/>
          <w:snapToGrid w:val="0"/>
          <w:color w:val="auto"/>
          <w:kern w:val="0"/>
        </w:rPr>
        <w:t>委托的本工程造价咨询服务单位实施</w:t>
      </w:r>
      <w:r>
        <w:rPr>
          <w:rStyle w:val="6"/>
          <w:rFonts w:hint="eastAsia" w:ascii="宋体" w:hAnsi="宋体" w:eastAsia="宋体" w:cs="宋体"/>
          <w:color w:val="auto"/>
          <w:kern w:val="0"/>
        </w:rPr>
        <w:t>。</w:t>
      </w:r>
    </w:p>
    <w:p w14:paraId="61C3B863">
      <w:pPr>
        <w:snapToGrid w:val="0"/>
        <w:spacing w:line="440" w:lineRule="exact"/>
        <w:ind w:firstLine="480"/>
        <w:rPr>
          <w:rStyle w:val="6"/>
          <w:rFonts w:hint="eastAsia" w:ascii="宋体" w:hAnsi="宋体" w:eastAsia="宋体" w:cs="宋体"/>
          <w:color w:val="auto"/>
          <w:kern w:val="0"/>
        </w:rPr>
      </w:pPr>
      <w:r>
        <w:rPr>
          <w:rStyle w:val="6"/>
          <w:rFonts w:hint="eastAsia" w:ascii="宋体" w:hAnsi="宋体" w:eastAsia="宋体" w:cs="宋体"/>
          <w:b/>
          <w:bCs/>
          <w:color w:val="auto"/>
          <w:kern w:val="0"/>
        </w:rPr>
        <w:t>4.2.2</w:t>
      </w:r>
      <w:r>
        <w:rPr>
          <w:rStyle w:val="6"/>
          <w:rFonts w:hint="eastAsia" w:ascii="宋体" w:hAnsi="宋体" w:eastAsia="宋体" w:cs="宋体"/>
          <w:color w:val="auto"/>
          <w:kern w:val="0"/>
        </w:rPr>
        <w:t xml:space="preserve"> 算术性错误的分析和修正。</w:t>
      </w:r>
      <w:r>
        <w:rPr>
          <w:rStyle w:val="6"/>
          <w:rFonts w:hint="eastAsia" w:hAnsi="宋体" w:cs="宋体"/>
          <w:color w:val="auto"/>
          <w:kern w:val="0"/>
          <w:lang w:eastAsia="zh-CN"/>
        </w:rPr>
        <w:t>磋商报价</w:t>
      </w:r>
      <w:r>
        <w:rPr>
          <w:rStyle w:val="6"/>
          <w:rFonts w:hint="eastAsia" w:ascii="宋体" w:hAnsi="宋体" w:eastAsia="宋体" w:cs="宋体"/>
          <w:color w:val="auto"/>
          <w:kern w:val="0"/>
        </w:rPr>
        <w:t>汇总表中，</w:t>
      </w:r>
      <w:r>
        <w:rPr>
          <w:rStyle w:val="6"/>
          <w:rFonts w:hint="eastAsia" w:hAnsi="宋体" w:cs="宋体"/>
          <w:color w:val="auto"/>
          <w:kern w:val="0"/>
          <w:lang w:eastAsia="zh-CN"/>
        </w:rPr>
        <w:t>磋商报价</w:t>
      </w:r>
      <w:r>
        <w:rPr>
          <w:rStyle w:val="6"/>
          <w:rFonts w:hint="eastAsia" w:ascii="宋体" w:hAnsi="宋体" w:eastAsia="宋体" w:cs="宋体"/>
          <w:color w:val="auto"/>
          <w:kern w:val="0"/>
        </w:rPr>
        <w:t>与各分项费用之和不一致的，以</w:t>
      </w:r>
      <w:r>
        <w:rPr>
          <w:rStyle w:val="6"/>
          <w:rFonts w:hint="eastAsia" w:hAnsi="宋体" w:cs="宋体"/>
          <w:color w:val="auto"/>
          <w:kern w:val="0"/>
          <w:lang w:eastAsia="zh-CN"/>
        </w:rPr>
        <w:t>磋商报价</w:t>
      </w:r>
      <w:r>
        <w:rPr>
          <w:rStyle w:val="6"/>
          <w:rFonts w:hint="eastAsia" w:ascii="宋体" w:hAnsi="宋体" w:eastAsia="宋体" w:cs="宋体"/>
          <w:color w:val="auto"/>
          <w:kern w:val="0"/>
        </w:rPr>
        <w:t>为准修正分项费用；</w:t>
      </w:r>
      <w:r>
        <w:rPr>
          <w:rStyle w:val="6"/>
          <w:rFonts w:hint="eastAsia" w:hAnsi="宋体" w:cs="宋体"/>
          <w:color w:val="auto"/>
          <w:kern w:val="0"/>
          <w:lang w:eastAsia="zh-CN"/>
        </w:rPr>
        <w:t>磋商报价</w:t>
      </w:r>
      <w:r>
        <w:rPr>
          <w:rStyle w:val="6"/>
          <w:rFonts w:hint="eastAsia" w:ascii="宋体" w:hAnsi="宋体" w:eastAsia="宋体" w:cs="宋体"/>
          <w:color w:val="auto"/>
          <w:kern w:val="0"/>
        </w:rPr>
        <w:t>汇总表的各分项费用与对应分项表中的费用不一致的，以</w:t>
      </w:r>
      <w:r>
        <w:rPr>
          <w:rStyle w:val="6"/>
          <w:rFonts w:hint="eastAsia" w:hAnsi="宋体" w:cs="宋体"/>
          <w:color w:val="auto"/>
          <w:kern w:val="0"/>
          <w:lang w:eastAsia="zh-CN"/>
        </w:rPr>
        <w:t>磋商报价</w:t>
      </w:r>
      <w:r>
        <w:rPr>
          <w:rStyle w:val="6"/>
          <w:rFonts w:hint="eastAsia" w:ascii="宋体" w:hAnsi="宋体" w:eastAsia="宋体" w:cs="宋体"/>
          <w:color w:val="auto"/>
          <w:kern w:val="0"/>
        </w:rPr>
        <w:t>汇总表中的分项费用为准修正对应分项表中的费用；各分项表中总价金额与依据单价计算出的结果不一致的，以总价为准修正单价。</w:t>
      </w:r>
    </w:p>
    <w:p w14:paraId="0559B77C">
      <w:pPr>
        <w:snapToGrid w:val="0"/>
        <w:spacing w:line="440" w:lineRule="exact"/>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4.2.3</w:t>
      </w:r>
      <w:r>
        <w:rPr>
          <w:rStyle w:val="6"/>
          <w:rFonts w:hint="eastAsia" w:ascii="宋体" w:hAnsi="宋体" w:eastAsia="宋体" w:cs="宋体"/>
          <w:color w:val="auto"/>
          <w:kern w:val="0"/>
        </w:rPr>
        <w:t xml:space="preserve"> 错漏项的认定。</w:t>
      </w:r>
      <w:r>
        <w:rPr>
          <w:rStyle w:val="6"/>
          <w:rFonts w:hint="eastAsia" w:hAnsi="宋体" w:cs="宋体"/>
          <w:color w:val="auto"/>
          <w:kern w:val="0"/>
          <w:lang w:eastAsia="zh-CN"/>
        </w:rPr>
        <w:t>成交供应商</w:t>
      </w:r>
      <w:r>
        <w:rPr>
          <w:rStyle w:val="6"/>
          <w:rFonts w:hint="eastAsia" w:ascii="宋体" w:hAnsi="宋体" w:eastAsia="宋体" w:cs="宋体"/>
          <w:color w:val="auto"/>
          <w:kern w:val="0"/>
        </w:rPr>
        <w:t>已标价工程量清单中，任一清单项目未填报价格或价格为零的，视为错漏项。</w:t>
      </w:r>
    </w:p>
    <w:p w14:paraId="77C85613">
      <w:pPr>
        <w:snapToGrid w:val="0"/>
        <w:spacing w:line="440" w:lineRule="exact"/>
        <w:ind w:firstLine="482" w:firstLineChars="200"/>
        <w:rPr>
          <w:rStyle w:val="6"/>
          <w:rFonts w:hint="eastAsia" w:ascii="宋体" w:hAnsi="宋体" w:eastAsia="宋体" w:cs="宋体"/>
          <w:color w:val="auto"/>
          <w:kern w:val="0"/>
          <w:u w:val="single"/>
        </w:rPr>
      </w:pPr>
      <w:r>
        <w:rPr>
          <w:rStyle w:val="6"/>
          <w:rFonts w:hint="eastAsia" w:ascii="宋体" w:hAnsi="宋体" w:eastAsia="宋体" w:cs="宋体"/>
          <w:b/>
          <w:bCs/>
          <w:color w:val="auto"/>
          <w:kern w:val="0"/>
        </w:rPr>
        <w:t>4.2.4</w:t>
      </w:r>
      <w:r>
        <w:rPr>
          <w:rStyle w:val="6"/>
          <w:rFonts w:hint="eastAsia" w:ascii="宋体" w:hAnsi="宋体" w:eastAsia="宋体" w:cs="宋体"/>
          <w:color w:val="auto"/>
          <w:kern w:val="0"/>
        </w:rPr>
        <w:t xml:space="preserve"> 不平衡报价的认定。经修正算术性错误后的</w:t>
      </w:r>
      <w:r>
        <w:rPr>
          <w:rStyle w:val="6"/>
          <w:rFonts w:hint="eastAsia" w:hAnsi="宋体" w:cs="宋体"/>
          <w:color w:val="auto"/>
          <w:kern w:val="0"/>
          <w:lang w:eastAsia="zh-CN"/>
        </w:rPr>
        <w:t>成交供应商</w:t>
      </w:r>
      <w:r>
        <w:rPr>
          <w:rStyle w:val="6"/>
          <w:rFonts w:hint="eastAsia" w:ascii="宋体" w:hAnsi="宋体" w:eastAsia="宋体" w:cs="宋体"/>
          <w:color w:val="auto"/>
          <w:kern w:val="0"/>
        </w:rPr>
        <w:t>已标价工程量清单中，</w:t>
      </w:r>
      <w:r>
        <w:rPr>
          <w:rStyle w:val="6"/>
          <w:rFonts w:hint="eastAsia" w:ascii="宋体" w:hAnsi="宋体" w:eastAsia="宋体" w:cs="宋体"/>
          <w:color w:val="auto"/>
          <w:kern w:val="0"/>
          <w:highlight w:val="none"/>
          <w:u w:val="single"/>
        </w:rPr>
        <w:t>分部分项工程量清单项目的投标综合单价与招标控制价分部分项工程量清单项目的综合单价相差</w:t>
      </w:r>
      <w:r>
        <w:rPr>
          <w:rStyle w:val="6"/>
          <w:rFonts w:hint="eastAsia" w:ascii="宋体" w:hAnsi="宋体" w:eastAsia="宋体" w:cs="宋体"/>
          <w:color w:val="auto"/>
          <w:kern w:val="0"/>
          <w:highlight w:val="none"/>
          <w:u w:val="single"/>
          <w:lang w:val="en-US" w:eastAsia="zh-CN"/>
        </w:rPr>
        <w:t>15</w:t>
      </w:r>
      <w:r>
        <w:rPr>
          <w:rStyle w:val="6"/>
          <w:rFonts w:hint="eastAsia" w:ascii="宋体" w:hAnsi="宋体" w:eastAsia="宋体" w:cs="宋体"/>
          <w:color w:val="auto"/>
          <w:kern w:val="0"/>
          <w:highlight w:val="none"/>
          <w:u w:val="single"/>
        </w:rPr>
        <w:t>％（不含</w:t>
      </w:r>
      <w:r>
        <w:rPr>
          <w:rStyle w:val="6"/>
          <w:rFonts w:hint="eastAsia" w:ascii="宋体" w:hAnsi="宋体" w:eastAsia="宋体" w:cs="宋体"/>
          <w:color w:val="auto"/>
          <w:kern w:val="0"/>
          <w:highlight w:val="none"/>
          <w:u w:val="single"/>
          <w:lang w:val="en-US" w:eastAsia="zh-CN"/>
        </w:rPr>
        <w:t>15</w:t>
      </w:r>
      <w:r>
        <w:rPr>
          <w:rStyle w:val="6"/>
          <w:rFonts w:hint="eastAsia" w:ascii="宋体" w:hAnsi="宋体" w:eastAsia="宋体" w:cs="宋体"/>
          <w:color w:val="auto"/>
          <w:kern w:val="0"/>
          <w:highlight w:val="none"/>
          <w:u w:val="single"/>
        </w:rPr>
        <w:t>％）以上的</w:t>
      </w:r>
      <w:r>
        <w:rPr>
          <w:rStyle w:val="6"/>
          <w:rFonts w:hint="eastAsia" w:ascii="宋体" w:hAnsi="宋体" w:eastAsia="宋体" w:cs="宋体"/>
          <w:color w:val="auto"/>
          <w:kern w:val="0"/>
        </w:rPr>
        <w:t>清单项目，视为不平衡报价项目。</w:t>
      </w:r>
    </w:p>
    <w:p w14:paraId="096E6E2B">
      <w:pPr>
        <w:snapToGrid w:val="0"/>
        <w:spacing w:line="440" w:lineRule="exact"/>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4.2.5</w:t>
      </w:r>
      <w:r>
        <w:rPr>
          <w:rStyle w:val="6"/>
          <w:rFonts w:hint="eastAsia" w:ascii="宋体" w:hAnsi="宋体" w:eastAsia="宋体" w:cs="宋体"/>
          <w:color w:val="auto"/>
          <w:kern w:val="0"/>
        </w:rPr>
        <w:t xml:space="preserve"> </w:t>
      </w:r>
      <w:r>
        <w:rPr>
          <w:rStyle w:val="6"/>
          <w:rFonts w:hint="eastAsia" w:hAnsi="宋体" w:cs="宋体"/>
          <w:color w:val="auto"/>
          <w:kern w:val="0"/>
          <w:lang w:eastAsia="zh-CN"/>
        </w:rPr>
        <w:t>采购人</w:t>
      </w:r>
      <w:r>
        <w:rPr>
          <w:rStyle w:val="6"/>
          <w:rFonts w:hint="eastAsia" w:ascii="宋体" w:hAnsi="宋体" w:eastAsia="宋体" w:cs="宋体"/>
          <w:color w:val="auto"/>
          <w:kern w:val="0"/>
        </w:rPr>
        <w:t>或其授权的造价咨询单位应就发现的以上所有不正常报价分类整理、汇总，形成《不正常报价清单》，并交</w:t>
      </w:r>
      <w:r>
        <w:rPr>
          <w:rStyle w:val="6"/>
          <w:rFonts w:hint="eastAsia" w:hAnsi="宋体" w:cs="宋体"/>
          <w:color w:val="auto"/>
          <w:kern w:val="0"/>
          <w:lang w:eastAsia="zh-CN"/>
        </w:rPr>
        <w:t>成交供应商</w:t>
      </w:r>
      <w:r>
        <w:rPr>
          <w:rStyle w:val="6"/>
          <w:rFonts w:hint="eastAsia" w:ascii="宋体" w:hAnsi="宋体" w:eastAsia="宋体" w:cs="宋体"/>
          <w:color w:val="auto"/>
          <w:kern w:val="0"/>
        </w:rPr>
        <w:t>复核和确认。经</w:t>
      </w:r>
      <w:r>
        <w:rPr>
          <w:rStyle w:val="6"/>
          <w:rFonts w:hint="eastAsia" w:hAnsi="宋体" w:cs="宋体"/>
          <w:color w:val="auto"/>
          <w:kern w:val="0"/>
          <w:lang w:eastAsia="zh-CN"/>
        </w:rPr>
        <w:t>采购人</w:t>
      </w:r>
      <w:r>
        <w:rPr>
          <w:rStyle w:val="6"/>
          <w:rFonts w:hint="eastAsia" w:ascii="宋体" w:hAnsi="宋体" w:eastAsia="宋体" w:cs="宋体"/>
          <w:color w:val="auto"/>
          <w:kern w:val="0"/>
        </w:rPr>
        <w:t>和</w:t>
      </w:r>
      <w:r>
        <w:rPr>
          <w:rStyle w:val="6"/>
          <w:rFonts w:hint="eastAsia" w:hAnsi="宋体" w:cs="宋体"/>
          <w:color w:val="auto"/>
          <w:kern w:val="0"/>
          <w:lang w:eastAsia="zh-CN"/>
        </w:rPr>
        <w:t>成交供应商</w:t>
      </w:r>
      <w:r>
        <w:rPr>
          <w:rStyle w:val="6"/>
          <w:rFonts w:hint="eastAsia" w:ascii="宋体" w:hAnsi="宋体" w:eastAsia="宋体" w:cs="宋体"/>
          <w:color w:val="auto"/>
          <w:kern w:val="0"/>
        </w:rPr>
        <w:t>共同签字、盖章确认的《不正常报价清单》，构成施工合同的组成部分。</w:t>
      </w:r>
    </w:p>
    <w:p w14:paraId="0CA79364">
      <w:pPr>
        <w:snapToGrid w:val="0"/>
        <w:spacing w:line="440" w:lineRule="exact"/>
        <w:ind w:firstLine="482" w:firstLineChars="200"/>
        <w:rPr>
          <w:rStyle w:val="6"/>
          <w:rFonts w:hint="eastAsia" w:ascii="宋体" w:hAnsi="宋体" w:eastAsia="宋体" w:cs="宋体"/>
          <w:color w:val="auto"/>
          <w:kern w:val="0"/>
        </w:rPr>
      </w:pPr>
      <w:r>
        <w:rPr>
          <w:rStyle w:val="6"/>
          <w:rFonts w:hint="eastAsia" w:ascii="宋体" w:hAnsi="宋体" w:eastAsia="宋体" w:cs="宋体"/>
          <w:b/>
          <w:bCs/>
          <w:color w:val="auto"/>
          <w:kern w:val="0"/>
        </w:rPr>
        <w:t>4.2.6</w:t>
      </w:r>
      <w:r>
        <w:rPr>
          <w:rStyle w:val="6"/>
          <w:rFonts w:hint="eastAsia" w:ascii="宋体" w:hAnsi="宋体" w:eastAsia="宋体" w:cs="宋体"/>
          <w:color w:val="auto"/>
          <w:kern w:val="0"/>
        </w:rPr>
        <w:t xml:space="preserve"> </w:t>
      </w:r>
      <w:r>
        <w:rPr>
          <w:rStyle w:val="6"/>
          <w:rFonts w:hint="eastAsia" w:ascii="宋体" w:hAnsi="宋体" w:eastAsia="宋体" w:cs="宋体"/>
          <w:b/>
          <w:bCs/>
          <w:color w:val="auto"/>
          <w:kern w:val="0"/>
        </w:rPr>
        <w:t>合同履行过程中，被认定为错漏项的清单项目，结算时按照</w:t>
      </w:r>
      <w:r>
        <w:rPr>
          <w:rStyle w:val="6"/>
          <w:rFonts w:hint="eastAsia" w:ascii="宋体" w:hAnsi="宋体" w:eastAsia="宋体" w:cs="宋体"/>
          <w:b/>
          <w:bCs/>
          <w:color w:val="auto"/>
          <w:kern w:val="0"/>
          <w:lang w:val="en-US" w:eastAsia="zh-CN"/>
        </w:rPr>
        <w:t>本合同主要条款</w:t>
      </w:r>
      <w:r>
        <w:rPr>
          <w:rStyle w:val="6"/>
          <w:rFonts w:hint="eastAsia" w:ascii="宋体" w:hAnsi="宋体" w:eastAsia="宋体" w:cs="宋体"/>
          <w:b/>
          <w:bCs/>
          <w:color w:val="auto"/>
          <w:kern w:val="0"/>
        </w:rPr>
        <w:t>第2.6条规定处理。</w:t>
      </w:r>
    </w:p>
    <w:p w14:paraId="16B576E5">
      <w:pPr>
        <w:pStyle w:val="2"/>
        <w:ind w:firstLine="482" w:firstLineChars="200"/>
        <w:rPr>
          <w:rStyle w:val="6"/>
          <w:rFonts w:hint="eastAsia" w:ascii="宋体" w:hAnsi="宋体" w:eastAsia="宋体" w:cs="宋体"/>
          <w:b/>
          <w:bCs/>
          <w:color w:val="auto"/>
          <w:kern w:val="0"/>
        </w:rPr>
      </w:pPr>
      <w:r>
        <w:rPr>
          <w:rStyle w:val="6"/>
          <w:rFonts w:hint="eastAsia" w:ascii="宋体" w:hAnsi="宋体" w:eastAsia="宋体" w:cs="宋体"/>
          <w:b/>
          <w:bCs/>
          <w:color w:val="auto"/>
          <w:kern w:val="0"/>
        </w:rPr>
        <w:t>4.2.7 合同履行过程中，合同约定的调整因素（如工程量偏差、工程变更、项目特征不符、工程量清单缺项等）出现时，被认定为不平衡报价的清单项目以及采用被认定为不平衡报价的清单项目的价格作为取价（或参照取价）依据的变更、新增项目，按照</w:t>
      </w:r>
      <w:r>
        <w:rPr>
          <w:rStyle w:val="6"/>
          <w:rFonts w:hint="eastAsia" w:ascii="宋体" w:hAnsi="宋体" w:eastAsia="宋体" w:cs="宋体"/>
          <w:b/>
          <w:bCs/>
          <w:color w:val="auto"/>
          <w:kern w:val="0"/>
          <w:lang w:val="en-US" w:eastAsia="zh-CN"/>
        </w:rPr>
        <w:t>本合同主要条款</w:t>
      </w:r>
      <w:r>
        <w:rPr>
          <w:rStyle w:val="6"/>
          <w:rFonts w:hint="eastAsia" w:ascii="宋体" w:hAnsi="宋体" w:eastAsia="宋体" w:cs="宋体"/>
          <w:b/>
          <w:bCs/>
          <w:color w:val="auto"/>
          <w:kern w:val="0"/>
        </w:rPr>
        <w:t>第2.3条的有关规定调整合同价款。</w:t>
      </w:r>
    </w:p>
    <w:p w14:paraId="22991275">
      <w:pPr>
        <w:ind w:firstLine="480" w:firstLineChars="200"/>
        <w:rPr>
          <w:rStyle w:val="6"/>
          <w:rFonts w:hint="eastAsia" w:hAnsi="宋体" w:cs="宋体"/>
          <w:b w:val="0"/>
          <w:bCs w:val="0"/>
          <w:color w:val="auto"/>
          <w:kern w:val="0"/>
          <w:lang w:val="en-US" w:eastAsia="zh-CN"/>
        </w:rPr>
      </w:pPr>
      <w:r>
        <w:rPr>
          <w:rStyle w:val="6"/>
          <w:rFonts w:hint="eastAsia" w:hAnsi="宋体" w:cs="宋体"/>
          <w:b w:val="0"/>
          <w:bCs w:val="0"/>
          <w:color w:val="auto"/>
          <w:kern w:val="0"/>
          <w:lang w:val="en-US" w:eastAsia="zh-CN"/>
        </w:rPr>
        <w:t>5、当暂估价项目的内容、标准、要求在项目实施过程中得以深化、明确、固定后，按以下原则发包：</w:t>
      </w:r>
    </w:p>
    <w:p w14:paraId="3B3C0015">
      <w:pPr>
        <w:ind w:firstLine="480" w:firstLineChars="200"/>
        <w:rPr>
          <w:rStyle w:val="6"/>
          <w:rFonts w:hint="eastAsia" w:hAnsi="宋体" w:cs="宋体"/>
          <w:b w:val="0"/>
          <w:bCs w:val="0"/>
          <w:color w:val="auto"/>
          <w:kern w:val="0"/>
          <w:lang w:val="en-US" w:eastAsia="zh-CN"/>
        </w:rPr>
      </w:pPr>
      <w:r>
        <w:rPr>
          <w:rStyle w:val="6"/>
          <w:rFonts w:hint="eastAsia" w:hAnsi="宋体" w:cs="宋体"/>
          <w:b w:val="0"/>
          <w:bCs w:val="0"/>
          <w:color w:val="auto"/>
          <w:kern w:val="0"/>
          <w:lang w:val="en-US" w:eastAsia="zh-CN"/>
        </w:rPr>
        <w:t>5.1暂估价项目按工程、货物（指材料或工程设备，下同）的类别分类汇总的金额，达到必须招标规模标准的，由成交供应商招标，采购人参与管理，确定专业工程承包人（或材料、工程设备供应商）和合同价格。</w:t>
      </w:r>
    </w:p>
    <w:p w14:paraId="4DB04C45">
      <w:pPr>
        <w:ind w:firstLine="480" w:firstLineChars="200"/>
        <w:rPr>
          <w:rStyle w:val="6"/>
          <w:rFonts w:hint="eastAsia" w:hAnsi="宋体" w:cs="宋体"/>
          <w:b w:val="0"/>
          <w:bCs w:val="0"/>
          <w:color w:val="auto"/>
          <w:kern w:val="0"/>
          <w:lang w:val="en-US" w:eastAsia="zh-CN"/>
        </w:rPr>
      </w:pPr>
      <w:r>
        <w:rPr>
          <w:rStyle w:val="6"/>
          <w:rFonts w:hint="eastAsia" w:hAnsi="宋体" w:cs="宋体"/>
          <w:b w:val="0"/>
          <w:bCs w:val="0"/>
          <w:color w:val="auto"/>
          <w:kern w:val="0"/>
          <w:lang w:val="en-US" w:eastAsia="zh-CN"/>
        </w:rPr>
        <w:t>5.2暂估价项目按工程、货物的类别分类汇总的金额，未达到必须规模标准但适用政府采购规定的，按照政府采购规定确定专业工程承包人（或材料、工程设备供应商）和合同价格。</w:t>
      </w:r>
    </w:p>
    <w:p w14:paraId="07A2C28C">
      <w:pPr>
        <w:ind w:firstLine="480" w:firstLineChars="200"/>
        <w:rPr>
          <w:rStyle w:val="6"/>
          <w:rFonts w:hint="eastAsia" w:hAnsi="宋体" w:cs="宋体"/>
          <w:b w:val="0"/>
          <w:bCs w:val="0"/>
          <w:color w:val="auto"/>
          <w:kern w:val="0"/>
          <w:lang w:val="en-US" w:eastAsia="zh-CN"/>
        </w:rPr>
      </w:pPr>
      <w:r>
        <w:rPr>
          <w:rStyle w:val="6"/>
          <w:rFonts w:hint="eastAsia" w:hAnsi="宋体" w:cs="宋体"/>
          <w:b w:val="0"/>
          <w:bCs w:val="0"/>
          <w:color w:val="auto"/>
          <w:kern w:val="0"/>
          <w:lang w:val="en-US" w:eastAsia="zh-CN"/>
        </w:rPr>
        <w:t>5.3暂估价项目按工程、货物的类别分类汇总的金额，未达到必须规模标准也不适用政府采购规定，成交供应商具备相应资格条件的，由成交供应商承包；成交供应商不具备相应资格条件但具备分包权的，由成交供应商分包，采购人同成交供应商结算原则按本竞争性磋商文件相关条款执行。</w:t>
      </w:r>
    </w:p>
    <w:p w14:paraId="2F50E4C9">
      <w:pPr>
        <w:ind w:firstLine="480" w:firstLineChars="200"/>
        <w:rPr>
          <w:rStyle w:val="6"/>
          <w:rFonts w:hint="eastAsia" w:hAnsi="宋体" w:cs="宋体"/>
          <w:b w:val="0"/>
          <w:bCs w:val="0"/>
          <w:color w:val="auto"/>
          <w:kern w:val="0"/>
          <w:lang w:val="en-US" w:eastAsia="zh-CN"/>
        </w:rPr>
      </w:pPr>
      <w:r>
        <w:rPr>
          <w:rStyle w:val="6"/>
          <w:rFonts w:hint="eastAsia" w:hAnsi="宋体" w:cs="宋体"/>
          <w:b w:val="0"/>
          <w:bCs w:val="0"/>
          <w:color w:val="auto"/>
          <w:kern w:val="0"/>
          <w:lang w:val="en-US" w:eastAsia="zh-CN"/>
        </w:rPr>
        <w:t>5.4暂估价项目按工程、货物的类别分类汇总的金额，未达到必须规模标准也不适用政府采购规定，成交供应商既不具备相应资格</w:t>
      </w:r>
      <w:bookmarkStart w:id="30" w:name="_GoBack"/>
      <w:bookmarkEnd w:id="30"/>
      <w:r>
        <w:rPr>
          <w:rStyle w:val="6"/>
          <w:rFonts w:hint="eastAsia" w:hAnsi="宋体" w:cs="宋体"/>
          <w:b w:val="0"/>
          <w:bCs w:val="0"/>
          <w:color w:val="auto"/>
          <w:kern w:val="0"/>
          <w:lang w:val="en-US" w:eastAsia="zh-CN"/>
        </w:rPr>
        <w:t>条件又不具备分包权的，由采购人另行发包。</w:t>
      </w:r>
    </w:p>
    <w:p w14:paraId="44A50780">
      <w:pPr>
        <w:ind w:firstLine="480" w:firstLineChars="200"/>
        <w:rPr>
          <w:rStyle w:val="6"/>
          <w:rFonts w:hint="eastAsia" w:hAnsi="宋体" w:cs="宋体"/>
          <w:b w:val="0"/>
          <w:bCs w:val="0"/>
          <w:color w:val="auto"/>
          <w:kern w:val="0"/>
          <w:lang w:val="en-US" w:eastAsia="zh-CN"/>
        </w:rPr>
      </w:pPr>
      <w:r>
        <w:rPr>
          <w:rStyle w:val="6"/>
          <w:rFonts w:hint="eastAsia" w:hAnsi="宋体" w:cs="宋体"/>
          <w:b w:val="0"/>
          <w:bCs w:val="0"/>
          <w:color w:val="auto"/>
          <w:kern w:val="0"/>
          <w:lang w:val="en-US" w:eastAsia="zh-CN"/>
        </w:rPr>
        <w:t>5.5暂估价项目由其他承包人承包的，纳入成交供应商的管理和协调范围，由其他承包人向成交供应商承担质量、安全、文明施工、工期责任，成交供应商向采购人承担责任。</w:t>
      </w:r>
    </w:p>
    <w:p w14:paraId="7ECEE574">
      <w:pPr>
        <w:ind w:firstLine="480" w:firstLineChars="200"/>
        <w:rPr>
          <w:rStyle w:val="6"/>
          <w:rFonts w:hint="default" w:hAnsi="宋体" w:cs="宋体"/>
          <w:b w:val="0"/>
          <w:bCs w:val="0"/>
          <w:color w:val="auto"/>
          <w:kern w:val="0"/>
          <w:lang w:val="en-US" w:eastAsia="zh-CN"/>
        </w:rPr>
      </w:pPr>
      <w:r>
        <w:rPr>
          <w:rStyle w:val="6"/>
          <w:rFonts w:hint="eastAsia" w:hAnsi="宋体" w:cs="宋体"/>
          <w:b w:val="0"/>
          <w:bCs w:val="0"/>
          <w:color w:val="auto"/>
          <w:kern w:val="0"/>
          <w:lang w:val="en-US" w:eastAsia="zh-CN"/>
        </w:rPr>
        <w:t>6、本工程以暂列金额形式列入招标工程量清单中的所需货物和服务的采购（以下统称“暂列金额项目”）若有发生，按照</w:t>
      </w:r>
      <w:r>
        <w:rPr>
          <w:rStyle w:val="6"/>
          <w:rFonts w:hint="eastAsia" w:ascii="宋体" w:hAnsi="宋体" w:eastAsia="宋体" w:cs="宋体"/>
          <w:b w:val="0"/>
          <w:bCs w:val="0"/>
          <w:color w:val="auto"/>
          <w:kern w:val="0"/>
          <w:lang w:val="en-US" w:eastAsia="zh-CN"/>
        </w:rPr>
        <w:t>本合同主要条款</w:t>
      </w:r>
      <w:r>
        <w:rPr>
          <w:rStyle w:val="6"/>
          <w:rFonts w:hint="eastAsia" w:ascii="宋体" w:hAnsi="宋体" w:eastAsia="宋体" w:cs="宋体"/>
          <w:b w:val="0"/>
          <w:bCs w:val="0"/>
          <w:color w:val="auto"/>
          <w:kern w:val="0"/>
        </w:rPr>
        <w:t>第</w:t>
      </w:r>
      <w:r>
        <w:rPr>
          <w:rStyle w:val="6"/>
          <w:rFonts w:hint="eastAsia" w:hAnsi="宋体" w:cs="宋体"/>
          <w:b w:val="0"/>
          <w:bCs w:val="0"/>
          <w:color w:val="auto"/>
          <w:kern w:val="0"/>
          <w:lang w:val="en-US" w:eastAsia="zh-CN"/>
        </w:rPr>
        <w:t>5</w:t>
      </w:r>
      <w:r>
        <w:rPr>
          <w:rStyle w:val="6"/>
          <w:rFonts w:hint="eastAsia" w:ascii="宋体" w:hAnsi="宋体" w:eastAsia="宋体" w:cs="宋体"/>
          <w:b w:val="0"/>
          <w:bCs w:val="0"/>
          <w:color w:val="auto"/>
          <w:kern w:val="0"/>
        </w:rPr>
        <w:t>条</w:t>
      </w:r>
      <w:r>
        <w:rPr>
          <w:rStyle w:val="6"/>
          <w:rFonts w:hint="eastAsia" w:hAnsi="宋体" w:cs="宋体"/>
          <w:b w:val="0"/>
          <w:bCs w:val="0"/>
          <w:color w:val="auto"/>
          <w:kern w:val="0"/>
          <w:lang w:val="en-US" w:eastAsia="zh-CN"/>
        </w:rPr>
        <w:t>的规定确定货物（或服务）供应商和合同价格。暂列金额项目由其他承包人承包的，纳入成交供应商的管理和协调范围，由其他承包人向成交供应商承担质量、安全、文明施工、工期责任，成交供应商向采购人承担责任。</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C53D6"/>
    <w:rsid w:val="05300538"/>
    <w:rsid w:val="053E7D2E"/>
    <w:rsid w:val="129526FC"/>
    <w:rsid w:val="137B32C6"/>
    <w:rsid w:val="15A66E67"/>
    <w:rsid w:val="163C3060"/>
    <w:rsid w:val="1A165AF6"/>
    <w:rsid w:val="1B55264E"/>
    <w:rsid w:val="23A76741"/>
    <w:rsid w:val="26541E80"/>
    <w:rsid w:val="2B4C53D6"/>
    <w:rsid w:val="2CC87BAE"/>
    <w:rsid w:val="2F9969C8"/>
    <w:rsid w:val="3EFB6EE5"/>
    <w:rsid w:val="4FDC066D"/>
    <w:rsid w:val="52756B57"/>
    <w:rsid w:val="55AA4D69"/>
    <w:rsid w:val="566C67F8"/>
    <w:rsid w:val="56CB31E9"/>
    <w:rsid w:val="60471B32"/>
    <w:rsid w:val="7B25086A"/>
    <w:rsid w:val="7B9F061D"/>
    <w:rsid w:val="7DDF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textAlignment w:val="baseline"/>
    </w:pPr>
    <w:rPr>
      <w:rFonts w:ascii="宋体" w:hAnsi="Times New Roman" w:eastAsia="宋体" w:cs="宋体"/>
      <w:kern w:val="2"/>
      <w:sz w:val="24"/>
      <w:szCs w:val="24"/>
      <w:lang w:val="en-US" w:eastAsia="zh-CN" w:bidi="ar-SA"/>
    </w:rPr>
  </w:style>
  <w:style w:type="paragraph" w:styleId="2">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Heading2"/>
    <w:basedOn w:val="1"/>
    <w:next w:val="1"/>
    <w:qFormat/>
    <w:uiPriority w:val="99"/>
    <w:pPr>
      <w:jc w:val="left"/>
    </w:pPr>
    <w:rPr>
      <w:kern w:val="0"/>
    </w:rPr>
  </w:style>
  <w:style w:type="character" w:customStyle="1" w:styleId="6">
    <w:name w:val="NormalCharacter"/>
    <w:qFormat/>
    <w:uiPriority w:val="99"/>
  </w:style>
  <w:style w:type="paragraph" w:customStyle="1" w:styleId="7">
    <w:name w:val="UserStyle_62"/>
    <w:basedOn w:val="1"/>
    <w:next w:val="1"/>
    <w:qFormat/>
    <w:uiPriority w:val="99"/>
    <w:pPr>
      <w:jc w:val="center"/>
    </w:pPr>
    <w:rPr>
      <w:rFonts w:ascii="Times New Roman" w:cs="Times New Roman"/>
      <w:b/>
      <w:bCs/>
    </w:rPr>
  </w:style>
  <w:style w:type="paragraph" w:customStyle="1" w:styleId="8">
    <w:name w:val="AnnotationText"/>
    <w:basedOn w:val="1"/>
    <w:qFormat/>
    <w:uiPriority w:val="99"/>
    <w:pPr>
      <w:spacing w:line="360" w:lineRule="atLeast"/>
      <w:jc w:val="left"/>
    </w:pPr>
    <w:rPr>
      <w:kern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6366</Words>
  <Characters>6701</Characters>
  <Lines>0</Lines>
  <Paragraphs>0</Paragraphs>
  <TotalTime>1</TotalTime>
  <ScaleCrop>false</ScaleCrop>
  <LinksUpToDate>false</LinksUpToDate>
  <CharactersWithSpaces>6764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2025-07-24T02:47:00Z</dcterms:created>
  <dc:creator>bangong</dc:creator>
  <cp:lastModifiedBy>bangong</cp:lastModifiedBy>
  <dcterms:modified xsi:type="dcterms:W3CDTF">2025-07-25T11:23:47Z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66C60F3864FC401A972B8AAD027C4B99_11</vt:lpwstr>
  </property>
  <property fmtid="{D5CDD505-2E9C-101B-9397-08002B2CF9AE}" pid="4" name="KSOTemplateDocerSaveRecord">
    <vt:lpwstr>eyJoZGlkIjoiMmVjYjgwN2NmMDBmZjZkZmU5ZTczNDg0MzE1ZjI5MGUiLCJ1c2VySWQiOiIxNTA1OTQ0ODM3In0=</vt:lpwstr>
  </property>
</Properties>
</file>