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仿宋" w:hAnsi="仿宋" w:eastAsia="仿宋" w:cs="仿宋"/>
          <w:color w:val="333333"/>
          <w:sz w:val="36"/>
          <w:szCs w:val="36"/>
          <w:shd w:val="clear" w:color="auto" w:fill="FFFFFF"/>
          <w:lang w:eastAsia="zh-CN"/>
        </w:rPr>
      </w:pPr>
      <w:r>
        <w:rPr>
          <w:rFonts w:hint="eastAsia" w:ascii="仿宋" w:hAnsi="仿宋" w:eastAsia="仿宋" w:cs="仿宋"/>
          <w:color w:val="333333"/>
          <w:sz w:val="36"/>
          <w:szCs w:val="36"/>
          <w:shd w:val="clear" w:color="auto" w:fill="FFFFFF"/>
        </w:rPr>
        <w:t>附件一</w:t>
      </w:r>
      <w:r>
        <w:rPr>
          <w:rFonts w:hint="eastAsia" w:ascii="仿宋" w:hAnsi="仿宋" w:eastAsia="仿宋" w:cs="仿宋"/>
          <w:color w:val="333333"/>
          <w:sz w:val="36"/>
          <w:szCs w:val="36"/>
          <w:shd w:val="clear" w:color="auto" w:fill="FFFFFF"/>
          <w:lang w:eastAsia="zh-CN"/>
        </w:rPr>
        <w:t>：</w:t>
      </w:r>
      <w:r>
        <w:rPr>
          <w:rFonts w:hint="eastAsia" w:ascii="仿宋" w:hAnsi="仿宋" w:eastAsia="仿宋" w:cs="仿宋"/>
          <w:color w:val="333333"/>
          <w:sz w:val="36"/>
          <w:szCs w:val="36"/>
          <w:shd w:val="clear" w:color="auto" w:fill="FFFFFF"/>
        </w:rPr>
        <w:t>采购需求</w:t>
      </w:r>
      <w:r>
        <w:rPr>
          <w:rFonts w:hint="eastAsia" w:ascii="仿宋" w:hAnsi="仿宋" w:eastAsia="仿宋" w:cs="仿宋"/>
          <w:color w:val="333333"/>
          <w:sz w:val="36"/>
          <w:szCs w:val="36"/>
          <w:shd w:val="clear" w:color="auto" w:fill="FFFFFF"/>
          <w:lang w:eastAsia="zh-CN"/>
        </w:rPr>
        <w:t>清单</w:t>
      </w:r>
    </w:p>
    <w:p>
      <w:pPr>
        <w:spacing w:line="360" w:lineRule="auto"/>
        <w:rPr>
          <w:rFonts w:hint="eastAsia" w:cs="仿宋" w:asciiTheme="minorEastAsia" w:hAnsiTheme="minorEastAsia" w:eastAsiaTheme="minorEastAsia"/>
          <w:color w:val="333333"/>
          <w:sz w:val="28"/>
          <w:szCs w:val="28"/>
          <w:shd w:val="clear" w:color="auto" w:fill="FFFFFF"/>
          <w:lang w:eastAsia="zh-CN"/>
        </w:rPr>
      </w:pPr>
    </w:p>
    <w:tbl>
      <w:tblPr>
        <w:tblStyle w:val="6"/>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071"/>
        <w:gridCol w:w="3508"/>
        <w:gridCol w:w="2457"/>
        <w:gridCol w:w="2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34" w:hRule="atLeast"/>
        </w:trPr>
        <w:tc>
          <w:tcPr>
            <w:tcW w:w="564" w:type="pct"/>
            <w:shd w:val="clear" w:color="auto" w:fill="auto"/>
            <w:vAlign w:val="center"/>
          </w:tcPr>
          <w:p>
            <w:pPr>
              <w:keepNext w:val="0"/>
              <w:keepLines w:val="0"/>
              <w:widowControl/>
              <w:suppressLineNumbers w:val="0"/>
              <w:spacing w:line="360" w:lineRule="auto"/>
              <w:jc w:val="center"/>
              <w:textAlignment w:val="center"/>
              <w:rPr>
                <w:rFonts w:ascii="仿宋" w:hAnsi="仿宋" w:eastAsia="仿宋" w:cs="仿宋"/>
                <w:b/>
                <w:bCs/>
                <w:i w:val="0"/>
                <w:iCs w:val="0"/>
                <w:color w:val="000000"/>
                <w:sz w:val="32"/>
                <w:szCs w:val="32"/>
                <w:u w:val="none"/>
              </w:rPr>
            </w:pPr>
            <w:r>
              <w:rPr>
                <w:rFonts w:hint="default" w:ascii="仿宋" w:hAnsi="仿宋" w:eastAsia="仿宋" w:cs="仿宋"/>
                <w:b/>
                <w:bCs/>
                <w:i w:val="0"/>
                <w:iCs w:val="0"/>
                <w:color w:val="000000"/>
                <w:kern w:val="0"/>
                <w:sz w:val="32"/>
                <w:szCs w:val="32"/>
                <w:u w:val="none"/>
                <w:lang w:val="en-US" w:eastAsia="zh-CN" w:bidi="ar"/>
              </w:rPr>
              <w:t>序号</w:t>
            </w:r>
          </w:p>
        </w:tc>
        <w:tc>
          <w:tcPr>
            <w:tcW w:w="1846" w:type="pct"/>
            <w:shd w:val="clear" w:color="auto" w:fill="auto"/>
            <w:vAlign w:val="center"/>
          </w:tcPr>
          <w:p>
            <w:pPr>
              <w:keepNext w:val="0"/>
              <w:keepLines w:val="0"/>
              <w:widowControl/>
              <w:suppressLineNumbers w:val="0"/>
              <w:spacing w:line="360" w:lineRule="auto"/>
              <w:jc w:val="center"/>
              <w:textAlignment w:val="center"/>
              <w:rPr>
                <w:rFonts w:hint="default" w:ascii="仿宋" w:hAnsi="仿宋" w:eastAsia="仿宋" w:cs="仿宋"/>
                <w:b/>
                <w:bCs/>
                <w:i w:val="0"/>
                <w:iCs w:val="0"/>
                <w:color w:val="000000"/>
                <w:sz w:val="28"/>
                <w:szCs w:val="28"/>
                <w:u w:val="none"/>
              </w:rPr>
            </w:pPr>
            <w:r>
              <w:rPr>
                <w:rFonts w:hint="default" w:ascii="仿宋" w:hAnsi="仿宋" w:eastAsia="仿宋" w:cs="仿宋"/>
                <w:b/>
                <w:bCs/>
                <w:i w:val="0"/>
                <w:iCs w:val="0"/>
                <w:color w:val="000000"/>
                <w:kern w:val="0"/>
                <w:sz w:val="28"/>
                <w:szCs w:val="28"/>
                <w:u w:val="none"/>
                <w:lang w:val="en-US" w:eastAsia="zh-CN" w:bidi="ar"/>
              </w:rPr>
              <w:t>设备名称</w:t>
            </w:r>
          </w:p>
        </w:tc>
        <w:tc>
          <w:tcPr>
            <w:tcW w:w="1293" w:type="pct"/>
            <w:shd w:val="clear" w:color="auto" w:fill="auto"/>
            <w:vAlign w:val="center"/>
          </w:tcPr>
          <w:p>
            <w:pPr>
              <w:keepNext w:val="0"/>
              <w:keepLines w:val="0"/>
              <w:widowControl/>
              <w:suppressLineNumbers w:val="0"/>
              <w:spacing w:line="360" w:lineRule="auto"/>
              <w:jc w:val="center"/>
              <w:textAlignment w:val="center"/>
              <w:rPr>
                <w:rFonts w:hint="default" w:ascii="仿宋" w:hAnsi="仿宋" w:eastAsia="仿宋" w:cs="仿宋"/>
                <w:b/>
                <w:bCs/>
                <w:i w:val="0"/>
                <w:iCs w:val="0"/>
                <w:color w:val="000000"/>
                <w:kern w:val="0"/>
                <w:sz w:val="28"/>
                <w:szCs w:val="28"/>
                <w:u w:val="none"/>
                <w:lang w:val="en-US" w:eastAsia="zh-CN" w:bidi="ar"/>
              </w:rPr>
            </w:pPr>
            <w:r>
              <w:rPr>
                <w:rFonts w:hint="default" w:ascii="仿宋" w:hAnsi="仿宋" w:eastAsia="仿宋" w:cs="仿宋"/>
                <w:b/>
                <w:bCs/>
                <w:i w:val="0"/>
                <w:iCs w:val="0"/>
                <w:color w:val="000000"/>
                <w:kern w:val="0"/>
                <w:sz w:val="28"/>
                <w:szCs w:val="28"/>
                <w:u w:val="none"/>
                <w:lang w:val="en-US" w:eastAsia="zh-CN" w:bidi="ar"/>
              </w:rPr>
              <w:t>数量</w:t>
            </w:r>
          </w:p>
        </w:tc>
        <w:tc>
          <w:tcPr>
            <w:tcW w:w="1296" w:type="pct"/>
            <w:shd w:val="clear" w:color="auto" w:fill="auto"/>
            <w:vAlign w:val="center"/>
          </w:tcPr>
          <w:p>
            <w:pPr>
              <w:keepNext w:val="0"/>
              <w:keepLines w:val="0"/>
              <w:widowControl/>
              <w:suppressLineNumbers w:val="0"/>
              <w:spacing w:line="360" w:lineRule="auto"/>
              <w:jc w:val="center"/>
              <w:textAlignment w:val="center"/>
              <w:rPr>
                <w:rFonts w:hint="default" w:ascii="仿宋" w:hAnsi="仿宋" w:eastAsia="仿宋" w:cs="仿宋"/>
                <w:b/>
                <w:bCs/>
                <w:i w:val="0"/>
                <w:iCs w:val="0"/>
                <w:color w:val="000000"/>
                <w:kern w:val="0"/>
                <w:sz w:val="28"/>
                <w:szCs w:val="28"/>
                <w:u w:val="none"/>
                <w:lang w:val="en-US" w:eastAsia="zh-CN" w:bidi="ar"/>
              </w:rPr>
            </w:pPr>
            <w:r>
              <w:rPr>
                <w:rFonts w:hint="eastAsia" w:ascii="仿宋" w:hAnsi="仿宋" w:eastAsia="仿宋" w:cs="仿宋"/>
                <w:b/>
                <w:bCs/>
                <w:i w:val="0"/>
                <w:iCs w:val="0"/>
                <w:color w:val="000000"/>
                <w:kern w:val="0"/>
                <w:sz w:val="28"/>
                <w:szCs w:val="28"/>
                <w:u w:val="none"/>
                <w:lang w:val="en-US" w:eastAsia="zh-CN" w:bidi="ar"/>
              </w:rPr>
              <w:t>预算金额(元)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564" w:type="pct"/>
            <w:shd w:val="clear" w:color="auto" w:fill="auto"/>
            <w:vAlign w:val="center"/>
          </w:tcPr>
          <w:p>
            <w:pPr>
              <w:keepNext w:val="0"/>
              <w:keepLines w:val="0"/>
              <w:widowControl/>
              <w:suppressLineNumbers w:val="0"/>
              <w:spacing w:line="360" w:lineRule="auto"/>
              <w:jc w:val="center"/>
              <w:textAlignment w:val="center"/>
              <w:rPr>
                <w:rFonts w:hint="default" w:ascii="仿宋" w:hAnsi="仿宋" w:eastAsia="仿宋" w:cs="仿宋"/>
                <w:b/>
                <w:bCs/>
                <w:i w:val="0"/>
                <w:iCs w:val="0"/>
                <w:color w:val="000000"/>
                <w:sz w:val="32"/>
                <w:szCs w:val="32"/>
                <w:u w:val="none"/>
              </w:rPr>
            </w:pPr>
            <w:r>
              <w:rPr>
                <w:rFonts w:hint="default" w:ascii="仿宋" w:hAnsi="仿宋" w:eastAsia="仿宋" w:cs="仿宋"/>
                <w:b/>
                <w:bCs/>
                <w:i w:val="0"/>
                <w:iCs w:val="0"/>
                <w:color w:val="000000"/>
                <w:kern w:val="0"/>
                <w:sz w:val="32"/>
                <w:szCs w:val="32"/>
                <w:u w:val="none"/>
                <w:lang w:val="en-US" w:eastAsia="zh-CN" w:bidi="ar"/>
              </w:rPr>
              <w:t>1</w:t>
            </w:r>
          </w:p>
        </w:tc>
        <w:tc>
          <w:tcPr>
            <w:tcW w:w="1846" w:type="pct"/>
            <w:shd w:val="clear" w:color="auto" w:fill="auto"/>
            <w:vAlign w:val="center"/>
          </w:tcPr>
          <w:p>
            <w:pPr>
              <w:keepNext w:val="0"/>
              <w:keepLines w:val="0"/>
              <w:widowControl/>
              <w:suppressLineNumbers w:val="0"/>
              <w:spacing w:line="360" w:lineRule="auto"/>
              <w:jc w:val="center"/>
              <w:textAlignment w:val="center"/>
              <w:rPr>
                <w:rFonts w:hint="default" w:ascii="仿宋" w:hAnsi="仿宋" w:eastAsia="仿宋" w:cs="仿宋"/>
                <w:i w:val="0"/>
                <w:iCs w:val="0"/>
                <w:color w:val="000000"/>
                <w:sz w:val="28"/>
                <w:szCs w:val="28"/>
                <w:u w:val="none"/>
              </w:rPr>
            </w:pPr>
            <w:r>
              <w:rPr>
                <w:rFonts w:hint="default" w:ascii="仿宋" w:hAnsi="仿宋" w:eastAsia="仿宋" w:cs="仿宋"/>
                <w:i w:val="0"/>
                <w:iCs w:val="0"/>
                <w:color w:val="000000"/>
                <w:kern w:val="0"/>
                <w:sz w:val="28"/>
                <w:szCs w:val="28"/>
                <w:u w:val="none"/>
                <w:lang w:val="en-US" w:eastAsia="zh-CN" w:bidi="ar"/>
              </w:rPr>
              <w:t>直线加速器（含大孔径 CT）</w:t>
            </w:r>
          </w:p>
        </w:tc>
        <w:tc>
          <w:tcPr>
            <w:tcW w:w="1293" w:type="pct"/>
            <w:shd w:val="clear" w:color="auto" w:fill="auto"/>
            <w:vAlign w:val="center"/>
          </w:tcPr>
          <w:p>
            <w:pPr>
              <w:keepNext w:val="0"/>
              <w:keepLines w:val="0"/>
              <w:widowControl/>
              <w:suppressLineNumbers w:val="0"/>
              <w:spacing w:line="360" w:lineRule="auto"/>
              <w:jc w:val="center"/>
              <w:textAlignment w:val="center"/>
              <w:rPr>
                <w:rFonts w:hint="default" w:ascii="仿宋" w:hAnsi="仿宋" w:eastAsia="仿宋" w:cs="仿宋"/>
                <w:i w:val="0"/>
                <w:iCs w:val="0"/>
                <w:color w:val="000000"/>
                <w:sz w:val="28"/>
                <w:szCs w:val="28"/>
                <w:u w:val="none"/>
              </w:rPr>
            </w:pPr>
            <w:r>
              <w:rPr>
                <w:rFonts w:hint="default" w:ascii="仿宋" w:hAnsi="仿宋" w:eastAsia="仿宋" w:cs="仿宋"/>
                <w:i w:val="0"/>
                <w:iCs w:val="0"/>
                <w:color w:val="000000"/>
                <w:kern w:val="0"/>
                <w:sz w:val="28"/>
                <w:szCs w:val="28"/>
                <w:u w:val="none"/>
                <w:lang w:val="en-US" w:eastAsia="zh-CN" w:bidi="ar"/>
              </w:rPr>
              <w:t>1</w:t>
            </w:r>
            <w:r>
              <w:rPr>
                <w:rFonts w:hint="eastAsia" w:ascii="仿宋" w:hAnsi="仿宋" w:eastAsia="仿宋" w:cs="仿宋"/>
                <w:i w:val="0"/>
                <w:iCs w:val="0"/>
                <w:color w:val="000000"/>
                <w:kern w:val="0"/>
                <w:sz w:val="28"/>
                <w:szCs w:val="28"/>
                <w:u w:val="none"/>
                <w:lang w:val="en-US" w:eastAsia="zh-CN" w:bidi="ar"/>
              </w:rPr>
              <w:t>项</w:t>
            </w:r>
          </w:p>
        </w:tc>
        <w:tc>
          <w:tcPr>
            <w:tcW w:w="1296" w:type="pct"/>
            <w:shd w:val="clear" w:color="auto" w:fill="auto"/>
            <w:vAlign w:val="center"/>
          </w:tcPr>
          <w:p>
            <w:pPr>
              <w:keepNext w:val="0"/>
              <w:keepLines w:val="0"/>
              <w:widowControl/>
              <w:suppressLineNumbers w:val="0"/>
              <w:spacing w:line="360" w:lineRule="auto"/>
              <w:jc w:val="right"/>
              <w:textAlignment w:val="center"/>
              <w:rPr>
                <w:rFonts w:hint="default"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30,000,000.00</w:t>
            </w:r>
            <w:r>
              <w:rPr>
                <w:rFonts w:hint="default" w:ascii="仿宋" w:hAnsi="仿宋" w:eastAsia="仿宋" w:cs="仿宋"/>
                <w:i w:val="0"/>
                <w:iCs w:val="0"/>
                <w:color w:val="000000"/>
                <w:kern w:val="0"/>
                <w:sz w:val="28"/>
                <w:szCs w:val="28"/>
                <w:u w:val="none"/>
                <w:lang w:val="en-US" w:eastAsia="zh-CN" w:bidi="ar"/>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564" w:type="pct"/>
            <w:shd w:val="clear" w:color="auto" w:fill="auto"/>
            <w:vAlign w:val="center"/>
          </w:tcPr>
          <w:p>
            <w:pPr>
              <w:keepNext w:val="0"/>
              <w:keepLines w:val="0"/>
              <w:widowControl/>
              <w:suppressLineNumbers w:val="0"/>
              <w:spacing w:line="360" w:lineRule="auto"/>
              <w:jc w:val="center"/>
              <w:textAlignment w:val="center"/>
              <w:rPr>
                <w:rFonts w:hint="default" w:ascii="仿宋" w:hAnsi="仿宋" w:eastAsia="仿宋" w:cs="仿宋"/>
                <w:b/>
                <w:bCs/>
                <w:i w:val="0"/>
                <w:iCs w:val="0"/>
                <w:color w:val="000000"/>
                <w:sz w:val="32"/>
                <w:szCs w:val="32"/>
                <w:u w:val="none"/>
              </w:rPr>
            </w:pPr>
            <w:r>
              <w:rPr>
                <w:rFonts w:hint="default" w:ascii="仿宋" w:hAnsi="仿宋" w:eastAsia="仿宋" w:cs="仿宋"/>
                <w:b/>
                <w:bCs/>
                <w:i w:val="0"/>
                <w:iCs w:val="0"/>
                <w:color w:val="000000"/>
                <w:kern w:val="0"/>
                <w:sz w:val="32"/>
                <w:szCs w:val="32"/>
                <w:u w:val="none"/>
                <w:lang w:val="en-US" w:eastAsia="zh-CN" w:bidi="ar"/>
              </w:rPr>
              <w:t>2</w:t>
            </w:r>
          </w:p>
        </w:tc>
        <w:tc>
          <w:tcPr>
            <w:tcW w:w="1846" w:type="pct"/>
            <w:shd w:val="clear" w:color="auto" w:fill="auto"/>
            <w:vAlign w:val="center"/>
          </w:tcPr>
          <w:p>
            <w:pPr>
              <w:keepNext w:val="0"/>
              <w:keepLines w:val="0"/>
              <w:widowControl/>
              <w:suppressLineNumbers w:val="0"/>
              <w:spacing w:line="360" w:lineRule="auto"/>
              <w:jc w:val="center"/>
              <w:textAlignment w:val="center"/>
              <w:rPr>
                <w:rFonts w:hint="default" w:ascii="仿宋" w:hAnsi="仿宋" w:eastAsia="仿宋" w:cs="仿宋"/>
                <w:i w:val="0"/>
                <w:iCs w:val="0"/>
                <w:color w:val="000000"/>
                <w:sz w:val="28"/>
                <w:szCs w:val="28"/>
                <w:u w:val="none"/>
                <w:lang w:val="en-US" w:eastAsia="en-US" w:bidi="en-US"/>
              </w:rPr>
            </w:pPr>
            <w:r>
              <w:rPr>
                <w:rFonts w:hint="default" w:ascii="仿宋" w:hAnsi="仿宋" w:eastAsia="仿宋" w:cs="仿宋"/>
                <w:i w:val="0"/>
                <w:iCs w:val="0"/>
                <w:color w:val="000000"/>
                <w:kern w:val="0"/>
                <w:sz w:val="28"/>
                <w:szCs w:val="28"/>
                <w:u w:val="none"/>
                <w:lang w:val="en-US" w:eastAsia="zh-CN" w:bidi="ar"/>
              </w:rPr>
              <w:t>电子胃镜</w:t>
            </w:r>
          </w:p>
        </w:tc>
        <w:tc>
          <w:tcPr>
            <w:tcW w:w="1293" w:type="pct"/>
            <w:shd w:val="clear" w:color="auto" w:fill="auto"/>
            <w:vAlign w:val="center"/>
          </w:tcPr>
          <w:p>
            <w:pPr>
              <w:keepNext w:val="0"/>
              <w:keepLines w:val="0"/>
              <w:widowControl/>
              <w:suppressLineNumbers w:val="0"/>
              <w:spacing w:line="360" w:lineRule="auto"/>
              <w:jc w:val="center"/>
              <w:textAlignment w:val="center"/>
              <w:rPr>
                <w:rFonts w:hint="default" w:ascii="仿宋" w:hAnsi="仿宋" w:eastAsia="仿宋" w:cs="仿宋"/>
                <w:i w:val="0"/>
                <w:iCs w:val="0"/>
                <w:color w:val="000000"/>
                <w:sz w:val="28"/>
                <w:szCs w:val="28"/>
                <w:u w:val="none"/>
                <w:lang w:val="en-US" w:eastAsia="en-US" w:bidi="en-US"/>
              </w:rPr>
            </w:pPr>
            <w:r>
              <w:rPr>
                <w:rFonts w:hint="default" w:ascii="仿宋" w:hAnsi="仿宋" w:eastAsia="仿宋" w:cs="仿宋"/>
                <w:i w:val="0"/>
                <w:iCs w:val="0"/>
                <w:color w:val="000000"/>
                <w:kern w:val="0"/>
                <w:sz w:val="28"/>
                <w:szCs w:val="28"/>
                <w:u w:val="none"/>
                <w:lang w:val="en-US" w:eastAsia="zh-CN" w:bidi="ar"/>
              </w:rPr>
              <w:t xml:space="preserve">1 </w:t>
            </w:r>
            <w:r>
              <w:rPr>
                <w:rFonts w:hint="eastAsia" w:ascii="仿宋" w:hAnsi="仿宋" w:eastAsia="仿宋" w:cs="仿宋"/>
                <w:i w:val="0"/>
                <w:iCs w:val="0"/>
                <w:color w:val="000000"/>
                <w:kern w:val="0"/>
                <w:sz w:val="28"/>
                <w:szCs w:val="28"/>
                <w:u w:val="none"/>
                <w:lang w:val="en-US" w:eastAsia="zh-CN" w:bidi="ar"/>
              </w:rPr>
              <w:t>台</w:t>
            </w:r>
          </w:p>
        </w:tc>
        <w:tc>
          <w:tcPr>
            <w:tcW w:w="1296" w:type="pct"/>
            <w:shd w:val="clear" w:color="auto" w:fill="auto"/>
            <w:vAlign w:val="center"/>
          </w:tcPr>
          <w:p>
            <w:pPr>
              <w:keepNext w:val="0"/>
              <w:keepLines w:val="0"/>
              <w:widowControl/>
              <w:suppressLineNumbers w:val="0"/>
              <w:spacing w:line="360" w:lineRule="auto"/>
              <w:jc w:val="right"/>
              <w:textAlignment w:val="center"/>
              <w:rPr>
                <w:rFonts w:hint="default"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120,000.00</w:t>
            </w:r>
            <w:r>
              <w:rPr>
                <w:rFonts w:hint="default" w:ascii="仿宋" w:hAnsi="仿宋" w:eastAsia="仿宋" w:cs="仿宋"/>
                <w:i w:val="0"/>
                <w:iCs w:val="0"/>
                <w:color w:val="000000"/>
                <w:kern w:val="0"/>
                <w:sz w:val="28"/>
                <w:szCs w:val="28"/>
                <w:u w:val="none"/>
                <w:lang w:val="en-US" w:eastAsia="zh-CN" w:bidi="ar"/>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564" w:type="pct"/>
            <w:shd w:val="clear" w:color="auto" w:fill="auto"/>
            <w:vAlign w:val="center"/>
          </w:tcPr>
          <w:p>
            <w:pPr>
              <w:keepNext w:val="0"/>
              <w:keepLines w:val="0"/>
              <w:widowControl/>
              <w:suppressLineNumbers w:val="0"/>
              <w:spacing w:line="360" w:lineRule="auto"/>
              <w:jc w:val="center"/>
              <w:textAlignment w:val="center"/>
              <w:rPr>
                <w:rFonts w:hint="default" w:ascii="仿宋" w:hAnsi="仿宋" w:eastAsia="仿宋" w:cs="仿宋"/>
                <w:b/>
                <w:bCs/>
                <w:i w:val="0"/>
                <w:iCs w:val="0"/>
                <w:color w:val="000000"/>
                <w:sz w:val="32"/>
                <w:szCs w:val="32"/>
                <w:u w:val="none"/>
              </w:rPr>
            </w:pPr>
            <w:r>
              <w:rPr>
                <w:rFonts w:hint="default" w:ascii="仿宋" w:hAnsi="仿宋" w:eastAsia="仿宋" w:cs="仿宋"/>
                <w:b/>
                <w:bCs/>
                <w:i w:val="0"/>
                <w:iCs w:val="0"/>
                <w:color w:val="000000"/>
                <w:kern w:val="0"/>
                <w:sz w:val="32"/>
                <w:szCs w:val="32"/>
                <w:u w:val="none"/>
                <w:lang w:val="en-US" w:eastAsia="zh-CN" w:bidi="ar"/>
              </w:rPr>
              <w:t>3</w:t>
            </w:r>
          </w:p>
        </w:tc>
        <w:tc>
          <w:tcPr>
            <w:tcW w:w="1846" w:type="pct"/>
            <w:shd w:val="clear" w:color="auto" w:fill="auto"/>
            <w:vAlign w:val="center"/>
          </w:tcPr>
          <w:p>
            <w:pPr>
              <w:keepNext w:val="0"/>
              <w:keepLines w:val="0"/>
              <w:widowControl/>
              <w:suppressLineNumbers w:val="0"/>
              <w:spacing w:line="360" w:lineRule="auto"/>
              <w:jc w:val="center"/>
              <w:textAlignment w:val="center"/>
              <w:rPr>
                <w:rFonts w:hint="default" w:ascii="仿宋" w:hAnsi="仿宋" w:eastAsia="仿宋" w:cs="仿宋"/>
                <w:i w:val="0"/>
                <w:iCs w:val="0"/>
                <w:color w:val="000000"/>
                <w:sz w:val="28"/>
                <w:szCs w:val="28"/>
                <w:u w:val="none"/>
                <w:lang w:val="en-US" w:eastAsia="en-US" w:bidi="en-US"/>
              </w:rPr>
            </w:pPr>
            <w:r>
              <w:rPr>
                <w:rFonts w:hint="default" w:ascii="仿宋" w:hAnsi="仿宋" w:eastAsia="仿宋" w:cs="仿宋"/>
                <w:i w:val="0"/>
                <w:iCs w:val="0"/>
                <w:color w:val="000000"/>
                <w:kern w:val="0"/>
                <w:sz w:val="28"/>
                <w:szCs w:val="28"/>
                <w:u w:val="none"/>
                <w:lang w:val="en-US" w:eastAsia="zh-CN" w:bidi="ar"/>
              </w:rPr>
              <w:t>电子胃肠镜</w:t>
            </w:r>
          </w:p>
        </w:tc>
        <w:tc>
          <w:tcPr>
            <w:tcW w:w="1293" w:type="pct"/>
            <w:shd w:val="clear" w:color="auto" w:fill="auto"/>
            <w:vAlign w:val="center"/>
          </w:tcPr>
          <w:p>
            <w:pPr>
              <w:keepNext w:val="0"/>
              <w:keepLines w:val="0"/>
              <w:widowControl/>
              <w:suppressLineNumbers w:val="0"/>
              <w:spacing w:line="360" w:lineRule="auto"/>
              <w:jc w:val="center"/>
              <w:textAlignment w:val="center"/>
              <w:rPr>
                <w:rFonts w:hint="default" w:ascii="仿宋" w:hAnsi="仿宋" w:eastAsia="仿宋" w:cs="仿宋"/>
                <w:i w:val="0"/>
                <w:iCs w:val="0"/>
                <w:color w:val="000000"/>
                <w:sz w:val="28"/>
                <w:szCs w:val="28"/>
                <w:u w:val="none"/>
                <w:lang w:val="en-US" w:eastAsia="en-US" w:bidi="en-US"/>
              </w:rPr>
            </w:pPr>
            <w:r>
              <w:rPr>
                <w:rFonts w:hint="default" w:ascii="仿宋" w:hAnsi="仿宋" w:eastAsia="仿宋" w:cs="仿宋"/>
                <w:i w:val="0"/>
                <w:iCs w:val="0"/>
                <w:color w:val="000000"/>
                <w:kern w:val="0"/>
                <w:sz w:val="28"/>
                <w:szCs w:val="28"/>
                <w:u w:val="none"/>
                <w:lang w:val="en-US" w:eastAsia="zh-CN" w:bidi="ar"/>
              </w:rPr>
              <w:t xml:space="preserve">1 </w:t>
            </w:r>
            <w:r>
              <w:rPr>
                <w:rFonts w:hint="eastAsia" w:ascii="仿宋" w:hAnsi="仿宋" w:eastAsia="仿宋" w:cs="仿宋"/>
                <w:i w:val="0"/>
                <w:iCs w:val="0"/>
                <w:color w:val="000000"/>
                <w:kern w:val="0"/>
                <w:sz w:val="28"/>
                <w:szCs w:val="28"/>
                <w:u w:val="none"/>
                <w:lang w:val="en-US" w:eastAsia="zh-CN" w:bidi="ar"/>
              </w:rPr>
              <w:t>台</w:t>
            </w:r>
          </w:p>
        </w:tc>
        <w:tc>
          <w:tcPr>
            <w:tcW w:w="1296" w:type="pct"/>
            <w:shd w:val="clear" w:color="auto" w:fill="auto"/>
            <w:vAlign w:val="center"/>
          </w:tcPr>
          <w:p>
            <w:pPr>
              <w:keepNext w:val="0"/>
              <w:keepLines w:val="0"/>
              <w:widowControl/>
              <w:suppressLineNumbers w:val="0"/>
              <w:spacing w:line="360" w:lineRule="auto"/>
              <w:jc w:val="right"/>
              <w:textAlignment w:val="center"/>
              <w:rPr>
                <w:rFonts w:hint="default"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500,000.00</w:t>
            </w:r>
            <w:r>
              <w:rPr>
                <w:rFonts w:hint="default" w:ascii="仿宋" w:hAnsi="仿宋" w:eastAsia="仿宋" w:cs="仿宋"/>
                <w:i w:val="0"/>
                <w:iCs w:val="0"/>
                <w:color w:val="000000"/>
                <w:kern w:val="0"/>
                <w:sz w:val="28"/>
                <w:szCs w:val="28"/>
                <w:u w:val="none"/>
                <w:lang w:val="en-US" w:eastAsia="zh-CN" w:bidi="ar"/>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564" w:type="pct"/>
            <w:shd w:val="clear" w:color="auto" w:fill="auto"/>
            <w:vAlign w:val="center"/>
          </w:tcPr>
          <w:p>
            <w:pPr>
              <w:keepNext w:val="0"/>
              <w:keepLines w:val="0"/>
              <w:widowControl/>
              <w:suppressLineNumbers w:val="0"/>
              <w:spacing w:line="360" w:lineRule="auto"/>
              <w:jc w:val="center"/>
              <w:textAlignment w:val="center"/>
              <w:rPr>
                <w:rFonts w:hint="default" w:ascii="仿宋" w:hAnsi="仿宋" w:eastAsia="仿宋" w:cs="仿宋"/>
                <w:b/>
                <w:bCs/>
                <w:i w:val="0"/>
                <w:iCs w:val="0"/>
                <w:color w:val="000000"/>
                <w:sz w:val="32"/>
                <w:szCs w:val="32"/>
                <w:u w:val="none"/>
              </w:rPr>
            </w:pPr>
            <w:r>
              <w:rPr>
                <w:rFonts w:hint="default" w:ascii="仿宋" w:hAnsi="仿宋" w:eastAsia="仿宋" w:cs="仿宋"/>
                <w:b/>
                <w:bCs/>
                <w:i w:val="0"/>
                <w:iCs w:val="0"/>
                <w:color w:val="000000"/>
                <w:kern w:val="0"/>
                <w:sz w:val="32"/>
                <w:szCs w:val="32"/>
                <w:u w:val="none"/>
                <w:lang w:val="en-US" w:eastAsia="zh-CN" w:bidi="ar"/>
              </w:rPr>
              <w:t>4</w:t>
            </w:r>
          </w:p>
        </w:tc>
        <w:tc>
          <w:tcPr>
            <w:tcW w:w="1846" w:type="pct"/>
            <w:shd w:val="clear" w:color="auto" w:fill="auto"/>
            <w:vAlign w:val="center"/>
          </w:tcPr>
          <w:p>
            <w:pPr>
              <w:keepNext w:val="0"/>
              <w:keepLines w:val="0"/>
              <w:widowControl/>
              <w:suppressLineNumbers w:val="0"/>
              <w:spacing w:line="360" w:lineRule="auto"/>
              <w:jc w:val="center"/>
              <w:textAlignment w:val="center"/>
              <w:rPr>
                <w:rFonts w:hint="default" w:ascii="仿宋" w:hAnsi="仿宋" w:eastAsia="仿宋" w:cs="仿宋"/>
                <w:i w:val="0"/>
                <w:iCs w:val="0"/>
                <w:color w:val="000000"/>
                <w:sz w:val="28"/>
                <w:szCs w:val="28"/>
                <w:u w:val="none"/>
                <w:lang w:val="en-US" w:eastAsia="en-US" w:bidi="en-US"/>
              </w:rPr>
            </w:pPr>
            <w:r>
              <w:rPr>
                <w:rFonts w:hint="default" w:ascii="仿宋" w:hAnsi="仿宋" w:eastAsia="仿宋" w:cs="仿宋"/>
                <w:i w:val="0"/>
                <w:iCs w:val="0"/>
                <w:color w:val="000000"/>
                <w:kern w:val="0"/>
                <w:sz w:val="28"/>
                <w:szCs w:val="28"/>
                <w:u w:val="none"/>
                <w:lang w:val="en-US" w:eastAsia="zh-CN" w:bidi="ar"/>
              </w:rPr>
              <w:t>心 电 图 机</w:t>
            </w:r>
          </w:p>
        </w:tc>
        <w:tc>
          <w:tcPr>
            <w:tcW w:w="1293" w:type="pct"/>
            <w:shd w:val="clear" w:color="auto" w:fill="auto"/>
            <w:vAlign w:val="center"/>
          </w:tcPr>
          <w:p>
            <w:pPr>
              <w:keepNext w:val="0"/>
              <w:keepLines w:val="0"/>
              <w:widowControl/>
              <w:suppressLineNumbers w:val="0"/>
              <w:spacing w:line="360" w:lineRule="auto"/>
              <w:jc w:val="center"/>
              <w:textAlignment w:val="center"/>
              <w:rPr>
                <w:rFonts w:hint="default" w:ascii="仿宋" w:hAnsi="仿宋" w:eastAsia="仿宋" w:cs="仿宋"/>
                <w:i w:val="0"/>
                <w:iCs w:val="0"/>
                <w:color w:val="000000"/>
                <w:sz w:val="28"/>
                <w:szCs w:val="28"/>
                <w:u w:val="none"/>
                <w:lang w:val="en-US" w:eastAsia="en-US" w:bidi="en-US"/>
              </w:rPr>
            </w:pPr>
            <w:r>
              <w:rPr>
                <w:rFonts w:hint="default" w:ascii="仿宋" w:hAnsi="仿宋" w:eastAsia="仿宋" w:cs="仿宋"/>
                <w:i w:val="0"/>
                <w:iCs w:val="0"/>
                <w:color w:val="000000"/>
                <w:kern w:val="0"/>
                <w:sz w:val="28"/>
                <w:szCs w:val="28"/>
                <w:u w:val="none"/>
                <w:lang w:val="en-US" w:eastAsia="zh-CN" w:bidi="ar"/>
              </w:rPr>
              <w:t xml:space="preserve">6 </w:t>
            </w:r>
            <w:r>
              <w:rPr>
                <w:rFonts w:hint="eastAsia" w:ascii="仿宋" w:hAnsi="仿宋" w:eastAsia="仿宋" w:cs="仿宋"/>
                <w:i w:val="0"/>
                <w:iCs w:val="0"/>
                <w:color w:val="000000"/>
                <w:kern w:val="0"/>
                <w:sz w:val="28"/>
                <w:szCs w:val="28"/>
                <w:u w:val="none"/>
                <w:lang w:val="en-US" w:eastAsia="zh-CN" w:bidi="ar"/>
              </w:rPr>
              <w:t>台</w:t>
            </w:r>
          </w:p>
        </w:tc>
        <w:tc>
          <w:tcPr>
            <w:tcW w:w="1296" w:type="pct"/>
            <w:shd w:val="clear" w:color="auto" w:fill="auto"/>
            <w:vAlign w:val="center"/>
          </w:tcPr>
          <w:p>
            <w:pPr>
              <w:keepNext w:val="0"/>
              <w:keepLines w:val="0"/>
              <w:widowControl/>
              <w:suppressLineNumbers w:val="0"/>
              <w:spacing w:line="360" w:lineRule="auto"/>
              <w:jc w:val="right"/>
              <w:textAlignment w:val="center"/>
              <w:rPr>
                <w:rFonts w:hint="default"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1,500,000.00</w:t>
            </w:r>
            <w:r>
              <w:rPr>
                <w:rFonts w:hint="default" w:ascii="仿宋" w:hAnsi="仿宋" w:eastAsia="仿宋" w:cs="仿宋"/>
                <w:i w:val="0"/>
                <w:iCs w:val="0"/>
                <w:color w:val="000000"/>
                <w:kern w:val="0"/>
                <w:sz w:val="28"/>
                <w:szCs w:val="28"/>
                <w:u w:val="none"/>
                <w:lang w:val="en-US" w:eastAsia="zh-CN" w:bidi="ar"/>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564" w:type="pct"/>
            <w:shd w:val="clear" w:color="auto" w:fill="auto"/>
            <w:vAlign w:val="center"/>
          </w:tcPr>
          <w:p>
            <w:pPr>
              <w:keepNext w:val="0"/>
              <w:keepLines w:val="0"/>
              <w:widowControl/>
              <w:suppressLineNumbers w:val="0"/>
              <w:spacing w:line="360" w:lineRule="auto"/>
              <w:jc w:val="center"/>
              <w:textAlignment w:val="center"/>
              <w:rPr>
                <w:rFonts w:hint="default" w:ascii="仿宋" w:hAnsi="仿宋" w:eastAsia="仿宋" w:cs="仿宋"/>
                <w:b/>
                <w:bCs/>
                <w:i w:val="0"/>
                <w:iCs w:val="0"/>
                <w:color w:val="000000"/>
                <w:sz w:val="32"/>
                <w:szCs w:val="32"/>
                <w:u w:val="none"/>
              </w:rPr>
            </w:pPr>
            <w:r>
              <w:rPr>
                <w:rFonts w:hint="default" w:ascii="仿宋" w:hAnsi="仿宋" w:eastAsia="仿宋" w:cs="仿宋"/>
                <w:b/>
                <w:bCs/>
                <w:i w:val="0"/>
                <w:iCs w:val="0"/>
                <w:color w:val="000000"/>
                <w:kern w:val="0"/>
                <w:sz w:val="32"/>
                <w:szCs w:val="32"/>
                <w:u w:val="none"/>
                <w:lang w:val="en-US" w:eastAsia="zh-CN" w:bidi="ar"/>
              </w:rPr>
              <w:t>5</w:t>
            </w:r>
          </w:p>
        </w:tc>
        <w:tc>
          <w:tcPr>
            <w:tcW w:w="1846" w:type="pct"/>
            <w:shd w:val="clear" w:color="auto" w:fill="auto"/>
            <w:vAlign w:val="center"/>
          </w:tcPr>
          <w:p>
            <w:pPr>
              <w:keepNext w:val="0"/>
              <w:keepLines w:val="0"/>
              <w:widowControl/>
              <w:suppressLineNumbers w:val="0"/>
              <w:spacing w:line="360" w:lineRule="auto"/>
              <w:jc w:val="center"/>
              <w:textAlignment w:val="center"/>
              <w:rPr>
                <w:rFonts w:hint="default" w:ascii="仿宋" w:hAnsi="仿宋" w:eastAsia="仿宋" w:cs="仿宋"/>
                <w:i w:val="0"/>
                <w:iCs w:val="0"/>
                <w:color w:val="000000"/>
                <w:sz w:val="28"/>
                <w:szCs w:val="28"/>
                <w:u w:val="none"/>
                <w:lang w:val="en-US" w:eastAsia="en-US" w:bidi="en-US"/>
              </w:rPr>
            </w:pPr>
            <w:r>
              <w:rPr>
                <w:rFonts w:hint="default" w:ascii="仿宋" w:hAnsi="仿宋" w:eastAsia="仿宋" w:cs="仿宋"/>
                <w:i w:val="0"/>
                <w:iCs w:val="0"/>
                <w:color w:val="000000"/>
                <w:kern w:val="0"/>
                <w:sz w:val="28"/>
                <w:szCs w:val="28"/>
                <w:u w:val="none"/>
                <w:lang w:val="en-US" w:eastAsia="zh-CN" w:bidi="ar"/>
              </w:rPr>
              <w:t>多功能牙科治疗床</w:t>
            </w:r>
          </w:p>
        </w:tc>
        <w:tc>
          <w:tcPr>
            <w:tcW w:w="1293" w:type="pct"/>
            <w:shd w:val="clear" w:color="auto" w:fill="auto"/>
            <w:vAlign w:val="center"/>
          </w:tcPr>
          <w:p>
            <w:pPr>
              <w:keepNext w:val="0"/>
              <w:keepLines w:val="0"/>
              <w:widowControl/>
              <w:suppressLineNumbers w:val="0"/>
              <w:spacing w:line="360" w:lineRule="auto"/>
              <w:jc w:val="center"/>
              <w:textAlignment w:val="center"/>
              <w:rPr>
                <w:rFonts w:hint="default" w:ascii="仿宋" w:hAnsi="仿宋" w:eastAsia="仿宋" w:cs="仿宋"/>
                <w:i w:val="0"/>
                <w:iCs w:val="0"/>
                <w:color w:val="000000"/>
                <w:sz w:val="28"/>
                <w:szCs w:val="28"/>
                <w:u w:val="none"/>
                <w:lang w:val="en-US" w:eastAsia="en-US" w:bidi="en-US"/>
              </w:rPr>
            </w:pPr>
            <w:r>
              <w:rPr>
                <w:rFonts w:hint="default" w:ascii="仿宋" w:hAnsi="仿宋" w:eastAsia="仿宋" w:cs="仿宋"/>
                <w:i w:val="0"/>
                <w:iCs w:val="0"/>
                <w:color w:val="000000"/>
                <w:kern w:val="0"/>
                <w:sz w:val="28"/>
                <w:szCs w:val="28"/>
                <w:u w:val="none"/>
                <w:lang w:val="en-US" w:eastAsia="zh-CN" w:bidi="ar"/>
              </w:rPr>
              <w:t xml:space="preserve">6 </w:t>
            </w:r>
            <w:r>
              <w:rPr>
                <w:rFonts w:hint="eastAsia" w:ascii="仿宋" w:hAnsi="仿宋" w:eastAsia="仿宋" w:cs="仿宋"/>
                <w:i w:val="0"/>
                <w:iCs w:val="0"/>
                <w:color w:val="000000"/>
                <w:kern w:val="0"/>
                <w:sz w:val="28"/>
                <w:szCs w:val="28"/>
                <w:u w:val="none"/>
                <w:lang w:val="en-US" w:eastAsia="zh-CN" w:bidi="ar"/>
              </w:rPr>
              <w:t>台</w:t>
            </w:r>
          </w:p>
        </w:tc>
        <w:tc>
          <w:tcPr>
            <w:tcW w:w="1296" w:type="pct"/>
            <w:shd w:val="clear" w:color="auto" w:fill="auto"/>
            <w:vAlign w:val="center"/>
          </w:tcPr>
          <w:p>
            <w:pPr>
              <w:keepNext w:val="0"/>
              <w:keepLines w:val="0"/>
              <w:widowControl/>
              <w:suppressLineNumbers w:val="0"/>
              <w:spacing w:line="360" w:lineRule="auto"/>
              <w:jc w:val="right"/>
              <w:textAlignment w:val="center"/>
              <w:rPr>
                <w:rFonts w:hint="default"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780,000.00</w:t>
            </w:r>
            <w:r>
              <w:rPr>
                <w:rFonts w:hint="default" w:ascii="仿宋" w:hAnsi="仿宋" w:eastAsia="仿宋" w:cs="仿宋"/>
                <w:i w:val="0"/>
                <w:iCs w:val="0"/>
                <w:color w:val="000000"/>
                <w:kern w:val="0"/>
                <w:sz w:val="28"/>
                <w:szCs w:val="28"/>
                <w:u w:val="none"/>
                <w:lang w:val="en-US" w:eastAsia="zh-CN" w:bidi="ar"/>
              </w:rPr>
              <w:t>元</w:t>
            </w:r>
          </w:p>
        </w:tc>
      </w:tr>
    </w:tbl>
    <w:p>
      <w:pPr>
        <w:spacing w:line="360" w:lineRule="auto"/>
        <w:rPr>
          <w:rFonts w:eastAsiaTheme="minorEastAsia"/>
          <w:lang w:eastAsia="zh-CN"/>
        </w:rPr>
      </w:pPr>
    </w:p>
    <w:p>
      <w:pPr>
        <w:pStyle w:val="2"/>
        <w:spacing w:line="360" w:lineRule="auto"/>
        <w:rPr>
          <w:rFonts w:eastAsiaTheme="minorEastAsia"/>
          <w:lang w:eastAsia="zh-CN"/>
        </w:rPr>
      </w:pPr>
    </w:p>
    <w:p>
      <w:pPr>
        <w:spacing w:line="360" w:lineRule="auto"/>
        <w:rPr>
          <w:rFonts w:eastAsiaTheme="minorEastAsia"/>
          <w:lang w:eastAsia="zh-CN"/>
        </w:rPr>
      </w:pPr>
    </w:p>
    <w:p>
      <w:pPr>
        <w:pStyle w:val="2"/>
        <w:spacing w:line="360" w:lineRule="auto"/>
        <w:rPr>
          <w:rFonts w:eastAsiaTheme="minorEastAsia"/>
          <w:lang w:eastAsia="zh-CN"/>
        </w:rPr>
      </w:pPr>
    </w:p>
    <w:p>
      <w:pPr>
        <w:spacing w:line="360" w:lineRule="auto"/>
        <w:rPr>
          <w:rFonts w:eastAsiaTheme="minorEastAsia"/>
          <w:lang w:eastAsia="zh-CN"/>
        </w:rPr>
      </w:pPr>
    </w:p>
    <w:p>
      <w:pPr>
        <w:pStyle w:val="2"/>
        <w:spacing w:line="360" w:lineRule="auto"/>
        <w:rPr>
          <w:rFonts w:eastAsiaTheme="minorEastAsia"/>
          <w:lang w:eastAsia="zh-CN"/>
        </w:rPr>
      </w:pPr>
    </w:p>
    <w:p>
      <w:pPr>
        <w:spacing w:line="360" w:lineRule="auto"/>
        <w:rPr>
          <w:rFonts w:eastAsiaTheme="minorEastAsia"/>
          <w:lang w:eastAsia="zh-CN"/>
        </w:rPr>
      </w:pPr>
    </w:p>
    <w:p>
      <w:pPr>
        <w:spacing w:line="360" w:lineRule="auto"/>
        <w:rPr>
          <w:rFonts w:eastAsiaTheme="minorEastAsia"/>
          <w:lang w:eastAsia="zh-CN"/>
        </w:rPr>
      </w:pPr>
    </w:p>
    <w:p>
      <w:pPr>
        <w:spacing w:line="360" w:lineRule="auto"/>
        <w:jc w:val="center"/>
        <w:rPr>
          <w:rFonts w:asciiTheme="majorEastAsia" w:hAnsiTheme="majorEastAsia" w:eastAsiaTheme="majorEastAsia"/>
          <w:sz w:val="36"/>
          <w:szCs w:val="36"/>
        </w:rPr>
      </w:pPr>
      <w:r>
        <w:rPr>
          <w:rFonts w:hint="eastAsia" w:asciiTheme="majorEastAsia" w:hAnsiTheme="majorEastAsia" w:eastAsiaTheme="majorEastAsia"/>
          <w:b/>
          <w:bCs/>
          <w:sz w:val="36"/>
          <w:szCs w:val="36"/>
        </w:rPr>
        <w:t>直线加速器技术规格要求</w:t>
      </w:r>
    </w:p>
    <w:p>
      <w:pPr>
        <w:spacing w:line="360" w:lineRule="auto"/>
        <w:rPr>
          <w:rFonts w:asciiTheme="majorEastAsia" w:hAnsiTheme="majorEastAsia" w:eastAsiaTheme="majorEastAsia"/>
          <w:sz w:val="26"/>
          <w:szCs w:val="26"/>
        </w:rPr>
      </w:pPr>
    </w:p>
    <w:tbl>
      <w:tblPr>
        <w:tblStyle w:val="6"/>
        <w:tblW w:w="9856" w:type="dxa"/>
        <w:tblInd w:w="-1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0"/>
        <w:gridCol w:w="8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blHeader/>
        </w:trPr>
        <w:tc>
          <w:tcPr>
            <w:tcW w:w="1740" w:type="dxa"/>
            <w:vAlign w:val="center"/>
          </w:tcPr>
          <w:p>
            <w:pPr>
              <w:pStyle w:val="12"/>
              <w:spacing w:line="360" w:lineRule="auto"/>
              <w:ind w:left="0"/>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编号</w:t>
            </w:r>
          </w:p>
        </w:tc>
        <w:tc>
          <w:tcPr>
            <w:tcW w:w="8116" w:type="dxa"/>
            <w:vAlign w:val="center"/>
          </w:tcPr>
          <w:p>
            <w:pPr>
              <w:spacing w:line="360" w:lineRule="auto"/>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技术规格要求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740" w:type="dxa"/>
            <w:vAlign w:val="center"/>
          </w:tcPr>
          <w:p>
            <w:pPr>
              <w:pStyle w:val="12"/>
              <w:numPr>
                <w:ilvl w:val="0"/>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b/>
                <w:sz w:val="24"/>
                <w:szCs w:val="24"/>
              </w:rPr>
            </w:pPr>
            <w:r>
              <w:rPr>
                <w:rFonts w:hint="eastAsia" w:asciiTheme="majorEastAsia" w:hAnsiTheme="majorEastAsia" w:eastAsiaTheme="majorEastAsia"/>
                <w:b/>
                <w:sz w:val="24"/>
                <w:szCs w:val="24"/>
              </w:rPr>
              <w:t>直线加速器设备要求概述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8" w:hRule="atLeast"/>
        </w:trPr>
        <w:tc>
          <w:tcPr>
            <w:tcW w:w="1740" w:type="dxa"/>
            <w:vAlign w:val="center"/>
          </w:tcPr>
          <w:p>
            <w:pPr>
              <w:pStyle w:val="12"/>
              <w:numPr>
                <w:ilvl w:val="1"/>
                <w:numId w:val="2"/>
              </w:numPr>
              <w:spacing w:line="360" w:lineRule="auto"/>
              <w:jc w:val="left"/>
              <w:rPr>
                <w:rFonts w:asciiTheme="majorEastAsia" w:hAnsiTheme="majorEastAsia" w:eastAsiaTheme="majorEastAsia"/>
                <w:b/>
                <w:sz w:val="24"/>
                <w:szCs w:val="24"/>
              </w:rPr>
            </w:pPr>
            <w:bookmarkStart w:id="6" w:name="_GoBack"/>
            <w:bookmarkEnd w:id="6"/>
          </w:p>
        </w:tc>
        <w:tc>
          <w:tcPr>
            <w:tcW w:w="8116" w:type="dxa"/>
            <w:vAlign w:val="center"/>
          </w:tcPr>
          <w:p>
            <w:pPr>
              <w:spacing w:line="360" w:lineRule="auto"/>
              <w:rPr>
                <w:rFonts w:asciiTheme="majorEastAsia" w:hAnsiTheme="majorEastAsia" w:eastAsiaTheme="majorEastAsia"/>
                <w:b/>
                <w:sz w:val="24"/>
                <w:szCs w:val="24"/>
              </w:rPr>
            </w:pPr>
            <w:r>
              <w:rPr>
                <w:rFonts w:hint="eastAsia" w:ascii="宋体" w:hAnsi="宋体"/>
                <w:b/>
                <w:bCs/>
                <w:sz w:val="24"/>
                <w:szCs w:val="24"/>
              </w:rPr>
              <w:t>配置总体要求</w:t>
            </w:r>
            <w:r>
              <w:rPr>
                <w:rFonts w:cstheme="minorHAnsi"/>
                <w:sz w:val="24"/>
                <w:szCs w:val="24"/>
              </w:rPr>
              <w:t>：本次招标</w:t>
            </w:r>
            <w:r>
              <w:rPr>
                <w:rFonts w:hint="eastAsia" w:cstheme="minorHAnsi"/>
                <w:sz w:val="24"/>
                <w:szCs w:val="24"/>
              </w:rPr>
              <w:t>为一台具备精确图像引导系统的</w:t>
            </w:r>
            <w:r>
              <w:rPr>
                <w:rFonts w:cstheme="minorHAnsi"/>
                <w:sz w:val="24"/>
                <w:szCs w:val="24"/>
              </w:rPr>
              <w:t>放射治疗</w:t>
            </w:r>
            <w:r>
              <w:rPr>
                <w:rFonts w:hint="eastAsia" w:cstheme="minorHAnsi"/>
                <w:sz w:val="24"/>
                <w:szCs w:val="24"/>
              </w:rPr>
              <w:t>设备，且含一</w:t>
            </w:r>
            <w:r>
              <w:rPr>
                <w:rFonts w:cstheme="minorHAnsi"/>
                <w:sz w:val="24"/>
                <w:szCs w:val="24"/>
              </w:rPr>
              <w:t>套放射治疗计划系统</w:t>
            </w:r>
            <w:r>
              <w:rPr>
                <w:rFonts w:hint="eastAsia" w:cstheme="minorHAnsi"/>
                <w:sz w:val="24"/>
                <w:szCs w:val="24"/>
              </w:rPr>
              <w:t>，计划系统由</w:t>
            </w:r>
            <w:r>
              <w:rPr>
                <w:rFonts w:cstheme="minorHAnsi"/>
                <w:sz w:val="24"/>
                <w:szCs w:val="24"/>
              </w:rPr>
              <w:t>：2台</w:t>
            </w:r>
            <w:r>
              <w:rPr>
                <w:rFonts w:hint="eastAsia" w:cstheme="minorHAnsi"/>
                <w:sz w:val="24"/>
                <w:szCs w:val="24"/>
              </w:rPr>
              <w:t>物理师</w:t>
            </w:r>
            <w:r>
              <w:rPr>
                <w:rFonts w:cstheme="minorHAnsi"/>
                <w:sz w:val="24"/>
                <w:szCs w:val="24"/>
              </w:rPr>
              <w:t>工作站</w:t>
            </w:r>
            <w:r>
              <w:rPr>
                <w:rFonts w:hint="eastAsia" w:cstheme="minorHAnsi"/>
                <w:sz w:val="24"/>
                <w:szCs w:val="24"/>
              </w:rPr>
              <w:t>（治疗计划设计和计算）</w:t>
            </w:r>
            <w:r>
              <w:rPr>
                <w:rFonts w:cstheme="minorHAnsi"/>
                <w:sz w:val="24"/>
                <w:szCs w:val="24"/>
              </w:rPr>
              <w:t>、4台</w:t>
            </w:r>
            <w:r>
              <w:rPr>
                <w:rFonts w:hint="eastAsia" w:cstheme="minorHAnsi"/>
                <w:sz w:val="24"/>
                <w:szCs w:val="24"/>
              </w:rPr>
              <w:t>医生</w:t>
            </w:r>
            <w:r>
              <w:rPr>
                <w:rFonts w:cstheme="minorHAnsi"/>
                <w:sz w:val="24"/>
                <w:szCs w:val="24"/>
              </w:rPr>
              <w:t>工作站，以及支持运行该系统所必需的软件和硬件</w:t>
            </w:r>
            <w:r>
              <w:rPr>
                <w:rFonts w:hint="eastAsia" w:cstheme="minorHAnsi"/>
                <w:sz w:val="24"/>
                <w:szCs w:val="24"/>
              </w:rPr>
              <w:t>组成，及一</w:t>
            </w:r>
            <w:r>
              <w:rPr>
                <w:rFonts w:cstheme="minorHAnsi"/>
                <w:sz w:val="24"/>
                <w:szCs w:val="24"/>
              </w:rPr>
              <w:t>套</w:t>
            </w:r>
            <w:r>
              <w:rPr>
                <w:rFonts w:hint="eastAsia" w:cstheme="minorHAnsi"/>
                <w:sz w:val="24"/>
                <w:szCs w:val="24"/>
              </w:rPr>
              <w:t>肿瘤</w:t>
            </w:r>
            <w:r>
              <w:rPr>
                <w:rFonts w:cstheme="minorHAnsi"/>
                <w:sz w:val="24"/>
                <w:szCs w:val="24"/>
              </w:rPr>
              <w:t>放射治疗</w:t>
            </w:r>
            <w:r>
              <w:rPr>
                <w:rFonts w:hint="eastAsia" w:cstheme="minorHAnsi"/>
                <w:sz w:val="24"/>
                <w:szCs w:val="24"/>
              </w:rPr>
              <w:t>网络管理</w:t>
            </w:r>
            <w:r>
              <w:rPr>
                <w:rFonts w:cstheme="minorHAnsi"/>
                <w:sz w:val="24"/>
                <w:szCs w:val="24"/>
              </w:rPr>
              <w:t>系统</w:t>
            </w:r>
            <w:r>
              <w:rPr>
                <w:rFonts w:hint="eastAsia" w:cstheme="minorHAnsi"/>
                <w:sz w:val="24"/>
                <w:szCs w:val="24"/>
              </w:rPr>
              <w:t>，以及支持该系统所需的软件和硬件</w:t>
            </w:r>
            <w:r>
              <w:rPr>
                <w:rFonts w:cstheme="minorHAnsi"/>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740" w:type="dxa"/>
            <w:vAlign w:val="center"/>
          </w:tcPr>
          <w:p>
            <w:pPr>
              <w:pStyle w:val="12"/>
              <w:numPr>
                <w:ilvl w:val="1"/>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宋体" w:hAnsi="宋体"/>
                <w:sz w:val="24"/>
                <w:szCs w:val="24"/>
              </w:rPr>
            </w:pPr>
            <w:r>
              <w:rPr>
                <w:rFonts w:hint="eastAsia" w:ascii="宋体" w:hAnsi="宋体"/>
                <w:b/>
                <w:bCs/>
                <w:sz w:val="24"/>
                <w:szCs w:val="24"/>
              </w:rPr>
              <w:t>放疗功能要求：</w:t>
            </w:r>
            <w:r>
              <w:rPr>
                <w:rFonts w:ascii="宋体" w:hAnsi="宋体"/>
                <w:sz w:val="24"/>
                <w:szCs w:val="24"/>
              </w:rPr>
              <w:t>开展三维适形、调强放疗（静态调强、动态调强）、图像引导放疗、容积旋转调强放疗、立体定向放射外科放疗。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atLeast"/>
        </w:trPr>
        <w:tc>
          <w:tcPr>
            <w:tcW w:w="1740" w:type="dxa"/>
            <w:vAlign w:val="center"/>
          </w:tcPr>
          <w:p>
            <w:pPr>
              <w:pStyle w:val="12"/>
              <w:numPr>
                <w:ilvl w:val="1"/>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宋体" w:hAnsi="宋体"/>
                <w:sz w:val="24"/>
                <w:szCs w:val="24"/>
              </w:rPr>
            </w:pPr>
            <w:r>
              <w:rPr>
                <w:rFonts w:hint="eastAsia" w:ascii="宋体" w:hAnsi="宋体"/>
                <w:b/>
                <w:bCs/>
                <w:sz w:val="24"/>
              </w:rPr>
              <w:t>适应症要求：</w:t>
            </w:r>
            <w:r>
              <w:rPr>
                <w:rFonts w:hint="eastAsia" w:ascii="宋体" w:hAnsi="宋体"/>
                <w:sz w:val="24"/>
                <w:szCs w:val="24"/>
              </w:rPr>
              <w:t>用于对人体适合接受放射治疗的病灶和肿瘤提供放射治疗、图像引导放射治疗与体部放射外科治疗。其中，体部放射外科治疗可用于放疗临床应用成熟、疗效确切的良性疾病和部分功能性疾病。提供注册证证明。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1740" w:type="dxa"/>
            <w:vAlign w:val="center"/>
          </w:tcPr>
          <w:p>
            <w:pPr>
              <w:pStyle w:val="12"/>
              <w:numPr>
                <w:ilvl w:val="0"/>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b/>
                <w:sz w:val="24"/>
                <w:szCs w:val="24"/>
              </w:rPr>
            </w:pPr>
            <w:r>
              <w:rPr>
                <w:rFonts w:hint="eastAsia" w:asciiTheme="majorEastAsia" w:hAnsiTheme="majorEastAsia" w:eastAsiaTheme="majorEastAsia"/>
                <w:b/>
                <w:sz w:val="24"/>
                <w:szCs w:val="24"/>
              </w:rPr>
              <w:t>直线加速器系统总体结构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1"/>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ascii="宋体" w:hAnsi="宋体"/>
                <w:sz w:val="24"/>
              </w:rPr>
              <w:t>采用封闭式机架设计，机头在治疗过程中的旋转与外界不形成路径交汇，完全避免碰撞风险。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机架结构：环形机架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cs="Arial" w:asciiTheme="majorEastAsia" w:hAnsiTheme="majorEastAsia" w:eastAsiaTheme="majorEastAsia"/>
                <w:sz w:val="24"/>
                <w:szCs w:val="24"/>
              </w:rPr>
            </w:pPr>
            <w:r>
              <w:rPr>
                <w:rFonts w:hint="eastAsia" w:cs="Arial" w:asciiTheme="majorEastAsia" w:hAnsiTheme="majorEastAsia" w:eastAsiaTheme="majorEastAsia"/>
                <w:sz w:val="24"/>
                <w:szCs w:val="24"/>
              </w:rPr>
              <w:t>机架特性：机架和影像系统封闭在机壳内，无碰撞隐患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机架旋转驱动方式：直线无刷电机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环形机架净高度：≤</w:t>
            </w:r>
            <w:r>
              <w:rPr>
                <w:rFonts w:asciiTheme="majorEastAsia" w:hAnsiTheme="majorEastAsia" w:eastAsiaTheme="majorEastAsia"/>
                <w:sz w:val="24"/>
                <w:szCs w:val="24"/>
              </w:rPr>
              <w:t>300cm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环形机架净宽度：≤</w:t>
            </w:r>
            <w:r>
              <w:rPr>
                <w:rFonts w:asciiTheme="majorEastAsia" w:hAnsiTheme="majorEastAsia" w:eastAsiaTheme="majorEastAsia"/>
                <w:sz w:val="24"/>
                <w:szCs w:val="24"/>
              </w:rPr>
              <w:t>300cm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机架及床总长度：≤</w:t>
            </w:r>
            <w:r>
              <w:rPr>
                <w:rFonts w:asciiTheme="majorEastAsia" w:hAnsiTheme="majorEastAsia" w:eastAsiaTheme="majorEastAsia"/>
                <w:sz w:val="24"/>
                <w:szCs w:val="24"/>
              </w:rPr>
              <w:t>350cm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b/>
                <w:sz w:val="24"/>
                <w:szCs w:val="24"/>
              </w:rPr>
            </w:pPr>
            <w:r>
              <w:rPr>
                <w:rFonts w:asciiTheme="majorEastAsia" w:hAnsiTheme="majorEastAsia" w:eastAsiaTheme="majorEastAsia"/>
                <w:b/>
                <w:sz w:val="24"/>
                <w:szCs w:val="24"/>
              </w:rPr>
              <w:t xml:space="preserve">     </w:t>
            </w:r>
          </w:p>
        </w:tc>
        <w:tc>
          <w:tcPr>
            <w:tcW w:w="8116" w:type="dxa"/>
            <w:vAlign w:val="center"/>
          </w:tcPr>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源轴距(SAD)：100cm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机架孔径：≥</w:t>
            </w:r>
            <w:r>
              <w:rPr>
                <w:rFonts w:asciiTheme="majorEastAsia" w:hAnsiTheme="majorEastAsia" w:eastAsiaTheme="majorEastAsia"/>
                <w:sz w:val="24"/>
                <w:szCs w:val="24"/>
              </w:rPr>
              <w:t>95cm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hint="eastAsia" w:cs="Arial" w:asciiTheme="majorEastAsia" w:hAnsiTheme="majorEastAsia" w:eastAsiaTheme="majorEastAsia"/>
                <w:sz w:val="24"/>
                <w:szCs w:val="24"/>
              </w:rPr>
              <w:t xml:space="preserve">机架最大旋转速度：≥ </w:t>
            </w:r>
            <w:r>
              <w:rPr>
                <w:rFonts w:cs="Arial" w:asciiTheme="majorEastAsia" w:hAnsiTheme="majorEastAsia" w:eastAsiaTheme="majorEastAsia"/>
                <w:sz w:val="24"/>
                <w:szCs w:val="24"/>
              </w:rPr>
              <w:t>4</w:t>
            </w:r>
            <w:r>
              <w:rPr>
                <w:rFonts w:hint="eastAsia" w:cs="Arial" w:asciiTheme="majorEastAsia" w:hAnsiTheme="majorEastAsia" w:eastAsiaTheme="majorEastAsia"/>
                <w:sz w:val="24"/>
                <w:szCs w:val="24"/>
              </w:rPr>
              <w:t xml:space="preserve"> RPM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hint="eastAsia" w:cs="Arial" w:asciiTheme="majorEastAsia" w:hAnsiTheme="majorEastAsia" w:eastAsiaTheme="majorEastAsia"/>
                <w:sz w:val="24"/>
                <w:szCs w:val="24"/>
              </w:rPr>
              <w:t>扫描中心精度：≤</w:t>
            </w:r>
            <w:r>
              <w:rPr>
                <w:rFonts w:cs="Arial" w:asciiTheme="majorEastAsia" w:hAnsiTheme="majorEastAsia" w:eastAsiaTheme="majorEastAsia"/>
                <w:sz w:val="24"/>
                <w:szCs w:val="24"/>
              </w:rPr>
              <w:t xml:space="preserve"> 1mm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hint="eastAsia" w:cs="Arial" w:asciiTheme="majorEastAsia" w:hAnsiTheme="majorEastAsia" w:eastAsiaTheme="majorEastAsia"/>
                <w:sz w:val="24"/>
                <w:szCs w:val="24"/>
              </w:rPr>
              <w:t>扫描中心高度：≤</w:t>
            </w:r>
            <w:r>
              <w:rPr>
                <w:rFonts w:cs="Arial" w:asciiTheme="majorEastAsia" w:hAnsiTheme="majorEastAsia" w:eastAsiaTheme="majorEastAsia"/>
                <w:sz w:val="24"/>
                <w:szCs w:val="24"/>
              </w:rPr>
              <w:t xml:space="preserve"> 125cm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1"/>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b/>
                <w:bCs/>
                <w:sz w:val="24"/>
                <w:szCs w:val="24"/>
              </w:rPr>
            </w:pPr>
            <w:r>
              <w:rPr>
                <w:rFonts w:hint="eastAsia" w:asciiTheme="majorEastAsia" w:hAnsiTheme="majorEastAsia" w:eastAsiaTheme="majorEastAsia"/>
                <w:b/>
                <w:bCs/>
                <w:sz w:val="24"/>
                <w:szCs w:val="24"/>
              </w:rPr>
              <w:t>一体化集成式设计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激光灯指示系统：内置蓝色激光灯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触控系统：室内双触摸屏操作系统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患者语音沟通系统：主动式降噪麦克风与音频传输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照明系统：舒适柔光照明设计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监视系统：动态同步跟踪式视频监视系统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降温静音系统：独立固定式水冷系统，高降温效率、低噪声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质控系统：内置设备性能检查模块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智能摆位系统：灯光引导式操作和自动化摆位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患者自我识别验证系统：治疗室内患者身份和摆位信息识别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自屏蔽系统：内置自屏蔽装置，屏蔽治疗室主射线束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防碰系统：机身和治疗床有感应传感器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hint="eastAsia" w:cs="Arial" w:asciiTheme="majorEastAsia" w:hAnsiTheme="majorEastAsia" w:eastAsiaTheme="majorEastAsia"/>
                <w:sz w:val="24"/>
                <w:szCs w:val="24"/>
              </w:rPr>
              <w:t>一体化设计整机典型安装时间：≤</w:t>
            </w:r>
            <w:r>
              <w:rPr>
                <w:rFonts w:cs="Arial" w:asciiTheme="majorEastAsia" w:hAnsiTheme="majorEastAsia" w:eastAsiaTheme="majorEastAsia"/>
                <w:sz w:val="24"/>
                <w:szCs w:val="24"/>
              </w:rPr>
              <w:t>15</w:t>
            </w:r>
            <w:r>
              <w:rPr>
                <w:rFonts w:hint="eastAsia" w:cs="Arial" w:asciiTheme="majorEastAsia" w:hAnsiTheme="majorEastAsia" w:eastAsiaTheme="majorEastAsia"/>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1"/>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b/>
                <w:sz w:val="24"/>
                <w:szCs w:val="24"/>
              </w:rPr>
            </w:pPr>
            <w:r>
              <w:rPr>
                <w:rFonts w:hint="eastAsia" w:asciiTheme="majorEastAsia" w:hAnsiTheme="majorEastAsia" w:eastAsiaTheme="majorEastAsia"/>
                <w:b/>
                <w:sz w:val="24"/>
                <w:szCs w:val="24"/>
              </w:rPr>
              <w:t>束流系统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1"/>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asciiTheme="majorEastAsia" w:hAnsiTheme="majorEastAsia" w:eastAsiaTheme="majorEastAsia"/>
                <w:sz w:val="24"/>
                <w:szCs w:val="24"/>
              </w:rPr>
              <w:t>X线能量：6 MV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束流模式：非均整（</w:t>
            </w:r>
            <w:r>
              <w:rPr>
                <w:rFonts w:asciiTheme="majorEastAsia" w:hAnsiTheme="majorEastAsia" w:eastAsiaTheme="majorEastAsia"/>
                <w:sz w:val="24"/>
                <w:szCs w:val="24"/>
              </w:rPr>
              <w:t>FFF）及动态均整</w:t>
            </w:r>
            <w:r>
              <w:rPr>
                <w:rFonts w:hint="eastAsia" w:asciiTheme="majorEastAsia" w:hAnsiTheme="majorEastAsia" w:eastAsiaTheme="majorEastAsia"/>
                <w:sz w:val="24"/>
                <w:szCs w:val="24"/>
              </w:rPr>
              <w:t>双模式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tabs>
                <w:tab w:val="left" w:pos="881"/>
              </w:tabs>
              <w:spacing w:line="360" w:lineRule="auto"/>
              <w:ind w:right="679" w:rightChars="283"/>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最大剂量率：≥</w:t>
            </w:r>
            <w:r>
              <w:rPr>
                <w:rFonts w:asciiTheme="majorEastAsia" w:hAnsiTheme="majorEastAsia" w:eastAsiaTheme="majorEastAsia"/>
                <w:sz w:val="24"/>
                <w:szCs w:val="24"/>
              </w:rPr>
              <w:t xml:space="preserve">800cGy/min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b/>
                <w:sz w:val="24"/>
                <w:szCs w:val="24"/>
              </w:rPr>
            </w:pPr>
            <w:r>
              <w:rPr>
                <w:rFonts w:hint="eastAsia" w:asciiTheme="majorEastAsia" w:hAnsiTheme="majorEastAsia" w:eastAsiaTheme="majorEastAsia"/>
                <w:sz w:val="24"/>
                <w:szCs w:val="24"/>
              </w:rPr>
              <w:t>出束最大负载功率：≤</w:t>
            </w:r>
            <w:r>
              <w:rPr>
                <w:rFonts w:asciiTheme="majorEastAsia" w:hAnsiTheme="majorEastAsia" w:eastAsiaTheme="majorEastAsia"/>
                <w:sz w:val="24"/>
                <w:szCs w:val="24"/>
              </w:rPr>
              <w:t>20</w:t>
            </w:r>
            <w:r>
              <w:rPr>
                <w:rFonts w:hint="eastAsia" w:asciiTheme="majorEastAsia" w:hAnsiTheme="majorEastAsia" w:eastAsiaTheme="majorEastAsia"/>
                <w:sz w:val="24"/>
                <w:szCs w:val="24"/>
              </w:rPr>
              <w:t>kVA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输出剂量误差：</w:t>
            </w:r>
            <w:r>
              <w:rPr>
                <w:rFonts w:asciiTheme="majorEastAsia" w:hAnsiTheme="majorEastAsia" w:eastAsiaTheme="majorEastAsia"/>
                <w:sz w:val="24"/>
                <w:szCs w:val="24"/>
              </w:rPr>
              <w:t>1%或1MU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机架旋转时剂量输出的稳定性：±</w:t>
            </w:r>
            <w:r>
              <w:rPr>
                <w:rFonts w:asciiTheme="majorEastAsia" w:hAnsiTheme="majorEastAsia" w:eastAsiaTheme="majorEastAsia"/>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1"/>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b/>
                <w:sz w:val="24"/>
                <w:szCs w:val="24"/>
              </w:rPr>
            </w:pPr>
            <w:r>
              <w:rPr>
                <w:rFonts w:hint="eastAsia" w:asciiTheme="majorEastAsia" w:hAnsiTheme="majorEastAsia" w:eastAsiaTheme="majorEastAsia"/>
                <w:b/>
                <w:sz w:val="24"/>
                <w:szCs w:val="24"/>
              </w:rPr>
              <w:t>多叶准直系统（M</w:t>
            </w:r>
            <w:r>
              <w:rPr>
                <w:rFonts w:asciiTheme="majorEastAsia" w:hAnsiTheme="majorEastAsia" w:eastAsiaTheme="majorEastAsia"/>
                <w:b/>
                <w:sz w:val="24"/>
                <w:szCs w:val="24"/>
              </w:rPr>
              <w:t>LC</w:t>
            </w:r>
            <w:r>
              <w:rPr>
                <w:rFonts w:hint="eastAsia" w:asciiTheme="majorEastAsia" w:hAnsiTheme="majorEastAsia" w:eastAsiaTheme="majorEastAsia"/>
                <w:b/>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hint="eastAsia" w:cs="Arial" w:asciiTheme="majorEastAsia" w:hAnsiTheme="majorEastAsia" w:eastAsiaTheme="majorEastAsia"/>
                <w:sz w:val="24"/>
                <w:szCs w:val="24"/>
              </w:rPr>
              <w:t>系统结构：采用双层交错式准直器结构，可有效避免射线泄漏到肿瘤靶区周边正常组织，减少放疗毒副反应。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740" w:type="dxa"/>
            <w:vAlign w:val="center"/>
          </w:tcPr>
          <w:p>
            <w:pPr>
              <w:pStyle w:val="12"/>
              <w:numPr>
                <w:ilvl w:val="2"/>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cs="Arial" w:asciiTheme="majorEastAsia" w:hAnsiTheme="majorEastAsia" w:eastAsiaTheme="majorEastAsia"/>
                <w:sz w:val="24"/>
                <w:szCs w:val="24"/>
              </w:rPr>
            </w:pPr>
            <w:r>
              <w:rPr>
                <w:rFonts w:hint="eastAsia" w:cs="Arial" w:asciiTheme="majorEastAsia" w:hAnsiTheme="majorEastAsia" w:eastAsiaTheme="majorEastAsia"/>
                <w:sz w:val="24"/>
                <w:szCs w:val="24"/>
              </w:rPr>
              <w:t>叶片有效分辨率：≤</w:t>
            </w:r>
            <w:r>
              <w:rPr>
                <w:rFonts w:cs="Arial" w:asciiTheme="majorEastAsia" w:hAnsiTheme="majorEastAsia" w:eastAsiaTheme="majorEastAsia"/>
                <w:sz w:val="24"/>
                <w:szCs w:val="24"/>
              </w:rPr>
              <w:t xml:space="preserve"> 0.5cm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cs="Arial" w:asciiTheme="majorEastAsia" w:hAnsiTheme="majorEastAsia" w:eastAsiaTheme="majorEastAsia"/>
                <w:sz w:val="24"/>
                <w:szCs w:val="24"/>
              </w:rPr>
            </w:pPr>
            <w:r>
              <w:rPr>
                <w:rFonts w:hint="eastAsia" w:cs="Arial" w:asciiTheme="majorEastAsia" w:hAnsiTheme="majorEastAsia" w:eastAsiaTheme="majorEastAsia"/>
                <w:sz w:val="24"/>
                <w:szCs w:val="24"/>
              </w:rPr>
              <w:t>总叶片数：≥</w:t>
            </w:r>
            <w:r>
              <w:rPr>
                <w:rFonts w:cs="Arial" w:asciiTheme="majorEastAsia" w:hAnsiTheme="majorEastAsia" w:eastAsiaTheme="majorEastAsia"/>
                <w:sz w:val="24"/>
                <w:szCs w:val="24"/>
              </w:rPr>
              <w:t xml:space="preserve"> 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cs="Arial" w:asciiTheme="majorEastAsia" w:hAnsiTheme="majorEastAsia" w:eastAsiaTheme="majorEastAsia"/>
                <w:sz w:val="24"/>
                <w:szCs w:val="24"/>
              </w:rPr>
            </w:pPr>
            <w:r>
              <w:rPr>
                <w:rFonts w:hint="eastAsia" w:cs="Arial" w:asciiTheme="majorEastAsia" w:hAnsiTheme="majorEastAsia" w:eastAsiaTheme="majorEastAsia"/>
                <w:sz w:val="24"/>
                <w:szCs w:val="24"/>
              </w:rPr>
              <w:t>多叶准直器最大照射野：≥2</w:t>
            </w:r>
            <w:r>
              <w:rPr>
                <w:rFonts w:cs="Arial" w:asciiTheme="majorEastAsia" w:hAnsiTheme="majorEastAsia" w:eastAsiaTheme="majorEastAsia"/>
                <w:sz w:val="24"/>
                <w:szCs w:val="24"/>
              </w:rPr>
              <w:t>8</w:t>
            </w:r>
            <w:r>
              <w:rPr>
                <w:rFonts w:hint="eastAsia" w:cs="Arial" w:asciiTheme="majorEastAsia" w:hAnsiTheme="majorEastAsia" w:eastAsiaTheme="majorEastAsia"/>
                <w:sz w:val="24"/>
                <w:szCs w:val="24"/>
              </w:rPr>
              <w:t>*</w:t>
            </w:r>
            <w:r>
              <w:rPr>
                <w:rFonts w:cs="Arial" w:asciiTheme="majorEastAsia" w:hAnsiTheme="majorEastAsia" w:eastAsiaTheme="majorEastAsia"/>
                <w:sz w:val="24"/>
                <w:szCs w:val="24"/>
              </w:rPr>
              <w:t>38.5cm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cs="Arial" w:asciiTheme="majorEastAsia" w:hAnsiTheme="majorEastAsia" w:eastAsiaTheme="majorEastAsia"/>
                <w:sz w:val="24"/>
                <w:szCs w:val="24"/>
              </w:rPr>
            </w:pPr>
            <w:r>
              <w:rPr>
                <w:rFonts w:hint="eastAsia" w:cs="Arial" w:asciiTheme="majorEastAsia" w:hAnsiTheme="majorEastAsia" w:eastAsiaTheme="majorEastAsia"/>
                <w:sz w:val="24"/>
                <w:szCs w:val="24"/>
              </w:rPr>
              <w:t>准直器总高度：≥</w:t>
            </w:r>
            <w:r>
              <w:rPr>
                <w:rFonts w:cs="Arial" w:asciiTheme="majorEastAsia" w:hAnsiTheme="majorEastAsia" w:eastAsiaTheme="majorEastAsia"/>
                <w:sz w:val="24"/>
                <w:szCs w:val="24"/>
              </w:rPr>
              <w:t>15cm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cs="Arial" w:asciiTheme="majorEastAsia" w:hAnsiTheme="majorEastAsia" w:eastAsiaTheme="majorEastAsia"/>
                <w:sz w:val="24"/>
                <w:szCs w:val="24"/>
              </w:rPr>
            </w:pPr>
            <w:r>
              <w:rPr>
                <w:rFonts w:hint="eastAsia" w:cs="Arial" w:asciiTheme="majorEastAsia" w:hAnsiTheme="majorEastAsia" w:eastAsiaTheme="majorEastAsia"/>
                <w:sz w:val="24"/>
                <w:szCs w:val="24"/>
              </w:rPr>
              <w:t>叶片行程：≥</w:t>
            </w:r>
            <w:r>
              <w:rPr>
                <w:rFonts w:cs="Arial" w:asciiTheme="majorEastAsia" w:hAnsiTheme="majorEastAsia" w:eastAsiaTheme="majorEastAsia"/>
                <w:sz w:val="24"/>
                <w:szCs w:val="24"/>
              </w:rPr>
              <w:t>25cm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cs="Arial" w:asciiTheme="majorEastAsia" w:hAnsiTheme="majorEastAsia" w:eastAsiaTheme="majorEastAsia"/>
                <w:sz w:val="24"/>
                <w:szCs w:val="24"/>
              </w:rPr>
            </w:pPr>
            <w:r>
              <w:rPr>
                <w:rFonts w:hint="eastAsia" w:cs="Arial" w:asciiTheme="majorEastAsia" w:hAnsiTheme="majorEastAsia" w:eastAsiaTheme="majorEastAsia"/>
                <w:sz w:val="24"/>
                <w:szCs w:val="24"/>
              </w:rPr>
              <w:t>同侧相邻叶片运动最大距离：≥</w:t>
            </w:r>
            <w:r>
              <w:rPr>
                <w:rFonts w:cs="Arial" w:asciiTheme="majorEastAsia" w:hAnsiTheme="majorEastAsia" w:eastAsiaTheme="majorEastAsia"/>
                <w:sz w:val="24"/>
                <w:szCs w:val="24"/>
              </w:rPr>
              <w:t>25cm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cs="Arial" w:asciiTheme="majorEastAsia" w:hAnsiTheme="majorEastAsia" w:eastAsiaTheme="majorEastAsia"/>
                <w:sz w:val="24"/>
                <w:szCs w:val="24"/>
              </w:rPr>
            </w:pPr>
            <w:r>
              <w:rPr>
                <w:rFonts w:hint="eastAsia" w:cs="Arial" w:asciiTheme="majorEastAsia" w:hAnsiTheme="majorEastAsia" w:eastAsiaTheme="majorEastAsia"/>
                <w:sz w:val="24"/>
                <w:szCs w:val="24"/>
              </w:rPr>
              <w:t>叶片最大运行速度：≥</w:t>
            </w:r>
            <w:r>
              <w:rPr>
                <w:rFonts w:cs="Arial" w:asciiTheme="majorEastAsia" w:hAnsiTheme="majorEastAsia" w:eastAsiaTheme="majorEastAsia"/>
                <w:sz w:val="24"/>
                <w:szCs w:val="24"/>
              </w:rPr>
              <w:t xml:space="preserve"> 5cm/s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cs="Arial" w:asciiTheme="majorEastAsia" w:hAnsiTheme="majorEastAsia" w:eastAsiaTheme="majorEastAsia"/>
                <w:sz w:val="24"/>
                <w:szCs w:val="24"/>
              </w:rPr>
            </w:pPr>
            <w:r>
              <w:rPr>
                <w:rFonts w:hint="eastAsia" w:cs="Arial" w:asciiTheme="majorEastAsia" w:hAnsiTheme="majorEastAsia" w:eastAsiaTheme="majorEastAsia"/>
                <w:sz w:val="24"/>
                <w:szCs w:val="24"/>
              </w:rPr>
              <w:t>叶片到位精度：≤</w:t>
            </w:r>
            <w:r>
              <w:rPr>
                <w:rFonts w:cs="Arial" w:asciiTheme="majorEastAsia" w:hAnsiTheme="majorEastAsia" w:eastAsiaTheme="majorEastAsia"/>
                <w:sz w:val="24"/>
                <w:szCs w:val="24"/>
              </w:rPr>
              <w:t>±0.1cm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cs="Arial" w:asciiTheme="majorEastAsia" w:hAnsiTheme="majorEastAsia" w:eastAsiaTheme="majorEastAsia"/>
                <w:sz w:val="24"/>
                <w:szCs w:val="24"/>
              </w:rPr>
            </w:pPr>
            <w:r>
              <w:rPr>
                <w:rFonts w:hint="eastAsia" w:cs="Arial" w:asciiTheme="majorEastAsia" w:hAnsiTheme="majorEastAsia" w:eastAsiaTheme="majorEastAsia"/>
                <w:sz w:val="24"/>
                <w:szCs w:val="24"/>
              </w:rPr>
              <w:t>准直器旋转速度：≥ 2RPM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cs="Arial" w:asciiTheme="majorEastAsia" w:hAnsiTheme="majorEastAsia" w:eastAsiaTheme="majorEastAsia"/>
                <w:sz w:val="24"/>
                <w:szCs w:val="24"/>
              </w:rPr>
            </w:pPr>
            <w:r>
              <w:rPr>
                <w:rFonts w:hint="eastAsia" w:cs="Arial" w:asciiTheme="majorEastAsia" w:hAnsiTheme="majorEastAsia" w:eastAsiaTheme="majorEastAsia"/>
                <w:sz w:val="24"/>
                <w:szCs w:val="24"/>
              </w:rPr>
              <w:t>多叶准直系统应用：可进行三维适形放疗、静态调强放疗、动态调强放疗和容积旋转调强放疗的应用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cs="Arial" w:asciiTheme="majorEastAsia" w:hAnsiTheme="majorEastAsia" w:eastAsiaTheme="majorEastAsia"/>
                <w:sz w:val="24"/>
                <w:szCs w:val="24"/>
              </w:rPr>
            </w:pPr>
            <w:r>
              <w:rPr>
                <w:rFonts w:hint="eastAsia" w:cs="Arial" w:asciiTheme="majorEastAsia" w:hAnsiTheme="majorEastAsia" w:eastAsiaTheme="majorEastAsia"/>
                <w:sz w:val="24"/>
                <w:szCs w:val="24"/>
              </w:rPr>
              <w:t>准直系统平均透射率：≤</w:t>
            </w:r>
            <w:r>
              <w:rPr>
                <w:rFonts w:cs="Arial" w:asciiTheme="majorEastAsia" w:hAnsiTheme="majorEastAsia" w:eastAsiaTheme="majorEastAsia"/>
                <w:sz w:val="24"/>
                <w:szCs w:val="24"/>
              </w:rPr>
              <w:t xml:space="preserve"> 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cs="Arial" w:asciiTheme="majorEastAsia" w:hAnsiTheme="majorEastAsia" w:eastAsiaTheme="majorEastAsia"/>
                <w:sz w:val="24"/>
                <w:szCs w:val="24"/>
              </w:rPr>
            </w:pPr>
            <w:r>
              <w:rPr>
                <w:rFonts w:hint="eastAsia" w:asciiTheme="majorEastAsia" w:hAnsiTheme="majorEastAsia" w:eastAsiaTheme="majorEastAsia"/>
                <w:sz w:val="24"/>
                <w:szCs w:val="24"/>
              </w:rPr>
              <w:t>叶片追踪：上层叶片与下层叶片一对一追踪，靶区周边组织剂量跌落快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cs="Arial" w:asciiTheme="majorEastAsia" w:hAnsiTheme="majorEastAsia" w:eastAsiaTheme="majorEastAsia"/>
                <w:sz w:val="24"/>
                <w:szCs w:val="24"/>
              </w:rPr>
            </w:pPr>
            <w:r>
              <w:rPr>
                <w:rFonts w:hint="eastAsia" w:asciiTheme="majorEastAsia" w:hAnsiTheme="majorEastAsia" w:eastAsiaTheme="majorEastAsia"/>
                <w:sz w:val="24"/>
                <w:szCs w:val="24"/>
              </w:rPr>
              <w:t>叶片支持叉指运动（I</w:t>
            </w:r>
            <w:r>
              <w:rPr>
                <w:rFonts w:asciiTheme="majorEastAsia" w:hAnsiTheme="majorEastAsia" w:eastAsiaTheme="majorEastAsia"/>
                <w:sz w:val="24"/>
                <w:szCs w:val="24"/>
              </w:rPr>
              <w:t>nterdigitat</w:t>
            </w:r>
            <w:r>
              <w:rPr>
                <w:rFonts w:hint="eastAsia" w:asciiTheme="majorEastAsia" w:hAnsiTheme="majorEastAsia" w:eastAsiaTheme="majorEastAsia"/>
                <w:sz w:val="24"/>
                <w:szCs w:val="24"/>
              </w:rPr>
              <w:t>ing</w:t>
            </w:r>
            <w:r>
              <w:rPr>
                <w:rFonts w:asciiTheme="majorEastAsia" w:hAnsiTheme="majorEastAsia" w:eastAsiaTheme="major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cs="Arial" w:asciiTheme="majorEastAsia" w:hAnsiTheme="majorEastAsia" w:eastAsiaTheme="majorEastAsia"/>
                <w:sz w:val="24"/>
                <w:szCs w:val="24"/>
              </w:rPr>
            </w:pPr>
            <w:r>
              <w:rPr>
                <w:rFonts w:hint="eastAsia" w:cs="Arial" w:asciiTheme="majorEastAsia" w:hAnsiTheme="majorEastAsia" w:eastAsiaTheme="majorEastAsia"/>
                <w:sz w:val="24"/>
                <w:szCs w:val="24"/>
              </w:rPr>
              <w:t>上下两层叶片可进行独立调制运动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1"/>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cs="Arial" w:asciiTheme="majorEastAsia" w:hAnsiTheme="majorEastAsia" w:eastAsiaTheme="majorEastAsia"/>
                <w:sz w:val="24"/>
                <w:szCs w:val="24"/>
              </w:rPr>
            </w:pPr>
            <w:r>
              <w:rPr>
                <w:rFonts w:hint="eastAsia" w:asciiTheme="majorEastAsia" w:hAnsiTheme="majorEastAsia" w:eastAsiaTheme="majorEastAsia"/>
                <w:b/>
                <w:bCs/>
                <w:sz w:val="24"/>
                <w:szCs w:val="24"/>
              </w:rPr>
              <w:t>患者自我识别验证与实时监控系统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cs="Arial" w:asciiTheme="majorEastAsia" w:hAnsiTheme="majorEastAsia" w:eastAsiaTheme="majorEastAsia"/>
                <w:sz w:val="24"/>
                <w:szCs w:val="24"/>
              </w:rPr>
            </w:pPr>
            <w:r>
              <w:rPr>
                <w:rFonts w:hint="eastAsia" w:asciiTheme="majorEastAsia" w:hAnsiTheme="majorEastAsia" w:eastAsiaTheme="majorEastAsia"/>
                <w:sz w:val="24"/>
                <w:szCs w:val="24"/>
              </w:rPr>
              <w:t>患者身份信息识别与确认（触控屏操作）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cs="Arial" w:asciiTheme="majorEastAsia" w:hAnsiTheme="majorEastAsia" w:eastAsiaTheme="majorEastAsia"/>
                <w:sz w:val="24"/>
                <w:szCs w:val="24"/>
              </w:rPr>
            </w:pPr>
            <w:r>
              <w:rPr>
                <w:rFonts w:hint="eastAsia" w:asciiTheme="majorEastAsia" w:hAnsiTheme="majorEastAsia" w:eastAsiaTheme="majorEastAsia"/>
                <w:sz w:val="24"/>
                <w:szCs w:val="24"/>
              </w:rPr>
              <w:t>患者摆位信息图显示与确认（触控屏操作）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cs="Arial" w:asciiTheme="majorEastAsia" w:hAnsiTheme="majorEastAsia" w:eastAsiaTheme="majorEastAsia"/>
                <w:sz w:val="24"/>
                <w:szCs w:val="24"/>
              </w:rPr>
            </w:pPr>
            <w:r>
              <w:rPr>
                <w:rFonts w:hint="eastAsia" w:asciiTheme="majorEastAsia" w:hAnsiTheme="majorEastAsia" w:eastAsiaTheme="majorEastAsia"/>
                <w:sz w:val="24"/>
                <w:szCs w:val="24"/>
              </w:rPr>
              <w:t>动态视频监控，治疗床与视频监控同步运动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cs="Arial" w:asciiTheme="majorEastAsia" w:hAnsiTheme="majorEastAsia" w:eastAsiaTheme="majorEastAsia"/>
                <w:sz w:val="24"/>
                <w:szCs w:val="24"/>
              </w:rPr>
            </w:pPr>
            <w:r>
              <w:rPr>
                <w:rFonts w:hint="eastAsia" w:asciiTheme="majorEastAsia" w:hAnsiTheme="majorEastAsia" w:eastAsiaTheme="majorEastAsia"/>
                <w:sz w:val="24"/>
                <w:szCs w:val="24"/>
              </w:rPr>
              <w:t>患者安全：机身和治疗床传感器探测，探测到碰撞风险，立即停止运动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1"/>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b/>
                <w:sz w:val="24"/>
                <w:szCs w:val="24"/>
              </w:rPr>
            </w:pPr>
            <w:r>
              <w:rPr>
                <w:rFonts w:hint="eastAsia" w:asciiTheme="majorEastAsia" w:hAnsiTheme="majorEastAsia" w:eastAsiaTheme="majorEastAsia"/>
                <w:b/>
                <w:sz w:val="24"/>
                <w:szCs w:val="24"/>
              </w:rPr>
              <w:t>图像引导系统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hint="eastAsia" w:asciiTheme="majorEastAsia" w:hAnsiTheme="majorEastAsia" w:eastAsiaTheme="majorEastAsia"/>
                <w:sz w:val="24"/>
                <w:szCs w:val="24"/>
              </w:rPr>
            </w:pPr>
            <w:r>
              <w:rPr>
                <w:rFonts w:ascii="宋体" w:hAnsi="宋体"/>
                <w:sz w:val="24"/>
              </w:rPr>
              <w:t>机器自动设定100%图像引导放疗，图像引导覆盖每个患者的每一个分次治疗，普及高质量的癌症治疗。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扫描模式：高速M</w:t>
            </w:r>
            <w:r>
              <w:rPr>
                <w:rFonts w:asciiTheme="majorEastAsia" w:hAnsiTheme="majorEastAsia" w:eastAsiaTheme="majorEastAsia"/>
                <w:sz w:val="24"/>
                <w:szCs w:val="24"/>
              </w:rPr>
              <w:t>V</w:t>
            </w:r>
            <w:r>
              <w:rPr>
                <w:rFonts w:hint="eastAsia" w:asciiTheme="majorEastAsia" w:hAnsiTheme="majorEastAsia" w:eastAsiaTheme="majorEastAsia"/>
                <w:sz w:val="24"/>
                <w:szCs w:val="24"/>
              </w:rPr>
              <w:t>级锥形束CT扫描。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hint="eastAsia" w:asciiTheme="majorEastAsia" w:hAnsiTheme="majorEastAsia" w:eastAsiaTheme="majorEastAsia"/>
                <w:sz w:val="24"/>
                <w:szCs w:val="24"/>
              </w:rPr>
            </w:pPr>
            <w:r>
              <w:rPr>
                <w:rFonts w:hint="eastAsia" w:asciiTheme="majorEastAsia" w:hAnsiTheme="majorEastAsia" w:eastAsiaTheme="majorEastAsia"/>
                <w:sz w:val="24"/>
                <w:szCs w:val="24"/>
              </w:rPr>
              <w:t>成像硬件：采用非晶态平板探测器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探测器原始像素矩阵：</w:t>
            </w:r>
            <w:r>
              <w:rPr>
                <w:rFonts w:asciiTheme="majorEastAsia" w:hAnsiTheme="majorEastAsia" w:eastAsiaTheme="majorEastAsia"/>
                <w:sz w:val="24"/>
                <w:szCs w:val="24"/>
              </w:rPr>
              <w:t>≥</w:t>
            </w:r>
            <w:r>
              <w:rPr>
                <w:rFonts w:hint="eastAsia" w:asciiTheme="majorEastAsia" w:hAnsiTheme="majorEastAsia" w:eastAsiaTheme="majorEastAsia"/>
                <w:sz w:val="24"/>
                <w:szCs w:val="24"/>
              </w:rPr>
              <w:t>1280×1280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探测板成像面积：</w:t>
            </w:r>
            <w:r>
              <w:rPr>
                <w:rFonts w:asciiTheme="majorEastAsia" w:hAnsiTheme="majorEastAsia" w:eastAsiaTheme="majorEastAsia"/>
                <w:sz w:val="24"/>
                <w:szCs w:val="24"/>
              </w:rPr>
              <w:t>≥</w:t>
            </w:r>
            <w:r>
              <w:rPr>
                <w:rFonts w:hint="eastAsia" w:asciiTheme="majorEastAsia" w:hAnsiTheme="majorEastAsia" w:eastAsiaTheme="majorEastAsia"/>
                <w:sz w:val="24"/>
                <w:szCs w:val="24"/>
              </w:rPr>
              <w:t>4</w:t>
            </w:r>
            <w:r>
              <w:rPr>
                <w:rFonts w:asciiTheme="majorEastAsia" w:hAnsiTheme="majorEastAsia" w:eastAsiaTheme="majorEastAsia"/>
                <w:sz w:val="24"/>
                <w:szCs w:val="24"/>
              </w:rPr>
              <w:t>3</w:t>
            </w:r>
            <w:r>
              <w:rPr>
                <w:rFonts w:hint="eastAsia" w:asciiTheme="majorEastAsia" w:hAnsiTheme="majorEastAsia" w:eastAsiaTheme="majorEastAsia"/>
                <w:sz w:val="24"/>
                <w:szCs w:val="24"/>
              </w:rPr>
              <w:t>×4</w:t>
            </w:r>
            <w:r>
              <w:rPr>
                <w:rFonts w:asciiTheme="majorEastAsia" w:hAnsiTheme="majorEastAsia" w:eastAsiaTheme="majorEastAsia"/>
                <w:sz w:val="24"/>
                <w:szCs w:val="24"/>
              </w:rPr>
              <w:t>3</w:t>
            </w:r>
            <w:r>
              <w:rPr>
                <w:rFonts w:hint="eastAsia" w:asciiTheme="majorEastAsia" w:hAnsiTheme="majorEastAsia" w:eastAsiaTheme="majorEastAsia"/>
                <w:sz w:val="24"/>
                <w:szCs w:val="24"/>
              </w:rPr>
              <w:t>cm²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cs="Arial Unicode MS" w:asciiTheme="majorEastAsia" w:hAnsiTheme="majorEastAsia" w:eastAsiaTheme="majorEastAsia"/>
                <w:sz w:val="24"/>
                <w:szCs w:val="24"/>
              </w:rPr>
            </w:pPr>
            <w:r>
              <w:rPr>
                <w:rFonts w:hint="eastAsia" w:asciiTheme="majorEastAsia" w:hAnsiTheme="majorEastAsia" w:eastAsiaTheme="majorEastAsia"/>
                <w:sz w:val="24"/>
                <w:szCs w:val="24"/>
              </w:rPr>
              <w:t>影像中心和治疗中心重合度</w:t>
            </w:r>
            <w:r>
              <w:rPr>
                <w:rFonts w:asciiTheme="majorEastAsia" w:hAnsiTheme="majorEastAsia" w:eastAsiaTheme="majorEastAsia"/>
                <w:sz w:val="24"/>
                <w:szCs w:val="24"/>
              </w:rPr>
              <w:t xml:space="preserve"> </w:t>
            </w:r>
            <w:r>
              <w:rPr>
                <w:rFonts w:hint="eastAsia" w:asciiTheme="majorEastAsia" w:hAnsiTheme="majorEastAsia" w:eastAsiaTheme="majorEastAsia"/>
                <w:sz w:val="24"/>
                <w:szCs w:val="24"/>
              </w:rPr>
              <w:t>≤</w:t>
            </w:r>
            <w:r>
              <w:rPr>
                <w:rFonts w:asciiTheme="majorEastAsia" w:hAnsiTheme="majorEastAsia" w:eastAsiaTheme="majorEastAsia"/>
                <w:sz w:val="24"/>
                <w:szCs w:val="24"/>
              </w:rPr>
              <w:t>1mm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MV CBCT扫描剂量包含在治疗剂量中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扫描模式：</w:t>
            </w:r>
            <w:r>
              <w:rPr>
                <w:rFonts w:asciiTheme="majorEastAsia" w:hAnsiTheme="majorEastAsia" w:eastAsiaTheme="majorEastAsia"/>
                <w:sz w:val="24"/>
                <w:szCs w:val="24"/>
              </w:rPr>
              <w:t xml:space="preserve">MV-MV </w:t>
            </w:r>
            <w:r>
              <w:rPr>
                <w:rFonts w:hint="eastAsia" w:asciiTheme="majorEastAsia" w:hAnsiTheme="majorEastAsia" w:eastAsiaTheme="majorEastAsia"/>
                <w:sz w:val="24"/>
                <w:szCs w:val="24"/>
              </w:rPr>
              <w:t>正交影像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正交影像采集总时间：≤</w:t>
            </w:r>
            <w:r>
              <w:rPr>
                <w:rFonts w:asciiTheme="majorEastAsia" w:hAnsiTheme="majorEastAsia" w:eastAsiaTheme="majorEastAsia"/>
                <w:sz w:val="24"/>
                <w:szCs w:val="24"/>
              </w:rPr>
              <w:t>10s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正交影像成像剂量包含在治疗剂量中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内置机器性能检查程序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2"/>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MV影像探测器支持患者计划的质量保证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1"/>
                <w:numId w:val="3"/>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b/>
                <w:sz w:val="24"/>
                <w:szCs w:val="24"/>
              </w:rPr>
            </w:pPr>
            <w:r>
              <w:rPr>
                <w:rFonts w:hint="eastAsia" w:asciiTheme="majorEastAsia" w:hAnsiTheme="majorEastAsia" w:eastAsiaTheme="majorEastAsia"/>
                <w:b/>
                <w:sz w:val="24"/>
                <w:szCs w:val="24"/>
              </w:rPr>
              <w:t>智能化治疗摆位系统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3"/>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cs="Arial" w:asciiTheme="majorEastAsia" w:hAnsiTheme="majorEastAsia" w:eastAsiaTheme="majorEastAsia"/>
                <w:sz w:val="24"/>
                <w:szCs w:val="24"/>
              </w:rPr>
            </w:pPr>
            <w:r>
              <w:rPr>
                <w:rFonts w:hint="eastAsia" w:cs="Arial" w:asciiTheme="majorEastAsia" w:hAnsiTheme="majorEastAsia" w:eastAsiaTheme="majorEastAsia"/>
                <w:sz w:val="24"/>
                <w:szCs w:val="24"/>
              </w:rPr>
              <w:t>引导式操作：治疗流程标准化，引导式操作，杜绝出错可能。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3"/>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cs="Arial" w:asciiTheme="majorEastAsia" w:hAnsiTheme="majorEastAsia" w:eastAsiaTheme="majorEastAsia"/>
                <w:sz w:val="24"/>
                <w:szCs w:val="24"/>
              </w:rPr>
            </w:pPr>
            <w:r>
              <w:rPr>
                <w:rFonts w:hint="eastAsia" w:asciiTheme="majorEastAsia" w:hAnsiTheme="majorEastAsia" w:eastAsiaTheme="majorEastAsia"/>
                <w:sz w:val="24"/>
                <w:szCs w:val="24"/>
              </w:rPr>
              <w:t>室内触控屏显示摆位照片和注意事项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3"/>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cs="Arial" w:asciiTheme="majorEastAsia" w:hAnsiTheme="majorEastAsia" w:eastAsiaTheme="majorEastAsia"/>
                <w:sz w:val="24"/>
                <w:szCs w:val="24"/>
              </w:rPr>
            </w:pPr>
            <w:r>
              <w:rPr>
                <w:rFonts w:hint="eastAsia" w:cs="Arial" w:asciiTheme="majorEastAsia" w:hAnsiTheme="majorEastAsia" w:eastAsiaTheme="majorEastAsia"/>
                <w:sz w:val="24"/>
                <w:szCs w:val="24"/>
              </w:rPr>
              <w:t>内置激光灯定位精度：≤</w:t>
            </w:r>
            <w:r>
              <w:rPr>
                <w:rFonts w:cs="Arial" w:asciiTheme="majorEastAsia" w:hAnsiTheme="majorEastAsia" w:eastAsiaTheme="majorEastAsia"/>
                <w:sz w:val="24"/>
                <w:szCs w:val="24"/>
              </w:rPr>
              <w:t>±0.1cm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3"/>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cs="Arial" w:asciiTheme="majorEastAsia" w:hAnsiTheme="majorEastAsia" w:eastAsiaTheme="majorEastAsia"/>
                <w:sz w:val="24"/>
                <w:szCs w:val="24"/>
              </w:rPr>
            </w:pPr>
            <w:r>
              <w:rPr>
                <w:rFonts w:hint="eastAsia" w:cs="Arial" w:asciiTheme="majorEastAsia" w:hAnsiTheme="majorEastAsia" w:eastAsiaTheme="majorEastAsia"/>
                <w:sz w:val="24"/>
                <w:szCs w:val="24"/>
              </w:rPr>
              <w:t>自动从定位中心移动到治疗中心，无需进行复位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3"/>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cs="Arial" w:asciiTheme="majorEastAsia" w:hAnsiTheme="majorEastAsia" w:eastAsiaTheme="majorEastAsia"/>
                <w:sz w:val="24"/>
                <w:szCs w:val="24"/>
              </w:rPr>
            </w:pPr>
            <w:r>
              <w:rPr>
                <w:rFonts w:hint="eastAsia" w:cs="Arial" w:asciiTheme="majorEastAsia" w:hAnsiTheme="majorEastAsia" w:eastAsiaTheme="majorEastAsia"/>
                <w:sz w:val="24"/>
                <w:szCs w:val="24"/>
              </w:rPr>
              <w:t>自动移动到第二治疗等中心，无需进入治疗室操作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3"/>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cs="Arial" w:asciiTheme="majorEastAsia" w:hAnsiTheme="majorEastAsia" w:eastAsiaTheme="majorEastAsia"/>
                <w:sz w:val="24"/>
                <w:szCs w:val="24"/>
              </w:rPr>
            </w:pPr>
            <w:r>
              <w:rPr>
                <w:rFonts w:hint="eastAsia" w:cs="Arial" w:asciiTheme="majorEastAsia" w:hAnsiTheme="majorEastAsia" w:eastAsiaTheme="majorEastAsia"/>
                <w:sz w:val="24"/>
                <w:szCs w:val="24"/>
              </w:rPr>
              <w:t>蓝色灯光提示系统，内置逻辑编码，辅助引导摆位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3"/>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cs="Arial" w:asciiTheme="majorEastAsia" w:hAnsiTheme="majorEastAsia" w:eastAsiaTheme="majorEastAsia"/>
                <w:sz w:val="24"/>
                <w:szCs w:val="24"/>
              </w:rPr>
            </w:pPr>
            <w:r>
              <w:rPr>
                <w:rFonts w:hint="eastAsia" w:cs="Arial" w:asciiTheme="majorEastAsia" w:hAnsiTheme="majorEastAsia" w:eastAsiaTheme="majorEastAsia"/>
                <w:sz w:val="24"/>
                <w:szCs w:val="24"/>
              </w:rPr>
              <w:t>精确图像引导放射治疗治疗床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3"/>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cs="Arial" w:asciiTheme="majorEastAsia" w:hAnsiTheme="majorEastAsia" w:eastAsiaTheme="majorEastAsia"/>
                <w:sz w:val="24"/>
                <w:szCs w:val="24"/>
              </w:rPr>
            </w:pPr>
            <w:r>
              <w:rPr>
                <w:rFonts w:hint="eastAsia" w:cs="Arial" w:asciiTheme="majorEastAsia" w:hAnsiTheme="majorEastAsia" w:eastAsiaTheme="majorEastAsia"/>
                <w:sz w:val="24"/>
                <w:szCs w:val="24"/>
              </w:rPr>
              <w:t>床面材料：全碳纤维材料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3"/>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cs="Arial" w:asciiTheme="majorEastAsia" w:hAnsiTheme="majorEastAsia" w:eastAsiaTheme="majorEastAsia"/>
                <w:sz w:val="24"/>
                <w:szCs w:val="24"/>
              </w:rPr>
            </w:pPr>
            <w:r>
              <w:rPr>
                <w:rFonts w:hint="eastAsia" w:cs="Arial" w:asciiTheme="majorEastAsia" w:hAnsiTheme="majorEastAsia" w:eastAsiaTheme="majorEastAsia"/>
                <w:sz w:val="24"/>
                <w:szCs w:val="24"/>
              </w:rPr>
              <w:t>负载能力：≥</w:t>
            </w:r>
            <w:r>
              <w:rPr>
                <w:rFonts w:cs="Arial" w:asciiTheme="majorEastAsia" w:hAnsiTheme="majorEastAsia" w:eastAsiaTheme="majorEastAsia"/>
                <w:sz w:val="24"/>
                <w:szCs w:val="24"/>
              </w:rPr>
              <w:t xml:space="preserve"> 22</w:t>
            </w:r>
            <w:r>
              <w:rPr>
                <w:rFonts w:hint="eastAsia" w:cs="Arial" w:asciiTheme="majorEastAsia" w:hAnsiTheme="majorEastAsia" w:eastAsiaTheme="majorEastAsia"/>
                <w:sz w:val="24"/>
                <w:szCs w:val="24"/>
              </w:rPr>
              <w:t>0公斤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3"/>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cs="Arial" w:asciiTheme="majorEastAsia" w:hAnsiTheme="majorEastAsia" w:eastAsiaTheme="majorEastAsia"/>
                <w:sz w:val="24"/>
                <w:szCs w:val="24"/>
              </w:rPr>
            </w:pPr>
            <w:r>
              <w:rPr>
                <w:rFonts w:hint="eastAsia" w:cs="Arial" w:asciiTheme="majorEastAsia" w:hAnsiTheme="majorEastAsia" w:eastAsiaTheme="majorEastAsia"/>
                <w:sz w:val="24"/>
                <w:szCs w:val="24"/>
              </w:rPr>
              <w:t>垂直移动范围：≥</w:t>
            </w:r>
            <w:r>
              <w:rPr>
                <w:rFonts w:cs="Arial" w:asciiTheme="majorEastAsia" w:hAnsiTheme="majorEastAsia" w:eastAsiaTheme="majorEastAsia"/>
                <w:sz w:val="24"/>
                <w:szCs w:val="24"/>
              </w:rPr>
              <w:t>4</w:t>
            </w:r>
            <w:r>
              <w:rPr>
                <w:rFonts w:hint="eastAsia" w:cs="Arial" w:asciiTheme="majorEastAsia" w:hAnsiTheme="majorEastAsia" w:eastAsiaTheme="majorEastAsia"/>
                <w:sz w:val="24"/>
                <w:szCs w:val="24"/>
              </w:rPr>
              <w:t>5</w:t>
            </w:r>
            <w:r>
              <w:rPr>
                <w:rFonts w:cs="Arial" w:asciiTheme="majorEastAsia" w:hAnsiTheme="majorEastAsia" w:eastAsiaTheme="majorEastAsia"/>
                <w:sz w:val="24"/>
                <w:szCs w:val="24"/>
              </w:rPr>
              <w:t>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3"/>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cs="Arial" w:asciiTheme="majorEastAsia" w:hAnsiTheme="majorEastAsia" w:eastAsiaTheme="majorEastAsia"/>
                <w:sz w:val="24"/>
                <w:szCs w:val="24"/>
              </w:rPr>
            </w:pPr>
            <w:r>
              <w:rPr>
                <w:rFonts w:hint="eastAsia" w:cs="Arial" w:asciiTheme="majorEastAsia" w:hAnsiTheme="majorEastAsia" w:eastAsiaTheme="majorEastAsia"/>
                <w:sz w:val="24"/>
                <w:szCs w:val="24"/>
              </w:rPr>
              <w:t>前后移动范围：≥</w:t>
            </w:r>
            <w:r>
              <w:rPr>
                <w:rFonts w:cs="Arial" w:asciiTheme="majorEastAsia" w:hAnsiTheme="majorEastAsia" w:eastAsiaTheme="majorEastAsia"/>
                <w:sz w:val="24"/>
                <w:szCs w:val="24"/>
              </w:rPr>
              <w:t>1</w:t>
            </w:r>
            <w:r>
              <w:rPr>
                <w:rFonts w:hint="eastAsia" w:cs="Arial" w:asciiTheme="majorEastAsia" w:hAnsiTheme="majorEastAsia" w:eastAsiaTheme="majorEastAsia"/>
                <w:sz w:val="24"/>
                <w:szCs w:val="24"/>
              </w:rPr>
              <w:t>50</w:t>
            </w:r>
            <w:r>
              <w:rPr>
                <w:rFonts w:cs="Arial" w:asciiTheme="majorEastAsia" w:hAnsiTheme="majorEastAsia" w:eastAsiaTheme="majorEastAsia"/>
                <w:sz w:val="24"/>
                <w:szCs w:val="24"/>
              </w:rPr>
              <w:t>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3"/>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cs="Arial" w:asciiTheme="majorEastAsia" w:hAnsiTheme="majorEastAsia" w:eastAsiaTheme="majorEastAsia"/>
                <w:sz w:val="24"/>
                <w:szCs w:val="24"/>
              </w:rPr>
            </w:pPr>
            <w:r>
              <w:rPr>
                <w:rFonts w:hint="eastAsia" w:cs="Arial" w:asciiTheme="majorEastAsia" w:hAnsiTheme="majorEastAsia" w:eastAsiaTheme="majorEastAsia"/>
                <w:sz w:val="24"/>
                <w:szCs w:val="24"/>
              </w:rPr>
              <w:t>左右移动范围：≥</w:t>
            </w:r>
            <w:r>
              <w:rPr>
                <w:rFonts w:cs="Arial" w:asciiTheme="majorEastAsia" w:hAnsiTheme="majorEastAsia" w:eastAsiaTheme="majorEastAsia"/>
                <w:sz w:val="24"/>
                <w:szCs w:val="24"/>
              </w:rPr>
              <w:t>±20cm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3"/>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cs="Arial" w:asciiTheme="majorEastAsia" w:hAnsiTheme="majorEastAsia" w:eastAsiaTheme="majorEastAsia"/>
                <w:sz w:val="24"/>
                <w:szCs w:val="24"/>
              </w:rPr>
            </w:pPr>
            <w:r>
              <w:rPr>
                <w:rFonts w:hint="eastAsia" w:cs="Arial" w:asciiTheme="majorEastAsia" w:hAnsiTheme="majorEastAsia" w:eastAsiaTheme="majorEastAsia"/>
                <w:sz w:val="24"/>
                <w:szCs w:val="24"/>
              </w:rPr>
              <w:t>治疗床定位精度：≤</w:t>
            </w:r>
            <w:r>
              <w:rPr>
                <w:rFonts w:cs="Arial" w:asciiTheme="majorEastAsia" w:hAnsiTheme="majorEastAsia" w:eastAsiaTheme="majorEastAsia"/>
                <w:sz w:val="24"/>
                <w:szCs w:val="24"/>
              </w:rPr>
              <w:t>0.05cm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1"/>
                <w:numId w:val="3"/>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b/>
                <w:sz w:val="24"/>
                <w:szCs w:val="24"/>
              </w:rPr>
            </w:pPr>
            <w:r>
              <w:rPr>
                <w:rFonts w:hint="eastAsia" w:asciiTheme="majorEastAsia" w:hAnsiTheme="majorEastAsia" w:eastAsiaTheme="majorEastAsia"/>
                <w:b/>
                <w:sz w:val="24"/>
                <w:szCs w:val="24"/>
              </w:rPr>
              <w:t>自动质控系统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3"/>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具备集成化设备自动质控功能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3"/>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每24小时强制运行设备性能自动质控检测，确保设备保持高性能运行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3"/>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自动质控检测时间：≤5分钟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3"/>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提供多叶准直器到位精度检测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3"/>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提供叶片运动的重复性检测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3"/>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提供机械等中心与扫描中心精度检测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3"/>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提供机架旋转精度检测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3"/>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提供治疗床运动位置精度检测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3"/>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影像质控内容：</w:t>
            </w:r>
            <w:r>
              <w:rPr>
                <w:rFonts w:asciiTheme="majorEastAsia" w:hAnsiTheme="majorEastAsia" w:eastAsiaTheme="majorEastAsia"/>
                <w:sz w:val="24"/>
                <w:szCs w:val="24"/>
              </w:rPr>
              <w:t>成像系统的定位精度检测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3"/>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束流质控内容：</w:t>
            </w:r>
            <w:r>
              <w:rPr>
                <w:rFonts w:asciiTheme="majorEastAsia" w:hAnsiTheme="majorEastAsia" w:eastAsiaTheme="majorEastAsia"/>
                <w:sz w:val="24"/>
                <w:szCs w:val="24"/>
              </w:rPr>
              <w:t>束流</w:t>
            </w:r>
            <w:r>
              <w:rPr>
                <w:rFonts w:hint="eastAsia" w:asciiTheme="majorEastAsia" w:hAnsiTheme="majorEastAsia" w:eastAsiaTheme="majorEastAsia"/>
                <w:sz w:val="24"/>
                <w:szCs w:val="24"/>
              </w:rPr>
              <w:t>输出稳定</w:t>
            </w:r>
            <w:r>
              <w:rPr>
                <w:rFonts w:asciiTheme="majorEastAsia" w:hAnsiTheme="majorEastAsia" w:eastAsiaTheme="majorEastAsia"/>
                <w:sz w:val="24"/>
                <w:szCs w:val="24"/>
              </w:rPr>
              <w:t>性</w:t>
            </w:r>
            <w:r>
              <w:rPr>
                <w:rFonts w:hint="eastAsia" w:asciiTheme="majorEastAsia" w:hAnsiTheme="majorEastAsia" w:eastAsiaTheme="majorEastAsia"/>
                <w:sz w:val="24"/>
                <w:szCs w:val="24"/>
              </w:rPr>
              <w:t>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3"/>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检测报告：可自动生成检测报告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3"/>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数据分析：提供离线分析质控数据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3"/>
              </w:numPr>
              <w:spacing w:line="360" w:lineRule="auto"/>
              <w:jc w:val="left"/>
              <w:rPr>
                <w:rFonts w:asciiTheme="majorEastAsia" w:hAnsiTheme="majorEastAsia" w:eastAsiaTheme="majorEastAsia"/>
                <w:b/>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图表分析：根据所选参数自动生成趋势图，可自定义时间范围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1"/>
                <w:numId w:val="3"/>
              </w:numPr>
              <w:spacing w:line="360" w:lineRule="auto"/>
              <w:jc w:val="left"/>
              <w:rPr>
                <w:rFonts w:asciiTheme="majorEastAsia" w:hAnsiTheme="majorEastAsia" w:eastAsiaTheme="majorEastAsia"/>
                <w:bCs/>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hint="eastAsia" w:asciiTheme="majorEastAsia" w:hAnsiTheme="majorEastAsia" w:eastAsiaTheme="majorEastAsia"/>
                <w:b/>
                <w:sz w:val="24"/>
                <w:szCs w:val="24"/>
              </w:rPr>
              <w:t>自屏蔽系统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3"/>
              </w:numPr>
              <w:spacing w:line="360" w:lineRule="auto"/>
              <w:jc w:val="left"/>
              <w:rPr>
                <w:rFonts w:asciiTheme="majorEastAsia" w:hAnsiTheme="majorEastAsia" w:eastAsiaTheme="majorEastAsia"/>
                <w:bCs/>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自屏蔽系统：系统自带屏蔽系统，屏蔽主射线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3"/>
              </w:numPr>
              <w:spacing w:line="360" w:lineRule="auto"/>
              <w:jc w:val="left"/>
              <w:rPr>
                <w:rFonts w:asciiTheme="majorEastAsia" w:hAnsiTheme="majorEastAsia" w:eastAsiaTheme="majorEastAsia"/>
                <w:bCs/>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自屏蔽系统透射率：≤0.</w:t>
            </w:r>
            <w:r>
              <w:rPr>
                <w:rFonts w:asciiTheme="majorEastAsia" w:hAnsiTheme="majorEastAsia" w:eastAsiaTheme="majorEastAsia"/>
                <w:sz w:val="24"/>
                <w:szCs w:val="24"/>
              </w:rPr>
              <w:t>2</w:t>
            </w:r>
            <w:r>
              <w:rPr>
                <w:rFonts w:hint="eastAsia" w:asciiTheme="majorEastAsia" w:hAnsiTheme="majorEastAsia" w:eastAsiaTheme="major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1"/>
                <w:numId w:val="2"/>
              </w:numPr>
              <w:spacing w:line="360" w:lineRule="auto"/>
              <w:jc w:val="left"/>
              <w:rPr>
                <w:rFonts w:asciiTheme="majorEastAsia" w:hAnsiTheme="majorEastAsia" w:eastAsiaTheme="majorEastAsia"/>
                <w:sz w:val="24"/>
                <w:szCs w:val="24"/>
              </w:rPr>
            </w:pPr>
          </w:p>
        </w:tc>
        <w:tc>
          <w:tcPr>
            <w:tcW w:w="8116" w:type="dxa"/>
            <w:vAlign w:val="center"/>
          </w:tcPr>
          <w:p>
            <w:pPr>
              <w:tabs>
                <w:tab w:val="left" w:pos="843"/>
                <w:tab w:val="left" w:pos="3348"/>
                <w:tab w:val="left" w:pos="7621"/>
                <w:tab w:val="left" w:pos="8613"/>
              </w:tabs>
              <w:autoSpaceDE w:val="0"/>
              <w:autoSpaceDN w:val="0"/>
              <w:spacing w:line="360" w:lineRule="auto"/>
              <w:jc w:val="left"/>
              <w:rPr>
                <w:rFonts w:asciiTheme="majorEastAsia" w:hAnsiTheme="majorEastAsia" w:eastAsiaTheme="majorEastAsia"/>
                <w:sz w:val="24"/>
                <w:szCs w:val="24"/>
              </w:rPr>
            </w:pPr>
            <w:r>
              <w:rPr>
                <w:rFonts w:hint="eastAsia" w:asciiTheme="majorEastAsia" w:hAnsiTheme="majorEastAsia" w:eastAsiaTheme="majorEastAsia"/>
                <w:b/>
                <w:sz w:val="24"/>
                <w:szCs w:val="24"/>
              </w:rPr>
              <w:t>配置容积旋转调强功能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sz w:val="24"/>
                <w:szCs w:val="24"/>
              </w:rPr>
            </w:pPr>
          </w:p>
        </w:tc>
        <w:tc>
          <w:tcPr>
            <w:tcW w:w="8116" w:type="dxa"/>
            <w:vAlign w:val="center"/>
          </w:tcPr>
          <w:p>
            <w:pPr>
              <w:tabs>
                <w:tab w:val="left" w:pos="843"/>
                <w:tab w:val="left" w:pos="3348"/>
                <w:tab w:val="left" w:pos="7621"/>
                <w:tab w:val="left" w:pos="8613"/>
              </w:tabs>
              <w:autoSpaceDE w:val="0"/>
              <w:autoSpaceDN w:val="0"/>
              <w:spacing w:line="360" w:lineRule="auto"/>
              <w:jc w:val="left"/>
              <w:rPr>
                <w:rFonts w:asciiTheme="majorEastAsia" w:hAnsiTheme="majorEastAsia" w:eastAsiaTheme="majorEastAsia"/>
                <w:sz w:val="24"/>
                <w:szCs w:val="24"/>
              </w:rPr>
            </w:pPr>
            <w:r>
              <w:rPr>
                <w:rFonts w:hint="eastAsia" w:asciiTheme="majorEastAsia" w:hAnsiTheme="majorEastAsia" w:eastAsiaTheme="majorEastAsia"/>
                <w:sz w:val="24"/>
                <w:szCs w:val="24"/>
              </w:rPr>
              <w:t>具备容积旋转调强功能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sz w:val="24"/>
                <w:szCs w:val="24"/>
              </w:rPr>
            </w:pPr>
          </w:p>
        </w:tc>
        <w:tc>
          <w:tcPr>
            <w:tcW w:w="8116" w:type="dxa"/>
            <w:vAlign w:val="center"/>
          </w:tcPr>
          <w:p>
            <w:pPr>
              <w:tabs>
                <w:tab w:val="left" w:pos="843"/>
                <w:tab w:val="left" w:pos="3348"/>
                <w:tab w:val="left" w:pos="7621"/>
                <w:tab w:val="left" w:pos="8613"/>
              </w:tabs>
              <w:autoSpaceDE w:val="0"/>
              <w:autoSpaceDN w:val="0"/>
              <w:spacing w:line="360" w:lineRule="auto"/>
              <w:jc w:val="left"/>
              <w:rPr>
                <w:rFonts w:asciiTheme="majorEastAsia" w:hAnsiTheme="majorEastAsia" w:eastAsiaTheme="majorEastAsia"/>
                <w:sz w:val="24"/>
                <w:szCs w:val="24"/>
              </w:rPr>
            </w:pPr>
            <w:r>
              <w:rPr>
                <w:rFonts w:hint="eastAsia" w:asciiTheme="majorEastAsia" w:hAnsiTheme="majorEastAsia" w:eastAsiaTheme="majorEastAsia"/>
                <w:sz w:val="24"/>
                <w:szCs w:val="24"/>
              </w:rPr>
              <w:t>容积旋转调强功能要求：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2"/>
              </w:numPr>
              <w:spacing w:line="360" w:lineRule="auto"/>
              <w:jc w:val="left"/>
              <w:rPr>
                <w:rFonts w:asciiTheme="majorEastAsia" w:hAnsiTheme="majorEastAsia" w:eastAsiaTheme="majorEastAsia"/>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容积旋转调强治疗时机架旋转角度、双层多叶准直系统和实时剂量率均可按照优化要求实时变化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2"/>
              </w:numPr>
              <w:spacing w:line="360" w:lineRule="auto"/>
              <w:jc w:val="left"/>
              <w:rPr>
                <w:rFonts w:asciiTheme="majorEastAsia" w:hAnsiTheme="majorEastAsia" w:eastAsiaTheme="majorEastAsia"/>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容积旋转机架运动速度：</w:t>
            </w:r>
            <w:r>
              <w:rPr>
                <w:rFonts w:asciiTheme="majorEastAsia" w:hAnsiTheme="majorEastAsia" w:eastAsiaTheme="majorEastAsia"/>
                <w:sz w:val="24"/>
                <w:szCs w:val="24"/>
              </w:rPr>
              <w:t xml:space="preserve"> ≥</w:t>
            </w:r>
            <w:r>
              <w:rPr>
                <w:rFonts w:hint="eastAsia" w:asciiTheme="majorEastAsia" w:hAnsiTheme="majorEastAsia" w:eastAsiaTheme="majorEastAsia"/>
                <w:sz w:val="24"/>
                <w:szCs w:val="24"/>
              </w:rPr>
              <w:t>2</w:t>
            </w:r>
            <w:r>
              <w:rPr>
                <w:rFonts w:asciiTheme="majorEastAsia" w:hAnsiTheme="majorEastAsia" w:eastAsiaTheme="majorEastAsia"/>
                <w:sz w:val="24"/>
                <w:szCs w:val="24"/>
              </w:rPr>
              <w:t>RPM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2"/>
              </w:numPr>
              <w:spacing w:line="360" w:lineRule="auto"/>
              <w:jc w:val="left"/>
              <w:rPr>
                <w:rFonts w:asciiTheme="majorEastAsia" w:hAnsiTheme="majorEastAsia" w:eastAsiaTheme="majorEastAsia"/>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可实现单弧和多弧治疗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2"/>
              </w:numPr>
              <w:spacing w:line="360" w:lineRule="auto"/>
              <w:jc w:val="left"/>
              <w:rPr>
                <w:rFonts w:asciiTheme="majorEastAsia" w:hAnsiTheme="majorEastAsia" w:eastAsiaTheme="majorEastAsia"/>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支持单个计划的射野数量≥1</w:t>
            </w:r>
            <w:r>
              <w:rPr>
                <w:rFonts w:asciiTheme="majorEastAsia" w:hAnsiTheme="majorEastAsia" w:eastAsiaTheme="majorEastAsia"/>
                <w:sz w:val="24"/>
                <w:szCs w:val="24"/>
              </w:rPr>
              <w:t>5</w:t>
            </w:r>
            <w:r>
              <w:rPr>
                <w:rFonts w:hint="eastAsia" w:asciiTheme="majorEastAsia" w:hAnsiTheme="majorEastAsia" w:eastAsiaTheme="majorEastAsia"/>
                <w:sz w:val="24"/>
                <w:szCs w:val="24"/>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2"/>
              </w:numPr>
              <w:spacing w:line="360" w:lineRule="auto"/>
              <w:jc w:val="left"/>
              <w:rPr>
                <w:rFonts w:asciiTheme="majorEastAsia" w:hAnsiTheme="majorEastAsia" w:eastAsiaTheme="majorEastAsia"/>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每旋转一圈治疗长度：</w:t>
            </w:r>
            <w:r>
              <w:rPr>
                <w:rFonts w:asciiTheme="majorEastAsia" w:hAnsiTheme="majorEastAsia" w:eastAsiaTheme="majorEastAsia"/>
                <w:sz w:val="24"/>
                <w:szCs w:val="24"/>
              </w:rPr>
              <w:t>≥20cm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0"/>
                <w:numId w:val="2"/>
              </w:numPr>
              <w:spacing w:line="360" w:lineRule="auto"/>
              <w:jc w:val="left"/>
              <w:rPr>
                <w:rFonts w:asciiTheme="majorEastAsia" w:hAnsiTheme="majorEastAsia" w:eastAsiaTheme="majorEastAsia"/>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hint="eastAsia" w:asciiTheme="majorEastAsia" w:hAnsiTheme="majorEastAsia" w:eastAsiaTheme="majorEastAsia" w:cstheme="minorHAnsi"/>
                <w:b/>
                <w:bCs/>
                <w:sz w:val="24"/>
                <w:szCs w:val="24"/>
              </w:rPr>
              <w:t>肿瘤放射治疗计划系统软件要求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1"/>
                <w:numId w:val="2"/>
              </w:numPr>
              <w:spacing w:line="360" w:lineRule="auto"/>
              <w:jc w:val="left"/>
              <w:rPr>
                <w:rFonts w:asciiTheme="majorEastAsia" w:hAnsiTheme="majorEastAsia" w:eastAsiaTheme="majorEastAsia"/>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asciiTheme="majorEastAsia" w:hAnsiTheme="majorEastAsia" w:eastAsiaTheme="majorEastAsia" w:cstheme="minorHAnsi"/>
                <w:sz w:val="24"/>
                <w:szCs w:val="24"/>
              </w:rPr>
              <w:t>软件基本环境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asciiTheme="majorEastAsia" w:hAnsiTheme="majorEastAsia" w:eastAsiaTheme="majorEastAsia" w:cstheme="minorHAnsi"/>
                <w:sz w:val="24"/>
                <w:szCs w:val="24"/>
              </w:rPr>
              <w:t>系统架构：系统应基于“客户～服务器”模式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asciiTheme="majorEastAsia" w:hAnsiTheme="majorEastAsia" w:eastAsiaTheme="majorEastAsia" w:cstheme="minorHAnsi"/>
                <w:sz w:val="24"/>
                <w:szCs w:val="24"/>
              </w:rPr>
              <w:t>临床与管理数据库：数据库应是关系型数据库管理系统，如Oracle, Sybase, Informix。应建立在符合ANSII规定标准的SQL语言上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asciiTheme="majorEastAsia" w:hAnsiTheme="majorEastAsia" w:eastAsiaTheme="majorEastAsia" w:cstheme="minorHAnsi"/>
                <w:sz w:val="24"/>
                <w:szCs w:val="24"/>
              </w:rPr>
              <w:t>数据传输协议：支持HL-7接口协议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1"/>
                <w:numId w:val="2"/>
              </w:numPr>
              <w:spacing w:line="360" w:lineRule="auto"/>
              <w:jc w:val="left"/>
              <w:rPr>
                <w:rFonts w:asciiTheme="majorEastAsia" w:hAnsiTheme="majorEastAsia" w:eastAsiaTheme="majorEastAsia"/>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asciiTheme="majorEastAsia" w:hAnsiTheme="majorEastAsia" w:eastAsiaTheme="majorEastAsia" w:cstheme="minorHAnsi"/>
                <w:sz w:val="24"/>
                <w:szCs w:val="24"/>
              </w:rPr>
              <w:t>软件功能</w:t>
            </w:r>
            <w:r>
              <w:rPr>
                <w:rFonts w:hint="eastAsia" w:asciiTheme="majorEastAsia" w:hAnsiTheme="majorEastAsia" w:eastAsiaTheme="majorEastAsia" w:cstheme="minorHAnsi"/>
                <w:sz w:val="24"/>
                <w:szCs w:val="24"/>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asciiTheme="majorEastAsia" w:hAnsiTheme="majorEastAsia" w:eastAsiaTheme="majorEastAsia" w:cstheme="minorHAnsi"/>
                <w:sz w:val="24"/>
                <w:szCs w:val="24"/>
              </w:rPr>
              <w:t>影像配准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2"/>
              </w:numPr>
              <w:spacing w:line="360" w:lineRule="auto"/>
              <w:jc w:val="left"/>
              <w:rPr>
                <w:rFonts w:asciiTheme="majorEastAsia" w:hAnsiTheme="majorEastAsia" w:eastAsiaTheme="majorEastAsia"/>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asciiTheme="majorEastAsia" w:hAnsiTheme="majorEastAsia" w:eastAsiaTheme="majorEastAsia" w:cstheme="minorHAnsi"/>
                <w:sz w:val="24"/>
                <w:szCs w:val="24"/>
              </w:rPr>
              <w:t>应支持CT、MRI、CBCT、PET的配准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2"/>
              </w:numPr>
              <w:spacing w:line="360" w:lineRule="auto"/>
              <w:jc w:val="left"/>
              <w:rPr>
                <w:rFonts w:asciiTheme="majorEastAsia" w:hAnsiTheme="majorEastAsia" w:eastAsiaTheme="majorEastAsia"/>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asciiTheme="majorEastAsia" w:hAnsiTheme="majorEastAsia" w:eastAsiaTheme="majorEastAsia" w:cstheme="minorHAnsi"/>
                <w:sz w:val="24"/>
                <w:szCs w:val="24"/>
              </w:rPr>
              <w:t>应支持影像的刚性配准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2"/>
              </w:numPr>
              <w:spacing w:line="360" w:lineRule="auto"/>
              <w:jc w:val="left"/>
              <w:rPr>
                <w:rFonts w:asciiTheme="majorEastAsia" w:hAnsiTheme="majorEastAsia" w:eastAsiaTheme="majorEastAsia"/>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asciiTheme="majorEastAsia" w:hAnsiTheme="majorEastAsia" w:eastAsiaTheme="majorEastAsia" w:cstheme="minorHAnsi"/>
                <w:sz w:val="24"/>
                <w:szCs w:val="24"/>
              </w:rPr>
              <w:t>应支持影像的形变配准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2"/>
              </w:numPr>
              <w:spacing w:line="360" w:lineRule="auto"/>
              <w:jc w:val="left"/>
              <w:rPr>
                <w:rFonts w:asciiTheme="majorEastAsia" w:hAnsiTheme="majorEastAsia" w:eastAsiaTheme="majorEastAsia"/>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asciiTheme="majorEastAsia" w:hAnsiTheme="majorEastAsia" w:eastAsiaTheme="majorEastAsia" w:cstheme="minorHAnsi"/>
                <w:sz w:val="24"/>
                <w:szCs w:val="24"/>
              </w:rPr>
              <w:t>应提供配准结果评估工具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hint="eastAsia" w:asciiTheme="majorEastAsia" w:hAnsiTheme="majorEastAsia" w:eastAsiaTheme="majorEastAsia" w:cstheme="minorHAnsi"/>
                <w:sz w:val="24"/>
                <w:szCs w:val="24"/>
              </w:rPr>
              <w:t>轮廓</w:t>
            </w:r>
            <w:r>
              <w:rPr>
                <w:rFonts w:asciiTheme="majorEastAsia" w:hAnsiTheme="majorEastAsia" w:eastAsiaTheme="majorEastAsia" w:cstheme="minorHAnsi"/>
                <w:sz w:val="24"/>
                <w:szCs w:val="24"/>
              </w:rPr>
              <w:t>结构勾画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2"/>
              </w:numPr>
              <w:spacing w:line="360" w:lineRule="auto"/>
              <w:jc w:val="left"/>
              <w:rPr>
                <w:rFonts w:asciiTheme="majorEastAsia" w:hAnsiTheme="majorEastAsia" w:eastAsiaTheme="majorEastAsia"/>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asciiTheme="majorEastAsia" w:hAnsiTheme="majorEastAsia" w:eastAsiaTheme="majorEastAsia" w:cstheme="minorHAnsi"/>
                <w:sz w:val="24"/>
                <w:szCs w:val="24"/>
              </w:rPr>
              <w:t>应支持自动SUV勾画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2"/>
              </w:numPr>
              <w:spacing w:line="360" w:lineRule="auto"/>
              <w:jc w:val="left"/>
              <w:rPr>
                <w:rFonts w:asciiTheme="majorEastAsia" w:hAnsiTheme="majorEastAsia" w:eastAsiaTheme="majorEastAsia"/>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asciiTheme="majorEastAsia" w:hAnsiTheme="majorEastAsia" w:eastAsiaTheme="majorEastAsia" w:cstheme="minorHAnsi"/>
                <w:sz w:val="24"/>
                <w:szCs w:val="24"/>
              </w:rPr>
              <w:t>应支持多模态影像勾画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2"/>
              </w:numPr>
              <w:spacing w:line="360" w:lineRule="auto"/>
              <w:jc w:val="left"/>
              <w:rPr>
                <w:rFonts w:asciiTheme="majorEastAsia" w:hAnsiTheme="majorEastAsia" w:eastAsiaTheme="majorEastAsia"/>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asciiTheme="majorEastAsia" w:hAnsiTheme="majorEastAsia" w:eastAsiaTheme="majorEastAsia" w:cstheme="minorHAnsi"/>
                <w:sz w:val="24"/>
                <w:szCs w:val="24"/>
              </w:rPr>
              <w:t>应支持4D影像数据处理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4"/>
                <w:numId w:val="2"/>
              </w:numPr>
              <w:spacing w:line="360" w:lineRule="auto"/>
              <w:jc w:val="left"/>
              <w:rPr>
                <w:rFonts w:asciiTheme="majorEastAsia" w:hAnsiTheme="majorEastAsia" w:eastAsiaTheme="majorEastAsia"/>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asciiTheme="majorEastAsia" w:hAnsiTheme="majorEastAsia" w:eastAsiaTheme="majorEastAsia" w:cstheme="minorHAnsi"/>
                <w:sz w:val="24"/>
                <w:szCs w:val="24"/>
              </w:rPr>
              <w:t>应支持生成MIP、AIP和minIP图像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4"/>
                <w:numId w:val="2"/>
              </w:numPr>
              <w:spacing w:line="360" w:lineRule="auto"/>
              <w:jc w:val="left"/>
              <w:rPr>
                <w:rFonts w:asciiTheme="majorEastAsia" w:hAnsiTheme="majorEastAsia" w:eastAsiaTheme="majorEastAsia"/>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asciiTheme="majorEastAsia" w:hAnsiTheme="majorEastAsia" w:eastAsiaTheme="majorEastAsia" w:cstheme="minorHAnsi"/>
                <w:sz w:val="24"/>
                <w:szCs w:val="24"/>
              </w:rPr>
              <w:t>可合成照射靶体积ITV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4"/>
                <w:numId w:val="2"/>
              </w:numPr>
              <w:spacing w:line="360" w:lineRule="auto"/>
              <w:jc w:val="left"/>
              <w:rPr>
                <w:rFonts w:asciiTheme="majorEastAsia" w:hAnsiTheme="majorEastAsia" w:eastAsiaTheme="majorEastAsia"/>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asciiTheme="majorEastAsia" w:hAnsiTheme="majorEastAsia" w:eastAsiaTheme="majorEastAsia" w:cstheme="minorHAnsi"/>
                <w:sz w:val="24"/>
                <w:szCs w:val="24"/>
              </w:rPr>
              <w:t>可进行刚性、形变的4D结构派生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4"/>
                <w:numId w:val="2"/>
              </w:numPr>
              <w:spacing w:line="360" w:lineRule="auto"/>
              <w:jc w:val="left"/>
              <w:rPr>
                <w:rFonts w:asciiTheme="majorEastAsia" w:hAnsiTheme="majorEastAsia" w:eastAsiaTheme="majorEastAsia"/>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asciiTheme="majorEastAsia" w:hAnsiTheme="majorEastAsia" w:eastAsiaTheme="majorEastAsia" w:cstheme="minorHAnsi"/>
                <w:sz w:val="24"/>
                <w:szCs w:val="24"/>
              </w:rPr>
              <w:t>可浏览呼吸幅度曲线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4"/>
                <w:numId w:val="2"/>
              </w:numPr>
              <w:spacing w:line="360" w:lineRule="auto"/>
              <w:jc w:val="left"/>
              <w:rPr>
                <w:rFonts w:asciiTheme="majorEastAsia" w:hAnsiTheme="majorEastAsia" w:eastAsiaTheme="majorEastAsia"/>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asciiTheme="majorEastAsia" w:hAnsiTheme="majorEastAsia" w:eastAsiaTheme="majorEastAsia" w:cstheme="minorHAnsi"/>
                <w:sz w:val="24"/>
                <w:szCs w:val="24"/>
              </w:rPr>
              <w:t>支持4D体积统计，评估质心和体积变化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4"/>
                <w:numId w:val="2"/>
              </w:numPr>
              <w:spacing w:line="360" w:lineRule="auto"/>
              <w:jc w:val="left"/>
              <w:rPr>
                <w:rFonts w:asciiTheme="majorEastAsia" w:hAnsiTheme="majorEastAsia" w:eastAsiaTheme="majorEastAsia"/>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asciiTheme="majorEastAsia" w:hAnsiTheme="majorEastAsia" w:eastAsiaTheme="majorEastAsia" w:cstheme="minorHAnsi"/>
                <w:sz w:val="24"/>
                <w:szCs w:val="24"/>
              </w:rPr>
              <w:t>支持勾画和计划射野上播放4D电影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2"/>
              </w:numPr>
              <w:spacing w:line="360" w:lineRule="auto"/>
              <w:jc w:val="left"/>
              <w:rPr>
                <w:rFonts w:asciiTheme="majorEastAsia" w:hAnsiTheme="majorEastAsia" w:eastAsiaTheme="majorEastAsia"/>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asciiTheme="majorEastAsia" w:hAnsiTheme="majorEastAsia" w:eastAsiaTheme="majorEastAsia" w:cstheme="minorHAnsi"/>
                <w:sz w:val="24"/>
                <w:szCs w:val="24"/>
              </w:rPr>
              <w:t>应支持临床协议模板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asciiTheme="majorEastAsia" w:hAnsiTheme="majorEastAsia" w:eastAsiaTheme="majorEastAsia" w:cstheme="minorHAnsi"/>
                <w:sz w:val="24"/>
                <w:szCs w:val="24"/>
              </w:rPr>
              <w:t>计划设计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2"/>
              </w:numPr>
              <w:spacing w:line="360" w:lineRule="auto"/>
              <w:jc w:val="left"/>
              <w:rPr>
                <w:rFonts w:asciiTheme="majorEastAsia" w:hAnsiTheme="majorEastAsia" w:eastAsiaTheme="majorEastAsia"/>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asciiTheme="majorEastAsia" w:hAnsiTheme="majorEastAsia" w:eastAsiaTheme="majorEastAsia" w:cstheme="minorHAnsi"/>
                <w:sz w:val="24"/>
                <w:szCs w:val="24"/>
              </w:rPr>
              <w:t>应支持野中野技术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2"/>
              </w:numPr>
              <w:spacing w:line="360" w:lineRule="auto"/>
              <w:jc w:val="left"/>
              <w:rPr>
                <w:rFonts w:asciiTheme="majorEastAsia" w:hAnsiTheme="majorEastAsia" w:eastAsiaTheme="majorEastAsia"/>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asciiTheme="majorEastAsia" w:hAnsiTheme="majorEastAsia" w:eastAsiaTheme="majorEastAsia" w:cstheme="minorHAnsi"/>
                <w:sz w:val="24"/>
                <w:szCs w:val="24"/>
              </w:rPr>
              <w:t>应支持补偿器计划设计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2"/>
              </w:numPr>
              <w:spacing w:line="360" w:lineRule="auto"/>
              <w:jc w:val="left"/>
              <w:rPr>
                <w:rFonts w:asciiTheme="majorEastAsia" w:hAnsiTheme="majorEastAsia" w:eastAsiaTheme="majorEastAsia" w:cstheme="minorHAnsi"/>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asciiTheme="majorEastAsia" w:hAnsiTheme="majorEastAsia" w:eastAsiaTheme="majorEastAsia" w:cstheme="minorHAnsi"/>
                <w:sz w:val="24"/>
                <w:szCs w:val="24"/>
              </w:rPr>
              <w:t>应支持正向放疗计划设计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2"/>
              </w:numPr>
              <w:spacing w:line="360" w:lineRule="auto"/>
              <w:jc w:val="left"/>
              <w:rPr>
                <w:rFonts w:asciiTheme="majorEastAsia" w:hAnsiTheme="majorEastAsia" w:eastAsiaTheme="majorEastAsia" w:cstheme="minorHAnsi"/>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hint="eastAsia" w:asciiTheme="majorEastAsia" w:hAnsiTheme="majorEastAsia" w:eastAsiaTheme="majorEastAsia"/>
                <w:sz w:val="24"/>
                <w:szCs w:val="24"/>
              </w:rPr>
              <w:t>支持放射治疗设备间的治疗迁移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4"/>
                <w:numId w:val="2"/>
              </w:numPr>
              <w:spacing w:line="360" w:lineRule="auto"/>
              <w:jc w:val="left"/>
              <w:rPr>
                <w:rFonts w:asciiTheme="majorEastAsia" w:hAnsiTheme="majorEastAsia" w:eastAsiaTheme="majorEastAsia" w:cstheme="minorHAnsi"/>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hint="eastAsia" w:asciiTheme="majorEastAsia" w:hAnsiTheme="majorEastAsia" w:eastAsiaTheme="majorEastAsia"/>
                <w:sz w:val="24"/>
                <w:szCs w:val="24"/>
              </w:rPr>
              <w:t>预置束流模型，无需扫描数据和建模，只需验证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4"/>
                <w:numId w:val="2"/>
              </w:numPr>
              <w:spacing w:line="360" w:lineRule="auto"/>
              <w:jc w:val="left"/>
              <w:rPr>
                <w:rFonts w:asciiTheme="majorEastAsia" w:hAnsiTheme="majorEastAsia" w:eastAsiaTheme="majorEastAsia" w:cstheme="minorHAnsi"/>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hint="eastAsia" w:asciiTheme="majorEastAsia" w:hAnsiTheme="majorEastAsia" w:eastAsiaTheme="majorEastAsia"/>
                <w:sz w:val="24"/>
                <w:szCs w:val="24"/>
              </w:rPr>
              <w:t>同型号机型，束流完全匹配（Bea</w:t>
            </w:r>
            <w:r>
              <w:rPr>
                <w:rFonts w:asciiTheme="majorEastAsia" w:hAnsiTheme="majorEastAsia" w:eastAsiaTheme="majorEastAsia"/>
                <w:sz w:val="24"/>
                <w:szCs w:val="24"/>
              </w:rPr>
              <w:t>m Match）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4"/>
                <w:numId w:val="2"/>
              </w:numPr>
              <w:spacing w:line="360" w:lineRule="auto"/>
              <w:jc w:val="left"/>
              <w:rPr>
                <w:rFonts w:asciiTheme="majorEastAsia" w:hAnsiTheme="majorEastAsia" w:eastAsiaTheme="majorEastAsia" w:cstheme="minorHAnsi"/>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hint="eastAsia" w:asciiTheme="majorEastAsia" w:hAnsiTheme="majorEastAsia" w:eastAsiaTheme="majorEastAsia"/>
                <w:sz w:val="24"/>
                <w:szCs w:val="24"/>
              </w:rPr>
              <w:t>可直接切换到其他同型号机型进行治疗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4"/>
                <w:numId w:val="2"/>
              </w:numPr>
              <w:spacing w:line="360" w:lineRule="auto"/>
              <w:jc w:val="left"/>
              <w:rPr>
                <w:rFonts w:asciiTheme="majorEastAsia" w:hAnsiTheme="majorEastAsia" w:eastAsiaTheme="majorEastAsia" w:cstheme="minorHAnsi"/>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hint="eastAsia" w:asciiTheme="majorEastAsia" w:hAnsiTheme="majorEastAsia" w:eastAsiaTheme="majorEastAsia"/>
                <w:sz w:val="24"/>
                <w:szCs w:val="24"/>
              </w:rPr>
              <w:t>支持将治疗切换到同一供应商的其他机型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2"/>
              </w:numPr>
              <w:spacing w:line="360" w:lineRule="auto"/>
              <w:jc w:val="left"/>
              <w:rPr>
                <w:rFonts w:asciiTheme="majorEastAsia" w:hAnsiTheme="majorEastAsia" w:eastAsiaTheme="majorEastAsia" w:cstheme="minorHAnsi"/>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asciiTheme="majorEastAsia" w:hAnsiTheme="majorEastAsia" w:eastAsiaTheme="majorEastAsia" w:cstheme="minorHAnsi"/>
                <w:sz w:val="24"/>
                <w:szCs w:val="24"/>
              </w:rPr>
              <w:t>应支持逆向调强放疗计划设计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740" w:type="dxa"/>
            <w:vAlign w:val="center"/>
          </w:tcPr>
          <w:p>
            <w:pPr>
              <w:pStyle w:val="12"/>
              <w:numPr>
                <w:ilvl w:val="3"/>
                <w:numId w:val="2"/>
              </w:numPr>
              <w:spacing w:line="360" w:lineRule="auto"/>
              <w:jc w:val="left"/>
              <w:rPr>
                <w:rFonts w:asciiTheme="majorEastAsia" w:hAnsiTheme="majorEastAsia" w:eastAsiaTheme="majorEastAsia" w:cstheme="minorHAnsi"/>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asciiTheme="majorEastAsia" w:hAnsiTheme="majorEastAsia" w:eastAsiaTheme="majorEastAsia" w:cstheme="minorHAnsi"/>
                <w:sz w:val="24"/>
                <w:szCs w:val="24"/>
              </w:rPr>
              <w:t>应支持容积旋转调强放疗技术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2"/>
              </w:numPr>
              <w:spacing w:line="360" w:lineRule="auto"/>
              <w:jc w:val="left"/>
              <w:rPr>
                <w:rFonts w:asciiTheme="majorEastAsia" w:hAnsiTheme="majorEastAsia" w:eastAsiaTheme="majorEastAsia" w:cstheme="minorHAnsi"/>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hint="eastAsia" w:asciiTheme="majorEastAsia" w:hAnsiTheme="majorEastAsia" w:eastAsiaTheme="majorEastAsia" w:cstheme="minorHAnsi"/>
                <w:sz w:val="24"/>
                <w:szCs w:val="24"/>
              </w:rPr>
              <w:t>应支持射野自动避让选定的危及器官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2"/>
              </w:numPr>
              <w:spacing w:line="360" w:lineRule="auto"/>
              <w:jc w:val="left"/>
              <w:rPr>
                <w:rFonts w:asciiTheme="majorEastAsia" w:hAnsiTheme="majorEastAsia" w:eastAsiaTheme="majorEastAsia" w:cstheme="minorHAnsi"/>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hint="eastAsia" w:asciiTheme="majorEastAsia" w:hAnsiTheme="majorEastAsia" w:eastAsiaTheme="majorEastAsia" w:cstheme="minorHAnsi"/>
                <w:sz w:val="24"/>
                <w:szCs w:val="24"/>
              </w:rPr>
              <w:t>应支持自动优化射野衔接剂量分布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2"/>
              </w:numPr>
              <w:spacing w:line="360" w:lineRule="auto"/>
              <w:jc w:val="left"/>
              <w:rPr>
                <w:rFonts w:asciiTheme="majorEastAsia" w:hAnsiTheme="majorEastAsia" w:eastAsiaTheme="majorEastAsia" w:cstheme="minorHAnsi"/>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asciiTheme="majorEastAsia" w:hAnsiTheme="majorEastAsia" w:eastAsiaTheme="majorEastAsia" w:cstheme="minorHAnsi"/>
                <w:sz w:val="24"/>
                <w:szCs w:val="24"/>
              </w:rPr>
              <w:t>应支持加载计划模板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2"/>
              </w:numPr>
              <w:spacing w:line="360" w:lineRule="auto"/>
              <w:jc w:val="left"/>
              <w:rPr>
                <w:rFonts w:asciiTheme="majorEastAsia" w:hAnsiTheme="majorEastAsia" w:eastAsiaTheme="majorEastAsia" w:cstheme="minorHAnsi"/>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hint="eastAsia" w:asciiTheme="majorEastAsia" w:hAnsiTheme="majorEastAsia" w:eastAsiaTheme="majorEastAsia" w:cstheme="minorHAnsi"/>
                <w:sz w:val="24"/>
                <w:szCs w:val="24"/>
              </w:rPr>
              <w:t>可设定射束在特定机架角度暂停出束（角度避让）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2"/>
              </w:numPr>
              <w:spacing w:line="360" w:lineRule="auto"/>
              <w:jc w:val="left"/>
              <w:rPr>
                <w:rFonts w:asciiTheme="majorEastAsia" w:hAnsiTheme="majorEastAsia" w:eastAsiaTheme="majorEastAsia" w:cstheme="minorHAnsi"/>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asciiTheme="majorEastAsia" w:hAnsiTheme="majorEastAsia" w:eastAsiaTheme="majorEastAsia" w:cstheme="minorHAnsi"/>
                <w:sz w:val="24"/>
                <w:szCs w:val="24"/>
              </w:rPr>
              <w:t>应支持优化目标模板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2"/>
              </w:numPr>
              <w:spacing w:line="360" w:lineRule="auto"/>
              <w:jc w:val="left"/>
              <w:rPr>
                <w:rFonts w:asciiTheme="majorEastAsia" w:hAnsiTheme="majorEastAsia" w:eastAsiaTheme="majorEastAsia" w:cstheme="minorHAnsi"/>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hint="eastAsia" w:asciiTheme="majorEastAsia" w:hAnsiTheme="majorEastAsia" w:eastAsiaTheme="majorEastAsia" w:cstheme="minorHAnsi"/>
                <w:color w:val="000000" w:themeColor="text1"/>
                <w:sz w:val="24"/>
                <w:szCs w:val="24"/>
              </w:rPr>
              <w:t>应支持对调强放疗计划的优化过程G</w:t>
            </w:r>
            <w:r>
              <w:rPr>
                <w:rFonts w:asciiTheme="majorEastAsia" w:hAnsiTheme="majorEastAsia" w:eastAsiaTheme="majorEastAsia" w:cstheme="minorHAnsi"/>
                <w:color w:val="000000" w:themeColor="text1"/>
                <w:sz w:val="24"/>
                <w:szCs w:val="24"/>
              </w:rPr>
              <w:t>PU</w:t>
            </w:r>
            <w:r>
              <w:rPr>
                <w:rFonts w:hint="eastAsia" w:asciiTheme="majorEastAsia" w:hAnsiTheme="majorEastAsia" w:eastAsiaTheme="majorEastAsia" w:cstheme="minorHAnsi"/>
                <w:color w:val="000000" w:themeColor="text1"/>
                <w:sz w:val="24"/>
                <w:szCs w:val="24"/>
              </w:rPr>
              <w:t>加速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cstheme="minorHAnsi"/>
                <w:sz w:val="24"/>
                <w:szCs w:val="24"/>
              </w:rPr>
            </w:pPr>
          </w:p>
        </w:tc>
        <w:tc>
          <w:tcPr>
            <w:tcW w:w="8116" w:type="dxa"/>
            <w:vAlign w:val="center"/>
          </w:tcPr>
          <w:p>
            <w:pPr>
              <w:spacing w:line="360" w:lineRule="auto"/>
              <w:rPr>
                <w:rFonts w:asciiTheme="majorEastAsia" w:hAnsiTheme="majorEastAsia" w:eastAsiaTheme="majorEastAsia"/>
                <w:sz w:val="24"/>
                <w:szCs w:val="24"/>
              </w:rPr>
            </w:pPr>
            <w:r>
              <w:rPr>
                <w:rFonts w:asciiTheme="majorEastAsia" w:hAnsiTheme="majorEastAsia" w:eastAsiaTheme="majorEastAsia" w:cstheme="minorHAnsi"/>
                <w:sz w:val="24"/>
                <w:szCs w:val="24"/>
              </w:rPr>
              <w:t>剂量计算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2"/>
              </w:numPr>
              <w:spacing w:line="360" w:lineRule="auto"/>
              <w:jc w:val="left"/>
              <w:rPr>
                <w:rFonts w:asciiTheme="majorEastAsia" w:hAnsiTheme="majorEastAsia" w:eastAsiaTheme="majorEastAsia" w:cstheme="minorHAnsi"/>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asciiTheme="majorEastAsia" w:hAnsiTheme="majorEastAsia" w:eastAsiaTheme="majorEastAsia" w:cstheme="minorHAnsi"/>
                <w:sz w:val="24"/>
                <w:szCs w:val="24"/>
              </w:rPr>
              <w:t>应支持各向异性解析算法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cstheme="minorHAnsi"/>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hint="eastAsia" w:asciiTheme="majorEastAsia" w:hAnsiTheme="majorEastAsia" w:eastAsiaTheme="majorEastAsia" w:cstheme="minorHAnsi"/>
                <w:sz w:val="24"/>
                <w:szCs w:val="24"/>
              </w:rPr>
              <w:t>患者计划</w:t>
            </w:r>
            <w:r>
              <w:rPr>
                <w:rFonts w:asciiTheme="majorEastAsia" w:hAnsiTheme="majorEastAsia" w:eastAsiaTheme="majorEastAsia" w:cstheme="minorHAnsi"/>
                <w:sz w:val="24"/>
                <w:szCs w:val="24"/>
              </w:rPr>
              <w:t>质量保证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2"/>
              </w:numPr>
              <w:spacing w:line="360" w:lineRule="auto"/>
              <w:jc w:val="left"/>
              <w:rPr>
                <w:rFonts w:asciiTheme="majorEastAsia" w:hAnsiTheme="majorEastAsia" w:eastAsiaTheme="majorEastAsia" w:cstheme="minorHAnsi"/>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asciiTheme="majorEastAsia" w:hAnsiTheme="majorEastAsia" w:eastAsiaTheme="majorEastAsia" w:cstheme="minorHAnsi"/>
                <w:sz w:val="24"/>
                <w:szCs w:val="24"/>
              </w:rPr>
              <w:t>应提供射野剂量验证算法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2"/>
              </w:numPr>
              <w:spacing w:line="360" w:lineRule="auto"/>
              <w:jc w:val="left"/>
              <w:rPr>
                <w:rFonts w:asciiTheme="majorEastAsia" w:hAnsiTheme="majorEastAsia" w:eastAsiaTheme="majorEastAsia" w:cstheme="minorHAnsi"/>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asciiTheme="majorEastAsia" w:hAnsiTheme="majorEastAsia" w:eastAsiaTheme="majorEastAsia"/>
                <w:sz w:val="24"/>
                <w:szCs w:val="24"/>
              </w:rPr>
              <w:t>提供射野剂量验证系统功能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2"/>
              </w:numPr>
              <w:spacing w:line="360" w:lineRule="auto"/>
              <w:jc w:val="left"/>
              <w:rPr>
                <w:rFonts w:asciiTheme="majorEastAsia" w:hAnsiTheme="majorEastAsia" w:eastAsiaTheme="majorEastAsia" w:cstheme="minorHAnsi"/>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asciiTheme="majorEastAsia" w:hAnsiTheme="majorEastAsia" w:eastAsiaTheme="majorEastAsia"/>
                <w:sz w:val="24"/>
                <w:szCs w:val="24"/>
              </w:rPr>
              <w:t>射野剂量计算支持基于成像系统的IMRT射野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2"/>
              </w:numPr>
              <w:spacing w:line="360" w:lineRule="auto"/>
              <w:jc w:val="left"/>
              <w:rPr>
                <w:rFonts w:asciiTheme="majorEastAsia" w:hAnsiTheme="majorEastAsia" w:eastAsiaTheme="majorEastAsia" w:cstheme="minorHAnsi"/>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hint="eastAsia" w:asciiTheme="majorEastAsia" w:hAnsiTheme="majorEastAsia" w:eastAsiaTheme="majorEastAsia"/>
                <w:sz w:val="24"/>
                <w:szCs w:val="24"/>
              </w:rPr>
              <w:t>提供实时计划通量验证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2"/>
              </w:numPr>
              <w:spacing w:line="360" w:lineRule="auto"/>
              <w:jc w:val="left"/>
              <w:rPr>
                <w:rFonts w:asciiTheme="majorEastAsia" w:hAnsiTheme="majorEastAsia" w:eastAsiaTheme="majorEastAsia" w:cstheme="minorHAnsi"/>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asciiTheme="majorEastAsia" w:hAnsiTheme="majorEastAsia" w:eastAsiaTheme="majorEastAsia"/>
                <w:sz w:val="24"/>
                <w:szCs w:val="24"/>
              </w:rPr>
              <w:t>射野剂量计算支持基于成像系统的VMAT射野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2"/>
              </w:numPr>
              <w:spacing w:line="360" w:lineRule="auto"/>
              <w:jc w:val="left"/>
              <w:rPr>
                <w:rFonts w:asciiTheme="majorEastAsia" w:hAnsiTheme="majorEastAsia" w:eastAsiaTheme="majorEastAsia" w:cstheme="minorHAnsi"/>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hint="eastAsia" w:asciiTheme="majorEastAsia" w:hAnsiTheme="majorEastAsia" w:eastAsiaTheme="majorEastAsia"/>
                <w:sz w:val="24"/>
                <w:szCs w:val="24"/>
              </w:rPr>
              <w:t>不须增加模体即可进行验证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2"/>
              </w:numPr>
              <w:spacing w:line="360" w:lineRule="auto"/>
              <w:jc w:val="left"/>
              <w:rPr>
                <w:rFonts w:asciiTheme="majorEastAsia" w:hAnsiTheme="majorEastAsia" w:eastAsiaTheme="majorEastAsia" w:cstheme="minorHAnsi"/>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asciiTheme="majorEastAsia" w:hAnsiTheme="majorEastAsia" w:eastAsiaTheme="majorEastAsia"/>
                <w:sz w:val="24"/>
                <w:szCs w:val="24"/>
              </w:rPr>
              <w:t>支持验证水箱和模体计划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2"/>
              </w:numPr>
              <w:spacing w:line="360" w:lineRule="auto"/>
              <w:jc w:val="left"/>
              <w:rPr>
                <w:rFonts w:asciiTheme="majorEastAsia" w:hAnsiTheme="majorEastAsia" w:eastAsiaTheme="majorEastAsia" w:cstheme="minorHAnsi"/>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asciiTheme="majorEastAsia" w:hAnsiTheme="majorEastAsia" w:eastAsiaTheme="majorEastAsia"/>
                <w:sz w:val="24"/>
                <w:szCs w:val="24"/>
              </w:rPr>
              <w:t>支持模体中的点/线剂量计算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2"/>
              </w:numPr>
              <w:spacing w:line="360" w:lineRule="auto"/>
              <w:jc w:val="left"/>
              <w:rPr>
                <w:rFonts w:asciiTheme="majorEastAsia" w:hAnsiTheme="majorEastAsia" w:eastAsiaTheme="majorEastAsia" w:cstheme="minorHAnsi"/>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asciiTheme="majorEastAsia" w:hAnsiTheme="majorEastAsia" w:eastAsiaTheme="majorEastAsia"/>
                <w:sz w:val="24"/>
                <w:szCs w:val="24"/>
              </w:rPr>
              <w:t>支持水等效深度/距离测量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2"/>
              </w:numPr>
              <w:spacing w:line="360" w:lineRule="auto"/>
              <w:jc w:val="left"/>
              <w:rPr>
                <w:rFonts w:asciiTheme="majorEastAsia" w:hAnsiTheme="majorEastAsia" w:eastAsiaTheme="majorEastAsia" w:cstheme="minorHAnsi"/>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asciiTheme="majorEastAsia" w:hAnsiTheme="majorEastAsia" w:eastAsiaTheme="majorEastAsia"/>
                <w:sz w:val="24"/>
                <w:szCs w:val="24"/>
              </w:rPr>
              <w:t>能预先配置数据以支持射野剂量计算算法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cstheme="minorHAnsi"/>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asciiTheme="majorEastAsia" w:hAnsiTheme="majorEastAsia" w:eastAsiaTheme="majorEastAsia" w:cstheme="minorHAnsi"/>
                <w:sz w:val="24"/>
                <w:szCs w:val="24"/>
              </w:rPr>
              <w:t>计划评估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2"/>
              </w:numPr>
              <w:spacing w:line="360" w:lineRule="auto"/>
              <w:jc w:val="left"/>
              <w:rPr>
                <w:rFonts w:asciiTheme="majorEastAsia" w:hAnsiTheme="majorEastAsia" w:eastAsiaTheme="majorEastAsia" w:cstheme="minorHAnsi"/>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asciiTheme="majorEastAsia" w:hAnsiTheme="majorEastAsia" w:eastAsiaTheme="majorEastAsia" w:cstheme="minorHAnsi"/>
                <w:sz w:val="24"/>
                <w:szCs w:val="24"/>
              </w:rPr>
              <w:t>应支持并排计划剂量分布比较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2"/>
              </w:numPr>
              <w:spacing w:line="360" w:lineRule="auto"/>
              <w:jc w:val="left"/>
              <w:rPr>
                <w:rFonts w:asciiTheme="majorEastAsia" w:hAnsiTheme="majorEastAsia" w:eastAsiaTheme="majorEastAsia" w:cstheme="minorHAnsi"/>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asciiTheme="majorEastAsia" w:hAnsiTheme="majorEastAsia" w:eastAsiaTheme="majorEastAsia" w:cstheme="minorHAnsi"/>
                <w:sz w:val="24"/>
                <w:szCs w:val="24"/>
              </w:rPr>
              <w:t>应支持多个结构、多个计划的DVH比较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2"/>
              </w:numPr>
              <w:spacing w:line="360" w:lineRule="auto"/>
              <w:jc w:val="left"/>
              <w:rPr>
                <w:rFonts w:asciiTheme="majorEastAsia" w:hAnsiTheme="majorEastAsia" w:eastAsiaTheme="majorEastAsia" w:cstheme="minorHAnsi"/>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asciiTheme="majorEastAsia" w:hAnsiTheme="majorEastAsia" w:eastAsiaTheme="majorEastAsia" w:cstheme="minorHAnsi"/>
                <w:sz w:val="24"/>
                <w:szCs w:val="24"/>
              </w:rPr>
              <w:t>应支持外照射计划的叠加和相减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2"/>
              </w:numPr>
              <w:spacing w:line="360" w:lineRule="auto"/>
              <w:jc w:val="left"/>
              <w:rPr>
                <w:rFonts w:asciiTheme="majorEastAsia" w:hAnsiTheme="majorEastAsia" w:eastAsiaTheme="majorEastAsia" w:cstheme="minorHAnsi"/>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asciiTheme="majorEastAsia" w:hAnsiTheme="majorEastAsia" w:eastAsiaTheme="majorEastAsia" w:cstheme="minorHAnsi"/>
                <w:sz w:val="24"/>
                <w:szCs w:val="24"/>
              </w:rPr>
              <w:t>应支持近距离治疗计划的叠加和相减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2"/>
              </w:numPr>
              <w:spacing w:line="360" w:lineRule="auto"/>
              <w:jc w:val="left"/>
              <w:rPr>
                <w:rFonts w:asciiTheme="majorEastAsia" w:hAnsiTheme="majorEastAsia" w:eastAsiaTheme="majorEastAsia" w:cstheme="minorHAnsi"/>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asciiTheme="majorEastAsia" w:hAnsiTheme="majorEastAsia" w:eastAsiaTheme="majorEastAsia" w:cstheme="minorHAnsi"/>
                <w:sz w:val="24"/>
                <w:szCs w:val="24"/>
              </w:rPr>
              <w:t>应支持</w:t>
            </w:r>
            <w:r>
              <w:rPr>
                <w:rFonts w:hint="eastAsia" w:asciiTheme="majorEastAsia" w:hAnsiTheme="majorEastAsia" w:eastAsiaTheme="majorEastAsia" w:cstheme="minorHAnsi"/>
                <w:sz w:val="24"/>
                <w:szCs w:val="24"/>
              </w:rPr>
              <w:t>外照射</w:t>
            </w:r>
            <w:r>
              <w:rPr>
                <w:rFonts w:asciiTheme="majorEastAsia" w:hAnsiTheme="majorEastAsia" w:eastAsiaTheme="majorEastAsia" w:cstheme="minorHAnsi"/>
                <w:sz w:val="24"/>
                <w:szCs w:val="24"/>
              </w:rPr>
              <w:t>计划</w:t>
            </w:r>
            <w:r>
              <w:rPr>
                <w:rFonts w:hint="eastAsia" w:asciiTheme="majorEastAsia" w:hAnsiTheme="majorEastAsia" w:eastAsiaTheme="majorEastAsia" w:cstheme="minorHAnsi"/>
                <w:sz w:val="24"/>
                <w:szCs w:val="24"/>
              </w:rPr>
              <w:t>的</w:t>
            </w:r>
            <w:r>
              <w:rPr>
                <w:rFonts w:asciiTheme="majorEastAsia" w:hAnsiTheme="majorEastAsia" w:eastAsiaTheme="majorEastAsia" w:cstheme="minorHAnsi"/>
                <w:sz w:val="24"/>
                <w:szCs w:val="24"/>
              </w:rPr>
              <w:t>鲁棒性评估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cstheme="minorHAnsi"/>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asciiTheme="majorEastAsia" w:hAnsiTheme="majorEastAsia" w:eastAsiaTheme="majorEastAsia" w:cstheme="minorHAnsi"/>
                <w:sz w:val="24"/>
                <w:szCs w:val="24"/>
              </w:rPr>
              <w:t>应用程序接口（API）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2"/>
              </w:numPr>
              <w:spacing w:line="360" w:lineRule="auto"/>
              <w:jc w:val="left"/>
              <w:rPr>
                <w:rFonts w:asciiTheme="majorEastAsia" w:hAnsiTheme="majorEastAsia" w:eastAsiaTheme="majorEastAsia" w:cstheme="minorHAnsi"/>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asciiTheme="majorEastAsia" w:hAnsiTheme="majorEastAsia" w:eastAsiaTheme="majorEastAsia" w:cstheme="minorHAnsi"/>
                <w:sz w:val="24"/>
                <w:szCs w:val="24"/>
              </w:rPr>
              <w:t>应提供官方API程序编写文档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2"/>
              </w:numPr>
              <w:spacing w:line="360" w:lineRule="auto"/>
              <w:jc w:val="left"/>
              <w:rPr>
                <w:rFonts w:asciiTheme="majorEastAsia" w:hAnsiTheme="majorEastAsia" w:eastAsiaTheme="majorEastAsia" w:cstheme="minorHAnsi"/>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asciiTheme="majorEastAsia" w:hAnsiTheme="majorEastAsia" w:eastAsiaTheme="majorEastAsia" w:cstheme="minorHAnsi"/>
                <w:sz w:val="24"/>
                <w:szCs w:val="24"/>
              </w:rPr>
              <w:t>应用程序接口应支持计划、DVH、剂量、结构和图像数据的访问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2"/>
              </w:numPr>
              <w:spacing w:line="360" w:lineRule="auto"/>
              <w:jc w:val="left"/>
              <w:rPr>
                <w:rFonts w:asciiTheme="majorEastAsia" w:hAnsiTheme="majorEastAsia" w:eastAsiaTheme="majorEastAsia" w:cstheme="minorHAnsi"/>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hint="eastAsia" w:asciiTheme="majorEastAsia" w:hAnsiTheme="majorEastAsia" w:eastAsiaTheme="majorEastAsia" w:cstheme="minorHAnsi"/>
                <w:sz w:val="24"/>
                <w:szCs w:val="24"/>
              </w:rPr>
              <w:t>应支持优化目标、参数和通量数据的访问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2"/>
              </w:numPr>
              <w:spacing w:line="360" w:lineRule="auto"/>
              <w:jc w:val="left"/>
              <w:rPr>
                <w:rFonts w:asciiTheme="majorEastAsia" w:hAnsiTheme="majorEastAsia" w:eastAsiaTheme="majorEastAsia" w:cstheme="minorHAnsi"/>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hint="eastAsia" w:asciiTheme="majorEastAsia" w:hAnsiTheme="majorEastAsia" w:eastAsiaTheme="majorEastAsia" w:cstheme="minorHAnsi"/>
                <w:sz w:val="24"/>
                <w:szCs w:val="24"/>
              </w:rPr>
              <w:t>应支持射野、附件参数的数据访问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3"/>
                <w:numId w:val="2"/>
              </w:numPr>
              <w:spacing w:line="360" w:lineRule="auto"/>
              <w:jc w:val="left"/>
              <w:rPr>
                <w:rFonts w:asciiTheme="majorEastAsia" w:hAnsiTheme="majorEastAsia" w:eastAsiaTheme="majorEastAsia" w:cstheme="minorHAnsi"/>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asciiTheme="majorEastAsia" w:hAnsiTheme="majorEastAsia" w:eastAsiaTheme="majorEastAsia" w:cstheme="minorHAnsi"/>
                <w:sz w:val="24"/>
                <w:szCs w:val="24"/>
              </w:rPr>
              <w:t>应支持可视化编程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0"/>
                <w:numId w:val="2"/>
              </w:numPr>
              <w:spacing w:line="360" w:lineRule="auto"/>
              <w:jc w:val="left"/>
              <w:rPr>
                <w:rFonts w:asciiTheme="majorEastAsia" w:hAnsiTheme="majorEastAsia" w:eastAsiaTheme="majorEastAsia" w:cstheme="minorHAnsi"/>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hint="eastAsia" w:cs="Arial Unicode MS"/>
                <w:b/>
                <w:bCs/>
                <w:sz w:val="24"/>
                <w:szCs w:val="24"/>
              </w:rPr>
              <w:t>肿瘤放射治疗网络信息管理</w:t>
            </w:r>
            <w:r>
              <w:rPr>
                <w:rFonts w:cs="Arial Unicode MS"/>
                <w:b/>
                <w:bCs/>
                <w:sz w:val="24"/>
                <w:szCs w:val="24"/>
              </w:rPr>
              <w:t>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1"/>
                <w:numId w:val="2"/>
              </w:numPr>
              <w:spacing w:line="360" w:lineRule="auto"/>
              <w:jc w:val="left"/>
              <w:rPr>
                <w:rFonts w:asciiTheme="majorEastAsia" w:hAnsiTheme="majorEastAsia" w:eastAsiaTheme="majorEastAsia" w:cstheme="minorHAnsi"/>
                <w:sz w:val="24"/>
                <w:szCs w:val="24"/>
              </w:rPr>
            </w:pPr>
          </w:p>
        </w:tc>
        <w:tc>
          <w:tcPr>
            <w:tcW w:w="8116" w:type="dxa"/>
            <w:vAlign w:val="center"/>
          </w:tcPr>
          <w:p>
            <w:pPr>
              <w:spacing w:line="360" w:lineRule="auto"/>
              <w:rPr>
                <w:rFonts w:asciiTheme="majorEastAsia" w:hAnsiTheme="majorEastAsia" w:eastAsiaTheme="majorEastAsia" w:cstheme="minorHAnsi"/>
                <w:bCs/>
                <w:sz w:val="24"/>
                <w:szCs w:val="24"/>
              </w:rPr>
            </w:pPr>
            <w:r>
              <w:rPr>
                <w:rFonts w:cs="Arial Unicode MS" w:asciiTheme="majorEastAsia" w:hAnsiTheme="majorEastAsia" w:eastAsiaTheme="majorEastAsia"/>
                <w:bCs/>
                <w:sz w:val="24"/>
                <w:szCs w:val="24"/>
              </w:rPr>
              <w:t>网络</w:t>
            </w:r>
            <w:r>
              <w:rPr>
                <w:rFonts w:hint="eastAsia" w:cs="Arial Unicode MS" w:asciiTheme="majorEastAsia" w:hAnsiTheme="majorEastAsia" w:eastAsiaTheme="majorEastAsia"/>
                <w:bCs/>
                <w:sz w:val="24"/>
                <w:szCs w:val="24"/>
              </w:rPr>
              <w:t>信息管理系统</w:t>
            </w:r>
            <w:r>
              <w:rPr>
                <w:rFonts w:cs="Arial Unicode MS" w:asciiTheme="majorEastAsia" w:hAnsiTheme="majorEastAsia" w:eastAsiaTheme="majorEastAsia"/>
                <w:bCs/>
                <w:sz w:val="24"/>
                <w:szCs w:val="24"/>
              </w:rPr>
              <w:t>硬件要求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cstheme="minorHAnsi"/>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cs="Arial Unicode MS" w:asciiTheme="majorEastAsia" w:hAnsiTheme="majorEastAsia" w:eastAsiaTheme="majorEastAsia"/>
                <w:sz w:val="24"/>
                <w:szCs w:val="24"/>
              </w:rPr>
              <w:t>网络服务器: 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cstheme="minorHAnsi"/>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cs="Arial Unicode MS" w:asciiTheme="majorEastAsia" w:hAnsiTheme="majorEastAsia" w:eastAsiaTheme="majorEastAsia"/>
                <w:sz w:val="24"/>
                <w:szCs w:val="24"/>
              </w:rPr>
              <w:t>网络工作站数量：3套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1"/>
                <w:numId w:val="2"/>
              </w:numPr>
              <w:spacing w:line="360" w:lineRule="auto"/>
              <w:jc w:val="left"/>
              <w:rPr>
                <w:rFonts w:asciiTheme="majorEastAsia" w:hAnsiTheme="majorEastAsia" w:eastAsiaTheme="majorEastAsia" w:cstheme="minorHAnsi"/>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hint="eastAsia" w:cs="Arial Unicode MS" w:asciiTheme="majorEastAsia" w:hAnsiTheme="majorEastAsia" w:eastAsiaTheme="majorEastAsia"/>
                <w:sz w:val="24"/>
                <w:szCs w:val="24"/>
              </w:rPr>
              <w:t>网络信息管理系统</w:t>
            </w:r>
            <w:r>
              <w:rPr>
                <w:rFonts w:cs="Arial Unicode MS" w:asciiTheme="majorEastAsia" w:hAnsiTheme="majorEastAsia" w:eastAsiaTheme="majorEastAsia"/>
                <w:sz w:val="24"/>
                <w:szCs w:val="24"/>
              </w:rPr>
              <w:t>软件要求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cstheme="minorHAnsi"/>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cs="Arial Unicode MS" w:asciiTheme="majorEastAsia" w:hAnsiTheme="majorEastAsia" w:eastAsiaTheme="majorEastAsia"/>
                <w:sz w:val="24"/>
                <w:szCs w:val="24"/>
              </w:rPr>
              <w:t>放疗数据库应用软件：所有的病人治疗数据，包括文字资料、图像资料、治疗计划数据和治疗过程中产生的图像和文字数据等，均应储存在服务器数据库中，以方便管理、备份和所有联网工作站的信息资源共享。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cstheme="minorHAnsi"/>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cs="Arial Unicode MS" w:asciiTheme="majorEastAsia" w:hAnsiTheme="majorEastAsia" w:eastAsiaTheme="majorEastAsia"/>
                <w:sz w:val="24"/>
                <w:szCs w:val="24"/>
              </w:rPr>
              <w:t>用户级别限制：服务器软件能设置各工作站用户的使用权限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cstheme="minorHAnsi"/>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cs="Arial Unicode MS" w:asciiTheme="majorEastAsia" w:hAnsiTheme="majorEastAsia" w:eastAsiaTheme="majorEastAsia"/>
                <w:sz w:val="24"/>
                <w:szCs w:val="24"/>
              </w:rPr>
              <w:t>可设置多台加速器的机械参数和治疗参数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cstheme="minorHAnsi"/>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hint="eastAsia" w:cs="Arial Unicode MS" w:asciiTheme="majorEastAsia" w:hAnsiTheme="majorEastAsia" w:eastAsiaTheme="majorEastAsia"/>
                <w:sz w:val="24"/>
                <w:szCs w:val="24"/>
              </w:rPr>
              <w:t>提供</w:t>
            </w:r>
            <w:r>
              <w:rPr>
                <w:rFonts w:cs="Arial Unicode MS" w:asciiTheme="majorEastAsia" w:hAnsiTheme="majorEastAsia" w:eastAsiaTheme="majorEastAsia"/>
                <w:sz w:val="24"/>
                <w:szCs w:val="24"/>
              </w:rPr>
              <w:t>病人登记注册和病例资料管理功能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cstheme="minorHAnsi"/>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cs="Arial Unicode MS" w:asciiTheme="majorEastAsia" w:hAnsiTheme="majorEastAsia" w:eastAsiaTheme="majorEastAsia"/>
                <w:sz w:val="24"/>
                <w:szCs w:val="24"/>
              </w:rPr>
              <w:t>支持分</w:t>
            </w:r>
            <w:r>
              <w:rPr>
                <w:rFonts w:hint="eastAsia" w:cs="Arial Unicode MS" w:asciiTheme="majorEastAsia" w:hAnsiTheme="majorEastAsia" w:eastAsiaTheme="majorEastAsia"/>
                <w:sz w:val="24"/>
                <w:szCs w:val="24"/>
              </w:rPr>
              <w:t>次</w:t>
            </w:r>
            <w:r>
              <w:rPr>
                <w:rFonts w:cs="Arial Unicode MS" w:asciiTheme="majorEastAsia" w:hAnsiTheme="majorEastAsia" w:eastAsiaTheme="majorEastAsia"/>
                <w:sz w:val="24"/>
                <w:szCs w:val="24"/>
              </w:rPr>
              <w:t>放疗、等中心旋转放疗、非共面放疗、多叶准直器不规则野照射、适形放疗、调强放疗</w:t>
            </w:r>
            <w:r>
              <w:rPr>
                <w:rFonts w:hint="eastAsia" w:cs="Arial Unicode MS" w:asciiTheme="majorEastAsia" w:hAnsiTheme="majorEastAsia" w:eastAsiaTheme="majorEastAsia"/>
                <w:sz w:val="24"/>
                <w:szCs w:val="24"/>
              </w:rPr>
              <w:t>、容积旋转治疗</w:t>
            </w:r>
            <w:r>
              <w:rPr>
                <w:rFonts w:cs="Arial Unicode MS" w:asciiTheme="majorEastAsia" w:hAnsiTheme="majorEastAsia" w:eastAsiaTheme="majorEastAsia"/>
                <w:sz w:val="24"/>
                <w:szCs w:val="24"/>
              </w:rPr>
              <w:t>等所有外照射放疗技术的应用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cstheme="minorHAnsi"/>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cs="Arial Unicode MS" w:asciiTheme="majorEastAsia" w:hAnsiTheme="majorEastAsia" w:eastAsiaTheme="majorEastAsia"/>
                <w:sz w:val="24"/>
                <w:szCs w:val="24"/>
              </w:rPr>
              <w:t>具有治疗参数的“自动记录和验证”功能，可设</w:t>
            </w:r>
            <w:r>
              <w:rPr>
                <w:rFonts w:hint="eastAsia" w:cs="Arial Unicode MS" w:asciiTheme="majorEastAsia" w:hAnsiTheme="majorEastAsia" w:eastAsiaTheme="majorEastAsia"/>
                <w:sz w:val="24"/>
                <w:szCs w:val="24"/>
              </w:rPr>
              <w:t>置</w:t>
            </w:r>
            <w:r>
              <w:rPr>
                <w:rFonts w:cs="Arial Unicode MS" w:asciiTheme="majorEastAsia" w:hAnsiTheme="majorEastAsia" w:eastAsiaTheme="majorEastAsia"/>
                <w:sz w:val="24"/>
                <w:szCs w:val="24"/>
              </w:rPr>
              <w:t>误差允许范围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cstheme="minorHAnsi"/>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cs="Arial Unicode MS" w:asciiTheme="majorEastAsia" w:hAnsiTheme="majorEastAsia" w:eastAsiaTheme="majorEastAsia"/>
                <w:sz w:val="24"/>
                <w:szCs w:val="24"/>
              </w:rPr>
              <w:t>提供</w:t>
            </w:r>
            <w:r>
              <w:rPr>
                <w:rFonts w:hint="eastAsia" w:cs="Arial Unicode MS" w:asciiTheme="majorEastAsia" w:hAnsiTheme="majorEastAsia" w:eastAsiaTheme="majorEastAsia"/>
                <w:sz w:val="24"/>
                <w:szCs w:val="24"/>
              </w:rPr>
              <w:t>创建</w:t>
            </w:r>
            <w:r>
              <w:rPr>
                <w:rFonts w:cs="Arial Unicode MS" w:asciiTheme="majorEastAsia" w:hAnsiTheme="majorEastAsia" w:eastAsiaTheme="majorEastAsia"/>
                <w:sz w:val="24"/>
                <w:szCs w:val="24"/>
              </w:rPr>
              <w:t>可视化治疗路径</w:t>
            </w:r>
            <w:r>
              <w:rPr>
                <w:rFonts w:hint="eastAsia" w:cs="Arial Unicode MS" w:asciiTheme="majorEastAsia" w:hAnsiTheme="majorEastAsia" w:eastAsiaTheme="majorEastAsia"/>
                <w:sz w:val="24"/>
                <w:szCs w:val="24"/>
              </w:rPr>
              <w:t>的工具，以提高工作流程效率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0" w:type="dxa"/>
            <w:vAlign w:val="center"/>
          </w:tcPr>
          <w:p>
            <w:pPr>
              <w:pStyle w:val="12"/>
              <w:numPr>
                <w:ilvl w:val="2"/>
                <w:numId w:val="2"/>
              </w:numPr>
              <w:spacing w:line="360" w:lineRule="auto"/>
              <w:jc w:val="left"/>
              <w:rPr>
                <w:rFonts w:asciiTheme="majorEastAsia" w:hAnsiTheme="majorEastAsia" w:eastAsiaTheme="majorEastAsia" w:cstheme="minorHAnsi"/>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hint="eastAsia" w:cs="Arial Unicode MS" w:asciiTheme="majorEastAsia" w:hAnsiTheme="majorEastAsia" w:eastAsiaTheme="majorEastAsia"/>
                <w:sz w:val="24"/>
                <w:szCs w:val="24"/>
              </w:rPr>
              <w:t>提供</w:t>
            </w:r>
            <w:r>
              <w:rPr>
                <w:rFonts w:cs="Arial Unicode MS" w:asciiTheme="majorEastAsia" w:hAnsiTheme="majorEastAsia" w:eastAsiaTheme="majorEastAsia"/>
                <w:sz w:val="24"/>
                <w:szCs w:val="24"/>
              </w:rPr>
              <w:t>肿瘤放疗管理</w:t>
            </w:r>
            <w:r>
              <w:rPr>
                <w:rFonts w:hint="eastAsia" w:cs="Arial Unicode MS" w:asciiTheme="majorEastAsia" w:hAnsiTheme="majorEastAsia" w:eastAsiaTheme="majorEastAsia"/>
                <w:sz w:val="24"/>
                <w:szCs w:val="24"/>
              </w:rPr>
              <w:t>功能</w:t>
            </w:r>
            <w:r>
              <w:rPr>
                <w:rFonts w:cs="Arial Unicode MS" w:asciiTheme="majorEastAsia" w:hAnsiTheme="majorEastAsia" w:eastAsiaTheme="majorEastAsia"/>
                <w:sz w:val="24"/>
                <w:szCs w:val="24"/>
              </w:rPr>
              <w:t>模块，</w:t>
            </w:r>
            <w:r>
              <w:rPr>
                <w:rFonts w:hint="eastAsia" w:cs="Arial Unicode MS" w:asciiTheme="majorEastAsia" w:hAnsiTheme="majorEastAsia" w:eastAsiaTheme="majorEastAsia"/>
                <w:sz w:val="24"/>
                <w:szCs w:val="24"/>
              </w:rPr>
              <w:t>具有</w:t>
            </w:r>
            <w:r>
              <w:rPr>
                <w:rFonts w:cs="Arial Unicode MS" w:asciiTheme="majorEastAsia" w:hAnsiTheme="majorEastAsia" w:eastAsiaTheme="majorEastAsia"/>
                <w:sz w:val="24"/>
                <w:szCs w:val="24"/>
              </w:rPr>
              <w:t>基础统计数据信息</w:t>
            </w:r>
            <w:r>
              <w:rPr>
                <w:rFonts w:hint="eastAsia" w:cs="Arial Unicode MS" w:asciiTheme="majorEastAsia" w:hAnsiTheme="majorEastAsia" w:eastAsiaTheme="majorEastAsia"/>
                <w:sz w:val="24"/>
                <w:szCs w:val="24"/>
              </w:rPr>
              <w:t>、</w:t>
            </w:r>
            <w:r>
              <w:rPr>
                <w:rFonts w:cs="Arial Unicode MS" w:asciiTheme="majorEastAsia" w:hAnsiTheme="majorEastAsia" w:eastAsiaTheme="majorEastAsia"/>
                <w:sz w:val="24"/>
                <w:szCs w:val="24"/>
              </w:rPr>
              <w:t>诊断信息</w:t>
            </w:r>
            <w:r>
              <w:rPr>
                <w:rFonts w:hint="eastAsia" w:cs="Arial Unicode MS" w:asciiTheme="majorEastAsia" w:hAnsiTheme="majorEastAsia" w:eastAsiaTheme="majorEastAsia"/>
                <w:sz w:val="24"/>
                <w:szCs w:val="24"/>
              </w:rPr>
              <w:t>、分期信息、</w:t>
            </w:r>
            <w:r>
              <w:rPr>
                <w:rFonts w:cs="Arial Unicode MS" w:asciiTheme="majorEastAsia" w:hAnsiTheme="majorEastAsia" w:eastAsiaTheme="majorEastAsia"/>
                <w:sz w:val="24"/>
                <w:szCs w:val="24"/>
              </w:rPr>
              <w:t>放射治疗数据管理</w:t>
            </w:r>
            <w:r>
              <w:rPr>
                <w:rFonts w:hint="eastAsia" w:cs="Arial Unicode MS" w:asciiTheme="majorEastAsia" w:hAnsiTheme="majorEastAsia" w:eastAsiaTheme="majorEastAsia"/>
                <w:sz w:val="24"/>
                <w:szCs w:val="24"/>
              </w:rPr>
              <w:t>、</w:t>
            </w:r>
            <w:r>
              <w:rPr>
                <w:rFonts w:cs="Arial Unicode MS" w:asciiTheme="majorEastAsia" w:hAnsiTheme="majorEastAsia" w:eastAsiaTheme="majorEastAsia"/>
                <w:sz w:val="24"/>
                <w:szCs w:val="24"/>
              </w:rPr>
              <w:t>治疗报告</w:t>
            </w:r>
            <w:r>
              <w:rPr>
                <w:rFonts w:hint="eastAsia" w:cs="Arial Unicode MS" w:asciiTheme="majorEastAsia" w:hAnsiTheme="majorEastAsia" w:eastAsiaTheme="majorEastAsia"/>
                <w:sz w:val="24"/>
                <w:szCs w:val="24"/>
              </w:rPr>
              <w:t>、</w:t>
            </w:r>
            <w:r>
              <w:rPr>
                <w:rFonts w:cs="Arial Unicode MS" w:asciiTheme="majorEastAsia" w:hAnsiTheme="majorEastAsia" w:eastAsiaTheme="majorEastAsia"/>
                <w:sz w:val="24"/>
                <w:szCs w:val="24"/>
              </w:rPr>
              <w:t>费用统计和工作流管理工具。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40" w:type="dxa"/>
            <w:vAlign w:val="center"/>
          </w:tcPr>
          <w:p>
            <w:pPr>
              <w:pStyle w:val="12"/>
              <w:numPr>
                <w:ilvl w:val="2"/>
                <w:numId w:val="2"/>
              </w:numPr>
              <w:spacing w:line="360" w:lineRule="auto"/>
              <w:jc w:val="left"/>
              <w:rPr>
                <w:rFonts w:asciiTheme="majorEastAsia" w:hAnsiTheme="majorEastAsia" w:eastAsiaTheme="majorEastAsia" w:cstheme="minorHAnsi"/>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hint="eastAsia" w:cs="Arial Unicode MS" w:asciiTheme="majorEastAsia" w:hAnsiTheme="majorEastAsia" w:eastAsiaTheme="majorEastAsia"/>
                <w:sz w:val="24"/>
                <w:szCs w:val="24"/>
              </w:rPr>
              <w:t>提供</w:t>
            </w:r>
            <w:r>
              <w:rPr>
                <w:rFonts w:cs="Arial Unicode MS" w:asciiTheme="majorEastAsia" w:hAnsiTheme="majorEastAsia" w:eastAsiaTheme="majorEastAsia"/>
                <w:sz w:val="24"/>
                <w:szCs w:val="24"/>
              </w:rPr>
              <w:t>肿瘤影像管理</w:t>
            </w:r>
            <w:r>
              <w:rPr>
                <w:rFonts w:hint="eastAsia" w:cs="Arial Unicode MS" w:asciiTheme="majorEastAsia" w:hAnsiTheme="majorEastAsia" w:eastAsiaTheme="majorEastAsia"/>
                <w:sz w:val="24"/>
                <w:szCs w:val="24"/>
              </w:rPr>
              <w:t>功能</w:t>
            </w:r>
            <w:r>
              <w:rPr>
                <w:rFonts w:cs="Arial Unicode MS" w:asciiTheme="majorEastAsia" w:hAnsiTheme="majorEastAsia" w:eastAsiaTheme="majorEastAsia"/>
                <w:sz w:val="24"/>
                <w:szCs w:val="24"/>
              </w:rPr>
              <w:t>模块</w:t>
            </w:r>
            <w:r>
              <w:rPr>
                <w:rFonts w:hint="eastAsia" w:cs="Arial Unicode MS" w:asciiTheme="majorEastAsia" w:hAnsiTheme="majorEastAsia" w:eastAsiaTheme="majorEastAsia"/>
                <w:sz w:val="24"/>
                <w:szCs w:val="24"/>
              </w:rPr>
              <w:t>，</w:t>
            </w:r>
            <w:r>
              <w:rPr>
                <w:rFonts w:cs="Arial Unicode MS" w:asciiTheme="majorEastAsia" w:hAnsiTheme="majorEastAsia" w:eastAsiaTheme="majorEastAsia"/>
                <w:sz w:val="24"/>
                <w:szCs w:val="24"/>
              </w:rPr>
              <w:t>可以</w:t>
            </w:r>
            <w:r>
              <w:rPr>
                <w:rFonts w:hint="eastAsia" w:cs="Arial Unicode MS" w:asciiTheme="majorEastAsia" w:hAnsiTheme="majorEastAsia" w:eastAsiaTheme="majorEastAsia"/>
                <w:sz w:val="24"/>
                <w:szCs w:val="24"/>
              </w:rPr>
              <w:t>让用户</w:t>
            </w:r>
            <w:r>
              <w:rPr>
                <w:rFonts w:cs="Arial Unicode MS" w:asciiTheme="majorEastAsia" w:hAnsiTheme="majorEastAsia" w:eastAsiaTheme="majorEastAsia"/>
                <w:sz w:val="24"/>
                <w:szCs w:val="24"/>
              </w:rPr>
              <w:t>浏览患者的影像，通过定位影像与治疗影像的对比来确认患者</w:t>
            </w:r>
            <w:r>
              <w:rPr>
                <w:rFonts w:hint="eastAsia" w:cs="Arial Unicode MS" w:asciiTheme="majorEastAsia" w:hAnsiTheme="majorEastAsia" w:eastAsiaTheme="majorEastAsia"/>
                <w:sz w:val="24"/>
                <w:szCs w:val="24"/>
              </w:rPr>
              <w:t>摆位</w:t>
            </w:r>
            <w:r>
              <w:rPr>
                <w:rFonts w:cs="Arial Unicode MS" w:asciiTheme="majorEastAsia" w:hAnsiTheme="majorEastAsia" w:eastAsiaTheme="majorEastAsia"/>
                <w:sz w:val="24"/>
                <w:szCs w:val="24"/>
              </w:rPr>
              <w:t>是否正确</w:t>
            </w:r>
            <w:r>
              <w:rPr>
                <w:rFonts w:hint="eastAsia" w:cs="Arial Unicode MS" w:asciiTheme="majorEastAsia" w:hAnsiTheme="majorEastAsia" w:eastAsiaTheme="majorEastAsia"/>
                <w:sz w:val="24"/>
                <w:szCs w:val="24"/>
              </w:rPr>
              <w:t>，还提供</w:t>
            </w:r>
            <w:r>
              <w:rPr>
                <w:rFonts w:cs="Arial Unicode MS" w:asciiTheme="majorEastAsia" w:hAnsiTheme="majorEastAsia" w:eastAsiaTheme="majorEastAsia"/>
                <w:sz w:val="24"/>
                <w:szCs w:val="24"/>
              </w:rPr>
              <w:t>对患者的MV</w:t>
            </w:r>
            <w:r>
              <w:rPr>
                <w:rFonts w:hint="eastAsia" w:cs="Arial Unicode MS" w:asciiTheme="majorEastAsia" w:hAnsiTheme="majorEastAsia" w:eastAsiaTheme="majorEastAsia"/>
                <w:sz w:val="24"/>
                <w:szCs w:val="24"/>
              </w:rPr>
              <w:t>、</w:t>
            </w:r>
            <w:r>
              <w:rPr>
                <w:rFonts w:cs="Arial Unicode MS" w:asciiTheme="majorEastAsia" w:hAnsiTheme="majorEastAsia" w:eastAsiaTheme="majorEastAsia"/>
                <w:sz w:val="24"/>
                <w:szCs w:val="24"/>
              </w:rPr>
              <w:t>kV</w:t>
            </w:r>
            <w:r>
              <w:rPr>
                <w:rFonts w:hint="eastAsia" w:cs="Arial Unicode MS" w:asciiTheme="majorEastAsia" w:hAnsiTheme="majorEastAsia" w:eastAsiaTheme="majorEastAsia"/>
                <w:sz w:val="24"/>
                <w:szCs w:val="24"/>
              </w:rPr>
              <w:t>平片</w:t>
            </w:r>
            <w:r>
              <w:rPr>
                <w:rFonts w:cs="Arial Unicode MS" w:asciiTheme="majorEastAsia" w:hAnsiTheme="majorEastAsia" w:eastAsiaTheme="majorEastAsia"/>
                <w:sz w:val="24"/>
                <w:szCs w:val="24"/>
              </w:rPr>
              <w:t>以及CBCT影像</w:t>
            </w:r>
            <w:r>
              <w:rPr>
                <w:rFonts w:hint="eastAsia" w:cs="Arial Unicode MS" w:asciiTheme="majorEastAsia" w:hAnsiTheme="majorEastAsia" w:eastAsiaTheme="majorEastAsia"/>
                <w:sz w:val="24"/>
                <w:szCs w:val="24"/>
              </w:rPr>
              <w:t>的</w:t>
            </w:r>
            <w:r>
              <w:rPr>
                <w:rFonts w:cs="Arial Unicode MS" w:asciiTheme="majorEastAsia" w:hAnsiTheme="majorEastAsia" w:eastAsiaTheme="majorEastAsia"/>
                <w:sz w:val="24"/>
                <w:szCs w:val="24"/>
              </w:rPr>
              <w:t>增强和分析</w:t>
            </w:r>
            <w:r>
              <w:rPr>
                <w:rFonts w:hint="eastAsia" w:cs="Arial Unicode MS" w:asciiTheme="majorEastAsia" w:hAnsiTheme="majorEastAsia" w:eastAsiaTheme="majorEastAsia"/>
                <w:sz w:val="24"/>
                <w:szCs w:val="24"/>
              </w:rPr>
              <w:t>工具</w:t>
            </w:r>
            <w:r>
              <w:rPr>
                <w:rFonts w:cs="Arial Unicode MS" w:asciiTheme="majorEastAsia" w:hAnsiTheme="majorEastAsia" w:eastAsiaTheme="major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7" w:hRule="atLeast"/>
        </w:trPr>
        <w:tc>
          <w:tcPr>
            <w:tcW w:w="1740" w:type="dxa"/>
            <w:vAlign w:val="center"/>
          </w:tcPr>
          <w:p>
            <w:pPr>
              <w:pStyle w:val="12"/>
              <w:numPr>
                <w:ilvl w:val="2"/>
                <w:numId w:val="2"/>
              </w:numPr>
              <w:spacing w:line="360" w:lineRule="auto"/>
              <w:jc w:val="left"/>
              <w:rPr>
                <w:rFonts w:asciiTheme="majorEastAsia" w:hAnsiTheme="majorEastAsia" w:eastAsiaTheme="majorEastAsia" w:cstheme="minorHAnsi"/>
                <w:sz w:val="24"/>
                <w:szCs w:val="24"/>
              </w:rPr>
            </w:pPr>
          </w:p>
        </w:tc>
        <w:tc>
          <w:tcPr>
            <w:tcW w:w="8116" w:type="dxa"/>
            <w:vAlign w:val="center"/>
          </w:tcPr>
          <w:p>
            <w:pPr>
              <w:spacing w:line="360" w:lineRule="auto"/>
              <w:rPr>
                <w:rFonts w:asciiTheme="majorEastAsia" w:hAnsiTheme="majorEastAsia" w:eastAsiaTheme="majorEastAsia" w:cstheme="minorHAnsi"/>
                <w:sz w:val="24"/>
                <w:szCs w:val="24"/>
              </w:rPr>
            </w:pPr>
            <w:r>
              <w:rPr>
                <w:rFonts w:hint="eastAsia" w:cs="Arial Unicode MS" w:asciiTheme="majorEastAsia" w:hAnsiTheme="majorEastAsia" w:eastAsiaTheme="majorEastAsia"/>
                <w:sz w:val="24"/>
                <w:szCs w:val="24"/>
              </w:rPr>
              <w:t>提供</w:t>
            </w:r>
            <w:r>
              <w:rPr>
                <w:rFonts w:cs="Arial Unicode MS" w:asciiTheme="majorEastAsia" w:hAnsiTheme="majorEastAsia" w:eastAsiaTheme="majorEastAsia"/>
                <w:sz w:val="24"/>
                <w:szCs w:val="24"/>
              </w:rPr>
              <w:t>疾病管理</w:t>
            </w:r>
            <w:r>
              <w:rPr>
                <w:rFonts w:hint="eastAsia" w:cs="Arial Unicode MS" w:asciiTheme="majorEastAsia" w:hAnsiTheme="majorEastAsia" w:eastAsiaTheme="majorEastAsia"/>
                <w:sz w:val="24"/>
                <w:szCs w:val="24"/>
              </w:rPr>
              <w:t>功能</w:t>
            </w:r>
            <w:r>
              <w:rPr>
                <w:rFonts w:cs="Arial Unicode MS" w:asciiTheme="majorEastAsia" w:hAnsiTheme="majorEastAsia" w:eastAsiaTheme="majorEastAsia"/>
                <w:sz w:val="24"/>
                <w:szCs w:val="24"/>
              </w:rPr>
              <w:t>模块，包含电子</w:t>
            </w:r>
            <w:r>
              <w:rPr>
                <w:rFonts w:hint="eastAsia" w:cs="Arial Unicode MS" w:asciiTheme="majorEastAsia" w:hAnsiTheme="majorEastAsia" w:eastAsiaTheme="majorEastAsia"/>
                <w:sz w:val="24"/>
                <w:szCs w:val="24"/>
              </w:rPr>
              <w:t>病例</w:t>
            </w:r>
            <w:r>
              <w:rPr>
                <w:rFonts w:cs="Arial Unicode MS" w:asciiTheme="majorEastAsia" w:hAnsiTheme="majorEastAsia" w:eastAsiaTheme="majorEastAsia"/>
                <w:sz w:val="24"/>
                <w:szCs w:val="24"/>
              </w:rPr>
              <w:t>（EMR）功能，使临床工作人员在患者的整个治疗流程中都可以</w:t>
            </w:r>
            <w:r>
              <w:rPr>
                <w:rFonts w:hint="eastAsia" w:cs="Arial Unicode MS" w:asciiTheme="majorEastAsia" w:hAnsiTheme="majorEastAsia" w:eastAsiaTheme="majorEastAsia"/>
                <w:sz w:val="24"/>
                <w:szCs w:val="24"/>
              </w:rPr>
              <w:t>对患者健康信息</w:t>
            </w:r>
            <w:r>
              <w:rPr>
                <w:rFonts w:cs="Arial Unicode MS" w:asciiTheme="majorEastAsia" w:hAnsiTheme="majorEastAsia" w:eastAsiaTheme="majorEastAsia"/>
                <w:sz w:val="24"/>
                <w:szCs w:val="24"/>
              </w:rPr>
              <w:t>进行评估</w:t>
            </w:r>
            <w:r>
              <w:rPr>
                <w:rFonts w:hint="eastAsia" w:cs="Arial Unicode MS" w:asciiTheme="majorEastAsia" w:hAnsiTheme="majorEastAsia" w:eastAsiaTheme="majorEastAsia"/>
                <w:sz w:val="24"/>
                <w:szCs w:val="24"/>
              </w:rPr>
              <w:t>、</w:t>
            </w:r>
            <w:r>
              <w:rPr>
                <w:rFonts w:cs="Arial Unicode MS" w:asciiTheme="majorEastAsia" w:hAnsiTheme="majorEastAsia" w:eastAsiaTheme="majorEastAsia"/>
                <w:sz w:val="24"/>
                <w:szCs w:val="24"/>
              </w:rPr>
              <w:t>监</w:t>
            </w:r>
            <w:r>
              <w:rPr>
                <w:rFonts w:hint="eastAsia" w:cs="Arial Unicode MS" w:asciiTheme="majorEastAsia" w:hAnsiTheme="majorEastAsia" w:eastAsiaTheme="majorEastAsia"/>
                <w:sz w:val="24"/>
                <w:szCs w:val="24"/>
              </w:rPr>
              <w:t>测、</w:t>
            </w:r>
            <w:r>
              <w:rPr>
                <w:rFonts w:cs="Arial Unicode MS" w:asciiTheme="majorEastAsia" w:hAnsiTheme="majorEastAsia" w:eastAsiaTheme="majorEastAsia"/>
                <w:sz w:val="24"/>
                <w:szCs w:val="24"/>
              </w:rPr>
              <w:t>记录</w:t>
            </w:r>
            <w:r>
              <w:rPr>
                <w:rFonts w:hint="eastAsia" w:cs="Arial Unicode MS" w:asciiTheme="majorEastAsia" w:hAnsiTheme="majorEastAsia" w:eastAsiaTheme="majorEastAsia"/>
                <w:sz w:val="24"/>
                <w:szCs w:val="24"/>
              </w:rPr>
              <w:t>和存档</w:t>
            </w:r>
            <w:r>
              <w:rPr>
                <w:rFonts w:cs="Arial Unicode MS" w:asciiTheme="majorEastAsia" w:hAnsiTheme="majorEastAsia" w:eastAsiaTheme="majorEastAsia"/>
                <w:sz w:val="24"/>
                <w:szCs w:val="24"/>
              </w:rPr>
              <w:t>。用户可以</w:t>
            </w:r>
            <w:r>
              <w:rPr>
                <w:rFonts w:hint="eastAsia" w:cs="Arial Unicode MS" w:asciiTheme="majorEastAsia" w:hAnsiTheme="majorEastAsia" w:eastAsiaTheme="majorEastAsia"/>
                <w:sz w:val="24"/>
                <w:szCs w:val="24"/>
              </w:rPr>
              <w:t>在</w:t>
            </w:r>
            <w:r>
              <w:rPr>
                <w:rFonts w:cs="Arial Unicode MS" w:asciiTheme="majorEastAsia" w:hAnsiTheme="majorEastAsia" w:eastAsiaTheme="majorEastAsia"/>
                <w:sz w:val="24"/>
                <w:szCs w:val="24"/>
              </w:rPr>
              <w:t>文档</w:t>
            </w:r>
            <w:r>
              <w:rPr>
                <w:rFonts w:hint="eastAsia" w:cs="Arial Unicode MS" w:asciiTheme="majorEastAsia" w:hAnsiTheme="majorEastAsia" w:eastAsiaTheme="majorEastAsia"/>
                <w:sz w:val="24"/>
                <w:szCs w:val="24"/>
              </w:rPr>
              <w:t>工作区对</w:t>
            </w:r>
            <w:r>
              <w:rPr>
                <w:rFonts w:cs="Arial Unicode MS" w:asciiTheme="majorEastAsia" w:hAnsiTheme="majorEastAsia" w:eastAsiaTheme="majorEastAsia"/>
                <w:sz w:val="24"/>
                <w:szCs w:val="24"/>
              </w:rPr>
              <w:t>电子</w:t>
            </w:r>
            <w:r>
              <w:rPr>
                <w:rFonts w:hint="eastAsia" w:cs="Arial Unicode MS" w:asciiTheme="majorEastAsia" w:hAnsiTheme="majorEastAsia" w:eastAsiaTheme="majorEastAsia"/>
                <w:sz w:val="24"/>
                <w:szCs w:val="24"/>
              </w:rPr>
              <w:t>病例（EMR）</w:t>
            </w:r>
            <w:r>
              <w:rPr>
                <w:rFonts w:cs="Arial Unicode MS" w:asciiTheme="majorEastAsia" w:hAnsiTheme="majorEastAsia" w:eastAsiaTheme="majorEastAsia"/>
                <w:sz w:val="24"/>
                <w:szCs w:val="24"/>
              </w:rPr>
              <w:t>中患者相关文档进行创建</w:t>
            </w:r>
            <w:r>
              <w:rPr>
                <w:rFonts w:hint="eastAsia" w:cs="Arial Unicode MS" w:asciiTheme="majorEastAsia" w:hAnsiTheme="majorEastAsia" w:eastAsiaTheme="majorEastAsia"/>
                <w:sz w:val="24"/>
                <w:szCs w:val="24"/>
              </w:rPr>
              <w:t>、</w:t>
            </w:r>
            <w:r>
              <w:rPr>
                <w:rFonts w:cs="Arial Unicode MS" w:asciiTheme="majorEastAsia" w:hAnsiTheme="majorEastAsia" w:eastAsiaTheme="majorEastAsia"/>
                <w:sz w:val="24"/>
                <w:szCs w:val="24"/>
              </w:rPr>
              <w:t>显示和储存</w:t>
            </w:r>
            <w:r>
              <w:rPr>
                <w:rFonts w:hint="eastAsia" w:cs="Arial Unicode MS" w:asciiTheme="majorEastAsia" w:hAnsiTheme="majorEastAsia" w:eastAsiaTheme="majorEastAsia"/>
                <w:sz w:val="24"/>
                <w:szCs w:val="24"/>
              </w:rPr>
              <w:t>，包括文档批准。</w:t>
            </w:r>
          </w:p>
        </w:tc>
      </w:tr>
    </w:tbl>
    <w:p>
      <w:pPr>
        <w:keepNext w:val="0"/>
        <w:keepLines w:val="0"/>
        <w:widowControl/>
        <w:suppressLineNumbers w:val="0"/>
        <w:spacing w:line="360" w:lineRule="auto"/>
        <w:jc w:val="left"/>
        <w:rPr>
          <w:rFonts w:hint="eastAsia" w:ascii="宋体" w:hAnsi="宋体" w:eastAsia="宋体" w:cs="宋体"/>
          <w:b/>
          <w:bCs/>
          <w:color w:val="000000"/>
          <w:kern w:val="0"/>
          <w:sz w:val="30"/>
          <w:szCs w:val="30"/>
          <w:lang w:val="en-US" w:eastAsia="zh-CN" w:bidi="ar"/>
        </w:rPr>
      </w:pPr>
    </w:p>
    <w:p>
      <w:pPr>
        <w:keepNext w:val="0"/>
        <w:keepLines w:val="0"/>
        <w:widowControl/>
        <w:suppressLineNumbers w:val="0"/>
        <w:spacing w:line="360" w:lineRule="auto"/>
        <w:jc w:val="center"/>
        <w:rPr>
          <w:sz w:val="36"/>
          <w:szCs w:val="36"/>
        </w:rPr>
      </w:pPr>
      <w:r>
        <w:rPr>
          <w:rFonts w:hint="eastAsia" w:ascii="宋体" w:hAnsi="宋体" w:eastAsia="宋体" w:cs="宋体"/>
          <w:b/>
          <w:bCs/>
          <w:color w:val="000000"/>
          <w:kern w:val="0"/>
          <w:sz w:val="36"/>
          <w:szCs w:val="36"/>
          <w:lang w:val="en-US" w:eastAsia="zh-CN" w:bidi="ar"/>
        </w:rPr>
        <w:t>大孔径螺旋 CT</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1. 设备概况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1.1. 设备型号：放疗用大孔径多排螺旋 CT 模拟定位机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1.2. 提供国家医疗器械注册证（CFDA/NMPA）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1.3. 本次招标的货物为医院所需的一套先进的放疗用大孔径多排螺旋 CT 模拟定位机。以上货物要求具有技术先进、功能齐全、操作简单、运行维护成本低、与相关放疗产品兼容性好的特点。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1.4. 提供英文原版技术白皮书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 主要技术规格要求与配置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 机架系统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2.1.1.滑环类型：低压滑环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2.1.2. 机架孔径：≥850mm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2.1.3. 扫描架倾角：≥±30°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2.1.4.每旋转 360°采集：≥16 层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2.1.5. 冷却方式：风冷或水冷（如果采用水冷方式，需提供两套进口水冷机组，注明品牌、型号，并负责安装和调试）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2.2.高压发生器：≥ 80kW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2.2.1. 设计方式：对称式设计，将两套正负极的高压发生器放置于机架对称位置，无需额外配重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2.3. 球管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2.3.1. 球管小焦点：≤0.5×1.0mm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2.3.2. 球管大焦点：≤1.0×1.0mm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2.3.3.  球管阳极热容量（非等效）：≥8MHU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2.3.4.最大阳极冷却率：≥1600kHU/min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2.3.5. 球管阳极靶面直径：≥200mm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2.3.6.最大管电流：≥665mA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2.3.7. 最小管电流：≤20mA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2.3.8.最大管电压：≥140kV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2.3.9.提供球管标准保修方案：保用时间≥1 年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2.4. 探测器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2.4.1. 探测器材料：固态稀土陶瓷材料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2.4.2.每排探测器实际物理个数：≥800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2.4.3.  探测器物理宽度：≥24mm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2.4.4. 探测器物理排数：≥24 排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2.4.5.传输速度：≥2.5GB/s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2.5. 扫描床系统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2.5.1. 扫描床 Z 轴定位精度：≤±0.25mm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2.5.2.  扫描床需满足 AAPM-TG66 标准并在白皮书中注明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2.5.3.扫描床垂直升降与床纵向运动必须实现分开操作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2.5.4. 床面垂直运动范围（从地面算起）：最低≤580mm 最高≥1010mm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2.5.5.  最大载重量：≥295kg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2.6. 提供放疗定位专用全碳纤维平床板，注明厂家和型号，床面需具有放疗专用床面定位索引系统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2.7. 提供放疗专用扫描床系统，不能以诊断扫描床系统代替。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2.8. 扫描参数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2.8.1.定位像角度：90°，180°；长度：≥1800mm，宽度：≥600mm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2.8.2.  最大真实扫描视野(SFOV)：≥600mm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2.8.3. 最大显示（扩展）视野(EFOV)：≥700mm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2.8.4. 扫描时间：螺旋扫描≤0.44s/360°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2.8.5. 最大单次连续螺旋扫描时间 ≥ 120s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2.8.6.最小扫描层厚 ≤ 0.6mm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2.8.7. 最大连续轴向扫描范围 ≥1840mm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2.8.8.最大连续螺旋扫描范围 ≥1730mm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2.8.9. 扫描床最高位置距离地面：≥1000mm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2.8.10.最小螺距因子≤ 0.04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2.8.11. 最大螺距因子≥1.65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2.8.12. 提供自动曝光控制功能，减少患者受照剂量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2.9. 图像质量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2.9.1. 空间分辨率：≥16 lp/cm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2.9.2.低密度分辨率：≤4.0 mm @0.3%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2.9.3. 噪声：≤0.27%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2.9.4.CT 值范围：-1024～＋3071HU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2.9.5.CT 值误差不超过±4HU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2.10. 计算机系统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2.10.1. 操作系统：Windows 系统，不低于 Windows10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2.10.2. 处理器：四核≥3.6GHz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2.10.3. 硬盘容量：≥480GB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2.10.4. 内存：≥16GB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2.10.5. 提供包含 GPU 芯片的控制台计算机，保证系统稳定性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2.10.6. 提供包含 GPU 芯片的图像系统处理计算机，保证图像重建稳定性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2.10.7. 图像系统处理计算机处理器：八核≥1.8GHz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2.10.8. 硬盘存储容量： ≥700,000 幅 512×512 无压缩的图象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2.10.9. LCD 彩色显示器：≥19″，分辨率≥1280X1024，2 台，具备双屏显示功能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2.10.10.支持中文字符显示和输入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2.10.11. 支持中文字符导出到医院的 HIS 系统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2.10.12.  重建矩阵：≥1024×1024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2.10.13.  具备 768×768 重建方式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2.10.14. 显示矩阵：≥1024×1024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2.10.15.  提供厂家最新微辐射影像重建算法，例如：Philips 提供 iDose4，GE 提供 ASIR2，Siemens 提供 Safire, Canon 提供 AIDR 3D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2.10.15.1. 该算法可实现低能量成像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2.10.15.2. 该算法可实现低剂量成像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2.10.15.3. 该算法可实现低造影剂剂量强化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2.10.15.4. 具备降低噪声能力</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2.10.15.5. 具备去伪影功能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2.10.16. 提供智能化量体成像操作平台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2.10.16.1. 要求该平台可综合考虑包括临床表现,身体状态(从婴儿到病态肥胖的成年人)、扫描区域、年龄、生理和解剖因素后优化 CT 扫描条件，保证图像质量和低剂量扫描。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2.10.16.2.要求该操作平台可实现曝光条件智能化管理，操作员输入参数与传统操作系统比较可减少点击一半以上，保证临床工作效率。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2.10.16.3. 要求该操作系统可以保证不同操作员扫描结果的一致性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2.10.16.4. 要求该操作系统调整曝光条件时不改变 KV 值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2.10.16.5. 要求该系统在降低辐射剂量的同时保证图像质量的优化和提升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2.10.17. 重建速度：≥30 幅/s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2.10.18. 图像存储: DVD-RAM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2.10.19. 计算机同步处理能力：可实现在扫描状态下的图像实时同步重建并行处理图像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2.11.  质控模体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2.11.1. 提供原厂 CT 模拟定位设备校准专用模体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2.11.2. 模体需要分别针对头部和体部设计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2.11.3. 可校准 CT 值准确性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2.11.4. 可测试 CT 影像质量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2.11.5. 可校准内置激光灯和扫描平面一致性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2.11.6. 可测试外部定位激光精度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2.11.7. 可测试治疗床水平度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2.11.8. 可测试治疗床扫描图像时的走位精度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2.11.9. 提供原厂 CT 质控软件，并可自动生成检测报告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2.12. 其它应用软件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2.12.1. CTA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2.12.2. 造影剂自动跟踪软件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2.12.3. 实时三维软件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2.12.4. 动态剂量调制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2.12.5. 最大密度投影 MIP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2.12.6. 最小密度投影 MinIP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2.12.7. 多平面体积投影 MPR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2.12.8. 薄块浏览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2.12.9. 多平面重建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2.12.10. 智能循迹切割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2.12.11. 自动层面相关显示</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2.12.12. 图像智能优化显示软件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2.12.13. 容积三维重建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2.12.14. 婴幼儿专用扫描方案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2.12.15. 肿瘤专用扫描方案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2.12.16.自动毫安选择功能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2.12.17.自动语音系统及双向语音传输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2.12.18. 多任务并行处理功能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2.12.19. 具备激光相机 DICOM 接口功能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2.12.20.自动照相技术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2.13. 提供 30 分钟不间断电源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2.14. 提供整机保修一年 3. 第三方配套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3.1 放疗信息备份系统：一套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3.1.1 数据备份服务器一台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3.1.2 信息查询工作站一台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3.1.3 支持自动备份放疗病人 PACS 影像数据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3.1.4 支持放射治疗数据备份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3.1.5 支持放疗信息数据查询、浏览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3.1.6 支持 3D 打印放疗应用建模接口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3.2 高压注射器 一台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3.3 可移动式激光定位系统，一套，具备自动化调整、自动校准功能，配备安装和校准模体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3.3.1 光源：红光，绿光双色(三轴移动)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3.3.2 激光灯投射范围：6 米及以上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3.3.3 激光灯移动范围：70 厘米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3.3.4 激光灯可移动方向：XYZ 三个方向都可以移动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3.3.5 发射窗：纳米薄膜发射窗，非玻璃发射窗 </w:t>
      </w:r>
    </w:p>
    <w:p>
      <w:pPr>
        <w:keepNext w:val="0"/>
        <w:keepLines w:val="0"/>
        <w:widowControl/>
        <w:suppressLineNumbers w:val="0"/>
        <w:spacing w:line="360" w:lineRule="auto"/>
        <w:jc w:val="left"/>
        <w:rPr>
          <w:sz w:val="24"/>
          <w:szCs w:val="24"/>
        </w:rPr>
      </w:pPr>
      <w:r>
        <w:rPr>
          <w:rFonts w:hint="eastAsia" w:ascii="宋体" w:hAnsi="宋体" w:eastAsia="宋体" w:cs="宋体"/>
          <w:color w:val="000000"/>
          <w:kern w:val="0"/>
          <w:sz w:val="24"/>
          <w:szCs w:val="24"/>
          <w:lang w:val="en-US" w:eastAsia="zh-CN" w:bidi="ar"/>
        </w:rPr>
        <w:t xml:space="preserve">3.3.6 可远程操作的无线控制器 </w:t>
      </w:r>
    </w:p>
    <w:p>
      <w:pPr>
        <w:keepNext w:val="0"/>
        <w:keepLines w:val="0"/>
        <w:widowControl/>
        <w:suppressLineNumbers w:val="0"/>
        <w:spacing w:line="360" w:lineRule="auto"/>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3.4 放疗定位恒热水箱一台</w:t>
      </w:r>
    </w:p>
    <w:p>
      <w:pPr>
        <w:keepNext w:val="0"/>
        <w:keepLines w:val="0"/>
        <w:widowControl/>
        <w:suppressLineNumbers w:val="0"/>
        <w:spacing w:line="360" w:lineRule="auto"/>
        <w:jc w:val="center"/>
        <w:outlineLvl w:val="1"/>
        <w:rPr>
          <w:rFonts w:hint="eastAsia" w:ascii="宋体" w:hAnsi="宋体" w:eastAsia="宋体" w:cs="宋体"/>
          <w:b/>
          <w:bCs/>
          <w:color w:val="auto"/>
          <w:kern w:val="0"/>
          <w:sz w:val="21"/>
          <w:szCs w:val="21"/>
          <w:highlight w:val="none"/>
          <w:lang w:val="en-US" w:eastAsia="zh-CN" w:bidi="ar"/>
        </w:rPr>
      </w:pPr>
      <w:bookmarkStart w:id="0" w:name="_Toc26326"/>
      <w:bookmarkStart w:id="1" w:name="_Toc12356"/>
    </w:p>
    <w:p>
      <w:pPr>
        <w:keepNext w:val="0"/>
        <w:keepLines w:val="0"/>
        <w:widowControl/>
        <w:suppressLineNumbers w:val="0"/>
        <w:spacing w:line="360" w:lineRule="auto"/>
        <w:jc w:val="center"/>
        <w:outlineLvl w:val="1"/>
        <w:rPr>
          <w:rFonts w:hint="eastAsia" w:ascii="宋体" w:hAnsi="宋体" w:eastAsia="宋体" w:cs="宋体"/>
          <w:b/>
          <w:bCs/>
          <w:color w:val="auto"/>
          <w:sz w:val="36"/>
          <w:szCs w:val="36"/>
          <w:highlight w:val="none"/>
        </w:rPr>
      </w:pPr>
      <w:r>
        <w:rPr>
          <w:rFonts w:hint="eastAsia" w:ascii="宋体" w:hAnsi="宋体" w:eastAsia="宋体" w:cs="宋体"/>
          <w:b/>
          <w:bCs/>
          <w:color w:val="auto"/>
          <w:kern w:val="0"/>
          <w:sz w:val="36"/>
          <w:szCs w:val="36"/>
          <w:highlight w:val="none"/>
          <w:lang w:val="en-US" w:eastAsia="zh-CN" w:bidi="ar"/>
        </w:rPr>
        <w:t>电子胃镜</w:t>
      </w:r>
      <w:bookmarkEnd w:id="0"/>
      <w:bookmarkEnd w:id="1"/>
    </w:p>
    <w:p>
      <w:pPr>
        <w:keepNext w:val="0"/>
        <w:keepLines w:val="0"/>
        <w:widowControl/>
        <w:suppressLineNumbers w:val="0"/>
        <w:spacing w:line="360" w:lineRule="auto"/>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一、技术需求：</w:t>
      </w:r>
    </w:p>
    <w:p>
      <w:pPr>
        <w:keepNext w:val="0"/>
        <w:keepLines w:val="0"/>
        <w:widowControl/>
        <w:suppressLineNumbers w:val="0"/>
        <w:spacing w:line="360" w:lineRule="auto"/>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1.广角 10nm 时， 中心分辨率：12.5lp/mm；</w:t>
      </w:r>
    </w:p>
    <w:p>
      <w:pPr>
        <w:keepNext w:val="0"/>
        <w:keepLines w:val="0"/>
        <w:widowControl/>
        <w:suppressLineNumbers w:val="0"/>
        <w:spacing w:line="360" w:lineRule="auto"/>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2.长焦最大分辨率：62.5.5lp/mm；</w:t>
      </w:r>
    </w:p>
    <w:p>
      <w:pPr>
        <w:keepNext w:val="0"/>
        <w:keepLines w:val="0"/>
        <w:widowControl/>
        <w:suppressLineNumbers w:val="0"/>
        <w:spacing w:line="360" w:lineRule="auto"/>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3.视野角广角 140°、长焦 90°；</w:t>
      </w:r>
    </w:p>
    <w:p>
      <w:pPr>
        <w:keepNext w:val="0"/>
        <w:keepLines w:val="0"/>
        <w:widowControl/>
        <w:suppressLineNumbers w:val="0"/>
        <w:spacing w:line="360" w:lineRule="auto"/>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4.具备光学图像放大功能；</w:t>
      </w:r>
    </w:p>
    <w:p>
      <w:pPr>
        <w:keepNext w:val="0"/>
        <w:keepLines w:val="0"/>
        <w:widowControl/>
        <w:suppressLineNumbers w:val="0"/>
        <w:spacing w:line="360" w:lineRule="auto"/>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5.景深：广角 3-100mm，长焦：1.5-3mm；</w:t>
      </w:r>
    </w:p>
    <w:p>
      <w:pPr>
        <w:keepNext w:val="0"/>
        <w:keepLines w:val="0"/>
        <w:widowControl/>
        <w:suppressLineNumbers w:val="0"/>
        <w:spacing w:line="360" w:lineRule="auto"/>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6.头端部外径：10.8mm；</w:t>
      </w:r>
    </w:p>
    <w:p>
      <w:pPr>
        <w:keepNext w:val="0"/>
        <w:keepLines w:val="0"/>
        <w:widowControl/>
        <w:suppressLineNumbers w:val="0"/>
        <w:spacing w:line="360" w:lineRule="auto"/>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7.插入部主软管外径：10.5mm；</w:t>
      </w:r>
    </w:p>
    <w:p>
      <w:pPr>
        <w:keepNext w:val="0"/>
        <w:keepLines w:val="0"/>
        <w:widowControl/>
        <w:suppressLineNumbers w:val="0"/>
        <w:spacing w:line="360" w:lineRule="auto"/>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8.钳道孔内径：2.8mm；</w:t>
      </w:r>
    </w:p>
    <w:p>
      <w:pPr>
        <w:keepNext w:val="0"/>
        <w:keepLines w:val="0"/>
        <w:widowControl/>
        <w:suppressLineNumbers w:val="0"/>
        <w:spacing w:line="360" w:lineRule="auto"/>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9.镜体具备副送水通道；</w:t>
      </w:r>
    </w:p>
    <w:p>
      <w:pPr>
        <w:keepNext w:val="0"/>
        <w:keepLines w:val="0"/>
        <w:widowControl/>
        <w:suppressLineNumbers w:val="0"/>
        <w:spacing w:line="360" w:lineRule="auto"/>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10.弯曲角度：上 210°下 90°，左右各 100°；</w:t>
      </w:r>
    </w:p>
    <w:p>
      <w:pPr>
        <w:keepNext w:val="0"/>
        <w:keepLines w:val="0"/>
        <w:widowControl/>
        <w:suppressLineNumbers w:val="0"/>
        <w:spacing w:line="360" w:lineRule="auto"/>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11.有效工作长度 1050mm；</w:t>
      </w:r>
    </w:p>
    <w:p>
      <w:pPr>
        <w:keepNext w:val="0"/>
        <w:keepLines w:val="0"/>
        <w:widowControl/>
        <w:suppressLineNumbers w:val="0"/>
        <w:spacing w:line="360" w:lineRule="auto"/>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12.镜体全长 1400mm；</w:t>
      </w:r>
    </w:p>
    <w:p>
      <w:pPr>
        <w:keepNext w:val="0"/>
        <w:keepLines w:val="0"/>
        <w:widowControl/>
        <w:suppressLineNumbers w:val="0"/>
        <w:spacing w:line="360" w:lineRule="auto"/>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13.镜体操作部具有 4 个自定义功能远程控制按钮（除外水气按钮和吸引按钮）。</w:t>
      </w:r>
    </w:p>
    <w:p>
      <w:pPr>
        <w:keepNext w:val="0"/>
        <w:keepLines w:val="0"/>
        <w:widowControl/>
        <w:suppressLineNumbers w:val="0"/>
        <w:spacing w:line="360" w:lineRule="auto"/>
        <w:jc w:val="center"/>
        <w:outlineLvl w:val="1"/>
        <w:rPr>
          <w:rFonts w:hint="eastAsia" w:ascii="宋体" w:hAnsi="宋体" w:eastAsia="宋体" w:cs="宋体"/>
          <w:b/>
          <w:bCs/>
          <w:color w:val="auto"/>
          <w:kern w:val="0"/>
          <w:sz w:val="21"/>
          <w:szCs w:val="21"/>
          <w:highlight w:val="none"/>
          <w:lang w:val="en-US" w:eastAsia="zh-CN" w:bidi="ar"/>
        </w:rPr>
      </w:pPr>
      <w:bookmarkStart w:id="2" w:name="_Toc18750"/>
      <w:bookmarkStart w:id="3" w:name="_Toc32638"/>
    </w:p>
    <w:p>
      <w:pPr>
        <w:keepNext w:val="0"/>
        <w:keepLines w:val="0"/>
        <w:widowControl/>
        <w:suppressLineNumbers w:val="0"/>
        <w:spacing w:line="360" w:lineRule="auto"/>
        <w:jc w:val="center"/>
        <w:outlineLvl w:val="1"/>
        <w:rPr>
          <w:rFonts w:hint="eastAsia" w:ascii="宋体" w:hAnsi="宋体" w:eastAsia="宋体" w:cs="宋体"/>
          <w:b/>
          <w:bCs/>
          <w:color w:val="auto"/>
          <w:kern w:val="0"/>
          <w:sz w:val="36"/>
          <w:szCs w:val="36"/>
          <w:highlight w:val="none"/>
          <w:lang w:val="en-US" w:eastAsia="zh-CN" w:bidi="ar"/>
        </w:rPr>
      </w:pPr>
      <w:r>
        <w:rPr>
          <w:rFonts w:hint="eastAsia" w:ascii="宋体" w:hAnsi="宋体" w:eastAsia="宋体" w:cs="宋体"/>
          <w:b/>
          <w:bCs/>
          <w:color w:val="auto"/>
          <w:kern w:val="0"/>
          <w:sz w:val="36"/>
          <w:szCs w:val="36"/>
          <w:highlight w:val="none"/>
          <w:lang w:val="en-US" w:eastAsia="zh-CN" w:bidi="ar"/>
        </w:rPr>
        <w:t>电子胃肠镜</w:t>
      </w:r>
      <w:bookmarkEnd w:id="2"/>
      <w:bookmarkEnd w:id="3"/>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一、技术需求：</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1.全高清电子内镜设备；</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2.分体式设计；</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3.设备面板按钮为触控按键；</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4.支持镜体热插拔；</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5.视频信号光纤传输，速度更快，抗干扰更强；</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6.光电复合染色技术（VIST）：可显示特殊光染色模式图像。</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7.聚谱成像技术（SFI）：图像具有高亮度、高结构对比度及高颜色对比度的特点。</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 xml:space="preserve">8.设备主机能兼容光学放大镜、超声内镜、电子支气管镜。 </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具体参数</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（1）图像处理器系统：</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1.高清视频信号（DVI）输出视频分辨率≥1920*1080；</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2.具有 DVI、SDI、CVBS、VGA、S-VIDEO 等信号输出方式；</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3.红色调、蓝色调及饱和度调节功能：±15 档可调；</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4.自动增益功能：开/关；</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5.测光模式调节功能：平均测光、峰值测光、全自动测光；</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6.色彩增强功能：三档可调，每档具有 0-15 级调节；</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7.轮廓强调功能：三档可调，每档具有 0-15 级调节；</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8.构造调节功能，可选 A/B 两种模式，每种模式三档可调，每档具有 0-15 级调节；</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9.对比度调节功能：高、中、低；</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10.具有白平衡自动修正功能；</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11.具有红蓝伪彩图显示功能；</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12.具有电子放大功能，最大能放大 4 倍，三档可调；</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13.有内置的图像保存和视频录制功能，支持图像查看、视频回放；</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14.具有 500G 存储容量的内置病例管理系统，可脱离外置工作站进行病例管理，可查看、编辑、保存、预览、打印病例报告及病例报告检索；</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15.可通过 USB 接口一键导出当前检查数据；</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16.支持 DICOM 标准协议，通过网络可传输病历数据；</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17.具有图像冻结功能，可通过镜体按钮、键盘、脚踏开关控制冻结功能；</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18.画中画功能</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（2）冷光源系统：</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1.多光谱照明光源（四路光源设计）；</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2.光源为 LED 光源；</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3.具备白光、蓝紫光、蓝光、红光四路光源，共有四种照明模式；</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4.具有 VIST 光电复合染色和 SFI 聚谱成像染色技术</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5.光源主灯平均连续使用寿命：≥10000 小时；</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6.色温≥5700K；</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7.具有手动和自动两种调光模式，调光级别：具有 1 到 19 级；</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8.长寿命静音气泵, 最大气泵压力范围应为 45kPa～65kPa；</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9.气泵的送气流量范围：2.0-5.5L/min，送气量等级：四挡（关闭、高、中、低）；</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10.噪声＜55dB；</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11.主灯灯泡寿命具有指示灯显示，可随时掌握主灯剩余寿命情况；</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12.透光模式</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（3）高清电子胃镜：</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1.工作距离 10mm 时 中心分辨率≥11.1lp/mm；</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2.视野角≥140°；</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3.景深：3-100mm；</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4.头端部外径≤9.3mm；</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5.插入部主软管外径≤9.3mm，同时具备有副送水功能；</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6.钳道孔内径≥2.8mm；</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7.弯曲角度：上 210°下 90°，左右各 100°；</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8.有效工作长度 1050mm；</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9.镜体全长 1350mm；</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10.镜体操作部具有 4 个自定义功能远程控制按钮（除外水气按钮和吸引按钮）。</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（4）高清电子肠镜：</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1.工作距离 10mm 时 分辨率≥11.1lp/mm；</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2.视野角≥140°；</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3.景深：3-100mm；</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4.头端部外径≤12mm；</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5.插入部主软管外径≤12.5mm，同时具备有副送水功能；</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6.钳道孔内径≥3.8mm；</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7.弯曲角度：上下各 180°，左右各 160°；</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8.有效工作长度 1350mm；</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9.镜体全长 1650mm；</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10.镜体操作部具有 4 个自定义功能远程控制按钮（除外水气按钮和吸引按钮）。</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（5）26 寸专业医用监视器：</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1.监视器为彩色医疗图像监视器，符合标准医疗监视器性能指标，具有 16:9 比例高亮度、高清液晶显示；</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 26 寸；</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3.分辨率≥1920×1080 ；</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4.视角：水平 178°，垂直 178°； 信号输入：DVI/SDI/Video/S-Video。</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（6）高性能版台车：</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1.专业设计的内镜专用台车；</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2.一键电源开关，带隔离电源，整体台车具有更好的绝缘性、防水性和耐腐蚀性，安全方便   可靠；</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3.带键盘托盘；</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4.层板高度可调；</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5.可支撑 2 个导光部插头</w:t>
      </w:r>
    </w:p>
    <w:p>
      <w:pPr>
        <w:spacing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6.两种方式悬挂镜体，可同时悬挂两条内镜。</w:t>
      </w:r>
    </w:p>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kern w:val="0"/>
          <w:sz w:val="36"/>
          <w:szCs w:val="36"/>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rPr>
          <w:sz w:val="36"/>
          <w:szCs w:val="36"/>
        </w:rPr>
      </w:pPr>
      <w:r>
        <w:rPr>
          <w:rFonts w:hint="eastAsia" w:ascii="宋体" w:hAnsi="宋体" w:eastAsia="宋体" w:cs="宋体"/>
          <w:b/>
          <w:bCs/>
          <w:color w:val="000000"/>
          <w:kern w:val="0"/>
          <w:sz w:val="36"/>
          <w:szCs w:val="36"/>
          <w:lang w:val="en-US" w:eastAsia="zh-CN" w:bidi="ar"/>
        </w:rPr>
        <w:t>心电图机</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sz w:val="24"/>
          <w:szCs w:val="24"/>
        </w:rPr>
      </w:pPr>
      <w:r>
        <w:rPr>
          <w:rFonts w:hint="eastAsia" w:ascii="宋体" w:hAnsi="宋体" w:eastAsia="宋体" w:cs="宋体"/>
          <w:b/>
          <w:bCs/>
          <w:color w:val="000000"/>
          <w:kern w:val="0"/>
          <w:sz w:val="24"/>
          <w:szCs w:val="24"/>
          <w:lang w:val="en-US" w:eastAsia="zh-CN" w:bidi="ar"/>
        </w:rPr>
        <w:t xml:space="preserve">一、技术需求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sz w:val="24"/>
          <w:szCs w:val="24"/>
        </w:rPr>
      </w:pPr>
      <w:r>
        <w:rPr>
          <w:rFonts w:hint="eastAsia" w:ascii="宋体" w:hAnsi="宋体" w:eastAsia="宋体" w:cs="宋体"/>
          <w:b/>
          <w:bCs/>
          <w:color w:val="000000"/>
          <w:kern w:val="0"/>
          <w:sz w:val="24"/>
          <w:szCs w:val="24"/>
          <w:lang w:val="en-US" w:eastAsia="zh-CN" w:bidi="ar"/>
        </w:rPr>
        <w:t xml:space="preserve">1.主要功能优势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sz w:val="24"/>
          <w:szCs w:val="24"/>
        </w:rPr>
      </w:pPr>
      <w:r>
        <w:rPr>
          <w:rFonts w:hint="eastAsia" w:ascii="宋体" w:hAnsi="宋体" w:eastAsia="宋体" w:cs="宋体"/>
          <w:color w:val="000000"/>
          <w:kern w:val="0"/>
          <w:sz w:val="24"/>
          <w:szCs w:val="24"/>
          <w:lang w:val="en-US" w:eastAsia="zh-CN" w:bidi="ar"/>
        </w:rPr>
        <w:t xml:space="preserve">1.1 设备小巧轻便,主机重量＜1kg，标配可移动台车，适应于出诊、床旁移动心电采集等多种临床应用场景；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sz w:val="24"/>
          <w:szCs w:val="24"/>
        </w:rPr>
      </w:pPr>
      <w:r>
        <w:rPr>
          <w:rFonts w:hint="eastAsia" w:ascii="宋体" w:hAnsi="宋体" w:eastAsia="宋体" w:cs="宋体"/>
          <w:color w:val="000000"/>
          <w:kern w:val="0"/>
          <w:sz w:val="24"/>
          <w:szCs w:val="24"/>
          <w:lang w:val="en-US" w:eastAsia="zh-CN" w:bidi="ar"/>
        </w:rPr>
        <w:t xml:space="preserve">1.2 支持 12/15/16/18 导同步采集、同屏显示；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sz w:val="24"/>
          <w:szCs w:val="24"/>
        </w:rPr>
      </w:pPr>
      <w:r>
        <w:rPr>
          <w:rFonts w:hint="eastAsia" w:ascii="宋体" w:hAnsi="宋体" w:eastAsia="宋体" w:cs="宋体"/>
          <w:color w:val="000000"/>
          <w:kern w:val="0"/>
          <w:sz w:val="24"/>
          <w:szCs w:val="24"/>
          <w:lang w:val="en-US" w:eastAsia="zh-CN" w:bidi="ar"/>
        </w:rPr>
        <w:t xml:space="preserve">1.3 具备 WORKLIST 功能，可从 HIS 一键提取待检查患者详细信息，减少手工录入；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sz w:val="24"/>
          <w:szCs w:val="24"/>
        </w:rPr>
      </w:pPr>
      <w:r>
        <w:rPr>
          <w:rFonts w:hint="eastAsia" w:ascii="宋体" w:hAnsi="宋体" w:eastAsia="宋体" w:cs="宋体"/>
          <w:color w:val="000000"/>
          <w:kern w:val="0"/>
          <w:sz w:val="24"/>
          <w:szCs w:val="24"/>
          <w:lang w:val="en-US" w:eastAsia="zh-CN" w:bidi="ar"/>
        </w:rPr>
        <w:t xml:space="preserve">1.4 具备大于 120 分钟心电图记录功能，可用于发现偶发的心律失常，或对持续性心律失常、心肌缺血等情况进行监测；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sz w:val="24"/>
          <w:szCs w:val="24"/>
        </w:rPr>
      </w:pPr>
      <w:r>
        <w:rPr>
          <w:rFonts w:hint="eastAsia" w:ascii="宋体" w:hAnsi="宋体" w:eastAsia="宋体" w:cs="宋体"/>
          <w:color w:val="000000"/>
          <w:kern w:val="0"/>
          <w:sz w:val="24"/>
          <w:szCs w:val="24"/>
          <w:lang w:val="en-US" w:eastAsia="zh-CN" w:bidi="ar"/>
        </w:rPr>
        <w:t xml:space="preserve">1.5 支持心电图采集数据上传功能，在心电图采集完成后，可通过波形回放查看采集质量，确认后可上传至心电会诊中心，可设置自动上传或手动上传模式；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sz w:val="24"/>
          <w:szCs w:val="24"/>
        </w:rPr>
      </w:pPr>
      <w:r>
        <w:rPr>
          <w:rFonts w:hint="eastAsia" w:ascii="宋体" w:hAnsi="宋体" w:eastAsia="宋体" w:cs="宋体"/>
          <w:color w:val="000000"/>
          <w:kern w:val="0"/>
          <w:sz w:val="24"/>
          <w:szCs w:val="24"/>
          <w:lang w:val="en-US" w:eastAsia="zh-CN" w:bidi="ar"/>
        </w:rPr>
        <w:t>1.6 支持心电图报告结论同步功能，在会诊中心诊断完成后，诊断结论可实时同步至本机；</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sz w:val="24"/>
          <w:szCs w:val="24"/>
        </w:rPr>
      </w:pPr>
      <w:r>
        <w:rPr>
          <w:rFonts w:hint="eastAsia" w:ascii="宋体" w:hAnsi="宋体" w:eastAsia="宋体" w:cs="宋体"/>
          <w:b/>
          <w:bCs/>
          <w:color w:val="000000"/>
          <w:kern w:val="0"/>
          <w:sz w:val="24"/>
          <w:szCs w:val="24"/>
          <w:lang w:val="en-US" w:eastAsia="zh-CN" w:bidi="ar"/>
        </w:rPr>
        <w:t xml:space="preserve">2.外观及显示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sz w:val="24"/>
          <w:szCs w:val="24"/>
        </w:rPr>
      </w:pPr>
      <w:r>
        <w:rPr>
          <w:rFonts w:hint="eastAsia" w:ascii="宋体" w:hAnsi="宋体" w:eastAsia="宋体" w:cs="宋体"/>
          <w:color w:val="000000"/>
          <w:kern w:val="0"/>
          <w:sz w:val="24"/>
          <w:szCs w:val="24"/>
          <w:lang w:val="en-US" w:eastAsia="zh-CN" w:bidi="ar"/>
        </w:rPr>
        <w:t xml:space="preserve">2.1 显示屏≥9 英寸，屏幕亮度可调，支持背景网格显示，支持多点触控操作；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sz w:val="24"/>
          <w:szCs w:val="24"/>
        </w:rPr>
      </w:pPr>
      <w:r>
        <w:rPr>
          <w:rFonts w:hint="eastAsia" w:ascii="宋体" w:hAnsi="宋体" w:eastAsia="宋体" w:cs="宋体"/>
          <w:color w:val="000000"/>
          <w:kern w:val="0"/>
          <w:sz w:val="24"/>
          <w:szCs w:val="24"/>
          <w:lang w:val="en-US" w:eastAsia="zh-CN" w:bidi="ar"/>
        </w:rPr>
        <w:t xml:space="preserve">2.2 采集器支持蓝牙移动网络技术，方便临床使用；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sz w:val="24"/>
          <w:szCs w:val="24"/>
        </w:rPr>
      </w:pPr>
      <w:r>
        <w:rPr>
          <w:rFonts w:hint="eastAsia" w:ascii="宋体" w:hAnsi="宋体" w:eastAsia="宋体" w:cs="宋体"/>
          <w:color w:val="000000"/>
          <w:kern w:val="0"/>
          <w:sz w:val="24"/>
          <w:szCs w:val="24"/>
          <w:lang w:val="en-US" w:eastAsia="zh-CN" w:bidi="ar"/>
        </w:rPr>
        <w:t xml:space="preserve">2.3 具备 12/15/16/18 导多种导联连接示意图，便于护士有实习医生使用；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sz w:val="24"/>
          <w:szCs w:val="24"/>
        </w:rPr>
      </w:pPr>
      <w:r>
        <w:rPr>
          <w:rFonts w:hint="eastAsia" w:ascii="宋体" w:hAnsi="宋体" w:eastAsia="宋体" w:cs="宋体"/>
          <w:color w:val="000000"/>
          <w:kern w:val="0"/>
          <w:sz w:val="24"/>
          <w:szCs w:val="24"/>
          <w:lang w:val="en-US" w:eastAsia="zh-CN" w:bidi="ar"/>
        </w:rPr>
        <w:t xml:space="preserve">2.4 自动异常报警功能：可自动对异常心率、导联脱落情况进行实时监测报警；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sz w:val="24"/>
          <w:szCs w:val="24"/>
        </w:rPr>
      </w:pPr>
      <w:r>
        <w:rPr>
          <w:rFonts w:hint="eastAsia" w:ascii="宋体" w:hAnsi="宋体" w:eastAsia="宋体" w:cs="宋体"/>
          <w:color w:val="000000"/>
          <w:kern w:val="0"/>
          <w:sz w:val="24"/>
          <w:szCs w:val="24"/>
          <w:lang w:val="en-US" w:eastAsia="zh-CN" w:bidi="ar"/>
        </w:rPr>
        <w:t xml:space="preserve">2.5 屏幕显示内容：心电波形、导联、实时心率、记录时长、记录倒计时、走纸速度、增益、 滤波器、电池电量指示、时间、患者详细信息、床号、日期、信息提示等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sz w:val="24"/>
          <w:szCs w:val="24"/>
        </w:rPr>
      </w:pPr>
      <w:r>
        <w:rPr>
          <w:rFonts w:hint="eastAsia" w:ascii="宋体" w:hAnsi="宋体" w:eastAsia="宋体" w:cs="宋体"/>
          <w:b/>
          <w:bCs/>
          <w:color w:val="000000"/>
          <w:kern w:val="0"/>
          <w:sz w:val="24"/>
          <w:szCs w:val="24"/>
          <w:lang w:val="en-US" w:eastAsia="zh-CN" w:bidi="ar"/>
        </w:rPr>
        <w:t xml:space="preserve">3.信息录入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sz w:val="24"/>
          <w:szCs w:val="24"/>
        </w:rPr>
      </w:pPr>
      <w:r>
        <w:rPr>
          <w:rFonts w:hint="eastAsia" w:ascii="宋体" w:hAnsi="宋体" w:eastAsia="宋体" w:cs="宋体"/>
          <w:color w:val="000000"/>
          <w:kern w:val="0"/>
          <w:sz w:val="24"/>
          <w:szCs w:val="24"/>
          <w:lang w:val="en-US" w:eastAsia="zh-CN" w:bidi="ar"/>
        </w:rPr>
        <w:t xml:space="preserve">3.1 具备标准触控软件盘，支持拼音输入法，方便医生进行信息输入；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sz w:val="24"/>
          <w:szCs w:val="24"/>
        </w:rPr>
      </w:pPr>
      <w:r>
        <w:rPr>
          <w:rFonts w:hint="eastAsia" w:ascii="宋体" w:hAnsi="宋体" w:eastAsia="宋体" w:cs="宋体"/>
          <w:color w:val="000000"/>
          <w:kern w:val="0"/>
          <w:sz w:val="24"/>
          <w:szCs w:val="24"/>
          <w:lang w:val="en-US" w:eastAsia="zh-CN" w:bidi="ar"/>
        </w:rPr>
        <w:t xml:space="preserve">3.2 具备先采集后补录患者信息，支持手工录入或从 HIS 提取；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sz w:val="24"/>
          <w:szCs w:val="24"/>
        </w:rPr>
      </w:pPr>
      <w:r>
        <w:rPr>
          <w:rFonts w:hint="eastAsia" w:ascii="宋体" w:hAnsi="宋体" w:eastAsia="宋体" w:cs="宋体"/>
          <w:color w:val="000000"/>
          <w:kern w:val="0"/>
          <w:sz w:val="24"/>
          <w:szCs w:val="24"/>
          <w:lang w:val="en-US" w:eastAsia="zh-CN" w:bidi="ar"/>
        </w:rPr>
        <w:t xml:space="preserve">3.3 具备心电采集前患者信息核查功能，防止信息录入错误或信息与实际患者不匹配；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sz w:val="24"/>
          <w:szCs w:val="24"/>
        </w:rPr>
      </w:pPr>
      <w:r>
        <w:rPr>
          <w:rFonts w:hint="eastAsia" w:ascii="宋体" w:hAnsi="宋体" w:eastAsia="宋体" w:cs="宋体"/>
          <w:color w:val="000000"/>
          <w:kern w:val="0"/>
          <w:sz w:val="24"/>
          <w:szCs w:val="24"/>
          <w:lang w:val="en-US" w:eastAsia="zh-CN" w:bidi="ar"/>
        </w:rPr>
        <w:t xml:space="preserve">3.4 具备扫码功能，可快速录入患者信息；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sz w:val="24"/>
          <w:szCs w:val="24"/>
        </w:rPr>
      </w:pPr>
      <w:r>
        <w:rPr>
          <w:rFonts w:hint="eastAsia" w:ascii="宋体" w:hAnsi="宋体" w:eastAsia="宋体" w:cs="宋体"/>
          <w:b/>
          <w:bCs/>
          <w:color w:val="000000"/>
          <w:kern w:val="0"/>
          <w:sz w:val="24"/>
          <w:szCs w:val="24"/>
          <w:lang w:val="en-US" w:eastAsia="zh-CN" w:bidi="ar"/>
        </w:rPr>
        <w:t xml:space="preserve">4.波形采集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sz w:val="24"/>
          <w:szCs w:val="24"/>
        </w:rPr>
      </w:pPr>
      <w:r>
        <w:rPr>
          <w:rFonts w:hint="eastAsia" w:ascii="宋体" w:hAnsi="宋体" w:eastAsia="宋体" w:cs="宋体"/>
          <w:color w:val="000000"/>
          <w:kern w:val="0"/>
          <w:sz w:val="24"/>
          <w:szCs w:val="24"/>
          <w:lang w:val="en-US" w:eastAsia="zh-CN" w:bidi="ar"/>
        </w:rPr>
        <w:t xml:space="preserve">4.1 支持快速心电功能，适用于急诊及紧急情况下，快速完成心电图的采集；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sz w:val="24"/>
          <w:szCs w:val="24"/>
        </w:rPr>
      </w:pPr>
      <w:r>
        <w:rPr>
          <w:rFonts w:hint="eastAsia" w:ascii="宋体" w:hAnsi="宋体" w:eastAsia="宋体" w:cs="宋体"/>
          <w:color w:val="000000"/>
          <w:kern w:val="0"/>
          <w:sz w:val="24"/>
          <w:szCs w:val="24"/>
          <w:lang w:val="en-US" w:eastAsia="zh-CN" w:bidi="ar"/>
        </w:rPr>
        <w:t xml:space="preserve">4.2 具备波形预采功能，可用于捕捉偶发、一过性的心律失常事件，预采集时间可进行设置；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sz w:val="24"/>
          <w:szCs w:val="24"/>
        </w:rPr>
      </w:pPr>
      <w:r>
        <w:rPr>
          <w:rFonts w:hint="eastAsia" w:ascii="宋体" w:hAnsi="宋体" w:eastAsia="宋体" w:cs="宋体"/>
          <w:color w:val="000000"/>
          <w:kern w:val="0"/>
          <w:sz w:val="24"/>
          <w:szCs w:val="24"/>
          <w:lang w:val="en-US" w:eastAsia="zh-CN" w:bidi="ar"/>
        </w:rPr>
        <w:t xml:space="preserve">4.3 具备心电波形重采集功能，无需再次输入患者信息，即可快速完成波形的重新采集；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sz w:val="24"/>
          <w:szCs w:val="24"/>
        </w:rPr>
      </w:pPr>
      <w:r>
        <w:rPr>
          <w:rFonts w:hint="eastAsia" w:ascii="宋体" w:hAnsi="宋体" w:eastAsia="宋体" w:cs="宋体"/>
          <w:color w:val="000000"/>
          <w:kern w:val="0"/>
          <w:sz w:val="24"/>
          <w:szCs w:val="24"/>
          <w:lang w:val="en-US" w:eastAsia="zh-CN" w:bidi="ar"/>
        </w:rPr>
        <w:t xml:space="preserve">4.4 具备心电加做模式，在完成标准 12 导心电采集后，可加做右胸与后壁心电采集；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sz w:val="24"/>
          <w:szCs w:val="24"/>
        </w:rPr>
      </w:pPr>
      <w:r>
        <w:rPr>
          <w:rFonts w:hint="eastAsia" w:ascii="宋体" w:hAnsi="宋体" w:eastAsia="宋体" w:cs="宋体"/>
          <w:color w:val="000000"/>
          <w:kern w:val="0"/>
          <w:sz w:val="24"/>
          <w:szCs w:val="24"/>
          <w:lang w:val="en-US" w:eastAsia="zh-CN" w:bidi="ar"/>
        </w:rPr>
        <w:t xml:space="preserve">4.5 支持起搏心电采集功能；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sz w:val="24"/>
          <w:szCs w:val="24"/>
        </w:rPr>
      </w:pPr>
      <w:r>
        <w:rPr>
          <w:rFonts w:hint="eastAsia" w:ascii="宋体" w:hAnsi="宋体" w:eastAsia="宋体" w:cs="宋体"/>
          <w:b/>
          <w:bCs/>
          <w:color w:val="000000"/>
          <w:kern w:val="0"/>
          <w:sz w:val="24"/>
          <w:szCs w:val="24"/>
          <w:lang w:val="en-US" w:eastAsia="zh-CN" w:bidi="ar"/>
        </w:rPr>
        <w:t xml:space="preserve">5.存储与查找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sz w:val="24"/>
          <w:szCs w:val="24"/>
        </w:rPr>
      </w:pPr>
      <w:r>
        <w:rPr>
          <w:rFonts w:hint="eastAsia" w:ascii="宋体" w:hAnsi="宋体" w:eastAsia="宋体" w:cs="宋体"/>
          <w:color w:val="000000"/>
          <w:kern w:val="0"/>
          <w:sz w:val="24"/>
          <w:szCs w:val="24"/>
          <w:lang w:val="en-US" w:eastAsia="zh-CN" w:bidi="ar"/>
        </w:rPr>
        <w:t xml:space="preserve">5.1 本机支持大于 20000 份以上的病例数据存储，可设置自动清理时限；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sz w:val="24"/>
          <w:szCs w:val="24"/>
        </w:rPr>
      </w:pPr>
      <w:r>
        <w:rPr>
          <w:rFonts w:hint="eastAsia" w:ascii="宋体" w:hAnsi="宋体" w:eastAsia="宋体" w:cs="宋体"/>
          <w:color w:val="000000"/>
          <w:kern w:val="0"/>
          <w:sz w:val="24"/>
          <w:szCs w:val="24"/>
          <w:lang w:val="en-US" w:eastAsia="zh-CN" w:bidi="ar"/>
        </w:rPr>
        <w:t xml:space="preserve">5.2 具备病历管理功能，可对存储的病历进行查询、回放、上传、重采、加做、编辑、打印、删除等多种操作；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sz w:val="24"/>
          <w:szCs w:val="24"/>
        </w:rPr>
      </w:pPr>
      <w:r>
        <w:rPr>
          <w:rFonts w:hint="eastAsia" w:ascii="宋体" w:hAnsi="宋体" w:eastAsia="宋体" w:cs="宋体"/>
          <w:color w:val="000000"/>
          <w:kern w:val="0"/>
          <w:sz w:val="24"/>
          <w:szCs w:val="24"/>
          <w:lang w:val="en-US" w:eastAsia="zh-CN" w:bidi="ar"/>
        </w:rPr>
        <w:t xml:space="preserve">5.3 支持报告状态与上传状态显示，并支持以不同状态进行分类查询，方便医护人员快速进行病历的分类查找；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sz w:val="24"/>
          <w:szCs w:val="24"/>
        </w:rPr>
      </w:pPr>
      <w:r>
        <w:rPr>
          <w:rFonts w:hint="eastAsia" w:ascii="宋体" w:hAnsi="宋体" w:eastAsia="宋体" w:cs="宋体"/>
          <w:color w:val="000000"/>
          <w:kern w:val="0"/>
          <w:sz w:val="24"/>
          <w:szCs w:val="24"/>
          <w:lang w:val="en-US" w:eastAsia="zh-CN" w:bidi="ar"/>
        </w:rPr>
        <w:t xml:space="preserve">5.4 支持按患者姓名、性别、年龄、病历号、日期等多种方式查询；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sz w:val="24"/>
          <w:szCs w:val="24"/>
        </w:rPr>
      </w:pPr>
      <w:r>
        <w:rPr>
          <w:rFonts w:hint="eastAsia" w:ascii="宋体" w:hAnsi="宋体" w:eastAsia="宋体" w:cs="宋体"/>
          <w:color w:val="000000"/>
          <w:kern w:val="0"/>
          <w:sz w:val="24"/>
          <w:szCs w:val="24"/>
          <w:lang w:val="en-US" w:eastAsia="zh-CN" w:bidi="ar"/>
        </w:rPr>
        <w:t xml:space="preserve">5.5 具备按检查时间、床号、住院号进行病历列表的排序；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sz w:val="24"/>
          <w:szCs w:val="24"/>
        </w:rPr>
      </w:pPr>
      <w:r>
        <w:rPr>
          <w:rFonts w:hint="eastAsia" w:ascii="宋体" w:hAnsi="宋体" w:eastAsia="宋体" w:cs="宋体"/>
          <w:b/>
          <w:bCs/>
          <w:color w:val="000000"/>
          <w:kern w:val="0"/>
          <w:sz w:val="24"/>
          <w:szCs w:val="24"/>
          <w:lang w:val="en-US" w:eastAsia="zh-CN" w:bidi="ar"/>
        </w:rPr>
        <w:t xml:space="preserve">6.主要技术指标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sz w:val="24"/>
          <w:szCs w:val="24"/>
        </w:rPr>
      </w:pPr>
      <w:r>
        <w:rPr>
          <w:rFonts w:hint="eastAsia" w:ascii="宋体" w:hAnsi="宋体" w:eastAsia="宋体" w:cs="宋体"/>
          <w:color w:val="000000"/>
          <w:kern w:val="0"/>
          <w:sz w:val="24"/>
          <w:szCs w:val="24"/>
          <w:lang w:val="en-US" w:eastAsia="zh-CN" w:bidi="ar"/>
        </w:rPr>
        <w:t xml:space="preserve">6.1 输入阻抗：≥5MΩ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sz w:val="24"/>
          <w:szCs w:val="24"/>
        </w:rPr>
      </w:pPr>
      <w:r>
        <w:rPr>
          <w:rFonts w:hint="eastAsia" w:ascii="宋体" w:hAnsi="宋体" w:eastAsia="宋体" w:cs="宋体"/>
          <w:color w:val="000000"/>
          <w:kern w:val="0"/>
          <w:sz w:val="24"/>
          <w:szCs w:val="24"/>
          <w:lang w:val="en-US" w:eastAsia="zh-CN" w:bidi="ar"/>
        </w:rPr>
        <w:t xml:space="preserve">6.2 输入回路电流：≤0.1μA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sz w:val="24"/>
          <w:szCs w:val="24"/>
        </w:rPr>
      </w:pPr>
      <w:r>
        <w:rPr>
          <w:rFonts w:hint="eastAsia" w:ascii="宋体" w:hAnsi="宋体" w:eastAsia="宋体" w:cs="宋体"/>
          <w:color w:val="000000"/>
          <w:kern w:val="0"/>
          <w:sz w:val="24"/>
          <w:szCs w:val="24"/>
          <w:lang w:val="en-US" w:eastAsia="zh-CN" w:bidi="ar"/>
        </w:rPr>
        <w:t xml:space="preserve">6.3 噪声：≤15μVp-p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sz w:val="24"/>
          <w:szCs w:val="24"/>
        </w:rPr>
      </w:pPr>
      <w:r>
        <w:rPr>
          <w:rFonts w:hint="eastAsia" w:ascii="宋体" w:hAnsi="宋体" w:eastAsia="宋体" w:cs="宋体"/>
          <w:color w:val="000000"/>
          <w:kern w:val="0"/>
          <w:sz w:val="24"/>
          <w:szCs w:val="24"/>
          <w:lang w:val="en-US" w:eastAsia="zh-CN" w:bidi="ar"/>
        </w:rPr>
        <w:t xml:space="preserve">6.4 共模抑制比：≥89dB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sz w:val="24"/>
          <w:szCs w:val="24"/>
        </w:rPr>
      </w:pPr>
      <w:r>
        <w:rPr>
          <w:rFonts w:hint="eastAsia" w:ascii="宋体" w:hAnsi="宋体" w:eastAsia="宋体" w:cs="宋体"/>
          <w:color w:val="000000"/>
          <w:kern w:val="0"/>
          <w:sz w:val="24"/>
          <w:szCs w:val="24"/>
          <w:lang w:val="en-US" w:eastAsia="zh-CN" w:bidi="ar"/>
        </w:rPr>
        <w:t xml:space="preserve">6.5 时间常数：≥3.2s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sz w:val="24"/>
          <w:szCs w:val="24"/>
        </w:rPr>
      </w:pPr>
      <w:r>
        <w:rPr>
          <w:rFonts w:hint="eastAsia" w:ascii="宋体" w:hAnsi="宋体" w:eastAsia="宋体" w:cs="宋体"/>
          <w:color w:val="000000"/>
          <w:kern w:val="0"/>
          <w:sz w:val="24"/>
          <w:szCs w:val="24"/>
          <w:lang w:val="en-US" w:eastAsia="zh-CN" w:bidi="ar"/>
        </w:rPr>
        <w:t xml:space="preserve">6.6 耐极化电压：在±300mV 直流极化电压下，灵敏度变化不超过 5%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sz w:val="24"/>
          <w:szCs w:val="24"/>
        </w:rPr>
      </w:pPr>
      <w:r>
        <w:rPr>
          <w:rFonts w:hint="eastAsia" w:ascii="宋体" w:hAnsi="宋体" w:eastAsia="宋体" w:cs="宋体"/>
          <w:color w:val="000000"/>
          <w:kern w:val="0"/>
          <w:sz w:val="24"/>
          <w:szCs w:val="24"/>
          <w:lang w:val="en-US" w:eastAsia="zh-CN" w:bidi="ar"/>
        </w:rPr>
        <w:t>6.7 A/D 转换：24bit</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sz w:val="24"/>
          <w:szCs w:val="24"/>
        </w:rPr>
      </w:pPr>
      <w:r>
        <w:rPr>
          <w:rFonts w:hint="eastAsia" w:ascii="宋体" w:hAnsi="宋体" w:eastAsia="宋体" w:cs="宋体"/>
          <w:color w:val="000000"/>
          <w:kern w:val="0"/>
          <w:sz w:val="24"/>
          <w:szCs w:val="24"/>
          <w:lang w:val="en-US" w:eastAsia="zh-CN" w:bidi="ar"/>
        </w:rPr>
        <w:t xml:space="preserve">6.8 定标电压：1mV±5%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sz w:val="24"/>
          <w:szCs w:val="24"/>
        </w:rPr>
      </w:pPr>
      <w:r>
        <w:rPr>
          <w:rFonts w:hint="eastAsia" w:ascii="宋体" w:hAnsi="宋体" w:eastAsia="宋体" w:cs="宋体"/>
          <w:color w:val="000000"/>
          <w:kern w:val="0"/>
          <w:sz w:val="24"/>
          <w:szCs w:val="24"/>
          <w:lang w:val="en-US" w:eastAsia="zh-CN" w:bidi="ar"/>
        </w:rPr>
        <w:t xml:space="preserve">6.9 标准灵敏度：10mm/mV+5%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sz w:val="24"/>
          <w:szCs w:val="24"/>
        </w:rPr>
      </w:pPr>
      <w:r>
        <w:rPr>
          <w:rFonts w:hint="eastAsia" w:ascii="宋体" w:hAnsi="宋体" w:eastAsia="宋体" w:cs="宋体"/>
          <w:color w:val="000000"/>
          <w:kern w:val="0"/>
          <w:sz w:val="24"/>
          <w:szCs w:val="24"/>
          <w:lang w:val="en-US" w:eastAsia="zh-CN" w:bidi="ar"/>
        </w:rPr>
        <w:t xml:space="preserve">6.10 灵敏度转换误差：由 10mm/mV 转换为 5 mm/mV、20mm/mV 时，转换误差不大于+5%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sz w:val="24"/>
          <w:szCs w:val="24"/>
        </w:rPr>
      </w:pPr>
      <w:r>
        <w:rPr>
          <w:rFonts w:hint="eastAsia" w:ascii="宋体" w:hAnsi="宋体" w:eastAsia="宋体" w:cs="宋体"/>
          <w:color w:val="000000"/>
          <w:kern w:val="0"/>
          <w:sz w:val="24"/>
          <w:szCs w:val="24"/>
          <w:lang w:val="en-US" w:eastAsia="zh-CN" w:bidi="ar"/>
        </w:rPr>
        <w:t xml:space="preserve">6.11 走纸速度：在 25mm/s 和 50mm/s 纸速时,误差不超过+5%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sz w:val="24"/>
          <w:szCs w:val="24"/>
        </w:rPr>
      </w:pPr>
      <w:r>
        <w:rPr>
          <w:rFonts w:hint="eastAsia" w:ascii="宋体" w:hAnsi="宋体" w:eastAsia="宋体" w:cs="宋体"/>
          <w:color w:val="000000"/>
          <w:kern w:val="0"/>
          <w:sz w:val="24"/>
          <w:szCs w:val="24"/>
          <w:lang w:val="en-US" w:eastAsia="zh-CN" w:bidi="ar"/>
        </w:rPr>
        <w:t xml:space="preserve">6.12 抗干扰滤波：具有交流滤波、肌电滤波、基线滤波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sz w:val="24"/>
          <w:szCs w:val="24"/>
        </w:rPr>
      </w:pPr>
      <w:r>
        <w:rPr>
          <w:rFonts w:hint="eastAsia" w:ascii="宋体" w:hAnsi="宋体" w:eastAsia="宋体" w:cs="宋体"/>
          <w:color w:val="000000"/>
          <w:kern w:val="0"/>
          <w:sz w:val="24"/>
          <w:szCs w:val="24"/>
          <w:lang w:val="en-US" w:eastAsia="zh-CN" w:bidi="ar"/>
        </w:rPr>
        <w:t xml:space="preserve">6.13 工频干扰抑制器：抑制比不小于 20dB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sz w:val="24"/>
          <w:szCs w:val="24"/>
        </w:rPr>
      </w:pPr>
      <w:r>
        <w:rPr>
          <w:rFonts w:hint="eastAsia" w:ascii="宋体" w:hAnsi="宋体" w:eastAsia="宋体" w:cs="宋体"/>
          <w:b/>
          <w:bCs/>
          <w:color w:val="000000"/>
          <w:kern w:val="0"/>
          <w:sz w:val="24"/>
          <w:szCs w:val="24"/>
          <w:lang w:val="en-US" w:eastAsia="zh-CN" w:bidi="ar"/>
        </w:rPr>
        <w:t xml:space="preserve">7.联网与输出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sz w:val="24"/>
          <w:szCs w:val="24"/>
        </w:rPr>
      </w:pPr>
      <w:r>
        <w:rPr>
          <w:rFonts w:hint="eastAsia" w:ascii="宋体" w:hAnsi="宋体" w:eastAsia="宋体" w:cs="宋体"/>
          <w:color w:val="000000"/>
          <w:kern w:val="0"/>
          <w:sz w:val="24"/>
          <w:szCs w:val="24"/>
          <w:lang w:val="en-US" w:eastAsia="zh-CN" w:bidi="ar"/>
        </w:rPr>
        <w:t xml:space="preserve">7.1 本机支持 WIFI、4G 联网；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sz w:val="24"/>
          <w:szCs w:val="24"/>
        </w:rPr>
      </w:pPr>
      <w:r>
        <w:rPr>
          <w:rFonts w:hint="eastAsia" w:ascii="宋体" w:hAnsi="宋体" w:eastAsia="宋体" w:cs="宋体"/>
          <w:color w:val="000000"/>
          <w:kern w:val="0"/>
          <w:sz w:val="24"/>
          <w:szCs w:val="24"/>
          <w:lang w:val="en-US" w:eastAsia="zh-CN" w:bidi="ar"/>
        </w:rPr>
        <w:t xml:space="preserve">7.2 本机支持与医院心电信息管理系统、HIS\EMR 等第三方系统无缝集成；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sz w:val="24"/>
          <w:szCs w:val="24"/>
        </w:rPr>
      </w:pPr>
      <w:r>
        <w:rPr>
          <w:rFonts w:hint="eastAsia" w:ascii="宋体" w:hAnsi="宋体" w:eastAsia="宋体" w:cs="宋体"/>
          <w:color w:val="000000"/>
          <w:kern w:val="0"/>
          <w:sz w:val="24"/>
          <w:szCs w:val="24"/>
          <w:lang w:val="en-US" w:eastAsia="zh-CN" w:bidi="ar"/>
        </w:rPr>
        <w:t xml:space="preserve">7.3 提供蓝牙打印功能，供急诊、心内等科室现场打印纸质心电图；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sz w:val="24"/>
          <w:szCs w:val="24"/>
        </w:rPr>
      </w:pPr>
      <w:r>
        <w:rPr>
          <w:rFonts w:hint="eastAsia" w:ascii="宋体" w:hAnsi="宋体" w:eastAsia="宋体" w:cs="宋体"/>
          <w:color w:val="000000"/>
          <w:kern w:val="0"/>
          <w:sz w:val="24"/>
          <w:szCs w:val="24"/>
          <w:lang w:val="en-US" w:eastAsia="zh-CN" w:bidi="ar"/>
        </w:rPr>
        <w:t xml:space="preserve">7.4 支持系统在线自动更新功能，便于系统升级维护；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sz w:val="24"/>
          <w:szCs w:val="24"/>
        </w:rPr>
      </w:pPr>
      <w:r>
        <w:rPr>
          <w:rFonts w:hint="eastAsia" w:ascii="宋体" w:hAnsi="宋体" w:eastAsia="宋体" w:cs="宋体"/>
          <w:b/>
          <w:bCs/>
          <w:color w:val="000000"/>
          <w:kern w:val="0"/>
          <w:sz w:val="24"/>
          <w:szCs w:val="24"/>
          <w:lang w:val="en-US" w:eastAsia="zh-CN" w:bidi="ar"/>
        </w:rPr>
        <w:t xml:space="preserve">8.电源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sz w:val="24"/>
          <w:szCs w:val="24"/>
        </w:rPr>
      </w:pPr>
      <w:r>
        <w:rPr>
          <w:rFonts w:hint="eastAsia" w:ascii="宋体" w:hAnsi="宋体" w:eastAsia="宋体" w:cs="宋体"/>
          <w:color w:val="000000"/>
          <w:kern w:val="0"/>
          <w:sz w:val="24"/>
          <w:szCs w:val="24"/>
          <w:lang w:val="en-US" w:eastAsia="zh-CN" w:bidi="ar"/>
        </w:rPr>
        <w:t xml:space="preserve">8.1 交直流两用，自动转换；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sz w:val="24"/>
          <w:szCs w:val="24"/>
        </w:rPr>
      </w:pPr>
      <w:r>
        <w:rPr>
          <w:rFonts w:hint="eastAsia" w:ascii="宋体" w:hAnsi="宋体" w:eastAsia="宋体" w:cs="宋体"/>
          <w:color w:val="000000"/>
          <w:kern w:val="0"/>
          <w:sz w:val="24"/>
          <w:szCs w:val="24"/>
          <w:lang w:val="en-US" w:eastAsia="zh-CN" w:bidi="ar"/>
        </w:rPr>
        <w:t xml:space="preserve">8.2 交流电源：交流 220V 50Hz；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sz w:val="24"/>
          <w:szCs w:val="24"/>
        </w:rPr>
      </w:pPr>
      <w:r>
        <w:rPr>
          <w:rFonts w:hint="eastAsia" w:ascii="宋体" w:hAnsi="宋体" w:eastAsia="宋体" w:cs="宋体"/>
          <w:color w:val="000000"/>
          <w:kern w:val="0"/>
          <w:sz w:val="24"/>
          <w:szCs w:val="24"/>
          <w:lang w:val="en-US" w:eastAsia="zh-CN" w:bidi="ar"/>
        </w:rPr>
        <w:t xml:space="preserve">8.3 直流电源：内置可充电锂离子电池，充满电后可连续工作 8 小时以上。 </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二、配置清单 </w:t>
      </w:r>
    </w:p>
    <w:tbl>
      <w:tblPr>
        <w:tblStyle w:val="6"/>
        <w:tblW w:w="8543" w:type="dxa"/>
        <w:jc w:val="center"/>
        <w:tblLayout w:type="fixed"/>
        <w:tblCellMar>
          <w:top w:w="0" w:type="dxa"/>
          <w:left w:w="108" w:type="dxa"/>
          <w:bottom w:w="0" w:type="dxa"/>
          <w:right w:w="108" w:type="dxa"/>
        </w:tblCellMar>
      </w:tblPr>
      <w:tblGrid>
        <w:gridCol w:w="1005"/>
        <w:gridCol w:w="5025"/>
        <w:gridCol w:w="933"/>
        <w:gridCol w:w="1580"/>
      </w:tblGrid>
      <w:tr>
        <w:tblPrEx>
          <w:tblCellMar>
            <w:top w:w="0" w:type="dxa"/>
            <w:left w:w="108" w:type="dxa"/>
            <w:bottom w:w="0" w:type="dxa"/>
            <w:right w:w="108" w:type="dxa"/>
          </w:tblCellMar>
        </w:tblPrEx>
        <w:trPr>
          <w:trHeight w:val="0" w:hRule="atLeast"/>
          <w:jc w:val="center"/>
        </w:trPr>
        <w:tc>
          <w:tcPr>
            <w:tcW w:w="100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bidi w:val="0"/>
              <w:spacing w:after="0" w:line="360" w:lineRule="auto"/>
              <w:jc w:val="center"/>
              <w:rPr>
                <w:rFonts w:hint="eastAsia" w:ascii="宋体" w:hAnsi="宋体" w:eastAsia="宋体" w:cs="宋体"/>
                <w:b/>
                <w:bCs/>
                <w:color w:val="000000"/>
                <w:kern w:val="0"/>
                <w:sz w:val="21"/>
                <w:szCs w:val="21"/>
                <w:highlight w:val="none"/>
              </w:rPr>
            </w:pPr>
            <w:r>
              <w:rPr>
                <w:rFonts w:hint="eastAsia" w:ascii="宋体" w:hAnsi="宋体" w:eastAsia="宋体" w:cs="宋体"/>
                <w:b/>
                <w:bCs/>
                <w:color w:val="000000"/>
                <w:kern w:val="0"/>
                <w:sz w:val="21"/>
                <w:szCs w:val="21"/>
                <w:highlight w:val="none"/>
              </w:rPr>
              <w:t>序号</w:t>
            </w:r>
          </w:p>
        </w:tc>
        <w:tc>
          <w:tcPr>
            <w:tcW w:w="5025" w:type="dxa"/>
            <w:tcBorders>
              <w:top w:val="single" w:color="auto" w:sz="4" w:space="0"/>
              <w:left w:val="nil"/>
              <w:bottom w:val="single" w:color="auto" w:sz="4" w:space="0"/>
              <w:right w:val="single" w:color="auto" w:sz="4" w:space="0"/>
            </w:tcBorders>
            <w:noWrap w:val="0"/>
            <w:vAlign w:val="center"/>
          </w:tcPr>
          <w:p>
            <w:pPr>
              <w:pageBreakBefore w:val="0"/>
              <w:widowControl/>
              <w:kinsoku/>
              <w:wordWrap/>
              <w:overflowPunct/>
              <w:topLinePunct w:val="0"/>
              <w:bidi w:val="0"/>
              <w:spacing w:after="0" w:line="360" w:lineRule="auto"/>
              <w:jc w:val="center"/>
              <w:rPr>
                <w:rFonts w:hint="eastAsia" w:ascii="宋体" w:hAnsi="宋体" w:eastAsia="宋体" w:cs="宋体"/>
                <w:b/>
                <w:bCs/>
                <w:color w:val="000000"/>
                <w:kern w:val="0"/>
                <w:sz w:val="21"/>
                <w:szCs w:val="21"/>
                <w:highlight w:val="none"/>
              </w:rPr>
            </w:pPr>
            <w:r>
              <w:rPr>
                <w:rFonts w:hint="eastAsia" w:ascii="宋体" w:hAnsi="宋体" w:eastAsia="宋体" w:cs="宋体"/>
                <w:b/>
                <w:bCs/>
                <w:color w:val="000000"/>
                <w:kern w:val="0"/>
                <w:sz w:val="21"/>
                <w:szCs w:val="21"/>
                <w:highlight w:val="none"/>
              </w:rPr>
              <w:t>项目名称</w:t>
            </w:r>
          </w:p>
        </w:tc>
        <w:tc>
          <w:tcPr>
            <w:tcW w:w="933" w:type="dxa"/>
            <w:tcBorders>
              <w:top w:val="single" w:color="auto" w:sz="4" w:space="0"/>
              <w:left w:val="nil"/>
              <w:bottom w:val="single" w:color="auto" w:sz="4" w:space="0"/>
              <w:right w:val="single" w:color="auto" w:sz="4" w:space="0"/>
            </w:tcBorders>
            <w:noWrap w:val="0"/>
            <w:vAlign w:val="center"/>
          </w:tcPr>
          <w:p>
            <w:pPr>
              <w:pageBreakBefore w:val="0"/>
              <w:widowControl/>
              <w:kinsoku/>
              <w:wordWrap/>
              <w:overflowPunct/>
              <w:topLinePunct w:val="0"/>
              <w:bidi w:val="0"/>
              <w:spacing w:after="0" w:line="360" w:lineRule="auto"/>
              <w:jc w:val="center"/>
              <w:rPr>
                <w:rFonts w:hint="eastAsia" w:ascii="宋体" w:hAnsi="宋体" w:eastAsia="宋体" w:cs="宋体"/>
                <w:b/>
                <w:bCs/>
                <w:color w:val="000000"/>
                <w:kern w:val="0"/>
                <w:sz w:val="21"/>
                <w:szCs w:val="21"/>
                <w:highlight w:val="none"/>
              </w:rPr>
            </w:pPr>
            <w:r>
              <w:rPr>
                <w:rFonts w:hint="eastAsia" w:ascii="宋体" w:hAnsi="宋体" w:eastAsia="宋体" w:cs="宋体"/>
                <w:b/>
                <w:bCs/>
                <w:color w:val="000000"/>
                <w:kern w:val="0"/>
                <w:sz w:val="21"/>
                <w:szCs w:val="21"/>
                <w:highlight w:val="none"/>
              </w:rPr>
              <w:t>数量</w:t>
            </w:r>
          </w:p>
        </w:tc>
        <w:tc>
          <w:tcPr>
            <w:tcW w:w="1580" w:type="dxa"/>
            <w:tcBorders>
              <w:top w:val="single" w:color="auto" w:sz="4" w:space="0"/>
              <w:left w:val="nil"/>
              <w:bottom w:val="single" w:color="auto" w:sz="4" w:space="0"/>
              <w:right w:val="single" w:color="auto" w:sz="4" w:space="0"/>
            </w:tcBorders>
            <w:noWrap w:val="0"/>
            <w:vAlign w:val="center"/>
          </w:tcPr>
          <w:p>
            <w:pPr>
              <w:pageBreakBefore w:val="0"/>
              <w:widowControl/>
              <w:kinsoku/>
              <w:wordWrap/>
              <w:overflowPunct/>
              <w:topLinePunct w:val="0"/>
              <w:bidi w:val="0"/>
              <w:spacing w:after="0" w:line="360" w:lineRule="auto"/>
              <w:jc w:val="center"/>
              <w:rPr>
                <w:rFonts w:hint="eastAsia" w:ascii="宋体" w:hAnsi="宋体" w:eastAsia="宋体" w:cs="宋体"/>
                <w:b/>
                <w:bCs/>
                <w:color w:val="000000"/>
                <w:kern w:val="0"/>
                <w:sz w:val="21"/>
                <w:szCs w:val="21"/>
                <w:highlight w:val="none"/>
              </w:rPr>
            </w:pPr>
            <w:r>
              <w:rPr>
                <w:rFonts w:hint="eastAsia" w:ascii="宋体" w:hAnsi="宋体" w:eastAsia="宋体" w:cs="宋体"/>
                <w:b/>
                <w:bCs/>
                <w:color w:val="000000"/>
                <w:kern w:val="0"/>
                <w:sz w:val="21"/>
                <w:szCs w:val="21"/>
                <w:highlight w:val="none"/>
              </w:rPr>
              <w:t>单位</w:t>
            </w:r>
          </w:p>
        </w:tc>
      </w:tr>
      <w:tr>
        <w:tblPrEx>
          <w:tblCellMar>
            <w:top w:w="0" w:type="dxa"/>
            <w:left w:w="108" w:type="dxa"/>
            <w:bottom w:w="0" w:type="dxa"/>
            <w:right w:w="108" w:type="dxa"/>
          </w:tblCellMar>
        </w:tblPrEx>
        <w:trPr>
          <w:trHeight w:val="0" w:hRule="atLeast"/>
          <w:jc w:val="center"/>
        </w:trPr>
        <w:tc>
          <w:tcPr>
            <w:tcW w:w="100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bidi w:val="0"/>
              <w:spacing w:after="0"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w:t>
            </w:r>
          </w:p>
        </w:tc>
        <w:tc>
          <w:tcPr>
            <w:tcW w:w="5025" w:type="dxa"/>
            <w:tcBorders>
              <w:top w:val="single" w:color="auto" w:sz="4" w:space="0"/>
              <w:left w:val="nil"/>
              <w:bottom w:val="single" w:color="auto" w:sz="4" w:space="0"/>
              <w:right w:val="single" w:color="auto" w:sz="4" w:space="0"/>
            </w:tcBorders>
            <w:noWrap w:val="0"/>
            <w:vAlign w:val="center"/>
          </w:tcPr>
          <w:p>
            <w:pPr>
              <w:pageBreakBefore w:val="0"/>
              <w:widowControl/>
              <w:kinsoku/>
              <w:wordWrap/>
              <w:overflowPunct/>
              <w:topLinePunct w:val="0"/>
              <w:bidi w:val="0"/>
              <w:spacing w:after="0" w:line="360" w:lineRule="auto"/>
              <w:jc w:val="center"/>
              <w:rPr>
                <w:rFonts w:hint="eastAsia" w:ascii="宋体" w:hAnsi="宋体" w:eastAsia="宋体" w:cs="宋体"/>
                <w:b/>
                <w:bCs/>
                <w:kern w:val="0"/>
                <w:sz w:val="21"/>
                <w:szCs w:val="21"/>
                <w:highlight w:val="none"/>
              </w:rPr>
            </w:pPr>
            <w:r>
              <w:rPr>
                <w:rFonts w:hint="eastAsia" w:ascii="宋体" w:hAnsi="宋体" w:eastAsia="宋体" w:cs="宋体"/>
                <w:kern w:val="0"/>
                <w:sz w:val="21"/>
                <w:szCs w:val="21"/>
                <w:highlight w:val="none"/>
              </w:rPr>
              <w:t>平板电脑</w:t>
            </w:r>
          </w:p>
        </w:tc>
        <w:tc>
          <w:tcPr>
            <w:tcW w:w="933" w:type="dxa"/>
            <w:tcBorders>
              <w:top w:val="single" w:color="auto" w:sz="4" w:space="0"/>
              <w:left w:val="nil"/>
              <w:bottom w:val="single" w:color="auto" w:sz="4" w:space="0"/>
              <w:right w:val="single" w:color="auto" w:sz="4" w:space="0"/>
            </w:tcBorders>
            <w:noWrap w:val="0"/>
            <w:vAlign w:val="center"/>
          </w:tcPr>
          <w:p>
            <w:pPr>
              <w:pageBreakBefore w:val="0"/>
              <w:widowControl/>
              <w:kinsoku/>
              <w:wordWrap/>
              <w:overflowPunct/>
              <w:topLinePunct w:val="0"/>
              <w:bidi w:val="0"/>
              <w:spacing w:after="0" w:line="360" w:lineRule="auto"/>
              <w:jc w:val="center"/>
              <w:rPr>
                <w:rFonts w:hint="eastAsia" w:ascii="宋体" w:hAnsi="宋体" w:eastAsia="宋体" w:cs="宋体"/>
                <w:bCs/>
                <w:kern w:val="0"/>
                <w:sz w:val="21"/>
                <w:szCs w:val="21"/>
                <w:highlight w:val="none"/>
              </w:rPr>
            </w:pPr>
            <w:r>
              <w:rPr>
                <w:rFonts w:hint="eastAsia" w:ascii="宋体" w:hAnsi="宋体" w:eastAsia="宋体" w:cs="宋体"/>
                <w:bCs/>
                <w:kern w:val="0"/>
                <w:sz w:val="21"/>
                <w:szCs w:val="21"/>
                <w:highlight w:val="none"/>
              </w:rPr>
              <w:t>1</w:t>
            </w:r>
          </w:p>
        </w:tc>
        <w:tc>
          <w:tcPr>
            <w:tcW w:w="1580" w:type="dxa"/>
            <w:tcBorders>
              <w:top w:val="single" w:color="auto" w:sz="4" w:space="0"/>
              <w:left w:val="nil"/>
              <w:bottom w:val="single" w:color="auto" w:sz="4" w:space="0"/>
              <w:right w:val="single" w:color="auto" w:sz="4" w:space="0"/>
            </w:tcBorders>
            <w:noWrap w:val="0"/>
            <w:vAlign w:val="center"/>
          </w:tcPr>
          <w:p>
            <w:pPr>
              <w:pageBreakBefore w:val="0"/>
              <w:widowControl/>
              <w:kinsoku/>
              <w:wordWrap/>
              <w:overflowPunct/>
              <w:topLinePunct w:val="0"/>
              <w:bidi w:val="0"/>
              <w:spacing w:after="0" w:line="360" w:lineRule="auto"/>
              <w:jc w:val="center"/>
              <w:rPr>
                <w:rFonts w:hint="eastAsia" w:ascii="宋体" w:hAnsi="宋体" w:eastAsia="宋体" w:cs="宋体"/>
                <w:bCs/>
                <w:kern w:val="0"/>
                <w:sz w:val="21"/>
                <w:szCs w:val="21"/>
                <w:highlight w:val="none"/>
              </w:rPr>
            </w:pPr>
            <w:r>
              <w:rPr>
                <w:rFonts w:hint="eastAsia" w:ascii="宋体" w:hAnsi="宋体" w:eastAsia="宋体" w:cs="宋体"/>
                <w:bCs/>
                <w:kern w:val="0"/>
                <w:sz w:val="21"/>
                <w:szCs w:val="21"/>
                <w:highlight w:val="none"/>
              </w:rPr>
              <w:t>台</w:t>
            </w:r>
          </w:p>
        </w:tc>
      </w:tr>
      <w:tr>
        <w:tblPrEx>
          <w:tblCellMar>
            <w:top w:w="0" w:type="dxa"/>
            <w:left w:w="108" w:type="dxa"/>
            <w:bottom w:w="0" w:type="dxa"/>
            <w:right w:w="108" w:type="dxa"/>
          </w:tblCellMar>
        </w:tblPrEx>
        <w:trPr>
          <w:trHeight w:val="0" w:hRule="atLeast"/>
          <w:jc w:val="center"/>
        </w:trPr>
        <w:tc>
          <w:tcPr>
            <w:tcW w:w="100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bidi w:val="0"/>
              <w:spacing w:after="0"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w:t>
            </w:r>
          </w:p>
        </w:tc>
        <w:tc>
          <w:tcPr>
            <w:tcW w:w="5025" w:type="dxa"/>
            <w:tcBorders>
              <w:top w:val="single" w:color="auto" w:sz="4" w:space="0"/>
              <w:left w:val="nil"/>
              <w:bottom w:val="single" w:color="auto" w:sz="4" w:space="0"/>
              <w:right w:val="single" w:color="auto" w:sz="4" w:space="0"/>
            </w:tcBorders>
            <w:noWrap w:val="0"/>
            <w:vAlign w:val="center"/>
          </w:tcPr>
          <w:p>
            <w:pPr>
              <w:pageBreakBefore w:val="0"/>
              <w:widowControl/>
              <w:kinsoku/>
              <w:wordWrap/>
              <w:overflowPunct/>
              <w:topLinePunct w:val="0"/>
              <w:bidi w:val="0"/>
              <w:spacing w:after="0"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多导联心电放大器</w:t>
            </w:r>
          </w:p>
        </w:tc>
        <w:tc>
          <w:tcPr>
            <w:tcW w:w="933" w:type="dxa"/>
            <w:tcBorders>
              <w:top w:val="single" w:color="auto" w:sz="4" w:space="0"/>
              <w:left w:val="nil"/>
              <w:bottom w:val="single" w:color="auto" w:sz="4" w:space="0"/>
              <w:right w:val="single" w:color="auto" w:sz="4" w:space="0"/>
            </w:tcBorders>
            <w:noWrap w:val="0"/>
            <w:vAlign w:val="center"/>
          </w:tcPr>
          <w:p>
            <w:pPr>
              <w:pageBreakBefore w:val="0"/>
              <w:widowControl/>
              <w:kinsoku/>
              <w:wordWrap/>
              <w:overflowPunct/>
              <w:topLinePunct w:val="0"/>
              <w:bidi w:val="0"/>
              <w:spacing w:after="0"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w:t>
            </w:r>
          </w:p>
        </w:tc>
        <w:tc>
          <w:tcPr>
            <w:tcW w:w="1580" w:type="dxa"/>
            <w:tcBorders>
              <w:top w:val="single" w:color="auto" w:sz="4" w:space="0"/>
              <w:left w:val="nil"/>
              <w:bottom w:val="single" w:color="auto" w:sz="4" w:space="0"/>
              <w:right w:val="single" w:color="auto" w:sz="4" w:space="0"/>
            </w:tcBorders>
            <w:noWrap w:val="0"/>
            <w:vAlign w:val="center"/>
          </w:tcPr>
          <w:p>
            <w:pPr>
              <w:pageBreakBefore w:val="0"/>
              <w:widowControl/>
              <w:kinsoku/>
              <w:wordWrap/>
              <w:overflowPunct/>
              <w:topLinePunct w:val="0"/>
              <w:bidi w:val="0"/>
              <w:spacing w:after="0"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个</w:t>
            </w:r>
          </w:p>
        </w:tc>
      </w:tr>
      <w:tr>
        <w:tblPrEx>
          <w:tblCellMar>
            <w:top w:w="0" w:type="dxa"/>
            <w:left w:w="108" w:type="dxa"/>
            <w:bottom w:w="0" w:type="dxa"/>
            <w:right w:w="108" w:type="dxa"/>
          </w:tblCellMar>
        </w:tblPrEx>
        <w:trPr>
          <w:trHeight w:val="0" w:hRule="atLeast"/>
          <w:jc w:val="center"/>
        </w:trPr>
        <w:tc>
          <w:tcPr>
            <w:tcW w:w="1005" w:type="dxa"/>
            <w:tcBorders>
              <w:top w:val="nil"/>
              <w:left w:val="single" w:color="auto" w:sz="4" w:space="0"/>
              <w:bottom w:val="single" w:color="auto" w:sz="4" w:space="0"/>
              <w:right w:val="single" w:color="auto" w:sz="4" w:space="0"/>
            </w:tcBorders>
            <w:noWrap w:val="0"/>
            <w:vAlign w:val="center"/>
          </w:tcPr>
          <w:p>
            <w:pPr>
              <w:pageBreakBefore w:val="0"/>
              <w:widowControl/>
              <w:kinsoku/>
              <w:wordWrap/>
              <w:overflowPunct/>
              <w:topLinePunct w:val="0"/>
              <w:bidi w:val="0"/>
              <w:spacing w:after="0"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w:t>
            </w:r>
          </w:p>
        </w:tc>
        <w:tc>
          <w:tcPr>
            <w:tcW w:w="5025" w:type="dxa"/>
            <w:tcBorders>
              <w:top w:val="single" w:color="auto" w:sz="4" w:space="0"/>
              <w:left w:val="nil"/>
              <w:bottom w:val="single" w:color="auto" w:sz="4" w:space="0"/>
              <w:right w:val="single" w:color="auto" w:sz="4" w:space="0"/>
            </w:tcBorders>
            <w:noWrap w:val="0"/>
            <w:vAlign w:val="center"/>
          </w:tcPr>
          <w:p>
            <w:pPr>
              <w:pageBreakBefore w:val="0"/>
              <w:widowControl/>
              <w:kinsoku/>
              <w:wordWrap/>
              <w:overflowPunct/>
              <w:topLinePunct w:val="0"/>
              <w:bidi w:val="0"/>
              <w:spacing w:after="0"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蓝牙背夹</w:t>
            </w:r>
          </w:p>
        </w:tc>
        <w:tc>
          <w:tcPr>
            <w:tcW w:w="933" w:type="dxa"/>
            <w:tcBorders>
              <w:top w:val="single" w:color="auto" w:sz="4" w:space="0"/>
              <w:left w:val="nil"/>
              <w:bottom w:val="single" w:color="auto" w:sz="4" w:space="0"/>
              <w:right w:val="single" w:color="auto" w:sz="4" w:space="0"/>
            </w:tcBorders>
            <w:noWrap w:val="0"/>
            <w:vAlign w:val="center"/>
          </w:tcPr>
          <w:p>
            <w:pPr>
              <w:pageBreakBefore w:val="0"/>
              <w:widowControl/>
              <w:kinsoku/>
              <w:wordWrap/>
              <w:overflowPunct/>
              <w:topLinePunct w:val="0"/>
              <w:bidi w:val="0"/>
              <w:spacing w:after="0"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w:t>
            </w:r>
          </w:p>
        </w:tc>
        <w:tc>
          <w:tcPr>
            <w:tcW w:w="1580" w:type="dxa"/>
            <w:tcBorders>
              <w:top w:val="nil"/>
              <w:left w:val="nil"/>
              <w:bottom w:val="single" w:color="auto" w:sz="4" w:space="0"/>
              <w:right w:val="single" w:color="auto" w:sz="4" w:space="0"/>
            </w:tcBorders>
            <w:noWrap w:val="0"/>
            <w:vAlign w:val="center"/>
          </w:tcPr>
          <w:p>
            <w:pPr>
              <w:pageBreakBefore w:val="0"/>
              <w:widowControl/>
              <w:kinsoku/>
              <w:wordWrap/>
              <w:overflowPunct/>
              <w:topLinePunct w:val="0"/>
              <w:bidi w:val="0"/>
              <w:spacing w:after="0"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个</w:t>
            </w:r>
          </w:p>
        </w:tc>
      </w:tr>
      <w:tr>
        <w:tblPrEx>
          <w:tblCellMar>
            <w:top w:w="0" w:type="dxa"/>
            <w:left w:w="108" w:type="dxa"/>
            <w:bottom w:w="0" w:type="dxa"/>
            <w:right w:w="108" w:type="dxa"/>
          </w:tblCellMar>
        </w:tblPrEx>
        <w:trPr>
          <w:trHeight w:val="0" w:hRule="atLeast"/>
          <w:jc w:val="center"/>
        </w:trPr>
        <w:tc>
          <w:tcPr>
            <w:tcW w:w="1005" w:type="dxa"/>
            <w:tcBorders>
              <w:top w:val="nil"/>
              <w:left w:val="single" w:color="auto" w:sz="4" w:space="0"/>
              <w:bottom w:val="single" w:color="auto" w:sz="4" w:space="0"/>
              <w:right w:val="single" w:color="auto" w:sz="4" w:space="0"/>
            </w:tcBorders>
            <w:noWrap w:val="0"/>
            <w:vAlign w:val="center"/>
          </w:tcPr>
          <w:p>
            <w:pPr>
              <w:pageBreakBefore w:val="0"/>
              <w:widowControl/>
              <w:kinsoku/>
              <w:wordWrap/>
              <w:overflowPunct/>
              <w:topLinePunct w:val="0"/>
              <w:bidi w:val="0"/>
              <w:spacing w:after="0"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w:t>
            </w:r>
          </w:p>
        </w:tc>
        <w:tc>
          <w:tcPr>
            <w:tcW w:w="5025" w:type="dxa"/>
            <w:tcBorders>
              <w:top w:val="single" w:color="auto" w:sz="4" w:space="0"/>
              <w:left w:val="nil"/>
              <w:bottom w:val="single" w:color="auto" w:sz="4" w:space="0"/>
              <w:right w:val="single" w:color="auto" w:sz="4" w:space="0"/>
            </w:tcBorders>
            <w:noWrap w:val="0"/>
            <w:vAlign w:val="center"/>
          </w:tcPr>
          <w:p>
            <w:pPr>
              <w:pageBreakBefore w:val="0"/>
              <w:widowControl/>
              <w:kinsoku/>
              <w:wordWrap/>
              <w:overflowPunct/>
              <w:topLinePunct w:val="0"/>
              <w:bidi w:val="0"/>
              <w:spacing w:after="0"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心电导联线</w:t>
            </w:r>
          </w:p>
        </w:tc>
        <w:tc>
          <w:tcPr>
            <w:tcW w:w="933" w:type="dxa"/>
            <w:tcBorders>
              <w:top w:val="single" w:color="auto" w:sz="4" w:space="0"/>
              <w:left w:val="nil"/>
              <w:bottom w:val="single" w:color="auto" w:sz="4" w:space="0"/>
              <w:right w:val="single" w:color="auto" w:sz="4" w:space="0"/>
            </w:tcBorders>
            <w:noWrap w:val="0"/>
            <w:vAlign w:val="center"/>
          </w:tcPr>
          <w:p>
            <w:pPr>
              <w:pageBreakBefore w:val="0"/>
              <w:widowControl/>
              <w:kinsoku/>
              <w:wordWrap/>
              <w:overflowPunct/>
              <w:topLinePunct w:val="0"/>
              <w:bidi w:val="0"/>
              <w:spacing w:after="0"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w:t>
            </w:r>
          </w:p>
        </w:tc>
        <w:tc>
          <w:tcPr>
            <w:tcW w:w="1580" w:type="dxa"/>
            <w:tcBorders>
              <w:top w:val="nil"/>
              <w:left w:val="nil"/>
              <w:bottom w:val="single" w:color="auto" w:sz="4" w:space="0"/>
              <w:right w:val="single" w:color="auto" w:sz="4" w:space="0"/>
            </w:tcBorders>
            <w:noWrap w:val="0"/>
            <w:vAlign w:val="center"/>
          </w:tcPr>
          <w:p>
            <w:pPr>
              <w:pageBreakBefore w:val="0"/>
              <w:widowControl/>
              <w:kinsoku/>
              <w:wordWrap/>
              <w:overflowPunct/>
              <w:topLinePunct w:val="0"/>
              <w:bidi w:val="0"/>
              <w:spacing w:after="0"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条</w:t>
            </w:r>
          </w:p>
        </w:tc>
      </w:tr>
      <w:tr>
        <w:tblPrEx>
          <w:tblCellMar>
            <w:top w:w="0" w:type="dxa"/>
            <w:left w:w="108" w:type="dxa"/>
            <w:bottom w:w="0" w:type="dxa"/>
            <w:right w:w="108" w:type="dxa"/>
          </w:tblCellMar>
        </w:tblPrEx>
        <w:trPr>
          <w:trHeight w:val="0" w:hRule="atLeast"/>
          <w:jc w:val="center"/>
        </w:trPr>
        <w:tc>
          <w:tcPr>
            <w:tcW w:w="1005" w:type="dxa"/>
            <w:tcBorders>
              <w:top w:val="nil"/>
              <w:left w:val="single" w:color="auto" w:sz="4" w:space="0"/>
              <w:bottom w:val="single" w:color="auto" w:sz="4" w:space="0"/>
              <w:right w:val="single" w:color="auto" w:sz="4" w:space="0"/>
            </w:tcBorders>
            <w:noWrap w:val="0"/>
            <w:vAlign w:val="center"/>
          </w:tcPr>
          <w:p>
            <w:pPr>
              <w:pageBreakBefore w:val="0"/>
              <w:widowControl/>
              <w:kinsoku/>
              <w:wordWrap/>
              <w:overflowPunct/>
              <w:topLinePunct w:val="0"/>
              <w:bidi w:val="0"/>
              <w:spacing w:after="0"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w:t>
            </w:r>
          </w:p>
        </w:tc>
        <w:tc>
          <w:tcPr>
            <w:tcW w:w="5025" w:type="dxa"/>
            <w:tcBorders>
              <w:top w:val="single" w:color="auto" w:sz="4" w:space="0"/>
              <w:left w:val="nil"/>
              <w:bottom w:val="single" w:color="auto" w:sz="4" w:space="0"/>
              <w:right w:val="single" w:color="auto" w:sz="4" w:space="0"/>
            </w:tcBorders>
            <w:noWrap w:val="0"/>
            <w:vAlign w:val="center"/>
          </w:tcPr>
          <w:p>
            <w:pPr>
              <w:pageBreakBefore w:val="0"/>
              <w:widowControl/>
              <w:kinsoku/>
              <w:wordWrap/>
              <w:overflowPunct/>
              <w:topLinePunct w:val="0"/>
              <w:bidi w:val="0"/>
              <w:spacing w:after="0"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胸电极（成人）</w:t>
            </w:r>
          </w:p>
        </w:tc>
        <w:tc>
          <w:tcPr>
            <w:tcW w:w="933" w:type="dxa"/>
            <w:tcBorders>
              <w:top w:val="single" w:color="auto" w:sz="4" w:space="0"/>
              <w:left w:val="nil"/>
              <w:bottom w:val="single" w:color="auto" w:sz="4" w:space="0"/>
              <w:right w:val="single" w:color="auto" w:sz="4" w:space="0"/>
            </w:tcBorders>
            <w:noWrap w:val="0"/>
            <w:vAlign w:val="center"/>
          </w:tcPr>
          <w:p>
            <w:pPr>
              <w:pageBreakBefore w:val="0"/>
              <w:widowControl/>
              <w:kinsoku/>
              <w:wordWrap/>
              <w:overflowPunct/>
              <w:topLinePunct w:val="0"/>
              <w:bidi w:val="0"/>
              <w:spacing w:after="0"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6</w:t>
            </w:r>
          </w:p>
        </w:tc>
        <w:tc>
          <w:tcPr>
            <w:tcW w:w="1580" w:type="dxa"/>
            <w:tcBorders>
              <w:top w:val="nil"/>
              <w:left w:val="nil"/>
              <w:bottom w:val="single" w:color="auto" w:sz="4" w:space="0"/>
              <w:right w:val="single" w:color="auto" w:sz="4" w:space="0"/>
            </w:tcBorders>
            <w:noWrap w:val="0"/>
            <w:vAlign w:val="center"/>
          </w:tcPr>
          <w:p>
            <w:pPr>
              <w:pageBreakBefore w:val="0"/>
              <w:widowControl/>
              <w:kinsoku/>
              <w:wordWrap/>
              <w:overflowPunct/>
              <w:topLinePunct w:val="0"/>
              <w:bidi w:val="0"/>
              <w:spacing w:after="0"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个</w:t>
            </w:r>
          </w:p>
        </w:tc>
      </w:tr>
      <w:tr>
        <w:tblPrEx>
          <w:tblCellMar>
            <w:top w:w="0" w:type="dxa"/>
            <w:left w:w="108" w:type="dxa"/>
            <w:bottom w:w="0" w:type="dxa"/>
            <w:right w:w="108" w:type="dxa"/>
          </w:tblCellMar>
        </w:tblPrEx>
        <w:trPr>
          <w:trHeight w:val="0" w:hRule="atLeast"/>
          <w:jc w:val="center"/>
        </w:trPr>
        <w:tc>
          <w:tcPr>
            <w:tcW w:w="1005" w:type="dxa"/>
            <w:tcBorders>
              <w:top w:val="nil"/>
              <w:left w:val="single" w:color="auto" w:sz="4" w:space="0"/>
              <w:bottom w:val="single" w:color="auto" w:sz="4" w:space="0"/>
              <w:right w:val="single" w:color="auto" w:sz="4" w:space="0"/>
            </w:tcBorders>
            <w:noWrap w:val="0"/>
            <w:vAlign w:val="center"/>
          </w:tcPr>
          <w:p>
            <w:pPr>
              <w:pageBreakBefore w:val="0"/>
              <w:widowControl/>
              <w:kinsoku/>
              <w:wordWrap/>
              <w:overflowPunct/>
              <w:topLinePunct w:val="0"/>
              <w:bidi w:val="0"/>
              <w:spacing w:after="0"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w:t>
            </w:r>
          </w:p>
        </w:tc>
        <w:tc>
          <w:tcPr>
            <w:tcW w:w="5025" w:type="dxa"/>
            <w:tcBorders>
              <w:top w:val="single" w:color="auto" w:sz="4" w:space="0"/>
              <w:left w:val="nil"/>
              <w:bottom w:val="single" w:color="auto" w:sz="4" w:space="0"/>
              <w:right w:val="single" w:color="auto" w:sz="4" w:space="0"/>
            </w:tcBorders>
            <w:noWrap w:val="0"/>
            <w:vAlign w:val="center"/>
          </w:tcPr>
          <w:p>
            <w:pPr>
              <w:pageBreakBefore w:val="0"/>
              <w:widowControl/>
              <w:kinsoku/>
              <w:wordWrap/>
              <w:overflowPunct/>
              <w:topLinePunct w:val="0"/>
              <w:bidi w:val="0"/>
              <w:spacing w:after="0"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肢电极（成人）</w:t>
            </w:r>
          </w:p>
        </w:tc>
        <w:tc>
          <w:tcPr>
            <w:tcW w:w="933" w:type="dxa"/>
            <w:tcBorders>
              <w:top w:val="single" w:color="auto" w:sz="4" w:space="0"/>
              <w:left w:val="nil"/>
              <w:bottom w:val="single" w:color="auto" w:sz="4" w:space="0"/>
              <w:right w:val="single" w:color="auto" w:sz="4" w:space="0"/>
            </w:tcBorders>
            <w:noWrap w:val="0"/>
            <w:vAlign w:val="center"/>
          </w:tcPr>
          <w:p>
            <w:pPr>
              <w:pageBreakBefore w:val="0"/>
              <w:widowControl/>
              <w:kinsoku/>
              <w:wordWrap/>
              <w:overflowPunct/>
              <w:topLinePunct w:val="0"/>
              <w:bidi w:val="0"/>
              <w:spacing w:after="0"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w:t>
            </w:r>
          </w:p>
        </w:tc>
        <w:tc>
          <w:tcPr>
            <w:tcW w:w="1580" w:type="dxa"/>
            <w:tcBorders>
              <w:top w:val="nil"/>
              <w:left w:val="nil"/>
              <w:bottom w:val="single" w:color="auto" w:sz="4" w:space="0"/>
              <w:right w:val="single" w:color="auto" w:sz="4" w:space="0"/>
            </w:tcBorders>
            <w:noWrap w:val="0"/>
            <w:vAlign w:val="center"/>
          </w:tcPr>
          <w:p>
            <w:pPr>
              <w:pageBreakBefore w:val="0"/>
              <w:widowControl/>
              <w:kinsoku/>
              <w:wordWrap/>
              <w:overflowPunct/>
              <w:topLinePunct w:val="0"/>
              <w:bidi w:val="0"/>
              <w:spacing w:after="0"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套（4只）</w:t>
            </w:r>
          </w:p>
        </w:tc>
      </w:tr>
      <w:tr>
        <w:tblPrEx>
          <w:tblCellMar>
            <w:top w:w="0" w:type="dxa"/>
            <w:left w:w="108" w:type="dxa"/>
            <w:bottom w:w="0" w:type="dxa"/>
            <w:right w:w="108" w:type="dxa"/>
          </w:tblCellMar>
        </w:tblPrEx>
        <w:trPr>
          <w:trHeight w:val="0" w:hRule="atLeast"/>
          <w:jc w:val="center"/>
        </w:trPr>
        <w:tc>
          <w:tcPr>
            <w:tcW w:w="1005" w:type="dxa"/>
            <w:tcBorders>
              <w:top w:val="nil"/>
              <w:left w:val="single" w:color="auto" w:sz="4" w:space="0"/>
              <w:bottom w:val="single" w:color="auto" w:sz="4" w:space="0"/>
              <w:right w:val="single" w:color="auto" w:sz="4" w:space="0"/>
            </w:tcBorders>
            <w:noWrap w:val="0"/>
            <w:vAlign w:val="center"/>
          </w:tcPr>
          <w:p>
            <w:pPr>
              <w:pageBreakBefore w:val="0"/>
              <w:widowControl/>
              <w:kinsoku/>
              <w:wordWrap/>
              <w:overflowPunct/>
              <w:topLinePunct w:val="0"/>
              <w:bidi w:val="0"/>
              <w:spacing w:after="0"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w:t>
            </w:r>
          </w:p>
        </w:tc>
        <w:tc>
          <w:tcPr>
            <w:tcW w:w="5025" w:type="dxa"/>
            <w:tcBorders>
              <w:top w:val="single" w:color="auto" w:sz="4" w:space="0"/>
              <w:left w:val="nil"/>
              <w:bottom w:val="single" w:color="auto" w:sz="4" w:space="0"/>
              <w:right w:val="single" w:color="auto" w:sz="4" w:space="0"/>
            </w:tcBorders>
            <w:noWrap w:val="0"/>
            <w:vAlign w:val="center"/>
          </w:tcPr>
          <w:p>
            <w:pPr>
              <w:pageBreakBefore w:val="0"/>
              <w:kinsoku/>
              <w:wordWrap/>
              <w:overflowPunct/>
              <w:topLinePunct w:val="0"/>
              <w:bidi w:val="0"/>
              <w:spacing w:after="0"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充电线</w:t>
            </w:r>
          </w:p>
        </w:tc>
        <w:tc>
          <w:tcPr>
            <w:tcW w:w="933" w:type="dxa"/>
            <w:tcBorders>
              <w:top w:val="single" w:color="auto" w:sz="4" w:space="0"/>
              <w:left w:val="nil"/>
              <w:bottom w:val="single" w:color="auto" w:sz="4" w:space="0"/>
              <w:right w:val="single" w:color="auto" w:sz="4" w:space="0"/>
            </w:tcBorders>
            <w:noWrap w:val="0"/>
            <w:vAlign w:val="center"/>
          </w:tcPr>
          <w:p>
            <w:pPr>
              <w:pageBreakBefore w:val="0"/>
              <w:widowControl/>
              <w:kinsoku/>
              <w:wordWrap/>
              <w:overflowPunct/>
              <w:topLinePunct w:val="0"/>
              <w:bidi w:val="0"/>
              <w:spacing w:after="0"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w:t>
            </w:r>
          </w:p>
        </w:tc>
        <w:tc>
          <w:tcPr>
            <w:tcW w:w="1580" w:type="dxa"/>
            <w:tcBorders>
              <w:top w:val="nil"/>
              <w:left w:val="nil"/>
              <w:bottom w:val="single" w:color="auto" w:sz="4" w:space="0"/>
              <w:right w:val="single" w:color="auto" w:sz="4" w:space="0"/>
            </w:tcBorders>
            <w:noWrap w:val="0"/>
            <w:vAlign w:val="center"/>
          </w:tcPr>
          <w:p>
            <w:pPr>
              <w:pageBreakBefore w:val="0"/>
              <w:widowControl/>
              <w:kinsoku/>
              <w:wordWrap/>
              <w:overflowPunct/>
              <w:topLinePunct w:val="0"/>
              <w:bidi w:val="0"/>
              <w:spacing w:after="0"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根</w:t>
            </w:r>
          </w:p>
        </w:tc>
      </w:tr>
      <w:tr>
        <w:tblPrEx>
          <w:tblCellMar>
            <w:top w:w="0" w:type="dxa"/>
            <w:left w:w="108" w:type="dxa"/>
            <w:bottom w:w="0" w:type="dxa"/>
            <w:right w:w="108" w:type="dxa"/>
          </w:tblCellMar>
        </w:tblPrEx>
        <w:trPr>
          <w:trHeight w:val="0" w:hRule="atLeast"/>
          <w:jc w:val="center"/>
        </w:trPr>
        <w:tc>
          <w:tcPr>
            <w:tcW w:w="1005" w:type="dxa"/>
            <w:tcBorders>
              <w:top w:val="nil"/>
              <w:left w:val="single" w:color="auto" w:sz="4" w:space="0"/>
              <w:bottom w:val="single" w:color="auto" w:sz="4" w:space="0"/>
              <w:right w:val="single" w:color="auto" w:sz="4" w:space="0"/>
            </w:tcBorders>
            <w:noWrap w:val="0"/>
            <w:vAlign w:val="center"/>
          </w:tcPr>
          <w:p>
            <w:pPr>
              <w:pageBreakBefore w:val="0"/>
              <w:widowControl/>
              <w:kinsoku/>
              <w:wordWrap/>
              <w:overflowPunct/>
              <w:topLinePunct w:val="0"/>
              <w:bidi w:val="0"/>
              <w:spacing w:after="0"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w:t>
            </w:r>
          </w:p>
        </w:tc>
        <w:tc>
          <w:tcPr>
            <w:tcW w:w="5025" w:type="dxa"/>
            <w:tcBorders>
              <w:top w:val="single" w:color="auto" w:sz="4" w:space="0"/>
              <w:left w:val="nil"/>
              <w:bottom w:val="single" w:color="auto" w:sz="4" w:space="0"/>
              <w:right w:val="single" w:color="auto" w:sz="4" w:space="0"/>
            </w:tcBorders>
            <w:noWrap w:val="0"/>
            <w:vAlign w:val="center"/>
          </w:tcPr>
          <w:p>
            <w:pPr>
              <w:pageBreakBefore w:val="0"/>
              <w:kinsoku/>
              <w:wordWrap/>
              <w:overflowPunct/>
              <w:topLinePunct w:val="0"/>
              <w:bidi w:val="0"/>
              <w:spacing w:after="0"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移动台车</w:t>
            </w:r>
          </w:p>
        </w:tc>
        <w:tc>
          <w:tcPr>
            <w:tcW w:w="933" w:type="dxa"/>
            <w:tcBorders>
              <w:top w:val="single" w:color="auto" w:sz="4" w:space="0"/>
              <w:left w:val="nil"/>
              <w:bottom w:val="single" w:color="auto" w:sz="4" w:space="0"/>
              <w:right w:val="single" w:color="auto" w:sz="4" w:space="0"/>
            </w:tcBorders>
            <w:noWrap w:val="0"/>
            <w:vAlign w:val="center"/>
          </w:tcPr>
          <w:p>
            <w:pPr>
              <w:pageBreakBefore w:val="0"/>
              <w:widowControl/>
              <w:kinsoku/>
              <w:wordWrap/>
              <w:overflowPunct/>
              <w:topLinePunct w:val="0"/>
              <w:bidi w:val="0"/>
              <w:spacing w:after="0"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w:t>
            </w:r>
          </w:p>
        </w:tc>
        <w:tc>
          <w:tcPr>
            <w:tcW w:w="1580" w:type="dxa"/>
            <w:tcBorders>
              <w:top w:val="nil"/>
              <w:left w:val="nil"/>
              <w:bottom w:val="single" w:color="auto" w:sz="4" w:space="0"/>
              <w:right w:val="single" w:color="auto" w:sz="4" w:space="0"/>
            </w:tcBorders>
            <w:noWrap w:val="0"/>
            <w:vAlign w:val="center"/>
          </w:tcPr>
          <w:p>
            <w:pPr>
              <w:pageBreakBefore w:val="0"/>
              <w:widowControl/>
              <w:kinsoku/>
              <w:wordWrap/>
              <w:overflowPunct/>
              <w:topLinePunct w:val="0"/>
              <w:bidi w:val="0"/>
              <w:spacing w:after="0"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台</w:t>
            </w:r>
          </w:p>
        </w:tc>
      </w:tr>
      <w:tr>
        <w:tblPrEx>
          <w:tblCellMar>
            <w:top w:w="0" w:type="dxa"/>
            <w:left w:w="108" w:type="dxa"/>
            <w:bottom w:w="0" w:type="dxa"/>
            <w:right w:w="108" w:type="dxa"/>
          </w:tblCellMar>
        </w:tblPrEx>
        <w:trPr>
          <w:trHeight w:val="0" w:hRule="atLeast"/>
          <w:jc w:val="center"/>
        </w:trPr>
        <w:tc>
          <w:tcPr>
            <w:tcW w:w="1005" w:type="dxa"/>
            <w:tcBorders>
              <w:top w:val="nil"/>
              <w:left w:val="single" w:color="auto" w:sz="4" w:space="0"/>
              <w:bottom w:val="single" w:color="auto" w:sz="4" w:space="0"/>
              <w:right w:val="single" w:color="auto" w:sz="4" w:space="0"/>
            </w:tcBorders>
            <w:noWrap w:val="0"/>
            <w:vAlign w:val="center"/>
          </w:tcPr>
          <w:p>
            <w:pPr>
              <w:pageBreakBefore w:val="0"/>
              <w:widowControl/>
              <w:kinsoku/>
              <w:wordWrap/>
              <w:overflowPunct/>
              <w:topLinePunct w:val="0"/>
              <w:bidi w:val="0"/>
              <w:spacing w:after="0"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9</w:t>
            </w:r>
          </w:p>
        </w:tc>
        <w:tc>
          <w:tcPr>
            <w:tcW w:w="5025" w:type="dxa"/>
            <w:tcBorders>
              <w:top w:val="single" w:color="auto" w:sz="4" w:space="0"/>
              <w:left w:val="nil"/>
              <w:bottom w:val="single" w:color="auto" w:sz="4" w:space="0"/>
              <w:right w:val="single" w:color="auto" w:sz="4" w:space="0"/>
            </w:tcBorders>
            <w:noWrap w:val="0"/>
            <w:vAlign w:val="center"/>
          </w:tcPr>
          <w:p>
            <w:pPr>
              <w:pageBreakBefore w:val="0"/>
              <w:widowControl/>
              <w:kinsoku/>
              <w:wordWrap/>
              <w:overflowPunct/>
              <w:topLinePunct w:val="0"/>
              <w:bidi w:val="0"/>
              <w:spacing w:after="0"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产品说明书</w:t>
            </w:r>
          </w:p>
        </w:tc>
        <w:tc>
          <w:tcPr>
            <w:tcW w:w="933" w:type="dxa"/>
            <w:tcBorders>
              <w:top w:val="single" w:color="auto" w:sz="4" w:space="0"/>
              <w:left w:val="nil"/>
              <w:bottom w:val="single" w:color="auto" w:sz="4" w:space="0"/>
              <w:right w:val="single" w:color="auto" w:sz="4" w:space="0"/>
            </w:tcBorders>
            <w:noWrap w:val="0"/>
            <w:vAlign w:val="center"/>
          </w:tcPr>
          <w:p>
            <w:pPr>
              <w:pageBreakBefore w:val="0"/>
              <w:widowControl/>
              <w:kinsoku/>
              <w:wordWrap/>
              <w:overflowPunct/>
              <w:topLinePunct w:val="0"/>
              <w:bidi w:val="0"/>
              <w:spacing w:after="0"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w:t>
            </w:r>
          </w:p>
        </w:tc>
        <w:tc>
          <w:tcPr>
            <w:tcW w:w="1580" w:type="dxa"/>
            <w:tcBorders>
              <w:top w:val="nil"/>
              <w:left w:val="nil"/>
              <w:bottom w:val="single" w:color="auto" w:sz="4" w:space="0"/>
              <w:right w:val="single" w:color="auto" w:sz="4" w:space="0"/>
            </w:tcBorders>
            <w:noWrap w:val="0"/>
            <w:vAlign w:val="center"/>
          </w:tcPr>
          <w:p>
            <w:pPr>
              <w:pageBreakBefore w:val="0"/>
              <w:widowControl/>
              <w:kinsoku/>
              <w:wordWrap/>
              <w:overflowPunct/>
              <w:topLinePunct w:val="0"/>
              <w:bidi w:val="0"/>
              <w:spacing w:after="0" w:line="360" w:lineRule="auto"/>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本</w:t>
            </w:r>
          </w:p>
        </w:tc>
      </w:tr>
      <w:tr>
        <w:tblPrEx>
          <w:tblCellMar>
            <w:top w:w="0" w:type="dxa"/>
            <w:left w:w="108" w:type="dxa"/>
            <w:bottom w:w="0" w:type="dxa"/>
            <w:right w:w="108" w:type="dxa"/>
          </w:tblCellMar>
        </w:tblPrEx>
        <w:trPr>
          <w:trHeight w:val="0" w:hRule="atLeast"/>
          <w:jc w:val="center"/>
        </w:trPr>
        <w:tc>
          <w:tcPr>
            <w:tcW w:w="1005" w:type="dxa"/>
            <w:tcBorders>
              <w:top w:val="nil"/>
              <w:left w:val="single" w:color="auto" w:sz="4" w:space="0"/>
              <w:bottom w:val="single" w:color="auto" w:sz="4" w:space="0"/>
              <w:right w:val="single" w:color="auto" w:sz="4" w:space="0"/>
            </w:tcBorders>
            <w:noWrap w:val="0"/>
            <w:vAlign w:val="center"/>
          </w:tcPr>
          <w:p>
            <w:pPr>
              <w:pageBreakBefore w:val="0"/>
              <w:widowControl/>
              <w:kinsoku/>
              <w:wordWrap/>
              <w:overflowPunct/>
              <w:topLinePunct w:val="0"/>
              <w:bidi w:val="0"/>
              <w:spacing w:after="0"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10</w:t>
            </w:r>
          </w:p>
        </w:tc>
        <w:tc>
          <w:tcPr>
            <w:tcW w:w="5025" w:type="dxa"/>
            <w:tcBorders>
              <w:top w:val="single" w:color="auto" w:sz="4" w:space="0"/>
              <w:left w:val="nil"/>
              <w:bottom w:val="single" w:color="auto" w:sz="4" w:space="0"/>
              <w:right w:val="single" w:color="auto" w:sz="4" w:space="0"/>
            </w:tcBorders>
            <w:noWrap w:val="0"/>
            <w:vAlign w:val="center"/>
          </w:tcPr>
          <w:p>
            <w:pPr>
              <w:pageBreakBefore w:val="0"/>
              <w:kinsoku/>
              <w:wordWrap/>
              <w:overflowPunct/>
              <w:topLinePunct w:val="0"/>
              <w:bidi w:val="0"/>
              <w:spacing w:after="0"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保修卡</w:t>
            </w:r>
          </w:p>
        </w:tc>
        <w:tc>
          <w:tcPr>
            <w:tcW w:w="933" w:type="dxa"/>
            <w:tcBorders>
              <w:top w:val="single" w:color="auto" w:sz="4" w:space="0"/>
              <w:left w:val="nil"/>
              <w:bottom w:val="single" w:color="auto" w:sz="4" w:space="0"/>
              <w:right w:val="single" w:color="auto" w:sz="4" w:space="0"/>
            </w:tcBorders>
            <w:noWrap w:val="0"/>
            <w:vAlign w:val="center"/>
          </w:tcPr>
          <w:p>
            <w:pPr>
              <w:pageBreakBefore w:val="0"/>
              <w:widowControl/>
              <w:kinsoku/>
              <w:wordWrap/>
              <w:overflowPunct/>
              <w:topLinePunct w:val="0"/>
              <w:bidi w:val="0"/>
              <w:spacing w:after="0"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w:t>
            </w:r>
          </w:p>
        </w:tc>
        <w:tc>
          <w:tcPr>
            <w:tcW w:w="1580" w:type="dxa"/>
            <w:tcBorders>
              <w:top w:val="nil"/>
              <w:left w:val="nil"/>
              <w:bottom w:val="single" w:color="auto" w:sz="4" w:space="0"/>
              <w:right w:val="single" w:color="auto" w:sz="4" w:space="0"/>
            </w:tcBorders>
            <w:noWrap w:val="0"/>
            <w:vAlign w:val="center"/>
          </w:tcPr>
          <w:p>
            <w:pPr>
              <w:pageBreakBefore w:val="0"/>
              <w:widowControl/>
              <w:kinsoku/>
              <w:wordWrap/>
              <w:overflowPunct/>
              <w:topLinePunct w:val="0"/>
              <w:bidi w:val="0"/>
              <w:spacing w:after="0"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份</w:t>
            </w:r>
          </w:p>
        </w:tc>
      </w:tr>
      <w:tr>
        <w:tblPrEx>
          <w:tblCellMar>
            <w:top w:w="0" w:type="dxa"/>
            <w:left w:w="108" w:type="dxa"/>
            <w:bottom w:w="0" w:type="dxa"/>
            <w:right w:w="108" w:type="dxa"/>
          </w:tblCellMar>
        </w:tblPrEx>
        <w:trPr>
          <w:trHeight w:val="0" w:hRule="atLeast"/>
          <w:jc w:val="center"/>
        </w:trPr>
        <w:tc>
          <w:tcPr>
            <w:tcW w:w="1005" w:type="dxa"/>
            <w:tcBorders>
              <w:top w:val="nil"/>
              <w:left w:val="single" w:color="auto" w:sz="4" w:space="0"/>
              <w:bottom w:val="single" w:color="auto" w:sz="4" w:space="0"/>
              <w:right w:val="single" w:color="auto" w:sz="4" w:space="0"/>
            </w:tcBorders>
            <w:noWrap w:val="0"/>
            <w:vAlign w:val="center"/>
          </w:tcPr>
          <w:p>
            <w:pPr>
              <w:pageBreakBefore w:val="0"/>
              <w:widowControl/>
              <w:kinsoku/>
              <w:wordWrap/>
              <w:overflowPunct/>
              <w:topLinePunct w:val="0"/>
              <w:bidi w:val="0"/>
              <w:spacing w:after="0"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w:t>
            </w:r>
          </w:p>
        </w:tc>
        <w:tc>
          <w:tcPr>
            <w:tcW w:w="5025" w:type="dxa"/>
            <w:tcBorders>
              <w:top w:val="single" w:color="auto" w:sz="4" w:space="0"/>
              <w:left w:val="nil"/>
              <w:bottom w:val="single" w:color="auto" w:sz="4" w:space="0"/>
              <w:right w:val="single" w:color="auto" w:sz="4" w:space="0"/>
            </w:tcBorders>
            <w:noWrap w:val="0"/>
            <w:vAlign w:val="center"/>
          </w:tcPr>
          <w:p>
            <w:pPr>
              <w:pageBreakBefore w:val="0"/>
              <w:kinsoku/>
              <w:wordWrap/>
              <w:overflowPunct/>
              <w:topLinePunct w:val="0"/>
              <w:bidi w:val="0"/>
              <w:spacing w:after="0"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验收单</w:t>
            </w:r>
          </w:p>
        </w:tc>
        <w:tc>
          <w:tcPr>
            <w:tcW w:w="933" w:type="dxa"/>
            <w:tcBorders>
              <w:top w:val="single" w:color="auto" w:sz="4" w:space="0"/>
              <w:left w:val="nil"/>
              <w:bottom w:val="single" w:color="auto" w:sz="4" w:space="0"/>
              <w:right w:val="single" w:color="auto" w:sz="4" w:space="0"/>
            </w:tcBorders>
            <w:noWrap w:val="0"/>
            <w:vAlign w:val="center"/>
          </w:tcPr>
          <w:p>
            <w:pPr>
              <w:pageBreakBefore w:val="0"/>
              <w:widowControl/>
              <w:kinsoku/>
              <w:wordWrap/>
              <w:overflowPunct/>
              <w:topLinePunct w:val="0"/>
              <w:bidi w:val="0"/>
              <w:spacing w:after="0"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w:t>
            </w:r>
          </w:p>
        </w:tc>
        <w:tc>
          <w:tcPr>
            <w:tcW w:w="1580" w:type="dxa"/>
            <w:tcBorders>
              <w:top w:val="nil"/>
              <w:left w:val="nil"/>
              <w:bottom w:val="single" w:color="auto" w:sz="4" w:space="0"/>
              <w:right w:val="single" w:color="auto" w:sz="4" w:space="0"/>
            </w:tcBorders>
            <w:noWrap w:val="0"/>
            <w:vAlign w:val="center"/>
          </w:tcPr>
          <w:p>
            <w:pPr>
              <w:pageBreakBefore w:val="0"/>
              <w:widowControl/>
              <w:kinsoku/>
              <w:wordWrap/>
              <w:overflowPunct/>
              <w:topLinePunct w:val="0"/>
              <w:bidi w:val="0"/>
              <w:spacing w:after="0"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份</w:t>
            </w:r>
          </w:p>
        </w:tc>
      </w:tr>
      <w:tr>
        <w:tblPrEx>
          <w:tblCellMar>
            <w:top w:w="0" w:type="dxa"/>
            <w:left w:w="108" w:type="dxa"/>
            <w:bottom w:w="0" w:type="dxa"/>
            <w:right w:w="108" w:type="dxa"/>
          </w:tblCellMar>
        </w:tblPrEx>
        <w:trPr>
          <w:trHeight w:val="0" w:hRule="atLeast"/>
          <w:jc w:val="center"/>
        </w:trPr>
        <w:tc>
          <w:tcPr>
            <w:tcW w:w="1005" w:type="dxa"/>
            <w:tcBorders>
              <w:top w:val="nil"/>
              <w:left w:val="single" w:color="auto" w:sz="4" w:space="0"/>
              <w:bottom w:val="single" w:color="auto" w:sz="4" w:space="0"/>
              <w:right w:val="single" w:color="auto" w:sz="4" w:space="0"/>
            </w:tcBorders>
            <w:noWrap w:val="0"/>
            <w:vAlign w:val="center"/>
          </w:tcPr>
          <w:p>
            <w:pPr>
              <w:pageBreakBefore w:val="0"/>
              <w:widowControl/>
              <w:kinsoku/>
              <w:wordWrap/>
              <w:overflowPunct/>
              <w:topLinePunct w:val="0"/>
              <w:bidi w:val="0"/>
              <w:spacing w:after="0"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12</w:t>
            </w:r>
          </w:p>
        </w:tc>
        <w:tc>
          <w:tcPr>
            <w:tcW w:w="5025" w:type="dxa"/>
            <w:tcBorders>
              <w:top w:val="single" w:color="auto" w:sz="4" w:space="0"/>
              <w:left w:val="nil"/>
              <w:bottom w:val="single" w:color="auto" w:sz="4" w:space="0"/>
              <w:right w:val="single" w:color="auto" w:sz="4" w:space="0"/>
            </w:tcBorders>
            <w:noWrap w:val="0"/>
            <w:vAlign w:val="center"/>
          </w:tcPr>
          <w:p>
            <w:pPr>
              <w:pageBreakBefore w:val="0"/>
              <w:kinsoku/>
              <w:wordWrap/>
              <w:overflowPunct/>
              <w:topLinePunct w:val="0"/>
              <w:bidi w:val="0"/>
              <w:spacing w:after="0"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合格证</w:t>
            </w:r>
          </w:p>
        </w:tc>
        <w:tc>
          <w:tcPr>
            <w:tcW w:w="933" w:type="dxa"/>
            <w:tcBorders>
              <w:top w:val="single" w:color="auto" w:sz="4" w:space="0"/>
              <w:left w:val="nil"/>
              <w:bottom w:val="single" w:color="auto" w:sz="4" w:space="0"/>
              <w:right w:val="single" w:color="auto" w:sz="4" w:space="0"/>
            </w:tcBorders>
            <w:noWrap w:val="0"/>
            <w:vAlign w:val="center"/>
          </w:tcPr>
          <w:p>
            <w:pPr>
              <w:pageBreakBefore w:val="0"/>
              <w:widowControl/>
              <w:kinsoku/>
              <w:wordWrap/>
              <w:overflowPunct/>
              <w:topLinePunct w:val="0"/>
              <w:bidi w:val="0"/>
              <w:spacing w:after="0"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w:t>
            </w:r>
          </w:p>
        </w:tc>
        <w:tc>
          <w:tcPr>
            <w:tcW w:w="1580" w:type="dxa"/>
            <w:tcBorders>
              <w:top w:val="nil"/>
              <w:left w:val="nil"/>
              <w:bottom w:val="single" w:color="auto" w:sz="4" w:space="0"/>
              <w:right w:val="single" w:color="auto" w:sz="4" w:space="0"/>
            </w:tcBorders>
            <w:noWrap w:val="0"/>
            <w:vAlign w:val="center"/>
          </w:tcPr>
          <w:p>
            <w:pPr>
              <w:pageBreakBefore w:val="0"/>
              <w:widowControl/>
              <w:kinsoku/>
              <w:wordWrap/>
              <w:overflowPunct/>
              <w:topLinePunct w:val="0"/>
              <w:bidi w:val="0"/>
              <w:spacing w:after="0"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份</w:t>
            </w:r>
          </w:p>
        </w:tc>
      </w:tr>
      <w:tr>
        <w:tblPrEx>
          <w:tblCellMar>
            <w:top w:w="0" w:type="dxa"/>
            <w:left w:w="108" w:type="dxa"/>
            <w:bottom w:w="0" w:type="dxa"/>
            <w:right w:w="108" w:type="dxa"/>
          </w:tblCellMar>
        </w:tblPrEx>
        <w:trPr>
          <w:trHeight w:val="0" w:hRule="atLeast"/>
          <w:jc w:val="center"/>
        </w:trPr>
        <w:tc>
          <w:tcPr>
            <w:tcW w:w="1005" w:type="dxa"/>
            <w:tcBorders>
              <w:top w:val="nil"/>
              <w:left w:val="single" w:color="auto" w:sz="4" w:space="0"/>
              <w:bottom w:val="single" w:color="auto" w:sz="4" w:space="0"/>
              <w:right w:val="single" w:color="auto" w:sz="4" w:space="0"/>
            </w:tcBorders>
            <w:noWrap w:val="0"/>
            <w:vAlign w:val="center"/>
          </w:tcPr>
          <w:p>
            <w:pPr>
              <w:pageBreakBefore w:val="0"/>
              <w:widowControl/>
              <w:kinsoku/>
              <w:wordWrap/>
              <w:overflowPunct/>
              <w:topLinePunct w:val="0"/>
              <w:bidi w:val="0"/>
              <w:spacing w:after="0"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w:t>
            </w:r>
          </w:p>
        </w:tc>
        <w:tc>
          <w:tcPr>
            <w:tcW w:w="5025" w:type="dxa"/>
            <w:tcBorders>
              <w:top w:val="single" w:color="auto" w:sz="4" w:space="0"/>
              <w:left w:val="nil"/>
              <w:bottom w:val="single" w:color="auto" w:sz="4" w:space="0"/>
              <w:right w:val="single" w:color="auto" w:sz="4" w:space="0"/>
            </w:tcBorders>
            <w:noWrap w:val="0"/>
            <w:vAlign w:val="center"/>
          </w:tcPr>
          <w:p>
            <w:pPr>
              <w:pageBreakBefore w:val="0"/>
              <w:kinsoku/>
              <w:wordWrap/>
              <w:overflowPunct/>
              <w:topLinePunct w:val="0"/>
              <w:bidi w:val="0"/>
              <w:spacing w:after="0"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无线热敏打印机（选配）</w:t>
            </w:r>
          </w:p>
        </w:tc>
        <w:tc>
          <w:tcPr>
            <w:tcW w:w="933" w:type="dxa"/>
            <w:tcBorders>
              <w:top w:val="single" w:color="auto" w:sz="4" w:space="0"/>
              <w:left w:val="nil"/>
              <w:bottom w:val="single" w:color="auto" w:sz="4" w:space="0"/>
              <w:right w:val="single" w:color="auto" w:sz="4" w:space="0"/>
            </w:tcBorders>
            <w:noWrap w:val="0"/>
            <w:vAlign w:val="center"/>
          </w:tcPr>
          <w:p>
            <w:pPr>
              <w:pageBreakBefore w:val="0"/>
              <w:widowControl/>
              <w:kinsoku/>
              <w:wordWrap/>
              <w:overflowPunct/>
              <w:topLinePunct w:val="0"/>
              <w:bidi w:val="0"/>
              <w:spacing w:after="0"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w:t>
            </w:r>
          </w:p>
        </w:tc>
        <w:tc>
          <w:tcPr>
            <w:tcW w:w="1580" w:type="dxa"/>
            <w:tcBorders>
              <w:top w:val="nil"/>
              <w:left w:val="nil"/>
              <w:bottom w:val="single" w:color="auto" w:sz="4" w:space="0"/>
              <w:right w:val="single" w:color="auto" w:sz="4" w:space="0"/>
            </w:tcBorders>
            <w:noWrap w:val="0"/>
            <w:vAlign w:val="center"/>
          </w:tcPr>
          <w:p>
            <w:pPr>
              <w:pageBreakBefore w:val="0"/>
              <w:widowControl/>
              <w:kinsoku/>
              <w:wordWrap/>
              <w:overflowPunct/>
              <w:topLinePunct w:val="0"/>
              <w:bidi w:val="0"/>
              <w:spacing w:after="0" w:line="360" w:lineRule="auto"/>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套</w:t>
            </w:r>
          </w:p>
        </w:tc>
      </w:tr>
    </w:tbl>
    <w:p>
      <w:pPr>
        <w:pStyle w:val="3"/>
        <w:keepNext/>
        <w:keepLines/>
        <w:pageBreakBefore w:val="0"/>
        <w:widowControl w:val="0"/>
        <w:kinsoku/>
        <w:wordWrap/>
        <w:overflowPunct/>
        <w:topLinePunct w:val="0"/>
        <w:autoSpaceDE/>
        <w:autoSpaceDN/>
        <w:bidi w:val="0"/>
        <w:adjustRightInd/>
        <w:snapToGrid/>
        <w:spacing w:before="0" w:after="0" w:line="360" w:lineRule="auto"/>
        <w:ind w:firstLine="527"/>
        <w:jc w:val="center"/>
        <w:textAlignment w:val="auto"/>
        <w:outlineLvl w:val="1"/>
        <w:rPr>
          <w:rFonts w:hint="eastAsia" w:ascii="宋体" w:hAnsi="宋体" w:eastAsia="宋体" w:cs="宋体"/>
          <w:b/>
          <w:color w:val="auto"/>
          <w:sz w:val="32"/>
          <w:szCs w:val="32"/>
          <w:highlight w:val="none"/>
          <w:lang w:val="en-US" w:eastAsia="zh-CN"/>
        </w:rPr>
      </w:pPr>
      <w:bookmarkStart w:id="4" w:name="_Toc16688"/>
      <w:bookmarkStart w:id="5" w:name="_Toc32328"/>
    </w:p>
    <w:p>
      <w:pPr>
        <w:pStyle w:val="3"/>
        <w:keepNext/>
        <w:keepLines/>
        <w:pageBreakBefore w:val="0"/>
        <w:widowControl w:val="0"/>
        <w:kinsoku/>
        <w:wordWrap/>
        <w:overflowPunct/>
        <w:topLinePunct w:val="0"/>
        <w:autoSpaceDE/>
        <w:autoSpaceDN/>
        <w:bidi w:val="0"/>
        <w:adjustRightInd/>
        <w:snapToGrid/>
        <w:spacing w:before="0" w:after="0" w:line="360" w:lineRule="auto"/>
        <w:ind w:firstLine="527"/>
        <w:jc w:val="center"/>
        <w:textAlignment w:val="auto"/>
        <w:outlineLvl w:val="1"/>
        <w:rPr>
          <w:rFonts w:hint="eastAsia" w:ascii="宋体" w:hAnsi="宋体" w:eastAsia="宋体" w:cs="宋体"/>
          <w:b/>
          <w:color w:val="auto"/>
          <w:sz w:val="36"/>
          <w:szCs w:val="36"/>
          <w:highlight w:val="none"/>
          <w:lang w:val="en-US" w:eastAsia="zh-CN"/>
        </w:rPr>
      </w:pPr>
      <w:r>
        <w:rPr>
          <w:rFonts w:hint="eastAsia" w:ascii="宋体" w:hAnsi="宋体" w:eastAsia="宋体" w:cs="宋体"/>
          <w:b/>
          <w:color w:val="auto"/>
          <w:sz w:val="36"/>
          <w:szCs w:val="36"/>
          <w:highlight w:val="none"/>
        </w:rPr>
        <w:t>多功能牙科治疗床</w:t>
      </w:r>
      <w:bookmarkEnd w:id="4"/>
      <w:bookmarkEnd w:id="5"/>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技术需求：</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jc w:val="left"/>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1. 基本性能</w:t>
      </w:r>
    </w:p>
    <w:p>
      <w:pPr>
        <w:pStyle w:val="12"/>
        <w:keepNext w:val="0"/>
        <w:keepLines w:val="0"/>
        <w:pageBreakBefore w:val="0"/>
        <w:widowControl w:val="0"/>
        <w:numPr>
          <w:ilvl w:val="1"/>
          <w:numId w:val="5"/>
        </w:numPr>
        <w:kinsoku/>
        <w:wordWrap/>
        <w:overflowPunct/>
        <w:topLinePunct w:val="0"/>
        <w:autoSpaceDE/>
        <w:autoSpaceDN/>
        <w:bidi w:val="0"/>
        <w:adjustRightInd/>
        <w:snapToGrid/>
        <w:spacing w:after="0" w:line="360" w:lineRule="auto"/>
        <w:ind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全机金属表面均经防锈焗漆处理，非人为损坏的情况下，不生锈，不掉漆；</w:t>
      </w:r>
    </w:p>
    <w:p>
      <w:pPr>
        <w:pStyle w:val="12"/>
        <w:keepNext w:val="0"/>
        <w:keepLines w:val="0"/>
        <w:pageBreakBefore w:val="0"/>
        <w:widowControl w:val="0"/>
        <w:numPr>
          <w:ilvl w:val="1"/>
          <w:numId w:val="5"/>
        </w:numPr>
        <w:kinsoku/>
        <w:wordWrap/>
        <w:overflowPunct/>
        <w:topLinePunct w:val="0"/>
        <w:autoSpaceDE/>
        <w:autoSpaceDN/>
        <w:bidi w:val="0"/>
        <w:adjustRightInd/>
        <w:snapToGrid/>
        <w:spacing w:after="0" w:line="360" w:lineRule="auto"/>
        <w:ind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全机塑料为原色，保证不掉漆；</w:t>
      </w:r>
    </w:p>
    <w:p>
      <w:pPr>
        <w:pStyle w:val="12"/>
        <w:keepNext w:val="0"/>
        <w:keepLines w:val="0"/>
        <w:pageBreakBefore w:val="0"/>
        <w:widowControl w:val="0"/>
        <w:numPr>
          <w:ilvl w:val="1"/>
          <w:numId w:val="5"/>
        </w:numPr>
        <w:kinsoku/>
        <w:wordWrap/>
        <w:overflowPunct/>
        <w:topLinePunct w:val="0"/>
        <w:autoSpaceDE/>
        <w:autoSpaceDN/>
        <w:bidi w:val="0"/>
        <w:adjustRightInd/>
        <w:snapToGrid/>
        <w:spacing w:after="0" w:line="360" w:lineRule="auto"/>
        <w:ind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机内所有水、气管均为原厂制造，质量可靠不易爆管、漏水漏气等故障。</w:t>
      </w:r>
    </w:p>
    <w:p>
      <w:pPr>
        <w:pStyle w:val="12"/>
        <w:keepNext w:val="0"/>
        <w:keepLines w:val="0"/>
        <w:pageBreakBefore w:val="0"/>
        <w:widowControl w:val="0"/>
        <w:numPr>
          <w:ilvl w:val="1"/>
          <w:numId w:val="5"/>
        </w:numPr>
        <w:kinsoku/>
        <w:wordWrap/>
        <w:overflowPunct/>
        <w:topLinePunct w:val="0"/>
        <w:autoSpaceDE/>
        <w:autoSpaceDN/>
        <w:bidi w:val="0"/>
        <w:adjustRightInd/>
        <w:snapToGrid/>
        <w:spacing w:after="0" w:line="360" w:lineRule="auto"/>
        <w:ind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整机用水管路采用管道抑菌技术，无需借助化学消毒可持续向水路中释放消毒因子抑制水管内细菌滋生及生物膜的形成（提供第三方权威机构检测报告证明）</w:t>
      </w:r>
    </w:p>
    <w:p>
      <w:pPr>
        <w:pStyle w:val="12"/>
        <w:keepNext w:val="0"/>
        <w:keepLines w:val="0"/>
        <w:pageBreakBefore w:val="0"/>
        <w:widowControl w:val="0"/>
        <w:numPr>
          <w:ilvl w:val="1"/>
          <w:numId w:val="5"/>
        </w:numPr>
        <w:kinsoku/>
        <w:wordWrap/>
        <w:overflowPunct/>
        <w:topLinePunct w:val="0"/>
        <w:autoSpaceDE/>
        <w:autoSpaceDN/>
        <w:bidi w:val="0"/>
        <w:adjustRightInd/>
        <w:snapToGrid/>
        <w:spacing w:after="0" w:line="360" w:lineRule="auto"/>
        <w:ind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内置式管道：除医生护士接触使用的手机管及负压管道之外，所有管道均采用内置式设计没有外露管道, 美观大方，清洁方便</w:t>
      </w:r>
    </w:p>
    <w:p>
      <w:pPr>
        <w:pStyle w:val="12"/>
        <w:keepNext w:val="0"/>
        <w:keepLines w:val="0"/>
        <w:pageBreakBefore w:val="0"/>
        <w:widowControl w:val="0"/>
        <w:numPr>
          <w:ilvl w:val="1"/>
          <w:numId w:val="5"/>
        </w:numPr>
        <w:kinsoku/>
        <w:wordWrap/>
        <w:overflowPunct/>
        <w:topLinePunct w:val="0"/>
        <w:autoSpaceDE/>
        <w:autoSpaceDN/>
        <w:bidi w:val="0"/>
        <w:adjustRightInd/>
        <w:snapToGrid/>
        <w:spacing w:after="0" w:line="360" w:lineRule="auto"/>
        <w:ind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采取与患者座椅联体设计：手术灯、治疗台、助手挂架及痰盂固定在病人椅上，随患者座椅同步升降；</w:t>
      </w:r>
    </w:p>
    <w:p>
      <w:pPr>
        <w:pStyle w:val="12"/>
        <w:keepNext w:val="0"/>
        <w:keepLines w:val="0"/>
        <w:pageBreakBefore w:val="0"/>
        <w:widowControl w:val="0"/>
        <w:numPr>
          <w:ilvl w:val="0"/>
          <w:numId w:val="5"/>
        </w:numPr>
        <w:kinsoku/>
        <w:wordWrap/>
        <w:overflowPunct/>
        <w:topLinePunct w:val="0"/>
        <w:autoSpaceDE/>
        <w:autoSpaceDN/>
        <w:bidi w:val="0"/>
        <w:adjustRightInd/>
        <w:snapToGrid/>
        <w:spacing w:after="0" w:line="360" w:lineRule="auto"/>
        <w:ind w:firstLineChars="0"/>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治疗椅</w:t>
      </w:r>
    </w:p>
    <w:p>
      <w:pPr>
        <w:pStyle w:val="12"/>
        <w:keepNext w:val="0"/>
        <w:keepLines w:val="0"/>
        <w:pageBreakBefore w:val="0"/>
        <w:widowControl w:val="0"/>
        <w:numPr>
          <w:ilvl w:val="1"/>
          <w:numId w:val="5"/>
        </w:numPr>
        <w:kinsoku/>
        <w:wordWrap/>
        <w:overflowPunct/>
        <w:topLinePunct w:val="0"/>
        <w:autoSpaceDE/>
        <w:autoSpaceDN/>
        <w:bidi w:val="0"/>
        <w:adjustRightInd/>
        <w:snapToGrid/>
        <w:spacing w:after="0" w:line="360" w:lineRule="auto"/>
        <w:ind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采用液压驱动系统控制病人椅升降及靠背俯仰，升降及俯仰速度均可调节(有厂商的图纸、说明书或图片证明)，提升重量≥135Kg</w:t>
      </w:r>
    </w:p>
    <w:p>
      <w:pPr>
        <w:pStyle w:val="12"/>
        <w:keepNext w:val="0"/>
        <w:keepLines w:val="0"/>
        <w:pageBreakBefore w:val="0"/>
        <w:widowControl w:val="0"/>
        <w:numPr>
          <w:ilvl w:val="1"/>
          <w:numId w:val="5"/>
        </w:numPr>
        <w:kinsoku/>
        <w:wordWrap/>
        <w:overflowPunct/>
        <w:topLinePunct w:val="0"/>
        <w:autoSpaceDE/>
        <w:autoSpaceDN/>
        <w:bidi w:val="0"/>
        <w:adjustRightInd/>
        <w:snapToGrid/>
        <w:spacing w:after="0" w:line="360" w:lineRule="auto"/>
        <w:ind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具有联动补偿功能，靠背下降时，坐垫尾部会同步上升，病人无搓背感。</w:t>
      </w:r>
    </w:p>
    <w:p>
      <w:pPr>
        <w:pStyle w:val="12"/>
        <w:keepNext w:val="0"/>
        <w:keepLines w:val="0"/>
        <w:pageBreakBefore w:val="0"/>
        <w:widowControl w:val="0"/>
        <w:numPr>
          <w:ilvl w:val="1"/>
          <w:numId w:val="5"/>
        </w:numPr>
        <w:kinsoku/>
        <w:wordWrap/>
        <w:overflowPunct/>
        <w:topLinePunct w:val="0"/>
        <w:autoSpaceDE/>
        <w:autoSpaceDN/>
        <w:bidi w:val="0"/>
        <w:adjustRightInd/>
        <w:snapToGrid/>
        <w:spacing w:after="0" w:line="360" w:lineRule="auto"/>
        <w:ind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一体式地箱设计，固定放在病人椅座垫的腿部位置下面。</w:t>
      </w:r>
    </w:p>
    <w:p>
      <w:pPr>
        <w:pStyle w:val="12"/>
        <w:keepNext w:val="0"/>
        <w:keepLines w:val="0"/>
        <w:pageBreakBefore w:val="0"/>
        <w:widowControl w:val="0"/>
        <w:numPr>
          <w:ilvl w:val="1"/>
          <w:numId w:val="5"/>
        </w:numPr>
        <w:kinsoku/>
        <w:wordWrap/>
        <w:overflowPunct/>
        <w:topLinePunct w:val="0"/>
        <w:autoSpaceDE/>
        <w:autoSpaceDN/>
        <w:bidi w:val="0"/>
        <w:adjustRightInd/>
        <w:snapToGrid/>
        <w:spacing w:after="0" w:line="360" w:lineRule="auto"/>
        <w:ind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病人椅座位可降至离地最低高度≤400mm，升高至最高高度≥700mm。</w:t>
      </w:r>
    </w:p>
    <w:p>
      <w:pPr>
        <w:pStyle w:val="12"/>
        <w:keepNext w:val="0"/>
        <w:keepLines w:val="0"/>
        <w:pageBreakBefore w:val="0"/>
        <w:widowControl w:val="0"/>
        <w:numPr>
          <w:ilvl w:val="1"/>
          <w:numId w:val="5"/>
        </w:numPr>
        <w:kinsoku/>
        <w:wordWrap/>
        <w:overflowPunct/>
        <w:topLinePunct w:val="0"/>
        <w:autoSpaceDE/>
        <w:autoSpaceDN/>
        <w:bidi w:val="0"/>
        <w:adjustRightInd/>
        <w:snapToGrid/>
        <w:spacing w:after="0" w:line="360" w:lineRule="auto"/>
        <w:ind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活动式左右扶手，可锁定。</w:t>
      </w:r>
    </w:p>
    <w:p>
      <w:pPr>
        <w:pStyle w:val="12"/>
        <w:keepNext w:val="0"/>
        <w:keepLines w:val="0"/>
        <w:pageBreakBefore w:val="0"/>
        <w:widowControl w:val="0"/>
        <w:numPr>
          <w:ilvl w:val="1"/>
          <w:numId w:val="5"/>
        </w:numPr>
        <w:kinsoku/>
        <w:wordWrap/>
        <w:overflowPunct/>
        <w:topLinePunct w:val="0"/>
        <w:autoSpaceDE/>
        <w:autoSpaceDN/>
        <w:bidi w:val="0"/>
        <w:adjustRightInd/>
        <w:snapToGrid/>
        <w:spacing w:after="0" w:line="360" w:lineRule="auto"/>
        <w:ind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双关节头枕，多角度可调，满足各种手术操作角度使用。</w:t>
      </w:r>
    </w:p>
    <w:p>
      <w:pPr>
        <w:pStyle w:val="12"/>
        <w:keepNext w:val="0"/>
        <w:keepLines w:val="0"/>
        <w:pageBreakBefore w:val="0"/>
        <w:widowControl w:val="0"/>
        <w:numPr>
          <w:ilvl w:val="0"/>
          <w:numId w:val="5"/>
        </w:numPr>
        <w:kinsoku/>
        <w:wordWrap/>
        <w:overflowPunct/>
        <w:topLinePunct w:val="0"/>
        <w:autoSpaceDE/>
        <w:autoSpaceDN/>
        <w:bidi w:val="0"/>
        <w:adjustRightInd/>
        <w:snapToGrid/>
        <w:spacing w:after="0" w:line="360" w:lineRule="auto"/>
        <w:ind w:firstLineChars="0"/>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治疗台</w:t>
      </w:r>
    </w:p>
    <w:p>
      <w:pPr>
        <w:pStyle w:val="12"/>
        <w:keepNext w:val="0"/>
        <w:keepLines w:val="0"/>
        <w:pageBreakBefore w:val="0"/>
        <w:widowControl w:val="0"/>
        <w:numPr>
          <w:ilvl w:val="1"/>
          <w:numId w:val="5"/>
        </w:numPr>
        <w:kinsoku/>
        <w:wordWrap/>
        <w:overflowPunct/>
        <w:topLinePunct w:val="0"/>
        <w:autoSpaceDE/>
        <w:autoSpaceDN/>
        <w:bidi w:val="0"/>
        <w:adjustRightInd/>
        <w:snapToGrid/>
        <w:spacing w:after="0" w:line="360" w:lineRule="auto"/>
        <w:ind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治疗台提供超大的器械操作与摆放空间，工作台面空间≥1200 cm²。</w:t>
      </w:r>
    </w:p>
    <w:p>
      <w:pPr>
        <w:pStyle w:val="12"/>
        <w:keepNext w:val="0"/>
        <w:keepLines w:val="0"/>
        <w:pageBreakBefore w:val="0"/>
        <w:widowControl w:val="0"/>
        <w:numPr>
          <w:ilvl w:val="1"/>
          <w:numId w:val="5"/>
        </w:numPr>
        <w:kinsoku/>
        <w:wordWrap/>
        <w:overflowPunct/>
        <w:topLinePunct w:val="0"/>
        <w:autoSpaceDE/>
        <w:autoSpaceDN/>
        <w:bidi w:val="0"/>
        <w:adjustRightInd/>
        <w:snapToGrid/>
        <w:spacing w:after="0" w:line="360" w:lineRule="auto"/>
        <w:ind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下挂式综合治疗台提供≥5组器械挂架，器械挂架角度可调节，可根据医生操作习惯自行调节，避免职业暴露损伤风险。</w:t>
      </w:r>
    </w:p>
    <w:p>
      <w:pPr>
        <w:pStyle w:val="12"/>
        <w:keepNext w:val="0"/>
        <w:keepLines w:val="0"/>
        <w:pageBreakBefore w:val="0"/>
        <w:widowControl w:val="0"/>
        <w:numPr>
          <w:ilvl w:val="1"/>
          <w:numId w:val="5"/>
        </w:numPr>
        <w:kinsoku/>
        <w:wordWrap/>
        <w:overflowPunct/>
        <w:topLinePunct w:val="0"/>
        <w:autoSpaceDE/>
        <w:autoSpaceDN/>
        <w:bidi w:val="0"/>
        <w:adjustRightInd/>
        <w:snapToGrid/>
        <w:spacing w:after="0" w:line="360" w:lineRule="auto"/>
        <w:ind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医生操作台配置自平衡装置控制调节治疗台升降高度，带有刹车锁定装置，治疗台在锁定后，负载≥3Kg。</w:t>
      </w:r>
    </w:p>
    <w:p>
      <w:pPr>
        <w:pStyle w:val="12"/>
        <w:keepNext w:val="0"/>
        <w:keepLines w:val="0"/>
        <w:pageBreakBefore w:val="0"/>
        <w:widowControl w:val="0"/>
        <w:numPr>
          <w:ilvl w:val="1"/>
          <w:numId w:val="5"/>
        </w:numPr>
        <w:kinsoku/>
        <w:wordWrap/>
        <w:overflowPunct/>
        <w:topLinePunct w:val="0"/>
        <w:autoSpaceDE/>
        <w:autoSpaceDN/>
        <w:bidi w:val="0"/>
        <w:adjustRightInd/>
        <w:snapToGrid/>
        <w:spacing w:after="0" w:line="360" w:lineRule="auto"/>
        <w:ind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采用气控膜片式主控阀，水气均由信号气控制，意外断电情况下都不影响手机使用，稳定可靠、耐用（需提供厂商的图纸、说明书或图片证明）。</w:t>
      </w:r>
    </w:p>
    <w:p>
      <w:pPr>
        <w:pStyle w:val="12"/>
        <w:keepNext w:val="0"/>
        <w:keepLines w:val="0"/>
        <w:pageBreakBefore w:val="0"/>
        <w:widowControl w:val="0"/>
        <w:numPr>
          <w:ilvl w:val="1"/>
          <w:numId w:val="5"/>
        </w:numPr>
        <w:kinsoku/>
        <w:wordWrap/>
        <w:overflowPunct/>
        <w:topLinePunct w:val="0"/>
        <w:autoSpaceDE/>
        <w:autoSpaceDN/>
        <w:bidi w:val="0"/>
        <w:adjustRightInd/>
        <w:snapToGrid/>
        <w:spacing w:after="0" w:line="360" w:lineRule="auto"/>
        <w:ind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主控阀采用隐藏式水气调整阀芯，调整时插入调整旋钮，调整后拨出进行消毒，有效防止误调及交叉感染，安全卫生。</w:t>
      </w:r>
    </w:p>
    <w:p>
      <w:pPr>
        <w:pStyle w:val="12"/>
        <w:keepNext w:val="0"/>
        <w:keepLines w:val="0"/>
        <w:pageBreakBefore w:val="0"/>
        <w:widowControl w:val="0"/>
        <w:numPr>
          <w:ilvl w:val="1"/>
          <w:numId w:val="5"/>
        </w:numPr>
        <w:kinsoku/>
        <w:wordWrap/>
        <w:overflowPunct/>
        <w:topLinePunct w:val="0"/>
        <w:autoSpaceDE/>
        <w:autoSpaceDN/>
        <w:bidi w:val="0"/>
        <w:adjustRightInd/>
        <w:snapToGrid/>
        <w:spacing w:after="0" w:line="360" w:lineRule="auto"/>
        <w:ind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原厂配备≥2L快接式储水瓶式手机、三用喷枪的净水供水系统，满足高标准的安全卫生操作要求（需提供厂商的图纸、说明书或图片证明）。</w:t>
      </w:r>
    </w:p>
    <w:p>
      <w:pPr>
        <w:pStyle w:val="12"/>
        <w:keepNext w:val="0"/>
        <w:keepLines w:val="0"/>
        <w:pageBreakBefore w:val="0"/>
        <w:widowControl w:val="0"/>
        <w:numPr>
          <w:ilvl w:val="1"/>
          <w:numId w:val="5"/>
        </w:numPr>
        <w:kinsoku/>
        <w:wordWrap/>
        <w:overflowPunct/>
        <w:topLinePunct w:val="0"/>
        <w:autoSpaceDE/>
        <w:autoSpaceDN/>
        <w:bidi w:val="0"/>
        <w:adjustRightInd/>
        <w:snapToGrid/>
        <w:spacing w:after="0" w:line="360" w:lineRule="auto"/>
        <w:ind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配备原厂可拆卸消毒的医生用全金属三用喷枪。</w:t>
      </w:r>
    </w:p>
    <w:p>
      <w:pPr>
        <w:pStyle w:val="12"/>
        <w:keepNext w:val="0"/>
        <w:keepLines w:val="0"/>
        <w:pageBreakBefore w:val="0"/>
        <w:widowControl w:val="0"/>
        <w:numPr>
          <w:ilvl w:val="1"/>
          <w:numId w:val="5"/>
        </w:numPr>
        <w:kinsoku/>
        <w:wordWrap/>
        <w:overflowPunct/>
        <w:topLinePunct w:val="0"/>
        <w:autoSpaceDE/>
        <w:autoSpaceDN/>
        <w:bidi w:val="0"/>
        <w:adjustRightInd/>
        <w:snapToGrid/>
        <w:spacing w:after="0" w:line="360" w:lineRule="auto"/>
        <w:ind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配备手机导管冲洗清洁消毒装置。</w:t>
      </w:r>
    </w:p>
    <w:p>
      <w:pPr>
        <w:pStyle w:val="12"/>
        <w:keepNext w:val="0"/>
        <w:keepLines w:val="0"/>
        <w:pageBreakBefore w:val="0"/>
        <w:widowControl w:val="0"/>
        <w:numPr>
          <w:ilvl w:val="0"/>
          <w:numId w:val="5"/>
        </w:numPr>
        <w:kinsoku/>
        <w:wordWrap/>
        <w:overflowPunct/>
        <w:topLinePunct w:val="0"/>
        <w:autoSpaceDE/>
        <w:autoSpaceDN/>
        <w:bidi w:val="0"/>
        <w:adjustRightInd/>
        <w:snapToGrid/>
        <w:spacing w:after="0" w:line="360" w:lineRule="auto"/>
        <w:ind w:firstLineChars="0"/>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痰盂及侧箱</w:t>
      </w:r>
    </w:p>
    <w:p>
      <w:pPr>
        <w:pStyle w:val="12"/>
        <w:keepNext w:val="0"/>
        <w:keepLines w:val="0"/>
        <w:pageBreakBefore w:val="0"/>
        <w:widowControl w:val="0"/>
        <w:numPr>
          <w:ilvl w:val="1"/>
          <w:numId w:val="5"/>
        </w:numPr>
        <w:kinsoku/>
        <w:wordWrap/>
        <w:overflowPunct/>
        <w:topLinePunct w:val="0"/>
        <w:autoSpaceDE/>
        <w:autoSpaceDN/>
        <w:bidi w:val="0"/>
        <w:adjustRightInd/>
        <w:snapToGrid/>
        <w:spacing w:after="0" w:line="360" w:lineRule="auto"/>
        <w:ind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可旋转陶瓷痰盂，方便病人吐口水。</w:t>
      </w:r>
    </w:p>
    <w:p>
      <w:pPr>
        <w:pStyle w:val="12"/>
        <w:keepNext w:val="0"/>
        <w:keepLines w:val="0"/>
        <w:pageBreakBefore w:val="0"/>
        <w:widowControl w:val="0"/>
        <w:numPr>
          <w:ilvl w:val="1"/>
          <w:numId w:val="5"/>
        </w:numPr>
        <w:kinsoku/>
        <w:wordWrap/>
        <w:overflowPunct/>
        <w:topLinePunct w:val="0"/>
        <w:autoSpaceDE/>
        <w:autoSpaceDN/>
        <w:bidi w:val="0"/>
        <w:adjustRightInd/>
        <w:snapToGrid/>
        <w:spacing w:after="0" w:line="360" w:lineRule="auto"/>
        <w:ind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配备≥3位助手器械挂架，每个助手器械挂架的角度可独立调节，便于两手/四手操作配合使用（需提供厂商的图纸、说明书或图片证明）。</w:t>
      </w:r>
    </w:p>
    <w:p>
      <w:pPr>
        <w:pStyle w:val="12"/>
        <w:keepNext w:val="0"/>
        <w:keepLines w:val="0"/>
        <w:pageBreakBefore w:val="0"/>
        <w:widowControl w:val="0"/>
        <w:numPr>
          <w:ilvl w:val="1"/>
          <w:numId w:val="5"/>
        </w:numPr>
        <w:kinsoku/>
        <w:wordWrap/>
        <w:overflowPunct/>
        <w:topLinePunct w:val="0"/>
        <w:autoSpaceDE/>
        <w:autoSpaceDN/>
        <w:bidi w:val="0"/>
        <w:adjustRightInd/>
        <w:snapToGrid/>
        <w:spacing w:after="0" w:line="360" w:lineRule="auto"/>
        <w:ind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配备多功能助手用控制面板，</w:t>
      </w:r>
      <w:r>
        <w:rPr>
          <w:rFonts w:hint="eastAsia" w:ascii="宋体" w:hAnsi="宋体" w:eastAsia="宋体" w:cs="宋体"/>
          <w:bCs/>
          <w:sz w:val="24"/>
          <w:szCs w:val="24"/>
          <w:highlight w:val="none"/>
        </w:rPr>
        <w:t>可控制手术灯开/关、手术灯亮度调节、水杯加水、冲盂、椅位升降、自动工作位及设定自动记忆位置。</w:t>
      </w:r>
    </w:p>
    <w:p>
      <w:pPr>
        <w:pStyle w:val="12"/>
        <w:keepNext w:val="0"/>
        <w:keepLines w:val="0"/>
        <w:pageBreakBefore w:val="0"/>
        <w:widowControl w:val="0"/>
        <w:numPr>
          <w:ilvl w:val="1"/>
          <w:numId w:val="5"/>
        </w:numPr>
        <w:kinsoku/>
        <w:wordWrap/>
        <w:overflowPunct/>
        <w:topLinePunct w:val="0"/>
        <w:autoSpaceDE/>
        <w:autoSpaceDN/>
        <w:bidi w:val="0"/>
        <w:adjustRightInd/>
        <w:snapToGrid/>
        <w:spacing w:after="0" w:line="360" w:lineRule="auto"/>
        <w:ind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配备原厂可拆卸式消毒的助手用全金属三用喷枪。</w:t>
      </w:r>
    </w:p>
    <w:p>
      <w:pPr>
        <w:pStyle w:val="12"/>
        <w:keepNext w:val="0"/>
        <w:keepLines w:val="0"/>
        <w:pageBreakBefore w:val="0"/>
        <w:widowControl w:val="0"/>
        <w:numPr>
          <w:ilvl w:val="1"/>
          <w:numId w:val="5"/>
        </w:numPr>
        <w:kinsoku/>
        <w:wordWrap/>
        <w:overflowPunct/>
        <w:topLinePunct w:val="0"/>
        <w:autoSpaceDE/>
        <w:autoSpaceDN/>
        <w:bidi w:val="0"/>
        <w:adjustRightInd/>
        <w:snapToGrid/>
        <w:spacing w:after="0" w:line="360" w:lineRule="auto"/>
        <w:ind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配备原厂可拆卸式金属</w:t>
      </w:r>
      <w:r>
        <w:rPr>
          <w:rFonts w:hint="eastAsia" w:ascii="宋体" w:hAnsi="宋体" w:eastAsia="宋体" w:cs="宋体"/>
          <w:color w:val="000000"/>
          <w:sz w:val="24"/>
          <w:szCs w:val="24"/>
          <w:highlight w:val="none"/>
        </w:rPr>
        <w:t>强、弱吸唾器可拆卸清洁及消毒。</w:t>
      </w:r>
    </w:p>
    <w:p>
      <w:pPr>
        <w:pStyle w:val="12"/>
        <w:keepNext w:val="0"/>
        <w:keepLines w:val="0"/>
        <w:pageBreakBefore w:val="0"/>
        <w:widowControl w:val="0"/>
        <w:numPr>
          <w:ilvl w:val="0"/>
          <w:numId w:val="5"/>
        </w:numPr>
        <w:kinsoku/>
        <w:wordWrap/>
        <w:overflowPunct/>
        <w:topLinePunct w:val="0"/>
        <w:autoSpaceDE/>
        <w:autoSpaceDN/>
        <w:bidi w:val="0"/>
        <w:adjustRightInd/>
        <w:snapToGrid/>
        <w:spacing w:after="0" w:line="360" w:lineRule="auto"/>
        <w:ind w:firstLineChars="0"/>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手术灯</w:t>
      </w:r>
    </w:p>
    <w:p>
      <w:pPr>
        <w:pStyle w:val="12"/>
        <w:keepNext w:val="0"/>
        <w:keepLines w:val="0"/>
        <w:pageBreakBefore w:val="0"/>
        <w:widowControl w:val="0"/>
        <w:numPr>
          <w:ilvl w:val="1"/>
          <w:numId w:val="5"/>
        </w:numPr>
        <w:kinsoku/>
        <w:wordWrap/>
        <w:overflowPunct/>
        <w:topLinePunct w:val="0"/>
        <w:autoSpaceDE/>
        <w:autoSpaceDN/>
        <w:bidi w:val="0"/>
        <w:adjustRightInd/>
        <w:snapToGrid/>
        <w:spacing w:after="0" w:line="360" w:lineRule="auto"/>
        <w:ind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手术灯三轴旋转可随意调节光照角度。</w:t>
      </w:r>
    </w:p>
    <w:p>
      <w:pPr>
        <w:pStyle w:val="12"/>
        <w:keepNext w:val="0"/>
        <w:keepLines w:val="0"/>
        <w:pageBreakBefore w:val="0"/>
        <w:widowControl w:val="0"/>
        <w:numPr>
          <w:ilvl w:val="1"/>
          <w:numId w:val="5"/>
        </w:numPr>
        <w:kinsoku/>
        <w:wordWrap/>
        <w:overflowPunct/>
        <w:topLinePunct w:val="0"/>
        <w:autoSpaceDE/>
        <w:autoSpaceDN/>
        <w:bidi w:val="0"/>
        <w:adjustRightInd/>
        <w:snapToGrid/>
        <w:spacing w:after="0" w:line="360" w:lineRule="auto"/>
        <w:ind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手术灯亮度可调，焦距可调，最大亮度≥15000 lux，手术灯色温≥ 4800K。</w:t>
      </w:r>
    </w:p>
    <w:p>
      <w:pPr>
        <w:pStyle w:val="12"/>
        <w:keepNext w:val="0"/>
        <w:keepLines w:val="0"/>
        <w:pageBreakBefore w:val="0"/>
        <w:widowControl w:val="0"/>
        <w:numPr>
          <w:ilvl w:val="1"/>
          <w:numId w:val="5"/>
        </w:numPr>
        <w:kinsoku/>
        <w:wordWrap/>
        <w:overflowPunct/>
        <w:topLinePunct w:val="0"/>
        <w:autoSpaceDE/>
        <w:autoSpaceDN/>
        <w:bidi w:val="0"/>
        <w:adjustRightInd/>
        <w:snapToGrid/>
        <w:spacing w:after="0" w:line="360" w:lineRule="auto"/>
        <w:ind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具有与治疗椅位同步的自动开关功能</w:t>
      </w:r>
    </w:p>
    <w:p>
      <w:pPr>
        <w:pStyle w:val="12"/>
        <w:keepNext w:val="0"/>
        <w:keepLines w:val="0"/>
        <w:pageBreakBefore w:val="0"/>
        <w:widowControl w:val="0"/>
        <w:numPr>
          <w:ilvl w:val="0"/>
          <w:numId w:val="5"/>
        </w:numPr>
        <w:kinsoku/>
        <w:wordWrap/>
        <w:overflowPunct/>
        <w:topLinePunct w:val="0"/>
        <w:autoSpaceDE/>
        <w:autoSpaceDN/>
        <w:bidi w:val="0"/>
        <w:adjustRightInd/>
        <w:snapToGrid/>
        <w:spacing w:after="0" w:line="360" w:lineRule="auto"/>
        <w:ind w:firstLineChars="0"/>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医生座椅</w:t>
      </w:r>
    </w:p>
    <w:p>
      <w:pPr>
        <w:pStyle w:val="12"/>
        <w:keepNext w:val="0"/>
        <w:keepLines w:val="0"/>
        <w:pageBreakBefore w:val="0"/>
        <w:widowControl w:val="0"/>
        <w:numPr>
          <w:ilvl w:val="1"/>
          <w:numId w:val="5"/>
        </w:numPr>
        <w:kinsoku/>
        <w:wordWrap/>
        <w:overflowPunct/>
        <w:topLinePunct w:val="0"/>
        <w:autoSpaceDE/>
        <w:autoSpaceDN/>
        <w:bidi w:val="0"/>
        <w:adjustRightInd/>
        <w:snapToGrid/>
        <w:spacing w:after="0" w:line="360" w:lineRule="auto"/>
        <w:ind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坐垫、靠背采用优质医用皮革，压模成型制造而成。</w:t>
      </w:r>
    </w:p>
    <w:p>
      <w:pPr>
        <w:keepNext w:val="0"/>
        <w:keepLines w:val="0"/>
        <w:pageBreakBefore w:val="0"/>
        <w:widowControl w:val="0"/>
        <w:numPr>
          <w:ilvl w:val="1"/>
          <w:numId w:val="5"/>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医生椅椅背及椅座的高度、倾斜度可单独调节，给不同体型的医生腰部提供良好的支撑</w:t>
      </w:r>
      <w:r>
        <w:rPr>
          <w:rFonts w:hint="eastAsia" w:ascii="宋体" w:hAnsi="宋体" w:eastAsia="宋体" w:cs="宋体"/>
          <w:color w:val="auto"/>
          <w:sz w:val="24"/>
          <w:szCs w:val="24"/>
          <w:highlight w:val="none"/>
        </w:rPr>
        <w:t>。</w:t>
      </w:r>
    </w:p>
    <w:p>
      <w:pPr>
        <w:widowControl/>
        <w:spacing w:line="360" w:lineRule="auto"/>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rPr>
        <w:t>二、</w:t>
      </w:r>
      <w:r>
        <w:rPr>
          <w:rFonts w:hint="eastAsia" w:ascii="宋体" w:hAnsi="宋体" w:eastAsia="宋体" w:cs="宋体"/>
          <w:b/>
          <w:color w:val="auto"/>
          <w:sz w:val="24"/>
          <w:szCs w:val="24"/>
          <w:highlight w:val="none"/>
        </w:rPr>
        <w:t>配置清单</w:t>
      </w:r>
    </w:p>
    <w:tbl>
      <w:tblPr>
        <w:tblStyle w:val="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6"/>
        <w:gridCol w:w="5917"/>
        <w:gridCol w:w="1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92" w:type="pct"/>
            <w:noWrap w:val="0"/>
            <w:vAlign w:val="center"/>
          </w:tcPr>
          <w:p>
            <w:pPr>
              <w:keepNext w:val="0"/>
              <w:keepLines w:val="0"/>
              <w:suppressLineNumbers w:val="0"/>
              <w:spacing w:beforeAutospacing="0" w:afterAutospacing="0" w:line="360" w:lineRule="auto"/>
              <w:ind w:left="0" w:right="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序号</w:t>
            </w:r>
          </w:p>
        </w:tc>
        <w:tc>
          <w:tcPr>
            <w:tcW w:w="3112" w:type="pct"/>
            <w:noWrap w:val="0"/>
            <w:vAlign w:val="center"/>
          </w:tcPr>
          <w:p>
            <w:pPr>
              <w:keepNext w:val="0"/>
              <w:keepLines w:val="0"/>
              <w:suppressLineNumbers w:val="0"/>
              <w:spacing w:beforeAutospacing="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名称</w:t>
            </w:r>
          </w:p>
        </w:tc>
        <w:tc>
          <w:tcPr>
            <w:tcW w:w="894" w:type="pct"/>
            <w:noWrap w:val="0"/>
            <w:vAlign w:val="center"/>
          </w:tcPr>
          <w:p>
            <w:pPr>
              <w:keepNext w:val="0"/>
              <w:keepLines w:val="0"/>
              <w:suppressLineNumbers w:val="0"/>
              <w:spacing w:beforeAutospacing="0" w:afterAutospacing="0" w:line="360" w:lineRule="auto"/>
              <w:ind w:left="0" w:right="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92" w:type="pct"/>
            <w:noWrap w:val="0"/>
            <w:vAlign w:val="center"/>
          </w:tcPr>
          <w:p>
            <w:pPr>
              <w:pStyle w:val="12"/>
              <w:keepNext w:val="0"/>
              <w:keepLines w:val="0"/>
              <w:numPr>
                <w:ilvl w:val="0"/>
                <w:numId w:val="6"/>
              </w:numPr>
              <w:suppressLineNumbers w:val="0"/>
              <w:spacing w:beforeAutospacing="0" w:line="360" w:lineRule="auto"/>
              <w:ind w:right="0" w:firstLineChars="0"/>
              <w:jc w:val="center"/>
              <w:rPr>
                <w:rFonts w:hint="eastAsia" w:ascii="宋体" w:hAnsi="宋体" w:eastAsia="宋体" w:cs="宋体"/>
                <w:color w:val="auto"/>
                <w:sz w:val="24"/>
                <w:szCs w:val="24"/>
                <w:highlight w:val="none"/>
              </w:rPr>
            </w:pPr>
          </w:p>
        </w:tc>
        <w:tc>
          <w:tcPr>
            <w:tcW w:w="3112" w:type="pct"/>
            <w:noWrap w:val="0"/>
            <w:vAlign w:val="top"/>
          </w:tcPr>
          <w:p>
            <w:pPr>
              <w:keepNext w:val="0"/>
              <w:keepLines w:val="0"/>
              <w:suppressLineNumbers w:val="0"/>
              <w:spacing w:beforeAutospacing="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病人椅</w:t>
            </w:r>
          </w:p>
        </w:tc>
        <w:tc>
          <w:tcPr>
            <w:tcW w:w="894" w:type="pct"/>
            <w:noWrap w:val="0"/>
            <w:vAlign w:val="center"/>
          </w:tcPr>
          <w:p>
            <w:pPr>
              <w:keepNext w:val="0"/>
              <w:keepLines w:val="0"/>
              <w:suppressLineNumbers w:val="0"/>
              <w:spacing w:beforeAutospacing="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92" w:type="pct"/>
            <w:noWrap w:val="0"/>
            <w:vAlign w:val="center"/>
          </w:tcPr>
          <w:p>
            <w:pPr>
              <w:pStyle w:val="12"/>
              <w:keepNext w:val="0"/>
              <w:keepLines w:val="0"/>
              <w:numPr>
                <w:ilvl w:val="0"/>
                <w:numId w:val="6"/>
              </w:numPr>
              <w:suppressLineNumbers w:val="0"/>
              <w:spacing w:beforeAutospacing="0" w:line="360" w:lineRule="auto"/>
              <w:ind w:right="0" w:firstLineChars="0"/>
              <w:jc w:val="center"/>
              <w:rPr>
                <w:rFonts w:hint="eastAsia" w:ascii="宋体" w:hAnsi="宋体" w:eastAsia="宋体" w:cs="宋体"/>
                <w:color w:val="auto"/>
                <w:sz w:val="24"/>
                <w:szCs w:val="24"/>
                <w:highlight w:val="none"/>
              </w:rPr>
            </w:pPr>
          </w:p>
        </w:tc>
        <w:tc>
          <w:tcPr>
            <w:tcW w:w="3112" w:type="pct"/>
            <w:noWrap w:val="0"/>
            <w:vAlign w:val="top"/>
          </w:tcPr>
          <w:p>
            <w:pPr>
              <w:keepNext w:val="0"/>
              <w:keepLines w:val="0"/>
              <w:suppressLineNumbers w:val="0"/>
              <w:tabs>
                <w:tab w:val="left" w:pos="660"/>
              </w:tabs>
              <w:spacing w:beforeAutospacing="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下挂式治疗台</w:t>
            </w:r>
          </w:p>
        </w:tc>
        <w:tc>
          <w:tcPr>
            <w:tcW w:w="894" w:type="pct"/>
            <w:noWrap w:val="0"/>
            <w:vAlign w:val="center"/>
          </w:tcPr>
          <w:p>
            <w:pPr>
              <w:keepNext w:val="0"/>
              <w:keepLines w:val="0"/>
              <w:suppressLineNumbers w:val="0"/>
              <w:spacing w:beforeAutospacing="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92" w:type="pct"/>
            <w:noWrap w:val="0"/>
            <w:vAlign w:val="center"/>
          </w:tcPr>
          <w:p>
            <w:pPr>
              <w:pStyle w:val="12"/>
              <w:keepNext w:val="0"/>
              <w:keepLines w:val="0"/>
              <w:numPr>
                <w:ilvl w:val="0"/>
                <w:numId w:val="6"/>
              </w:numPr>
              <w:suppressLineNumbers w:val="0"/>
              <w:spacing w:beforeAutospacing="0" w:line="360" w:lineRule="auto"/>
              <w:ind w:right="0" w:firstLineChars="0"/>
              <w:jc w:val="center"/>
              <w:rPr>
                <w:rFonts w:hint="eastAsia" w:ascii="宋体" w:hAnsi="宋体" w:eastAsia="宋体" w:cs="宋体"/>
                <w:color w:val="auto"/>
                <w:sz w:val="24"/>
                <w:szCs w:val="24"/>
                <w:highlight w:val="none"/>
              </w:rPr>
            </w:pPr>
          </w:p>
        </w:tc>
        <w:tc>
          <w:tcPr>
            <w:tcW w:w="3112" w:type="pct"/>
            <w:noWrap w:val="0"/>
            <w:vAlign w:val="center"/>
          </w:tcPr>
          <w:p>
            <w:pPr>
              <w:keepNext w:val="0"/>
              <w:keepLines w:val="0"/>
              <w:suppressLineNumbers w:val="0"/>
              <w:spacing w:beforeAutospacing="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多功能控制面板</w:t>
            </w:r>
          </w:p>
        </w:tc>
        <w:tc>
          <w:tcPr>
            <w:tcW w:w="894" w:type="pct"/>
            <w:noWrap w:val="0"/>
            <w:vAlign w:val="center"/>
          </w:tcPr>
          <w:p>
            <w:pPr>
              <w:keepNext w:val="0"/>
              <w:keepLines w:val="0"/>
              <w:suppressLineNumbers w:val="0"/>
              <w:spacing w:beforeAutospacing="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92" w:type="pct"/>
            <w:noWrap w:val="0"/>
            <w:vAlign w:val="center"/>
          </w:tcPr>
          <w:p>
            <w:pPr>
              <w:pStyle w:val="12"/>
              <w:keepNext w:val="0"/>
              <w:keepLines w:val="0"/>
              <w:numPr>
                <w:ilvl w:val="0"/>
                <w:numId w:val="6"/>
              </w:numPr>
              <w:suppressLineNumbers w:val="0"/>
              <w:spacing w:beforeAutospacing="0" w:line="360" w:lineRule="auto"/>
              <w:ind w:right="0" w:firstLineChars="0"/>
              <w:jc w:val="center"/>
              <w:rPr>
                <w:rFonts w:hint="eastAsia" w:ascii="宋体" w:hAnsi="宋体" w:eastAsia="宋体" w:cs="宋体"/>
                <w:color w:val="auto"/>
                <w:sz w:val="24"/>
                <w:szCs w:val="24"/>
                <w:highlight w:val="none"/>
              </w:rPr>
            </w:pPr>
          </w:p>
        </w:tc>
        <w:tc>
          <w:tcPr>
            <w:tcW w:w="3112" w:type="pct"/>
            <w:noWrap w:val="0"/>
            <w:vAlign w:val="center"/>
          </w:tcPr>
          <w:p>
            <w:pPr>
              <w:keepNext w:val="0"/>
              <w:keepLines w:val="0"/>
              <w:suppressLineNumbers w:val="0"/>
              <w:spacing w:beforeAutospacing="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脚控开关</w:t>
            </w:r>
          </w:p>
        </w:tc>
        <w:tc>
          <w:tcPr>
            <w:tcW w:w="894" w:type="pct"/>
            <w:noWrap w:val="0"/>
            <w:vAlign w:val="center"/>
          </w:tcPr>
          <w:p>
            <w:pPr>
              <w:keepNext w:val="0"/>
              <w:keepLines w:val="0"/>
              <w:suppressLineNumbers w:val="0"/>
              <w:spacing w:beforeAutospacing="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92" w:type="pct"/>
            <w:noWrap w:val="0"/>
            <w:vAlign w:val="center"/>
          </w:tcPr>
          <w:p>
            <w:pPr>
              <w:pStyle w:val="12"/>
              <w:keepNext w:val="0"/>
              <w:keepLines w:val="0"/>
              <w:numPr>
                <w:ilvl w:val="0"/>
                <w:numId w:val="6"/>
              </w:numPr>
              <w:suppressLineNumbers w:val="0"/>
              <w:spacing w:beforeAutospacing="0" w:line="360" w:lineRule="auto"/>
              <w:ind w:right="0" w:firstLineChars="0"/>
              <w:jc w:val="center"/>
              <w:rPr>
                <w:rFonts w:hint="eastAsia" w:ascii="宋体" w:hAnsi="宋体" w:eastAsia="宋体" w:cs="宋体"/>
                <w:color w:val="auto"/>
                <w:sz w:val="24"/>
                <w:szCs w:val="24"/>
                <w:highlight w:val="none"/>
              </w:rPr>
            </w:pPr>
          </w:p>
        </w:tc>
        <w:tc>
          <w:tcPr>
            <w:tcW w:w="3112" w:type="pct"/>
            <w:noWrap w:val="0"/>
            <w:vAlign w:val="center"/>
          </w:tcPr>
          <w:p>
            <w:pPr>
              <w:keepNext w:val="0"/>
              <w:keepLines w:val="0"/>
              <w:suppressLineNumbers w:val="0"/>
              <w:spacing w:beforeAutospacing="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2L蒸馏水瓶</w:t>
            </w:r>
          </w:p>
        </w:tc>
        <w:tc>
          <w:tcPr>
            <w:tcW w:w="894" w:type="pct"/>
            <w:noWrap w:val="0"/>
            <w:vAlign w:val="center"/>
          </w:tcPr>
          <w:p>
            <w:pPr>
              <w:keepNext w:val="0"/>
              <w:keepLines w:val="0"/>
              <w:suppressLineNumbers w:val="0"/>
              <w:spacing w:beforeAutospacing="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92" w:type="pct"/>
            <w:noWrap w:val="0"/>
            <w:vAlign w:val="center"/>
          </w:tcPr>
          <w:p>
            <w:pPr>
              <w:pStyle w:val="12"/>
              <w:keepNext w:val="0"/>
              <w:keepLines w:val="0"/>
              <w:numPr>
                <w:ilvl w:val="0"/>
                <w:numId w:val="6"/>
              </w:numPr>
              <w:suppressLineNumbers w:val="0"/>
              <w:spacing w:beforeAutospacing="0" w:line="360" w:lineRule="auto"/>
              <w:ind w:right="0" w:firstLineChars="0"/>
              <w:jc w:val="center"/>
              <w:rPr>
                <w:rFonts w:hint="eastAsia" w:ascii="宋体" w:hAnsi="宋体" w:eastAsia="宋体" w:cs="宋体"/>
                <w:color w:val="auto"/>
                <w:sz w:val="24"/>
                <w:szCs w:val="24"/>
                <w:highlight w:val="none"/>
              </w:rPr>
            </w:pPr>
          </w:p>
        </w:tc>
        <w:tc>
          <w:tcPr>
            <w:tcW w:w="3112" w:type="pct"/>
            <w:noWrap w:val="0"/>
            <w:vAlign w:val="center"/>
          </w:tcPr>
          <w:p>
            <w:pPr>
              <w:keepNext w:val="0"/>
              <w:keepLines w:val="0"/>
              <w:suppressLineNumbers w:val="0"/>
              <w:spacing w:beforeAutospacing="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陶瓷痰盂</w:t>
            </w:r>
          </w:p>
        </w:tc>
        <w:tc>
          <w:tcPr>
            <w:tcW w:w="894" w:type="pct"/>
            <w:noWrap w:val="0"/>
            <w:vAlign w:val="center"/>
          </w:tcPr>
          <w:p>
            <w:pPr>
              <w:keepNext w:val="0"/>
              <w:keepLines w:val="0"/>
              <w:suppressLineNumbers w:val="0"/>
              <w:spacing w:beforeAutospacing="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92" w:type="pct"/>
            <w:noWrap w:val="0"/>
            <w:vAlign w:val="center"/>
          </w:tcPr>
          <w:p>
            <w:pPr>
              <w:pStyle w:val="12"/>
              <w:keepNext w:val="0"/>
              <w:keepLines w:val="0"/>
              <w:numPr>
                <w:ilvl w:val="0"/>
                <w:numId w:val="6"/>
              </w:numPr>
              <w:suppressLineNumbers w:val="0"/>
              <w:spacing w:beforeAutospacing="0" w:line="360" w:lineRule="auto"/>
              <w:ind w:right="0" w:firstLineChars="0"/>
              <w:jc w:val="center"/>
              <w:rPr>
                <w:rFonts w:hint="eastAsia" w:ascii="宋体" w:hAnsi="宋体" w:eastAsia="宋体" w:cs="宋体"/>
                <w:color w:val="auto"/>
                <w:sz w:val="24"/>
                <w:szCs w:val="24"/>
                <w:highlight w:val="none"/>
              </w:rPr>
            </w:pPr>
          </w:p>
        </w:tc>
        <w:tc>
          <w:tcPr>
            <w:tcW w:w="3112" w:type="pct"/>
            <w:noWrap w:val="0"/>
            <w:vAlign w:val="center"/>
          </w:tcPr>
          <w:p>
            <w:pPr>
              <w:keepNext w:val="0"/>
              <w:keepLines w:val="0"/>
              <w:suppressLineNumbers w:val="0"/>
              <w:spacing w:beforeAutospacing="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助手挂架</w:t>
            </w:r>
          </w:p>
        </w:tc>
        <w:tc>
          <w:tcPr>
            <w:tcW w:w="894" w:type="pct"/>
            <w:noWrap w:val="0"/>
            <w:vAlign w:val="center"/>
          </w:tcPr>
          <w:p>
            <w:pPr>
              <w:keepNext w:val="0"/>
              <w:keepLines w:val="0"/>
              <w:suppressLineNumbers w:val="0"/>
              <w:spacing w:beforeAutospacing="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92" w:type="pct"/>
            <w:noWrap w:val="0"/>
            <w:vAlign w:val="center"/>
          </w:tcPr>
          <w:p>
            <w:pPr>
              <w:pStyle w:val="12"/>
              <w:keepNext w:val="0"/>
              <w:keepLines w:val="0"/>
              <w:numPr>
                <w:ilvl w:val="0"/>
                <w:numId w:val="6"/>
              </w:numPr>
              <w:suppressLineNumbers w:val="0"/>
              <w:spacing w:beforeAutospacing="0" w:line="360" w:lineRule="auto"/>
              <w:ind w:right="0" w:firstLineChars="0"/>
              <w:jc w:val="center"/>
              <w:rPr>
                <w:rFonts w:hint="eastAsia" w:ascii="宋体" w:hAnsi="宋体" w:eastAsia="宋体" w:cs="宋体"/>
                <w:color w:val="auto"/>
                <w:sz w:val="24"/>
                <w:szCs w:val="24"/>
                <w:highlight w:val="none"/>
              </w:rPr>
            </w:pPr>
          </w:p>
        </w:tc>
        <w:tc>
          <w:tcPr>
            <w:tcW w:w="3112" w:type="pct"/>
            <w:noWrap w:val="0"/>
            <w:vAlign w:val="center"/>
          </w:tcPr>
          <w:p>
            <w:pPr>
              <w:keepNext w:val="0"/>
              <w:keepLines w:val="0"/>
              <w:suppressLineNumbers w:val="0"/>
              <w:spacing w:beforeAutospacing="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强、弱吸唾器</w:t>
            </w:r>
          </w:p>
        </w:tc>
        <w:tc>
          <w:tcPr>
            <w:tcW w:w="894" w:type="pct"/>
            <w:noWrap w:val="0"/>
            <w:vAlign w:val="center"/>
          </w:tcPr>
          <w:p>
            <w:pPr>
              <w:keepNext w:val="0"/>
              <w:keepLines w:val="0"/>
              <w:suppressLineNumbers w:val="0"/>
              <w:spacing w:beforeAutospacing="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92" w:type="pct"/>
            <w:noWrap w:val="0"/>
            <w:vAlign w:val="center"/>
          </w:tcPr>
          <w:p>
            <w:pPr>
              <w:pStyle w:val="12"/>
              <w:keepNext w:val="0"/>
              <w:keepLines w:val="0"/>
              <w:numPr>
                <w:ilvl w:val="0"/>
                <w:numId w:val="6"/>
              </w:numPr>
              <w:suppressLineNumbers w:val="0"/>
              <w:spacing w:beforeAutospacing="0" w:line="360" w:lineRule="auto"/>
              <w:ind w:right="0" w:firstLineChars="0"/>
              <w:jc w:val="center"/>
              <w:rPr>
                <w:rFonts w:hint="eastAsia" w:ascii="宋体" w:hAnsi="宋体" w:eastAsia="宋体" w:cs="宋体"/>
                <w:color w:val="auto"/>
                <w:sz w:val="24"/>
                <w:szCs w:val="24"/>
                <w:highlight w:val="none"/>
              </w:rPr>
            </w:pPr>
          </w:p>
        </w:tc>
        <w:tc>
          <w:tcPr>
            <w:tcW w:w="3112" w:type="pct"/>
            <w:noWrap w:val="0"/>
            <w:vAlign w:val="top"/>
          </w:tcPr>
          <w:p>
            <w:pPr>
              <w:keepNext w:val="0"/>
              <w:keepLines w:val="0"/>
              <w:suppressLineNumbers w:val="0"/>
              <w:spacing w:beforeAutospacing="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医生位全金属三用喷枪</w:t>
            </w:r>
          </w:p>
        </w:tc>
        <w:tc>
          <w:tcPr>
            <w:tcW w:w="894" w:type="pct"/>
            <w:noWrap w:val="0"/>
            <w:vAlign w:val="center"/>
          </w:tcPr>
          <w:p>
            <w:pPr>
              <w:keepNext w:val="0"/>
              <w:keepLines w:val="0"/>
              <w:suppressLineNumbers w:val="0"/>
              <w:spacing w:beforeAutospacing="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92" w:type="pct"/>
            <w:noWrap w:val="0"/>
            <w:vAlign w:val="center"/>
          </w:tcPr>
          <w:p>
            <w:pPr>
              <w:pStyle w:val="12"/>
              <w:keepNext w:val="0"/>
              <w:keepLines w:val="0"/>
              <w:numPr>
                <w:ilvl w:val="0"/>
                <w:numId w:val="6"/>
              </w:numPr>
              <w:suppressLineNumbers w:val="0"/>
              <w:spacing w:beforeAutospacing="0" w:line="360" w:lineRule="auto"/>
              <w:ind w:right="0" w:firstLineChars="0"/>
              <w:jc w:val="center"/>
              <w:rPr>
                <w:rFonts w:hint="eastAsia" w:ascii="宋体" w:hAnsi="宋体" w:eastAsia="宋体" w:cs="宋体"/>
                <w:color w:val="auto"/>
                <w:sz w:val="24"/>
                <w:szCs w:val="24"/>
                <w:highlight w:val="none"/>
              </w:rPr>
            </w:pPr>
          </w:p>
        </w:tc>
        <w:tc>
          <w:tcPr>
            <w:tcW w:w="3112" w:type="pct"/>
            <w:noWrap w:val="0"/>
            <w:vAlign w:val="top"/>
          </w:tcPr>
          <w:p>
            <w:pPr>
              <w:keepNext w:val="0"/>
              <w:keepLines w:val="0"/>
              <w:suppressLineNumbers w:val="0"/>
              <w:spacing w:beforeAutospacing="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手术灯</w:t>
            </w:r>
          </w:p>
        </w:tc>
        <w:tc>
          <w:tcPr>
            <w:tcW w:w="894" w:type="pct"/>
            <w:noWrap w:val="0"/>
            <w:vAlign w:val="center"/>
          </w:tcPr>
          <w:p>
            <w:pPr>
              <w:keepNext w:val="0"/>
              <w:keepLines w:val="0"/>
              <w:suppressLineNumbers w:val="0"/>
              <w:spacing w:beforeAutospacing="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92" w:type="pct"/>
            <w:noWrap w:val="0"/>
            <w:vAlign w:val="center"/>
          </w:tcPr>
          <w:p>
            <w:pPr>
              <w:pStyle w:val="12"/>
              <w:keepNext w:val="0"/>
              <w:keepLines w:val="0"/>
              <w:numPr>
                <w:ilvl w:val="0"/>
                <w:numId w:val="6"/>
              </w:numPr>
              <w:suppressLineNumbers w:val="0"/>
              <w:spacing w:beforeAutospacing="0" w:line="360" w:lineRule="auto"/>
              <w:ind w:right="0" w:firstLineChars="0"/>
              <w:jc w:val="center"/>
              <w:rPr>
                <w:rFonts w:hint="eastAsia" w:ascii="宋体" w:hAnsi="宋体" w:eastAsia="宋体" w:cs="宋体"/>
                <w:color w:val="auto"/>
                <w:sz w:val="24"/>
                <w:szCs w:val="24"/>
                <w:highlight w:val="none"/>
              </w:rPr>
            </w:pPr>
          </w:p>
        </w:tc>
        <w:tc>
          <w:tcPr>
            <w:tcW w:w="3112" w:type="pct"/>
            <w:noWrap w:val="0"/>
            <w:vAlign w:val="top"/>
          </w:tcPr>
          <w:p>
            <w:pPr>
              <w:keepNext w:val="0"/>
              <w:keepLines w:val="0"/>
              <w:suppressLineNumbers w:val="0"/>
              <w:spacing w:beforeAutospacing="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医生椅</w:t>
            </w:r>
          </w:p>
        </w:tc>
        <w:tc>
          <w:tcPr>
            <w:tcW w:w="894" w:type="pct"/>
            <w:noWrap w:val="0"/>
            <w:vAlign w:val="center"/>
          </w:tcPr>
          <w:p>
            <w:pPr>
              <w:keepNext w:val="0"/>
              <w:keepLines w:val="0"/>
              <w:suppressLineNumbers w:val="0"/>
              <w:spacing w:beforeAutospacing="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1张</w:t>
            </w:r>
          </w:p>
        </w:tc>
      </w:tr>
    </w:tbl>
    <w:p>
      <w:pPr>
        <w:pStyle w:val="2"/>
        <w:spacing w:line="360" w:lineRule="auto"/>
        <w:ind w:left="0" w:leftChars="0" w:firstLine="0" w:firstLineChars="0"/>
        <w:rPr>
          <w:rFonts w:eastAsiaTheme="minorEastAsia"/>
          <w:sz w:val="24"/>
          <w:szCs w:val="24"/>
          <w:lang w:eastAsia="zh-CN"/>
        </w:rPr>
      </w:pPr>
    </w:p>
    <w:p>
      <w:pPr>
        <w:spacing w:line="360" w:lineRule="auto"/>
        <w:rPr>
          <w:sz w:val="24"/>
          <w:szCs w:val="24"/>
          <w:lang w:eastAsia="zh-CN"/>
        </w:rPr>
      </w:pPr>
    </w:p>
    <w:sectPr>
      <w:pgSz w:w="11900" w:h="16840"/>
      <w:pgMar w:top="1237" w:right="1429" w:bottom="1534" w:left="1180" w:header="809" w:footer="1106" w:gutter="0"/>
      <w:pgNumType w:start="1"/>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Arial Unicode MS">
    <w:altName w:val="Arial"/>
    <w:panose1 w:val="020B0604020202020204"/>
    <w:charset w:val="80"/>
    <w:family w:val="swiss"/>
    <w:pitch w:val="default"/>
    <w:sig w:usb0="00000000" w:usb1="00000000"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C5E544"/>
    <w:multiLevelType w:val="singleLevel"/>
    <w:tmpl w:val="A2C5E544"/>
    <w:lvl w:ilvl="0" w:tentative="0">
      <w:start w:val="1"/>
      <w:numFmt w:val="chineseCounting"/>
      <w:suff w:val="nothing"/>
      <w:lvlText w:val="%1、"/>
      <w:lvlJc w:val="left"/>
      <w:rPr>
        <w:rFonts w:hint="eastAsia"/>
      </w:rPr>
    </w:lvl>
  </w:abstractNum>
  <w:abstractNum w:abstractNumId="1">
    <w:nsid w:val="00000017"/>
    <w:multiLevelType w:val="multilevel"/>
    <w:tmpl w:val="00000017"/>
    <w:lvl w:ilvl="0" w:tentative="0">
      <w:start w:val="1"/>
      <w:numFmt w:val="chineseCountingThousand"/>
      <w:lvlText w:val="%1"/>
      <w:lvlJc w:val="left"/>
      <w:pPr>
        <w:tabs>
          <w:tab w:val="left" w:pos="420"/>
        </w:tabs>
        <w:ind w:left="420" w:hanging="420"/>
      </w:pPr>
      <w:rPr>
        <w:rFonts w:hint="eastAsia"/>
        <w:b/>
        <w:i w:val="0"/>
        <w:sz w:val="28"/>
        <w:szCs w:val="28"/>
      </w:rPr>
    </w:lvl>
    <w:lvl w:ilvl="1" w:tentative="0">
      <w:start w:val="1"/>
      <w:numFmt w:val="none"/>
      <w:pStyle w:val="3"/>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suff w:val="nothing"/>
      <w:lvlText w:val=""/>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2">
    <w:nsid w:val="25683D5D"/>
    <w:multiLevelType w:val="multilevel"/>
    <w:tmpl w:val="25683D5D"/>
    <w:lvl w:ilvl="0" w:tentative="0">
      <w:start w:val="1"/>
      <w:numFmt w:val="decimal"/>
      <w:lvlText w:val="%1"/>
      <w:lvlJc w:val="left"/>
      <w:pPr>
        <w:ind w:left="0" w:firstLine="0"/>
      </w:pPr>
      <w:rPr>
        <w:rFonts w:hint="eastAsia"/>
        <w:b/>
        <w:bCs/>
        <w:color w:val="auto"/>
      </w:rPr>
    </w:lvl>
    <w:lvl w:ilvl="1" w:tentative="0">
      <w:start w:val="1"/>
      <w:numFmt w:val="decimal"/>
      <w:lvlText w:val="%1.%2"/>
      <w:lvlJc w:val="left"/>
      <w:pPr>
        <w:ind w:left="357" w:hanging="357"/>
      </w:pPr>
      <w:rPr>
        <w:rFonts w:hint="eastAsia"/>
        <w:color w:val="auto"/>
      </w:rPr>
    </w:lvl>
    <w:lvl w:ilvl="2" w:tentative="0">
      <w:start w:val="1"/>
      <w:numFmt w:val="decimal"/>
      <w:lvlText w:val="%1.%2.%3"/>
      <w:lvlJc w:val="left"/>
      <w:pPr>
        <w:ind w:left="357" w:hanging="357"/>
      </w:pPr>
      <w:rPr>
        <w:rFonts w:hint="eastAsia"/>
        <w:color w:val="auto"/>
      </w:rPr>
    </w:lvl>
    <w:lvl w:ilvl="3" w:tentative="0">
      <w:start w:val="1"/>
      <w:numFmt w:val="decimal"/>
      <w:lvlText w:val="%1.%2.%3.%4"/>
      <w:lvlJc w:val="left"/>
      <w:pPr>
        <w:ind w:left="357" w:hanging="357"/>
      </w:pPr>
      <w:rPr>
        <w:rFonts w:hint="eastAsia"/>
        <w:color w:val="auto"/>
      </w:rPr>
    </w:lvl>
    <w:lvl w:ilvl="4" w:tentative="0">
      <w:start w:val="1"/>
      <w:numFmt w:val="decimal"/>
      <w:lvlText w:val="%1.%2.%3.%4.%5"/>
      <w:lvlJc w:val="left"/>
      <w:pPr>
        <w:ind w:left="357" w:hanging="357"/>
      </w:pPr>
      <w:rPr>
        <w:rFonts w:hint="eastAsia"/>
      </w:rPr>
    </w:lvl>
    <w:lvl w:ilvl="5" w:tentative="0">
      <w:start w:val="1"/>
      <w:numFmt w:val="decimal"/>
      <w:lvlText w:val="%1.%2.%3.%4.%5.%6."/>
      <w:lvlJc w:val="left"/>
      <w:pPr>
        <w:ind w:left="357" w:hanging="357"/>
      </w:pPr>
      <w:rPr>
        <w:rFonts w:hint="eastAsia"/>
      </w:rPr>
    </w:lvl>
    <w:lvl w:ilvl="6" w:tentative="0">
      <w:start w:val="1"/>
      <w:numFmt w:val="decimal"/>
      <w:lvlText w:val="%1.%2.%3.%4.%5.%6.%7."/>
      <w:lvlJc w:val="left"/>
      <w:pPr>
        <w:ind w:left="357" w:hanging="357"/>
      </w:pPr>
      <w:rPr>
        <w:rFonts w:hint="eastAsia"/>
      </w:rPr>
    </w:lvl>
    <w:lvl w:ilvl="7" w:tentative="0">
      <w:start w:val="1"/>
      <w:numFmt w:val="decimal"/>
      <w:lvlText w:val="%1.%2.%3.%4.%5.%6.%7.%8."/>
      <w:lvlJc w:val="left"/>
      <w:pPr>
        <w:ind w:left="357" w:hanging="357"/>
      </w:pPr>
      <w:rPr>
        <w:rFonts w:hint="eastAsia"/>
      </w:rPr>
    </w:lvl>
    <w:lvl w:ilvl="8" w:tentative="0">
      <w:start w:val="1"/>
      <w:numFmt w:val="decimal"/>
      <w:lvlText w:val="%1.%2.%3.%4.%5.%6.%7.%8.%9."/>
      <w:lvlJc w:val="left"/>
      <w:pPr>
        <w:ind w:left="357" w:hanging="357"/>
      </w:pPr>
      <w:rPr>
        <w:rFonts w:hint="eastAsia"/>
      </w:rPr>
    </w:lvl>
  </w:abstractNum>
  <w:abstractNum w:abstractNumId="3">
    <w:nsid w:val="256C5960"/>
    <w:multiLevelType w:val="multilevel"/>
    <w:tmpl w:val="256C5960"/>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B1323C1"/>
    <w:multiLevelType w:val="multilevel"/>
    <w:tmpl w:val="5B1323C1"/>
    <w:lvl w:ilvl="0" w:tentative="0">
      <w:start w:val="1"/>
      <w:numFmt w:val="decimal"/>
      <w:lvlText w:val="%1."/>
      <w:lvlJc w:val="left"/>
      <w:pPr>
        <w:ind w:left="360" w:hanging="360"/>
      </w:pPr>
      <w:rPr>
        <w:rFonts w:hint="default"/>
      </w:rPr>
    </w:lvl>
    <w:lvl w:ilvl="1" w:tentative="0">
      <w:start w:val="1"/>
      <w:numFmt w:val="decimal"/>
      <w:isLgl/>
      <w:lvlText w:val="%1.%2"/>
      <w:lvlJc w:val="left"/>
      <w:pPr>
        <w:ind w:left="735" w:hanging="375"/>
      </w:pPr>
      <w:rPr>
        <w:rFonts w:hint="default"/>
      </w:rPr>
    </w:lvl>
    <w:lvl w:ilvl="2" w:tentative="0">
      <w:start w:val="1"/>
      <w:numFmt w:val="decimal"/>
      <w:isLgl/>
      <w:lvlText w:val="%1.%2.%3"/>
      <w:lvlJc w:val="left"/>
      <w:pPr>
        <w:ind w:left="1440" w:hanging="720"/>
      </w:pPr>
      <w:rPr>
        <w:rFonts w:hint="default"/>
      </w:rPr>
    </w:lvl>
    <w:lvl w:ilvl="3" w:tentative="0">
      <w:start w:val="1"/>
      <w:numFmt w:val="decimal"/>
      <w:isLgl/>
      <w:lvlText w:val="%1.%2.%3.%4"/>
      <w:lvlJc w:val="left"/>
      <w:pPr>
        <w:ind w:left="1800" w:hanging="720"/>
      </w:pPr>
      <w:rPr>
        <w:rFonts w:hint="default"/>
      </w:rPr>
    </w:lvl>
    <w:lvl w:ilvl="4" w:tentative="0">
      <w:start w:val="1"/>
      <w:numFmt w:val="decimal"/>
      <w:isLgl/>
      <w:lvlText w:val="%1.%2.%3.%4.%5"/>
      <w:lvlJc w:val="left"/>
      <w:pPr>
        <w:ind w:left="2520" w:hanging="1080"/>
      </w:pPr>
      <w:rPr>
        <w:rFonts w:hint="default"/>
      </w:rPr>
    </w:lvl>
    <w:lvl w:ilvl="5" w:tentative="0">
      <w:start w:val="1"/>
      <w:numFmt w:val="decimal"/>
      <w:isLgl/>
      <w:lvlText w:val="%1.%2.%3.%4.%5.%6"/>
      <w:lvlJc w:val="left"/>
      <w:pPr>
        <w:ind w:left="2880" w:hanging="1080"/>
      </w:pPr>
      <w:rPr>
        <w:rFonts w:hint="default"/>
      </w:rPr>
    </w:lvl>
    <w:lvl w:ilvl="6" w:tentative="0">
      <w:start w:val="1"/>
      <w:numFmt w:val="decimal"/>
      <w:isLgl/>
      <w:lvlText w:val="%1.%2.%3.%4.%5.%6.%7"/>
      <w:lvlJc w:val="left"/>
      <w:pPr>
        <w:ind w:left="3600" w:hanging="1440"/>
      </w:pPr>
      <w:rPr>
        <w:rFonts w:hint="default"/>
      </w:rPr>
    </w:lvl>
    <w:lvl w:ilvl="7" w:tentative="0">
      <w:start w:val="1"/>
      <w:numFmt w:val="decimal"/>
      <w:isLgl/>
      <w:lvlText w:val="%1.%2.%3.%4.%5.%6.%7.%8"/>
      <w:lvlJc w:val="left"/>
      <w:pPr>
        <w:ind w:left="3960" w:hanging="1440"/>
      </w:pPr>
      <w:rPr>
        <w:rFonts w:hint="default"/>
      </w:rPr>
    </w:lvl>
    <w:lvl w:ilvl="8" w:tentative="0">
      <w:start w:val="1"/>
      <w:numFmt w:val="decimal"/>
      <w:isLgl/>
      <w:lvlText w:val="%1.%2.%3.%4.%5.%6.%7.%8.%9"/>
      <w:lvlJc w:val="left"/>
      <w:pPr>
        <w:ind w:left="4680" w:hanging="1800"/>
      </w:pPr>
      <w:rPr>
        <w:rFonts w:hint="default"/>
      </w:rPr>
    </w:lvl>
  </w:abstractNum>
  <w:num w:numId="1">
    <w:abstractNumId w:val="1"/>
  </w:num>
  <w:num w:numId="2">
    <w:abstractNumId w:val="2"/>
  </w:num>
  <w:num w:numId="3">
    <w:abstractNumId w:val="2"/>
    <w:lvlOverride w:ilvl="0">
      <w:lvl w:ilvl="0" w:tentative="1">
        <w:start w:val="1"/>
        <w:numFmt w:val="decimal"/>
        <w:lvlText w:val="%1"/>
        <w:lvlJc w:val="left"/>
        <w:pPr>
          <w:ind w:left="0" w:firstLine="0"/>
        </w:pPr>
        <w:rPr>
          <w:rFonts w:hint="eastAsia"/>
        </w:rPr>
      </w:lvl>
    </w:lvlOverride>
    <w:lvlOverride w:ilvl="1">
      <w:lvl w:ilvl="1" w:tentative="1">
        <w:start w:val="1"/>
        <w:numFmt w:val="decimal"/>
        <w:lvlText w:val="%1.%2."/>
        <w:lvlJc w:val="left"/>
        <w:pPr>
          <w:ind w:left="357" w:hanging="357"/>
        </w:pPr>
        <w:rPr>
          <w:rFonts w:hint="eastAsia"/>
        </w:rPr>
      </w:lvl>
    </w:lvlOverride>
    <w:lvlOverride w:ilvl="2">
      <w:lvl w:ilvl="2" w:tentative="1">
        <w:start w:val="1"/>
        <w:numFmt w:val="decimal"/>
        <w:lvlText w:val="%1.%2.%3"/>
        <w:lvlJc w:val="left"/>
        <w:pPr>
          <w:ind w:left="357" w:hanging="357"/>
        </w:pPr>
        <w:rPr>
          <w:rFonts w:hint="eastAsia"/>
        </w:rPr>
      </w:lvl>
    </w:lvlOverride>
    <w:lvlOverride w:ilvl="3">
      <w:lvl w:ilvl="3" w:tentative="1">
        <w:start w:val="1"/>
        <w:numFmt w:val="decimal"/>
        <w:lvlText w:val="%1.%2.%3.%4"/>
        <w:lvlJc w:val="left"/>
        <w:pPr>
          <w:ind w:left="357" w:hanging="357"/>
        </w:pPr>
        <w:rPr>
          <w:rFonts w:hint="eastAsia"/>
        </w:rPr>
      </w:lvl>
    </w:lvlOverride>
    <w:lvlOverride w:ilvl="4">
      <w:lvl w:ilvl="4" w:tentative="1">
        <w:start w:val="1"/>
        <w:numFmt w:val="decimal"/>
        <w:lvlText w:val="%1.%2.%3.%4.%5."/>
        <w:lvlJc w:val="left"/>
        <w:pPr>
          <w:ind w:left="357" w:hanging="357"/>
        </w:pPr>
        <w:rPr>
          <w:rFonts w:hint="eastAsia"/>
        </w:rPr>
      </w:lvl>
    </w:lvlOverride>
    <w:lvlOverride w:ilvl="5">
      <w:lvl w:ilvl="5" w:tentative="1">
        <w:start w:val="1"/>
        <w:numFmt w:val="decimal"/>
        <w:lvlText w:val="%1.%2.%3.%4.%5.%6."/>
        <w:lvlJc w:val="left"/>
        <w:pPr>
          <w:ind w:left="357" w:hanging="357"/>
        </w:pPr>
        <w:rPr>
          <w:rFonts w:hint="eastAsia"/>
        </w:rPr>
      </w:lvl>
    </w:lvlOverride>
    <w:lvlOverride w:ilvl="6">
      <w:lvl w:ilvl="6" w:tentative="1">
        <w:start w:val="1"/>
        <w:numFmt w:val="decimal"/>
        <w:lvlText w:val="%1.%2.%3.%4.%5.%6.%7."/>
        <w:lvlJc w:val="left"/>
        <w:pPr>
          <w:ind w:left="357" w:hanging="357"/>
        </w:pPr>
        <w:rPr>
          <w:rFonts w:hint="eastAsia"/>
        </w:rPr>
      </w:lvl>
    </w:lvlOverride>
    <w:lvlOverride w:ilvl="7">
      <w:lvl w:ilvl="7" w:tentative="1">
        <w:start w:val="1"/>
        <w:numFmt w:val="decimal"/>
        <w:lvlText w:val="%1.%2.%3.%4.%5.%6.%7.%8."/>
        <w:lvlJc w:val="left"/>
        <w:pPr>
          <w:ind w:left="357" w:hanging="357"/>
        </w:pPr>
        <w:rPr>
          <w:rFonts w:hint="eastAsia"/>
        </w:rPr>
      </w:lvl>
    </w:lvlOverride>
    <w:lvlOverride w:ilvl="8">
      <w:lvl w:ilvl="8" w:tentative="1">
        <w:start w:val="1"/>
        <w:numFmt w:val="decimal"/>
        <w:lvlText w:val="%1.%2.%3.%4.%5.%6.%7.%8.%9."/>
        <w:lvlJc w:val="left"/>
        <w:pPr>
          <w:ind w:left="357" w:hanging="357"/>
        </w:pPr>
        <w:rPr>
          <w:rFonts w:hint="eastAsia"/>
        </w:rPr>
      </w:lvl>
    </w:lvlOverride>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81"/>
  <w:drawingGridVerticalSpacing w:val="181"/>
  <w:displayHorizontalDrawingGridEvery w:val="1"/>
  <w:displayVerticalDrawingGridEvery w:val="1"/>
  <w:noPunctuationKerning w:val="1"/>
  <w:characterSpacingControl w:val="compressPunctuation"/>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2"/>
  </w:compat>
  <w:docVars>
    <w:docVar w:name="commondata" w:val="eyJoZGlkIjoiNzA1MGIyMjdjZmExNzdiYjM4MmQ3ZGUzNDMwMTgyYzEifQ=="/>
  </w:docVars>
  <w:rsids>
    <w:rsidRoot w:val="007D2A83"/>
    <w:rsid w:val="00003312"/>
    <w:rsid w:val="00213F8C"/>
    <w:rsid w:val="00366321"/>
    <w:rsid w:val="005255C7"/>
    <w:rsid w:val="007C54C7"/>
    <w:rsid w:val="007D2A83"/>
    <w:rsid w:val="10F25B74"/>
    <w:rsid w:val="1B5763C6"/>
    <w:rsid w:val="1E497CB6"/>
    <w:rsid w:val="4E542FA3"/>
    <w:rsid w:val="6EFF6B7A"/>
    <w:rsid w:val="729F7423"/>
    <w:rsid w:val="7FFDD8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Pr>
    <w:rPr>
      <w:rFonts w:ascii="Times New Roman" w:hAnsi="Times New Roman" w:eastAsia="Times New Roman" w:cs="Times New Roman"/>
      <w:color w:val="000000"/>
      <w:sz w:val="24"/>
      <w:szCs w:val="24"/>
      <w:lang w:val="en-US" w:eastAsia="en-US" w:bidi="en-US"/>
    </w:rPr>
  </w:style>
  <w:style w:type="paragraph" w:styleId="2">
    <w:name w:val="heading 1"/>
    <w:basedOn w:val="1"/>
    <w:next w:val="1"/>
    <w:qFormat/>
    <w:uiPriority w:val="0"/>
    <w:pPr>
      <w:keepNext/>
      <w:keepLines/>
      <w:spacing w:before="340" w:beforeLines="0" w:after="330" w:afterLines="0" w:line="576" w:lineRule="auto"/>
      <w:ind w:firstLine="525"/>
      <w:outlineLvl w:val="0"/>
    </w:pPr>
    <w:rPr>
      <w:b/>
      <w:kern w:val="44"/>
      <w:sz w:val="28"/>
    </w:rPr>
  </w:style>
  <w:style w:type="paragraph" w:styleId="3">
    <w:name w:val="heading 2"/>
    <w:basedOn w:val="1"/>
    <w:next w:val="1"/>
    <w:qFormat/>
    <w:uiPriority w:val="0"/>
    <w:pPr>
      <w:keepNext/>
      <w:numPr>
        <w:ilvl w:val="1"/>
        <w:numId w:val="1"/>
      </w:numPr>
      <w:outlineLvl w:val="1"/>
    </w:pPr>
    <w:rPr>
      <w:sz w:val="28"/>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1"/>
    <w:qFormat/>
    <w:uiPriority w:val="0"/>
    <w:pPr>
      <w:tabs>
        <w:tab w:val="center" w:pos="4153"/>
        <w:tab w:val="right" w:pos="8306"/>
      </w:tabs>
      <w:snapToGrid w:val="0"/>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Other|1_"/>
    <w:basedOn w:val="7"/>
    <w:link w:val="9"/>
    <w:qFormat/>
    <w:uiPriority w:val="0"/>
    <w:rPr>
      <w:rFonts w:ascii="宋体" w:hAnsi="宋体" w:eastAsia="宋体" w:cs="宋体"/>
      <w:u w:val="none"/>
      <w:shd w:val="clear" w:color="auto" w:fill="auto"/>
      <w:lang w:val="zh-TW" w:eastAsia="zh-TW" w:bidi="zh-TW"/>
    </w:rPr>
  </w:style>
  <w:style w:type="paragraph" w:customStyle="1" w:styleId="9">
    <w:name w:val="Other|1"/>
    <w:basedOn w:val="1"/>
    <w:link w:val="8"/>
    <w:qFormat/>
    <w:uiPriority w:val="0"/>
    <w:pPr>
      <w:ind w:firstLine="380"/>
    </w:pPr>
    <w:rPr>
      <w:rFonts w:ascii="宋体" w:hAnsi="宋体" w:eastAsia="宋体" w:cs="宋体"/>
      <w:lang w:val="zh-TW" w:eastAsia="zh-TW" w:bidi="zh-TW"/>
    </w:rPr>
  </w:style>
  <w:style w:type="character" w:customStyle="1" w:styleId="10">
    <w:name w:val="页眉 Char"/>
    <w:basedOn w:val="7"/>
    <w:link w:val="5"/>
    <w:qFormat/>
    <w:uiPriority w:val="0"/>
    <w:rPr>
      <w:rFonts w:eastAsia="Times New Roman"/>
      <w:color w:val="000000"/>
      <w:sz w:val="18"/>
      <w:szCs w:val="18"/>
      <w:lang w:eastAsia="en-US" w:bidi="en-US"/>
    </w:rPr>
  </w:style>
  <w:style w:type="character" w:customStyle="1" w:styleId="11">
    <w:name w:val="页脚 Char"/>
    <w:basedOn w:val="7"/>
    <w:link w:val="4"/>
    <w:qFormat/>
    <w:uiPriority w:val="0"/>
    <w:rPr>
      <w:rFonts w:eastAsia="Times New Roman"/>
      <w:color w:val="000000"/>
      <w:sz w:val="18"/>
      <w:szCs w:val="18"/>
      <w:lang w:eastAsia="en-US" w:bidi="en-US"/>
    </w:rPr>
  </w:style>
  <w:style w:type="paragraph" w:styleId="1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24</Pages>
  <Words>9537</Words>
  <Characters>11559</Characters>
  <Lines>1</Lines>
  <Paragraphs>1</Paragraphs>
  <TotalTime>13</TotalTime>
  <ScaleCrop>false</ScaleCrop>
  <LinksUpToDate>false</LinksUpToDate>
  <CharactersWithSpaces>12152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2022-06-17T18:39:00Z</dcterms:created>
  <dc:creator>Administrator</dc:creator>
  <cp:lastModifiedBy>黑白灰</cp:lastModifiedBy>
  <dcterms:modified xsi:type="dcterms:W3CDTF">2023-04-25T07:52:18Z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F4392293E7A04B7C91DA00E6B845D278</vt:lpwstr>
  </property>
</Properties>
</file>