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numPr>
          <w:ilvl w:val="0"/>
          <w:numId w:val="0"/>
        </w:numPr>
        <w:autoSpaceDE w:val="0"/>
        <w:autoSpaceDN w:val="0"/>
        <w:adjustRightInd w:val="0"/>
        <w:spacing w:before="0" w:beforeLines="-2147483648" w:beforeAutospacing="0" w:after="0" w:afterLines="-2147483648" w:afterAutospacing="0" w:line="360" w:lineRule="auto"/>
        <w:ind w:left="0" w:firstLine="0" w:firstLineChars="0"/>
        <w:jc w:val="center"/>
        <w:rPr>
          <w:rFonts w:hint="eastAsia" w:ascii="仿宋_GB2312" w:hAnsi="仿宋_GB2312" w:eastAsia="仿宋_GB2312" w:cs="仿宋_GB2312"/>
          <w:bCs/>
          <w:color w:val="000000"/>
          <w:kern w:val="0"/>
          <w:sz w:val="32"/>
          <w:szCs w:val="32"/>
          <w:lang w:val="en-US" w:eastAsia="zh-CN"/>
        </w:rPr>
      </w:pPr>
      <w:bookmarkStart w:id="22" w:name="_GoBack"/>
      <w:bookmarkEnd w:id="22"/>
      <w:r>
        <w:rPr>
          <w:rFonts w:hint="eastAsia" w:ascii="仿宋_GB2312" w:hAnsi="仿宋_GB2312" w:eastAsia="仿宋_GB2312" w:cs="仿宋_GB2312"/>
          <w:bCs/>
          <w:color w:val="000000"/>
          <w:kern w:val="0"/>
          <w:sz w:val="32"/>
          <w:szCs w:val="32"/>
        </w:rPr>
        <w:t>广东省医疗保障信息平台佛山本地化运营及业财对接服务（2024-2025年）项目采购</w:t>
      </w:r>
      <w:r>
        <w:rPr>
          <w:rFonts w:hint="eastAsia" w:ascii="仿宋_GB2312" w:hAnsi="仿宋_GB2312" w:eastAsia="仿宋_GB2312" w:cs="仿宋_GB2312"/>
          <w:bCs/>
          <w:color w:val="000000"/>
          <w:kern w:val="0"/>
          <w:sz w:val="32"/>
          <w:szCs w:val="32"/>
          <w:lang w:eastAsia="zh-CN"/>
        </w:rPr>
        <w:t>需求</w:t>
      </w:r>
    </w:p>
    <w:p>
      <w:pPr>
        <w:keepNext w:val="0"/>
        <w:keepLines w:val="0"/>
        <w:pageBreakBefore w:val="0"/>
        <w:widowControl w:val="0"/>
        <w:tabs>
          <w:tab w:val="left" w:pos="284"/>
        </w:tabs>
        <w:kinsoku/>
        <w:wordWrap/>
        <w:overflowPunct/>
        <w:topLinePunct w:val="0"/>
        <w:autoSpaceDE/>
        <w:autoSpaceDN/>
        <w:bidi w:val="0"/>
        <w:adjustRightInd/>
        <w:snapToGrid/>
        <w:spacing w:line="360" w:lineRule="auto"/>
        <w:textAlignment w:val="auto"/>
        <w:outlineLvl w:val="9"/>
        <w:rPr>
          <w:rFonts w:hint="eastAsia" w:ascii="宋体" w:hAnsi="宋体" w:eastAsia="宋体" w:cs="宋体"/>
          <w:b/>
          <w:sz w:val="28"/>
          <w:szCs w:val="28"/>
        </w:rPr>
      </w:pPr>
    </w:p>
    <w:p>
      <w:pPr>
        <w:keepNext w:val="0"/>
        <w:keepLines w:val="0"/>
        <w:pageBreakBefore w:val="0"/>
        <w:widowControl w:val="0"/>
        <w:tabs>
          <w:tab w:val="left" w:pos="284"/>
        </w:tabs>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8"/>
          <w:szCs w:val="28"/>
          <w:lang w:val="en-GB" w:eastAsia="zh-CN"/>
        </w:rPr>
      </w:pPr>
      <w:r>
        <w:rPr>
          <w:rFonts w:hint="eastAsia" w:ascii="宋体" w:hAnsi="宋体" w:eastAsia="宋体" w:cs="宋体"/>
          <w:b/>
          <w:sz w:val="28"/>
          <w:szCs w:val="28"/>
        </w:rPr>
        <w:t>一、</w:t>
      </w:r>
      <w:r>
        <w:rPr>
          <w:rFonts w:hint="eastAsia" w:ascii="宋体" w:hAnsi="宋体" w:eastAsia="宋体" w:cs="宋体"/>
          <w:b/>
          <w:sz w:val="28"/>
          <w:szCs w:val="28"/>
          <w:lang w:val="en-GB"/>
        </w:rPr>
        <w:t>项目</w:t>
      </w:r>
      <w:r>
        <w:rPr>
          <w:rFonts w:hint="eastAsia" w:ascii="宋体" w:hAnsi="宋体" w:eastAsia="宋体" w:cs="宋体"/>
          <w:b/>
          <w:sz w:val="28"/>
          <w:szCs w:val="28"/>
          <w:lang w:eastAsia="zh-CN"/>
        </w:rPr>
        <w:t>概况</w:t>
      </w:r>
    </w:p>
    <w:tbl>
      <w:tblPr>
        <w:tblStyle w:val="16"/>
        <w:tblW w:w="5105"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0"/>
        <w:gridCol w:w="1228"/>
        <w:gridCol w:w="2751"/>
        <w:gridCol w:w="1026"/>
        <w:gridCol w:w="2185"/>
        <w:gridCol w:w="85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15" w:hRule="atLeast"/>
        </w:trPr>
        <w:tc>
          <w:tcPr>
            <w:tcW w:w="379" w:type="pct"/>
            <w:noWrap w:val="0"/>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序号</w:t>
            </w:r>
          </w:p>
        </w:tc>
        <w:tc>
          <w:tcPr>
            <w:tcW w:w="705" w:type="pct"/>
            <w:noWrap w:val="0"/>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品目名称</w:t>
            </w:r>
          </w:p>
        </w:tc>
        <w:tc>
          <w:tcPr>
            <w:tcW w:w="1580" w:type="pct"/>
            <w:noWrap w:val="0"/>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项目名称</w:t>
            </w:r>
          </w:p>
        </w:tc>
        <w:tc>
          <w:tcPr>
            <w:tcW w:w="589" w:type="pct"/>
            <w:noWrap w:val="0"/>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采购</w:t>
            </w:r>
          </w:p>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方式</w:t>
            </w:r>
          </w:p>
        </w:tc>
        <w:tc>
          <w:tcPr>
            <w:tcW w:w="1255" w:type="pct"/>
            <w:noWrap w:val="0"/>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品目预算(元)</w:t>
            </w:r>
          </w:p>
        </w:tc>
        <w:tc>
          <w:tcPr>
            <w:tcW w:w="489" w:type="pct"/>
            <w:noWrap w:val="0"/>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服务</w:t>
            </w:r>
          </w:p>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bCs/>
                <w:color w:val="auto"/>
                <w:sz w:val="24"/>
                <w:szCs w:val="24"/>
                <w:lang w:val="en-US"/>
              </w:rPr>
            </w:pPr>
            <w:r>
              <w:rPr>
                <w:rFonts w:hint="eastAsia" w:ascii="宋体" w:hAnsi="宋体" w:eastAsia="宋体" w:cs="宋体"/>
                <w:b/>
                <w:bCs/>
                <w:color w:val="auto"/>
                <w:sz w:val="24"/>
                <w:szCs w:val="24"/>
                <w:lang w:val="en-US" w:eastAsia="zh-CN"/>
              </w:rPr>
              <w:t>时限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32" w:hRule="atLeast"/>
        </w:trPr>
        <w:tc>
          <w:tcPr>
            <w:tcW w:w="379" w:type="pct"/>
            <w:noWrap w:val="0"/>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4"/>
                <w:szCs w:val="24"/>
                <w:lang w:val="en-US" w:eastAsia="zh-CN"/>
              </w:rPr>
            </w:pPr>
            <w:bookmarkStart w:id="0" w:name="_Toc17831"/>
            <w:bookmarkStart w:id="1" w:name="_Toc28574"/>
            <w:bookmarkStart w:id="2" w:name="_Toc17534"/>
            <w:bookmarkStart w:id="3" w:name="_Toc10192"/>
            <w:bookmarkStart w:id="4" w:name="_Toc9568"/>
            <w:bookmarkStart w:id="5" w:name="_Toc4420"/>
            <w:bookmarkStart w:id="6" w:name="_Toc11595"/>
            <w:bookmarkStart w:id="7" w:name="_Toc14154"/>
            <w:r>
              <w:rPr>
                <w:rFonts w:hint="eastAsia" w:cs="宋体"/>
                <w:color w:val="auto"/>
                <w:sz w:val="24"/>
                <w:szCs w:val="24"/>
                <w:lang w:val="en-US" w:eastAsia="zh-CN"/>
              </w:rPr>
              <w:t>1</w:t>
            </w:r>
          </w:p>
        </w:tc>
        <w:tc>
          <w:tcPr>
            <w:tcW w:w="705" w:type="pct"/>
            <w:noWrap w:val="0"/>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平台运营服务</w:t>
            </w:r>
          </w:p>
        </w:tc>
        <w:tc>
          <w:tcPr>
            <w:tcW w:w="1580" w:type="pct"/>
            <w:noWrap w:val="0"/>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广东省医疗保障信息平台佛山本地化运营及业财对接服务（2024-2025年）项目</w:t>
            </w:r>
          </w:p>
        </w:tc>
        <w:tc>
          <w:tcPr>
            <w:tcW w:w="589" w:type="pct"/>
            <w:noWrap w:val="0"/>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公开招标</w:t>
            </w:r>
          </w:p>
        </w:tc>
        <w:tc>
          <w:tcPr>
            <w:tcW w:w="1255" w:type="pct"/>
            <w:noWrap w:val="0"/>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4</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263</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2</w:t>
            </w:r>
            <w:r>
              <w:rPr>
                <w:rFonts w:hint="eastAsia" w:ascii="宋体" w:hAnsi="宋体" w:eastAsia="宋体" w:cs="宋体"/>
                <w:color w:val="auto"/>
                <w:sz w:val="24"/>
                <w:szCs w:val="24"/>
                <w:lang w:val="en-US" w:eastAsia="zh-CN"/>
              </w:rPr>
              <w:t>50.00元</w:t>
            </w:r>
          </w:p>
        </w:tc>
        <w:tc>
          <w:tcPr>
            <w:tcW w:w="489" w:type="pct"/>
            <w:noWrap w:val="0"/>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一年</w:t>
            </w:r>
          </w:p>
        </w:tc>
      </w:tr>
    </w:tbl>
    <w:p>
      <w:pPr>
        <w:keepNext w:val="0"/>
        <w:keepLines w:val="0"/>
        <w:pageBreakBefore w:val="0"/>
        <w:widowControl w:val="0"/>
        <w:tabs>
          <w:tab w:val="left" w:pos="284"/>
        </w:tabs>
        <w:kinsoku/>
        <w:wordWrap/>
        <w:overflowPunct/>
        <w:topLinePunct w:val="0"/>
        <w:autoSpaceDE/>
        <w:autoSpaceDN/>
        <w:bidi w:val="0"/>
        <w:adjustRightInd/>
        <w:snapToGrid/>
        <w:spacing w:line="336" w:lineRule="auto"/>
        <w:textAlignment w:val="auto"/>
        <w:outlineLvl w:val="9"/>
        <w:rPr>
          <w:rFonts w:hint="eastAsia" w:ascii="宋体" w:hAnsi="宋体" w:cs="宋体"/>
          <w:b/>
          <w:sz w:val="28"/>
          <w:szCs w:val="28"/>
          <w:lang w:eastAsia="zh-CN"/>
        </w:rPr>
      </w:pPr>
    </w:p>
    <w:p>
      <w:pPr>
        <w:keepNext w:val="0"/>
        <w:keepLines w:val="0"/>
        <w:pageBreakBefore w:val="0"/>
        <w:widowControl w:val="0"/>
        <w:tabs>
          <w:tab w:val="left" w:pos="284"/>
        </w:tabs>
        <w:kinsoku/>
        <w:wordWrap/>
        <w:overflowPunct/>
        <w:topLinePunct w:val="0"/>
        <w:autoSpaceDE/>
        <w:autoSpaceDN/>
        <w:bidi w:val="0"/>
        <w:adjustRightInd/>
        <w:snapToGrid/>
        <w:spacing w:line="336" w:lineRule="auto"/>
        <w:textAlignment w:val="auto"/>
        <w:outlineLvl w:val="0"/>
        <w:rPr>
          <w:rFonts w:hint="eastAsia" w:ascii="仿宋" w:hAnsi="仿宋" w:eastAsia="仿宋" w:cs="仿宋"/>
          <w:color w:val="000000"/>
          <w:kern w:val="2"/>
          <w:sz w:val="24"/>
          <w:szCs w:val="18"/>
          <w:lang w:val="en-US" w:eastAsia="zh-CN" w:bidi="ar-SA"/>
        </w:rPr>
      </w:pPr>
      <w:r>
        <w:rPr>
          <w:rFonts w:hint="eastAsia" w:ascii="宋体" w:hAnsi="宋体" w:cs="宋体"/>
          <w:b/>
          <w:sz w:val="28"/>
          <w:szCs w:val="28"/>
          <w:lang w:eastAsia="zh-CN"/>
        </w:rPr>
        <w:t>二</w:t>
      </w:r>
      <w:r>
        <w:rPr>
          <w:rFonts w:hint="eastAsia" w:ascii="宋体" w:hAnsi="宋体" w:eastAsia="宋体" w:cs="宋体"/>
          <w:b/>
          <w:sz w:val="28"/>
          <w:szCs w:val="28"/>
        </w:rPr>
        <w:t>、</w:t>
      </w:r>
      <w:r>
        <w:rPr>
          <w:rFonts w:hint="eastAsia" w:ascii="宋体" w:hAnsi="宋体" w:eastAsia="宋体" w:cs="宋体"/>
          <w:b/>
          <w:sz w:val="28"/>
          <w:szCs w:val="28"/>
          <w:lang w:val="en-GB"/>
        </w:rPr>
        <w:t>项目</w:t>
      </w:r>
      <w:r>
        <w:rPr>
          <w:rFonts w:hint="eastAsia" w:ascii="宋体" w:hAnsi="宋体" w:cs="宋体"/>
          <w:b/>
          <w:sz w:val="28"/>
          <w:szCs w:val="28"/>
          <w:lang w:eastAsia="zh-CN"/>
        </w:rPr>
        <w:t>运营</w:t>
      </w:r>
      <w:r>
        <w:rPr>
          <w:rFonts w:hint="eastAsia" w:ascii="宋体" w:hAnsi="宋体" w:eastAsia="宋体" w:cs="宋体"/>
          <w:b/>
          <w:sz w:val="28"/>
          <w:szCs w:val="28"/>
        </w:rPr>
        <w:t>整体</w:t>
      </w:r>
      <w:r>
        <w:rPr>
          <w:rFonts w:hint="eastAsia" w:ascii="宋体" w:hAnsi="宋体" w:eastAsia="宋体" w:cs="宋体"/>
          <w:b/>
          <w:sz w:val="28"/>
          <w:szCs w:val="28"/>
          <w:lang w:eastAsia="zh-CN"/>
        </w:rPr>
        <w:t>目标</w:t>
      </w:r>
    </w:p>
    <w:p>
      <w:pPr>
        <w:pStyle w:val="21"/>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2"/>
          <w:sz w:val="24"/>
          <w:szCs w:val="18"/>
          <w:lang w:val="en-US" w:eastAsia="zh-CN" w:bidi="ar-SA"/>
        </w:rPr>
      </w:pPr>
      <w:r>
        <w:rPr>
          <w:rFonts w:hint="eastAsia" w:ascii="仿宋" w:hAnsi="仿宋" w:eastAsia="仿宋" w:cs="仿宋"/>
          <w:color w:val="000000"/>
          <w:kern w:val="2"/>
          <w:sz w:val="24"/>
          <w:szCs w:val="18"/>
          <w:lang w:val="en-US" w:eastAsia="zh-CN" w:bidi="ar-SA"/>
        </w:rPr>
        <w:t>在熟悉佛山市医保业务和省医疗保障信息平台架构及系统功能基础上，实现佛山市医保相关政策及信息化要求与系统间的衔接，确保政策顺利执行落实。</w:t>
      </w:r>
    </w:p>
    <w:p>
      <w:pPr>
        <w:pStyle w:val="21"/>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2"/>
          <w:sz w:val="24"/>
          <w:szCs w:val="18"/>
          <w:lang w:val="en-US" w:eastAsia="zh-CN" w:bidi="ar-SA"/>
        </w:rPr>
      </w:pPr>
      <w:r>
        <w:rPr>
          <w:rFonts w:hint="eastAsia" w:ascii="仿宋" w:hAnsi="仿宋" w:eastAsia="仿宋" w:cs="仿宋"/>
          <w:color w:val="000000"/>
          <w:kern w:val="2"/>
          <w:sz w:val="24"/>
          <w:szCs w:val="18"/>
          <w:lang w:val="en-US" w:eastAsia="zh-CN" w:bidi="ar-SA"/>
        </w:rPr>
        <w:t>保障新旧系统数据的延续性、一致性和完整性，确保数据统计有据可依。</w:t>
      </w:r>
    </w:p>
    <w:p>
      <w:pPr>
        <w:pStyle w:val="21"/>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2"/>
          <w:sz w:val="24"/>
          <w:szCs w:val="18"/>
          <w:lang w:val="en-US" w:eastAsia="zh-CN" w:bidi="ar-SA"/>
        </w:rPr>
      </w:pPr>
      <w:r>
        <w:rPr>
          <w:rFonts w:hint="eastAsia" w:ascii="仿宋" w:hAnsi="仿宋" w:eastAsia="仿宋" w:cs="仿宋"/>
          <w:color w:val="000000"/>
          <w:kern w:val="2"/>
          <w:sz w:val="24"/>
          <w:szCs w:val="18"/>
          <w:lang w:val="en-US" w:eastAsia="zh-CN" w:bidi="ar-SA"/>
        </w:rPr>
        <w:t>通过测试、培训运营，增加佛山市医疗保障局信息化人才储备，提高经办人员的办事效率。</w:t>
      </w:r>
    </w:p>
    <w:p>
      <w:pPr>
        <w:pStyle w:val="21"/>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2"/>
          <w:sz w:val="24"/>
          <w:szCs w:val="18"/>
          <w:lang w:val="en-US" w:eastAsia="zh-CN" w:bidi="ar-SA"/>
        </w:rPr>
      </w:pPr>
      <w:r>
        <w:rPr>
          <w:rFonts w:hint="eastAsia" w:ascii="仿宋" w:hAnsi="仿宋" w:eastAsia="仿宋" w:cs="仿宋"/>
          <w:color w:val="000000"/>
          <w:kern w:val="2"/>
          <w:sz w:val="24"/>
          <w:szCs w:val="18"/>
          <w:lang w:val="en-US" w:eastAsia="zh-CN" w:bidi="ar-SA"/>
        </w:rPr>
        <w:t>7*24小时跟进医药机构实时结算系统，及时解答实时结算碰到的问题，保障医药机构实时结算系统平稳运行。</w:t>
      </w:r>
    </w:p>
    <w:p>
      <w:pPr>
        <w:pStyle w:val="21"/>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2"/>
          <w:sz w:val="24"/>
          <w:szCs w:val="18"/>
          <w:lang w:val="en-US" w:eastAsia="zh-CN" w:bidi="ar-SA"/>
        </w:rPr>
      </w:pPr>
      <w:r>
        <w:rPr>
          <w:rFonts w:hint="eastAsia" w:ascii="仿宋" w:hAnsi="仿宋" w:eastAsia="仿宋" w:cs="仿宋"/>
          <w:color w:val="000000"/>
          <w:kern w:val="2"/>
          <w:sz w:val="24"/>
          <w:szCs w:val="18"/>
          <w:lang w:val="en-US" w:eastAsia="zh-CN" w:bidi="ar-SA"/>
        </w:rPr>
        <w:t>保障省医保平台在佛山市的医保业务功能正常运作，确保佛山市在省医保平台的各项数据需求及问题处理准确及时完成。</w:t>
      </w:r>
    </w:p>
    <w:p>
      <w:pPr>
        <w:pStyle w:val="21"/>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2"/>
          <w:sz w:val="24"/>
          <w:szCs w:val="18"/>
          <w:lang w:val="en-US" w:eastAsia="zh-CN" w:bidi="ar-SA"/>
        </w:rPr>
      </w:pPr>
      <w:r>
        <w:rPr>
          <w:rFonts w:hint="eastAsia" w:ascii="仿宋" w:hAnsi="仿宋" w:eastAsia="仿宋" w:cs="仿宋"/>
          <w:color w:val="000000"/>
          <w:kern w:val="2"/>
          <w:sz w:val="24"/>
          <w:szCs w:val="18"/>
          <w:lang w:val="en-US" w:eastAsia="zh-CN" w:bidi="ar-SA"/>
        </w:rPr>
        <w:t>地市级医保运营管理团队与省级运营团队分解医保信息化工作部署，制定信息化工作方案，协助佛山市医疗保障部门落实佛山市医保信息化工作的开展。</w:t>
      </w:r>
    </w:p>
    <w:p>
      <w:pPr>
        <w:pStyle w:val="21"/>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2"/>
          <w:sz w:val="24"/>
          <w:szCs w:val="18"/>
          <w:lang w:val="en-GB" w:eastAsia="zh-CN" w:bidi="ar-SA"/>
        </w:rPr>
      </w:pPr>
      <w:r>
        <w:rPr>
          <w:rFonts w:hint="eastAsia" w:ascii="仿宋" w:hAnsi="仿宋" w:eastAsia="仿宋" w:cs="仿宋"/>
          <w:color w:val="000000"/>
          <w:kern w:val="2"/>
          <w:sz w:val="24"/>
          <w:szCs w:val="18"/>
          <w:lang w:val="en-US" w:eastAsia="zh-CN" w:bidi="ar-SA"/>
        </w:rPr>
        <w:t>实现医保财务管理现代化、信息化、智能化的要求，在“广东省医保财务管理一体化”的框架下,通过建立全面的运营服务体系，进一步完善广东省医保信息平台财务管理软件及业财对接服务系统运行维护构成的信息化全生命周期管理过程，提高财务核算系统全生命周期管理和服务水平，提供面向业务、面向用户的高质量的系统服务。</w:t>
      </w:r>
    </w:p>
    <w:p>
      <w:pPr>
        <w:keepNext w:val="0"/>
        <w:keepLines w:val="0"/>
        <w:pageBreakBefore w:val="0"/>
        <w:widowControl w:val="0"/>
        <w:tabs>
          <w:tab w:val="left" w:pos="284"/>
        </w:tabs>
        <w:kinsoku/>
        <w:wordWrap/>
        <w:overflowPunct/>
        <w:topLinePunct w:val="0"/>
        <w:autoSpaceDE/>
        <w:autoSpaceDN/>
        <w:bidi w:val="0"/>
        <w:adjustRightInd/>
        <w:snapToGrid/>
        <w:spacing w:line="360" w:lineRule="auto"/>
        <w:textAlignment w:val="auto"/>
        <w:outlineLvl w:val="9"/>
        <w:rPr>
          <w:rFonts w:hint="eastAsia" w:ascii="宋体" w:hAnsi="宋体" w:cs="宋体"/>
          <w:b/>
          <w:sz w:val="28"/>
          <w:szCs w:val="28"/>
          <w:lang w:val="en-GB" w:eastAsia="zh-CN"/>
        </w:rPr>
      </w:pPr>
    </w:p>
    <w:p>
      <w:pPr>
        <w:keepNext w:val="0"/>
        <w:keepLines w:val="0"/>
        <w:pageBreakBefore w:val="0"/>
        <w:widowControl w:val="0"/>
        <w:tabs>
          <w:tab w:val="left" w:pos="284"/>
        </w:tabs>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8"/>
          <w:szCs w:val="28"/>
        </w:rPr>
      </w:pPr>
      <w:r>
        <w:rPr>
          <w:rFonts w:hint="eastAsia" w:ascii="宋体" w:hAnsi="宋体" w:cs="宋体"/>
          <w:b/>
          <w:sz w:val="28"/>
          <w:szCs w:val="28"/>
          <w:lang w:val="en-GB" w:eastAsia="zh-CN"/>
        </w:rPr>
        <w:t>三、</w:t>
      </w:r>
      <w:r>
        <w:rPr>
          <w:rFonts w:hint="eastAsia" w:ascii="宋体" w:hAnsi="宋体" w:eastAsia="宋体" w:cs="宋体"/>
          <w:b/>
          <w:sz w:val="28"/>
          <w:szCs w:val="28"/>
          <w:lang w:val="en-GB"/>
        </w:rPr>
        <w:t>项目</w:t>
      </w:r>
      <w:r>
        <w:rPr>
          <w:rFonts w:hint="eastAsia" w:ascii="宋体" w:hAnsi="宋体" w:eastAsia="宋体" w:cs="宋体"/>
          <w:b/>
          <w:sz w:val="28"/>
          <w:szCs w:val="28"/>
          <w:lang w:eastAsia="zh-CN"/>
        </w:rPr>
        <w:t>运营内容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sz w:val="24"/>
          <w:szCs w:val="18"/>
          <w:lang w:val="en-US" w:eastAsia="zh-CN"/>
        </w:rPr>
      </w:pPr>
      <w:r>
        <w:rPr>
          <w:rFonts w:hint="eastAsia" w:ascii="仿宋" w:hAnsi="仿宋" w:eastAsia="仿宋" w:cs="仿宋"/>
          <w:color w:val="000000"/>
          <w:sz w:val="24"/>
          <w:szCs w:val="18"/>
          <w:lang w:val="en-US" w:eastAsia="zh-CN"/>
        </w:rPr>
        <w:t>本项目运营服务内容主要包括“</w:t>
      </w:r>
      <w:r>
        <w:rPr>
          <w:rFonts w:hint="eastAsia" w:ascii="仿宋" w:hAnsi="仿宋" w:eastAsia="仿宋" w:cs="仿宋"/>
          <w:bCs w:val="0"/>
          <w:snapToGrid/>
          <w:kern w:val="2"/>
          <w:sz w:val="24"/>
          <w:szCs w:val="24"/>
          <w:lang w:val="en-US" w:eastAsia="zh-CN" w:bidi="ar-SA"/>
        </w:rPr>
        <w:t>广东省医疗保障信息平台佛山本地化运营（2024-2025年）”、“</w:t>
      </w:r>
      <w:r>
        <w:rPr>
          <w:rFonts w:hint="eastAsia" w:ascii="仿宋" w:hAnsi="仿宋" w:eastAsia="仿宋" w:cs="仿宋"/>
          <w:sz w:val="24"/>
          <w:szCs w:val="18"/>
        </w:rPr>
        <w:t>广东省医疗保障信息平台财务管理软件及业财对接服务佛山本地化运营（2024-2025年）</w:t>
      </w:r>
      <w:r>
        <w:rPr>
          <w:rFonts w:hint="eastAsia" w:ascii="仿宋" w:hAnsi="仿宋" w:eastAsia="仿宋" w:cs="仿宋"/>
          <w:bCs w:val="0"/>
          <w:snapToGrid/>
          <w:kern w:val="2"/>
          <w:sz w:val="24"/>
          <w:szCs w:val="24"/>
          <w:lang w:val="en-US" w:eastAsia="zh-CN" w:bidi="ar-SA"/>
        </w:rPr>
        <w:t>”</w:t>
      </w:r>
      <w:r>
        <w:rPr>
          <w:rFonts w:hint="eastAsia" w:ascii="仿宋" w:hAnsi="仿宋" w:eastAsia="仿宋" w:cs="仿宋"/>
          <w:color w:val="000000"/>
          <w:sz w:val="24"/>
          <w:szCs w:val="18"/>
          <w:lang w:val="en-US" w:eastAsia="zh-CN"/>
        </w:rPr>
        <w:t>两部分。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1.</w:t>
      </w:r>
      <w:r>
        <w:rPr>
          <w:rFonts w:hint="eastAsia" w:ascii="仿宋" w:hAnsi="仿宋" w:eastAsia="仿宋" w:cs="仿宋"/>
          <w:b/>
          <w:bCs/>
          <w:sz w:val="24"/>
          <w:szCs w:val="24"/>
          <w:lang w:eastAsia="zh-CN"/>
        </w:rPr>
        <w:t>“</w:t>
      </w:r>
      <w:r>
        <w:rPr>
          <w:rFonts w:hint="eastAsia" w:ascii="仿宋" w:hAnsi="仿宋" w:eastAsia="仿宋" w:cs="仿宋"/>
          <w:b/>
          <w:bCs/>
          <w:sz w:val="24"/>
          <w:szCs w:val="24"/>
        </w:rPr>
        <w:t>广东省医疗保障信息平台佛山本地化运营（2024-2025年）</w:t>
      </w:r>
      <w:r>
        <w:rPr>
          <w:rFonts w:hint="eastAsia" w:ascii="仿宋" w:hAnsi="仿宋" w:eastAsia="仿宋" w:cs="仿宋"/>
          <w:b/>
          <w:bCs/>
          <w:sz w:val="24"/>
          <w:szCs w:val="24"/>
          <w:lang w:eastAsia="zh-CN"/>
        </w:rPr>
        <w:t>”</w:t>
      </w:r>
      <w:bookmarkEnd w:id="0"/>
      <w:bookmarkEnd w:id="1"/>
      <w:bookmarkEnd w:id="2"/>
      <w:bookmarkEnd w:id="3"/>
      <w:bookmarkEnd w:id="4"/>
      <w:bookmarkEnd w:id="5"/>
      <w:bookmarkEnd w:id="6"/>
      <w:bookmarkEnd w:id="7"/>
    </w:p>
    <w:p>
      <w:pPr>
        <w:pStyle w:val="2"/>
        <w:numPr>
          <w:ilvl w:val="0"/>
          <w:numId w:val="0"/>
        </w:numPr>
        <w:outlineLvl w:val="1"/>
        <w:rPr>
          <w:rFonts w:hint="default" w:eastAsia="宋体"/>
          <w:lang w:val="en-US" w:eastAsia="zh-CN"/>
        </w:rPr>
      </w:pPr>
      <w:r>
        <w:rPr>
          <w:rFonts w:hint="eastAsia" w:ascii="仿宋" w:hAnsi="仿宋" w:eastAsia="仿宋" w:cs="仿宋"/>
          <w:kern w:val="2"/>
          <w:sz w:val="28"/>
          <w:lang w:val="en-US" w:eastAsia="zh-CN" w:bidi="ar-SA"/>
        </w:rPr>
        <w:t>（1）具体运营内容</w:t>
      </w: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7"/>
        <w:gridCol w:w="2979"/>
        <w:gridCol w:w="45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w:t>
            </w:r>
          </w:p>
        </w:tc>
        <w:tc>
          <w:tcPr>
            <w:tcW w:w="4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管理运营服务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业务管理运营服务</w:t>
            </w: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业务办理信息化支撑运营服务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医保业务测试运营服务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定点医药机构医保正常结算运营服务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日常运营管理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新增定点医药机构接口接入运营服务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国标版医保电子处方测试联调运营服务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国标版移动支付测试联调运营服务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DRG付费测试联调运营服务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2</w:t>
            </w:r>
          </w:p>
        </w:tc>
        <w:tc>
          <w:tcPr>
            <w:tcW w:w="4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数据处理运营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1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数据处理运营</w:t>
            </w: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数据统计分析运营服务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三大目录更新数据处理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数据处理运营服务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年度审计数据运营服务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数据常态化监测运营服务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3</w:t>
            </w:r>
          </w:p>
        </w:tc>
        <w:tc>
          <w:tcPr>
            <w:tcW w:w="4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其他业务运营服务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1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其他业务运营</w:t>
            </w: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投诉和应急保障运营服务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用户问题处理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外围系统接口运营服务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专项培训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工单系统运营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4</w:t>
            </w:r>
          </w:p>
        </w:tc>
        <w:tc>
          <w:tcPr>
            <w:tcW w:w="4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政策调整专项运营服务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1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政策调整专项运营服务</w:t>
            </w: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参保管理及关系转移接续政策调整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门诊特定病种管理办法政策调整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4.3</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医保药品单独支付政策调整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4.4</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医疗救助管理办法政策调整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5</w:t>
            </w:r>
          </w:p>
        </w:tc>
        <w:tc>
          <w:tcPr>
            <w:tcW w:w="44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医保数据同步运营服务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5.1</w:t>
            </w:r>
          </w:p>
        </w:tc>
        <w:tc>
          <w:tcPr>
            <w:tcW w:w="174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医保数据同步运营服务</w:t>
            </w: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基础环境部署服务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5.2</w:t>
            </w:r>
          </w:p>
        </w:tc>
        <w:tc>
          <w:tcPr>
            <w:tcW w:w="174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000000"/>
                <w:sz w:val="21"/>
                <w:szCs w:val="21"/>
                <w:u w:val="none"/>
              </w:rPr>
            </w:pPr>
          </w:p>
        </w:tc>
        <w:tc>
          <w:tcPr>
            <w:tcW w:w="26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医保数据同步管理服务</w:t>
            </w:r>
          </w:p>
        </w:tc>
      </w:tr>
    </w:tbl>
    <w:p>
      <w:pPr>
        <w:pStyle w:val="5"/>
        <w:keepNext/>
        <w:keepLines/>
        <w:pageBreakBefore w:val="0"/>
        <w:widowControl w:val="0"/>
        <w:numPr>
          <w:ilvl w:val="1"/>
          <w:numId w:val="0"/>
        </w:numPr>
        <w:tabs>
          <w:tab w:val="left" w:pos="432"/>
          <w:tab w:val="left" w:pos="720"/>
          <w:tab w:val="left" w:pos="1146"/>
        </w:tabs>
        <w:kinsoku/>
        <w:wordWrap/>
        <w:overflowPunct/>
        <w:topLinePunct w:val="0"/>
        <w:autoSpaceDE/>
        <w:autoSpaceDN/>
        <w:bidi w:val="0"/>
        <w:adjustRightInd/>
        <w:snapToGrid/>
        <w:spacing w:before="157" w:beforeLines="50" w:after="157" w:afterLines="50" w:line="360" w:lineRule="auto"/>
        <w:ind w:leftChars="200"/>
        <w:textAlignment w:val="auto"/>
        <w:outlineLvl w:val="1"/>
        <w:rPr>
          <w:rFonts w:hint="eastAsia" w:ascii="仿宋" w:hAnsi="仿宋" w:eastAsia="仿宋" w:cs="仿宋"/>
          <w:b w:val="0"/>
          <w:bCs w:val="0"/>
          <w:sz w:val="24"/>
          <w:szCs w:val="24"/>
          <w:lang w:val="en-US" w:eastAsia="zh-CN"/>
        </w:rPr>
      </w:pPr>
      <w:bookmarkStart w:id="8" w:name="_Toc19749"/>
      <w:bookmarkStart w:id="9" w:name="_Toc23485"/>
      <w:bookmarkStart w:id="10" w:name="_Toc2258"/>
      <w:bookmarkStart w:id="11" w:name="_Toc16175"/>
      <w:bookmarkStart w:id="12" w:name="_Toc20831"/>
      <w:bookmarkStart w:id="13" w:name="_Toc24413"/>
      <w:bookmarkStart w:id="14" w:name="_Toc28775"/>
      <w:r>
        <w:rPr>
          <w:rFonts w:hint="eastAsia" w:ascii="仿宋" w:hAnsi="仿宋" w:eastAsia="仿宋" w:cs="仿宋"/>
          <w:b w:val="0"/>
          <w:bCs w:val="0"/>
          <w:sz w:val="24"/>
          <w:szCs w:val="24"/>
          <w:lang w:val="en-US" w:eastAsia="zh-CN"/>
        </w:rPr>
        <w:t>（2）运营人员配置</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color w:val="000000"/>
          <w:sz w:val="24"/>
          <w:szCs w:val="22"/>
          <w:lang w:val="en-GB"/>
        </w:rPr>
      </w:pPr>
      <w:r>
        <w:rPr>
          <w:rFonts w:hint="eastAsia" w:ascii="仿宋" w:hAnsi="仿宋" w:eastAsia="仿宋" w:cs="仿宋"/>
          <w:sz w:val="24"/>
          <w:szCs w:val="18"/>
        </w:rPr>
        <w:t>本项目</w:t>
      </w:r>
      <w:r>
        <w:rPr>
          <w:rFonts w:hint="eastAsia" w:ascii="仿宋" w:hAnsi="仿宋" w:eastAsia="仿宋" w:cs="仿宋"/>
          <w:color w:val="000000"/>
          <w:sz w:val="24"/>
          <w:szCs w:val="22"/>
          <w:lang w:val="en-GB"/>
        </w:rPr>
        <w:t>需</w:t>
      </w:r>
      <w:r>
        <w:rPr>
          <w:rFonts w:hint="eastAsia" w:ascii="仿宋" w:hAnsi="仿宋" w:eastAsia="仿宋" w:cs="仿宋"/>
          <w:color w:val="000000"/>
          <w:sz w:val="24"/>
          <w:szCs w:val="22"/>
          <w:lang w:val="en-GB" w:eastAsia="zh-CN"/>
        </w:rPr>
        <w:t>承建单位</w:t>
      </w:r>
      <w:r>
        <w:rPr>
          <w:rFonts w:hint="eastAsia" w:ascii="仿宋" w:hAnsi="仿宋" w:eastAsia="仿宋" w:cs="仿宋"/>
          <w:color w:val="000000"/>
          <w:sz w:val="24"/>
          <w:szCs w:val="22"/>
          <w:lang w:val="en-GB"/>
        </w:rPr>
        <w:t>提供专项运营服务的</w:t>
      </w:r>
      <w:r>
        <w:rPr>
          <w:rFonts w:hint="eastAsia" w:ascii="仿宋" w:hAnsi="仿宋" w:eastAsia="仿宋" w:cs="仿宋"/>
          <w:color w:val="000000"/>
          <w:sz w:val="24"/>
          <w:szCs w:val="22"/>
          <w:lang w:val="en-GB" w:eastAsia="zh-CN"/>
        </w:rPr>
        <w:t>运营人员</w:t>
      </w:r>
      <w:r>
        <w:rPr>
          <w:rFonts w:hint="eastAsia" w:ascii="仿宋" w:hAnsi="仿宋" w:eastAsia="仿宋" w:cs="仿宋"/>
          <w:color w:val="000000"/>
          <w:sz w:val="24"/>
          <w:szCs w:val="22"/>
        </w:rPr>
        <w:t>数量</w:t>
      </w:r>
      <w:r>
        <w:rPr>
          <w:rFonts w:hint="eastAsia" w:ascii="仿宋" w:hAnsi="仿宋" w:eastAsia="仿宋" w:cs="仿宋"/>
          <w:color w:val="000000"/>
          <w:sz w:val="24"/>
          <w:szCs w:val="22"/>
          <w:lang w:val="en-GB"/>
        </w:rPr>
        <w:t>不少于</w:t>
      </w:r>
      <w:r>
        <w:rPr>
          <w:rFonts w:hint="eastAsia" w:ascii="仿宋" w:hAnsi="仿宋" w:eastAsia="仿宋" w:cs="仿宋"/>
          <w:color w:val="000000"/>
          <w:sz w:val="24"/>
          <w:szCs w:val="22"/>
          <w:lang w:val="en-US" w:eastAsia="zh-CN"/>
        </w:rPr>
        <w:t>23</w:t>
      </w:r>
      <w:r>
        <w:rPr>
          <w:rFonts w:hint="eastAsia" w:ascii="仿宋" w:hAnsi="仿宋" w:eastAsia="仿宋" w:cs="仿宋"/>
          <w:color w:val="000000"/>
          <w:sz w:val="24"/>
          <w:szCs w:val="22"/>
          <w:lang w:val="en-GB"/>
        </w:rPr>
        <w:t>人，</w:t>
      </w:r>
      <w:r>
        <w:rPr>
          <w:rFonts w:hint="eastAsia" w:ascii="仿宋" w:hAnsi="仿宋" w:eastAsia="仿宋" w:cs="仿宋"/>
          <w:color w:val="000000"/>
          <w:sz w:val="24"/>
          <w:szCs w:val="22"/>
        </w:rPr>
        <w:t>其中</w:t>
      </w:r>
      <w:r>
        <w:rPr>
          <w:rFonts w:hint="eastAsia" w:ascii="仿宋" w:hAnsi="仿宋" w:eastAsia="仿宋" w:cs="仿宋"/>
          <w:color w:val="000000"/>
          <w:sz w:val="24"/>
          <w:szCs w:val="22"/>
          <w:lang w:val="en-US" w:eastAsia="zh-CN"/>
        </w:rPr>
        <w:t>11</w:t>
      </w:r>
      <w:r>
        <w:rPr>
          <w:rFonts w:hint="eastAsia" w:ascii="仿宋" w:hAnsi="仿宋" w:eastAsia="仿宋" w:cs="仿宋"/>
          <w:color w:val="000000"/>
          <w:sz w:val="24"/>
          <w:szCs w:val="22"/>
        </w:rPr>
        <w:t>人</w:t>
      </w:r>
      <w:r>
        <w:rPr>
          <w:rFonts w:hint="eastAsia" w:ascii="仿宋" w:hAnsi="仿宋" w:eastAsia="仿宋" w:cs="仿宋"/>
          <w:color w:val="000000"/>
          <w:sz w:val="24"/>
          <w:szCs w:val="22"/>
          <w:lang w:val="en-GB"/>
        </w:rPr>
        <w:t>常驻</w:t>
      </w:r>
      <w:r>
        <w:rPr>
          <w:rFonts w:hint="eastAsia" w:ascii="仿宋" w:hAnsi="仿宋" w:eastAsia="仿宋" w:cs="仿宋"/>
          <w:color w:val="000000"/>
          <w:sz w:val="24"/>
          <w:szCs w:val="22"/>
          <w:lang w:eastAsia="zh-CN"/>
        </w:rPr>
        <w:t>佛山</w:t>
      </w:r>
      <w:r>
        <w:rPr>
          <w:rFonts w:hint="eastAsia" w:ascii="仿宋" w:hAnsi="仿宋" w:eastAsia="仿宋" w:cs="仿宋"/>
          <w:color w:val="000000"/>
          <w:sz w:val="24"/>
          <w:szCs w:val="22"/>
          <w:lang w:val="en-GB"/>
        </w:rPr>
        <w:t>。具体如下：</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color w:val="000000"/>
          <w:sz w:val="24"/>
          <w:szCs w:val="22"/>
          <w:lang w:val="en-GB"/>
        </w:rPr>
      </w:pPr>
      <w:r>
        <w:rPr>
          <w:rFonts w:hint="eastAsia" w:ascii="仿宋" w:hAnsi="仿宋" w:eastAsia="仿宋" w:cs="仿宋"/>
          <w:color w:val="000000"/>
          <w:sz w:val="24"/>
          <w:szCs w:val="22"/>
          <w:lang w:val="en-GB"/>
        </w:rPr>
        <w:t>1</w:t>
      </w:r>
      <w:r>
        <w:rPr>
          <w:rFonts w:hint="eastAsia" w:ascii="仿宋" w:hAnsi="仿宋" w:eastAsia="仿宋" w:cs="仿宋"/>
          <w:color w:val="000000"/>
          <w:sz w:val="24"/>
          <w:szCs w:val="22"/>
          <w:lang w:val="en-US" w:eastAsia="zh-CN"/>
        </w:rPr>
        <w:t>.</w:t>
      </w:r>
      <w:r>
        <w:rPr>
          <w:rFonts w:hint="eastAsia" w:ascii="仿宋" w:hAnsi="仿宋" w:eastAsia="仿宋" w:cs="仿宋"/>
          <w:color w:val="000000"/>
          <w:sz w:val="24"/>
          <w:szCs w:val="22"/>
          <w:lang w:val="en-GB" w:eastAsia="zh-CN"/>
        </w:rPr>
        <w:t>项目</w:t>
      </w:r>
      <w:r>
        <w:rPr>
          <w:rFonts w:hint="eastAsia" w:ascii="仿宋" w:hAnsi="仿宋" w:eastAsia="仿宋" w:cs="仿宋"/>
          <w:color w:val="000000"/>
          <w:sz w:val="24"/>
          <w:szCs w:val="22"/>
          <w:lang w:val="en-GB"/>
        </w:rPr>
        <w:t>经理1人</w:t>
      </w:r>
      <w:r>
        <w:rPr>
          <w:rFonts w:hint="eastAsia" w:ascii="仿宋" w:hAnsi="仿宋" w:eastAsia="仿宋" w:cs="仿宋"/>
          <w:color w:val="000000"/>
          <w:sz w:val="24"/>
          <w:szCs w:val="22"/>
          <w:lang w:val="en-GB" w:eastAsia="zh-CN"/>
        </w:rPr>
        <w:t>（高级）</w:t>
      </w:r>
      <w:r>
        <w:rPr>
          <w:rFonts w:hint="eastAsia" w:ascii="仿宋" w:hAnsi="仿宋" w:eastAsia="仿宋" w:cs="仿宋"/>
          <w:color w:val="000000"/>
          <w:sz w:val="24"/>
          <w:szCs w:val="22"/>
          <w:lang w:val="en-GB"/>
        </w:rPr>
        <w:t>，</w:t>
      </w:r>
      <w:r>
        <w:rPr>
          <w:rFonts w:hint="eastAsia" w:ascii="仿宋" w:hAnsi="仿宋" w:eastAsia="仿宋" w:cs="仿宋"/>
          <w:color w:val="000000"/>
          <w:sz w:val="24"/>
          <w:szCs w:val="22"/>
        </w:rPr>
        <w:t>负责</w:t>
      </w:r>
      <w:r>
        <w:rPr>
          <w:rFonts w:hint="eastAsia" w:ascii="仿宋" w:hAnsi="仿宋" w:eastAsia="仿宋" w:cs="仿宋"/>
          <w:color w:val="000000"/>
          <w:sz w:val="24"/>
          <w:szCs w:val="22"/>
          <w:lang w:eastAsia="zh-CN"/>
        </w:rPr>
        <w:t>省医疗保障信息平台本地</w:t>
      </w:r>
      <w:r>
        <w:rPr>
          <w:rFonts w:hint="eastAsia" w:ascii="仿宋" w:hAnsi="仿宋" w:eastAsia="仿宋" w:cs="仿宋"/>
          <w:color w:val="000000"/>
          <w:sz w:val="24"/>
          <w:szCs w:val="22"/>
        </w:rPr>
        <w:t>运营</w:t>
      </w:r>
      <w:r>
        <w:rPr>
          <w:rFonts w:hint="eastAsia" w:ascii="仿宋" w:hAnsi="仿宋" w:eastAsia="仿宋" w:cs="仿宋"/>
          <w:color w:val="000000"/>
          <w:sz w:val="24"/>
          <w:szCs w:val="22"/>
          <w:lang w:eastAsia="zh-CN"/>
        </w:rPr>
        <w:t>项目的</w:t>
      </w:r>
      <w:r>
        <w:rPr>
          <w:rFonts w:hint="eastAsia" w:ascii="仿宋" w:hAnsi="仿宋" w:eastAsia="仿宋" w:cs="仿宋"/>
          <w:color w:val="000000"/>
          <w:sz w:val="24"/>
          <w:szCs w:val="22"/>
        </w:rPr>
        <w:t>统筹管理</w:t>
      </w:r>
      <w:r>
        <w:rPr>
          <w:rFonts w:hint="eastAsia" w:ascii="仿宋" w:hAnsi="仿宋" w:eastAsia="仿宋" w:cs="仿宋"/>
          <w:color w:val="000000"/>
          <w:sz w:val="24"/>
          <w:szCs w:val="22"/>
          <w:lang w:eastAsia="zh-CN"/>
        </w:rPr>
        <w:t>，常驻现场管理</w:t>
      </w:r>
      <w:r>
        <w:rPr>
          <w:rFonts w:hint="eastAsia" w:ascii="仿宋" w:hAnsi="仿宋" w:eastAsia="仿宋" w:cs="仿宋"/>
          <w:color w:val="000000"/>
          <w:sz w:val="24"/>
          <w:szCs w:val="22"/>
          <w:lang w:val="en-US" w:eastAsia="zh-CN"/>
        </w:rPr>
        <w:t>运维</w:t>
      </w:r>
      <w:r>
        <w:rPr>
          <w:rFonts w:hint="eastAsia" w:ascii="仿宋" w:hAnsi="仿宋" w:eastAsia="仿宋" w:cs="仿宋"/>
          <w:color w:val="000000"/>
          <w:sz w:val="24"/>
          <w:szCs w:val="22"/>
          <w:lang w:val="en-GB"/>
        </w:rPr>
        <w:t>；</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color w:val="000000"/>
          <w:sz w:val="24"/>
          <w:szCs w:val="22"/>
        </w:rPr>
      </w:pPr>
      <w:r>
        <w:rPr>
          <w:rFonts w:hint="eastAsia" w:ascii="仿宋" w:hAnsi="仿宋" w:eastAsia="仿宋" w:cs="仿宋"/>
          <w:color w:val="000000"/>
          <w:sz w:val="24"/>
          <w:szCs w:val="22"/>
          <w:lang w:val="en-GB"/>
        </w:rPr>
        <w:t>2</w:t>
      </w:r>
      <w:r>
        <w:rPr>
          <w:rFonts w:hint="eastAsia" w:ascii="仿宋" w:hAnsi="仿宋" w:eastAsia="仿宋" w:cs="仿宋"/>
          <w:color w:val="000000"/>
          <w:sz w:val="24"/>
          <w:szCs w:val="22"/>
          <w:lang w:val="en-US" w:eastAsia="zh-CN"/>
        </w:rPr>
        <w:t>.</w:t>
      </w:r>
      <w:r>
        <w:rPr>
          <w:rFonts w:hint="eastAsia" w:ascii="仿宋" w:hAnsi="仿宋" w:eastAsia="仿宋" w:cs="仿宋"/>
          <w:color w:val="000000"/>
          <w:sz w:val="24"/>
          <w:szCs w:val="22"/>
          <w:lang w:val="en-GB" w:eastAsia="zh-CN"/>
        </w:rPr>
        <w:t>高级</w:t>
      </w:r>
      <w:r>
        <w:rPr>
          <w:rFonts w:hint="eastAsia" w:ascii="仿宋" w:hAnsi="仿宋" w:eastAsia="仿宋" w:cs="仿宋"/>
          <w:color w:val="000000"/>
          <w:sz w:val="24"/>
          <w:szCs w:val="22"/>
          <w:lang w:eastAsia="zh-CN"/>
        </w:rPr>
        <w:t>运营工程师</w:t>
      </w:r>
      <w:r>
        <w:rPr>
          <w:rFonts w:hint="eastAsia" w:ascii="仿宋" w:hAnsi="仿宋" w:eastAsia="仿宋" w:cs="仿宋"/>
          <w:color w:val="000000"/>
          <w:sz w:val="24"/>
          <w:szCs w:val="22"/>
          <w:lang w:val="en-US" w:eastAsia="zh-CN"/>
        </w:rPr>
        <w:t>3</w:t>
      </w:r>
      <w:r>
        <w:rPr>
          <w:rFonts w:hint="eastAsia" w:ascii="仿宋" w:hAnsi="仿宋" w:eastAsia="仿宋" w:cs="仿宋"/>
          <w:color w:val="000000"/>
          <w:sz w:val="24"/>
          <w:szCs w:val="22"/>
          <w:lang w:val="en-GB"/>
        </w:rPr>
        <w:t>人，</w:t>
      </w:r>
      <w:r>
        <w:rPr>
          <w:rFonts w:hint="eastAsia" w:ascii="仿宋" w:hAnsi="仿宋" w:eastAsia="仿宋" w:cs="仿宋"/>
          <w:color w:val="000000"/>
          <w:sz w:val="24"/>
          <w:szCs w:val="22"/>
        </w:rPr>
        <w:t>主要负责</w:t>
      </w:r>
      <w:r>
        <w:rPr>
          <w:rFonts w:hint="eastAsia" w:ascii="仿宋" w:hAnsi="仿宋" w:eastAsia="仿宋" w:cs="仿宋"/>
          <w:color w:val="000000"/>
          <w:sz w:val="24"/>
          <w:szCs w:val="22"/>
          <w:lang w:val="en-GB"/>
        </w:rPr>
        <w:t>要负责省</w:t>
      </w:r>
      <w:r>
        <w:rPr>
          <w:rFonts w:hint="eastAsia" w:ascii="仿宋" w:hAnsi="仿宋" w:eastAsia="仿宋" w:cs="仿宋"/>
          <w:color w:val="000000"/>
          <w:sz w:val="24"/>
          <w:szCs w:val="22"/>
        </w:rPr>
        <w:t>平台后端系统</w:t>
      </w:r>
      <w:r>
        <w:rPr>
          <w:rFonts w:hint="eastAsia" w:ascii="仿宋" w:hAnsi="仿宋" w:eastAsia="仿宋" w:cs="仿宋"/>
          <w:color w:val="000000"/>
          <w:sz w:val="24"/>
          <w:szCs w:val="22"/>
          <w:lang w:val="en-GB"/>
        </w:rPr>
        <w:t>对接</w:t>
      </w:r>
      <w:r>
        <w:rPr>
          <w:rFonts w:hint="eastAsia" w:ascii="仿宋" w:hAnsi="仿宋" w:eastAsia="仿宋" w:cs="仿宋"/>
          <w:color w:val="000000"/>
          <w:sz w:val="24"/>
          <w:szCs w:val="22"/>
        </w:rPr>
        <w:t>和专业技术疑难处理</w:t>
      </w:r>
      <w:r>
        <w:rPr>
          <w:rFonts w:hint="eastAsia" w:ascii="仿宋" w:hAnsi="仿宋" w:eastAsia="仿宋" w:cs="仿宋"/>
          <w:color w:val="000000"/>
          <w:sz w:val="24"/>
          <w:szCs w:val="22"/>
          <w:lang w:eastAsia="zh-CN"/>
        </w:rPr>
        <w:t>，进行远程支持，如项目有需要，须到现场进行配合。</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color w:val="000000"/>
          <w:sz w:val="24"/>
          <w:szCs w:val="22"/>
          <w:lang w:val="en-US" w:eastAsia="zh-CN"/>
        </w:rPr>
      </w:pPr>
      <w:r>
        <w:rPr>
          <w:rFonts w:hint="eastAsia" w:ascii="仿宋" w:hAnsi="仿宋" w:eastAsia="仿宋" w:cs="仿宋"/>
          <w:color w:val="000000"/>
          <w:sz w:val="24"/>
          <w:szCs w:val="22"/>
          <w:lang w:val="en-US" w:eastAsia="zh-CN"/>
        </w:rPr>
        <w:t>3.中级运营工程师11人，初级运营工程师8人。主要</w:t>
      </w:r>
      <w:r>
        <w:rPr>
          <w:rFonts w:hint="eastAsia" w:ascii="仿宋" w:hAnsi="仿宋" w:eastAsia="仿宋" w:cs="仿宋"/>
          <w:color w:val="000000"/>
          <w:sz w:val="24"/>
          <w:szCs w:val="22"/>
        </w:rPr>
        <w:t>省平台全系统的日常运营，需节假日在线轮班</w:t>
      </w:r>
      <w:r>
        <w:rPr>
          <w:rFonts w:hint="eastAsia" w:ascii="仿宋" w:hAnsi="仿宋" w:eastAsia="仿宋" w:cs="仿宋"/>
          <w:color w:val="000000"/>
          <w:sz w:val="24"/>
          <w:szCs w:val="22"/>
          <w:lang w:val="en-GB"/>
        </w:rPr>
        <w:t>，</w:t>
      </w:r>
      <w:r>
        <w:rPr>
          <w:rFonts w:hint="eastAsia" w:ascii="仿宋" w:hAnsi="仿宋" w:eastAsia="仿宋" w:cs="仿宋"/>
          <w:color w:val="000000"/>
          <w:sz w:val="24"/>
          <w:szCs w:val="22"/>
        </w:rPr>
        <w:t>保持对系统问题的快速响应</w:t>
      </w:r>
      <w:r>
        <w:rPr>
          <w:rFonts w:hint="eastAsia" w:ascii="仿宋" w:hAnsi="仿宋" w:eastAsia="仿宋" w:cs="仿宋"/>
          <w:color w:val="000000"/>
          <w:sz w:val="24"/>
          <w:szCs w:val="22"/>
          <w:lang w:eastAsia="zh-CN"/>
        </w:rPr>
        <w:t>。</w:t>
      </w:r>
    </w:p>
    <w:p>
      <w:pPr>
        <w:tabs>
          <w:tab w:val="left" w:pos="432"/>
          <w:tab w:val="left" w:pos="718"/>
        </w:tabs>
        <w:bidi w:val="0"/>
        <w:ind w:firstLine="0" w:firstLineChars="0"/>
        <w:outlineLvl w:val="9"/>
        <w:rPr>
          <w:rFonts w:hint="eastAsia" w:ascii="仿宋" w:hAnsi="仿宋" w:eastAsia="仿宋" w:cs="仿宋"/>
          <w:b/>
          <w:bCs/>
          <w:sz w:val="28"/>
          <w:szCs w:val="28"/>
          <w:lang w:eastAsia="zh-CN"/>
        </w:rPr>
      </w:pPr>
    </w:p>
    <w:p>
      <w:pPr>
        <w:keepNext w:val="0"/>
        <w:keepLines w:val="0"/>
        <w:pageBreakBefore w:val="0"/>
        <w:widowControl w:val="0"/>
        <w:numPr>
          <w:ilvl w:val="0"/>
          <w:numId w:val="3"/>
        </w:numPr>
        <w:tabs>
          <w:tab w:val="left" w:pos="432"/>
          <w:tab w:val="left" w:pos="718"/>
          <w:tab w:val="clear" w:pos="312"/>
        </w:tabs>
        <w:kinsoku/>
        <w:wordWrap/>
        <w:overflowPunct/>
        <w:topLinePunct w:val="0"/>
        <w:autoSpaceDE/>
        <w:autoSpaceDN/>
        <w:bidi w:val="0"/>
        <w:adjustRightInd/>
        <w:snapToGrid/>
        <w:spacing w:line="360" w:lineRule="auto"/>
        <w:ind w:firstLine="0" w:firstLineChars="0"/>
        <w:textAlignment w:val="auto"/>
        <w:outlineLvl w:val="0"/>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w:t>
      </w:r>
      <w:r>
        <w:rPr>
          <w:rFonts w:hint="eastAsia" w:ascii="仿宋" w:hAnsi="仿宋" w:eastAsia="仿宋" w:cs="仿宋"/>
          <w:b/>
          <w:bCs/>
          <w:sz w:val="24"/>
          <w:szCs w:val="18"/>
        </w:rPr>
        <w:t>广东省医疗保障信息平台财务管理软件及业财对接服务佛山本地化运营（2024-2025年）</w:t>
      </w:r>
      <w:r>
        <w:rPr>
          <w:rFonts w:hint="eastAsia" w:ascii="仿宋" w:hAnsi="仿宋" w:eastAsia="仿宋" w:cs="仿宋"/>
          <w:b/>
          <w:bCs/>
          <w:sz w:val="24"/>
          <w:szCs w:val="24"/>
          <w:lang w:eastAsia="zh-CN"/>
        </w:rPr>
        <w:t>”</w:t>
      </w:r>
      <w:bookmarkEnd w:id="8"/>
      <w:bookmarkEnd w:id="9"/>
      <w:bookmarkEnd w:id="10"/>
      <w:bookmarkEnd w:id="11"/>
      <w:bookmarkEnd w:id="12"/>
      <w:bookmarkEnd w:id="13"/>
      <w:bookmarkEnd w:id="14"/>
    </w:p>
    <w:p>
      <w:pPr>
        <w:pStyle w:val="2"/>
        <w:numPr>
          <w:ilvl w:val="0"/>
          <w:numId w:val="0"/>
        </w:numPr>
        <w:outlineLvl w:val="1"/>
        <w:rPr>
          <w:rFonts w:hint="eastAsia" w:ascii="仿宋" w:hAnsi="仿宋" w:eastAsia="仿宋" w:cs="仿宋"/>
          <w:kern w:val="2"/>
          <w:sz w:val="28"/>
          <w:lang w:val="en-US" w:eastAsia="zh-CN" w:bidi="ar-SA"/>
        </w:rPr>
      </w:pPr>
      <w:r>
        <w:rPr>
          <w:rFonts w:hint="eastAsia" w:ascii="仿宋" w:hAnsi="仿宋" w:eastAsia="仿宋" w:cs="仿宋"/>
          <w:kern w:val="2"/>
          <w:sz w:val="28"/>
          <w:lang w:val="en-US" w:eastAsia="zh-CN" w:bidi="ar-SA"/>
        </w:rPr>
        <w:t>（1）具体运营内容</w:t>
      </w: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2"/>
        <w:gridCol w:w="1379"/>
        <w:gridCol w:w="1483"/>
        <w:gridCol w:w="1769"/>
        <w:gridCol w:w="31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一、</w:t>
            </w:r>
          </w:p>
        </w:tc>
        <w:tc>
          <w:tcPr>
            <w:tcW w:w="271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管理运营服务</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both"/>
              <w:rPr>
                <w:rFonts w:hint="eastAsia" w:ascii="宋体" w:hAnsi="宋体" w:eastAsia="宋体" w:cs="宋体"/>
                <w:b/>
                <w:bCs/>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应用软件管理平台</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用户管理</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新增或删除用户</w:t>
            </w:r>
          </w:p>
        </w:tc>
        <w:tc>
          <w:tcPr>
            <w:tcW w:w="18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用户账号及授权的管理，业务流程的定制，对财务用户进行管理，新增或删除用户，并赋予不同的系统角色如各级经办机构会计、出纳人员角色或管理人员角色等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权限控制</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用户功能菜单授权</w:t>
            </w:r>
          </w:p>
        </w:tc>
        <w:tc>
          <w:tcPr>
            <w:tcW w:w="18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数据权限设置</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用户数据权限授权</w:t>
            </w:r>
          </w:p>
        </w:tc>
        <w:tc>
          <w:tcPr>
            <w:tcW w:w="18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基础资料</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系统选项</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系统选项设置</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针对单位及账套基本属性设置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公共要素</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要素定义维护</w:t>
            </w:r>
          </w:p>
        </w:tc>
        <w:tc>
          <w:tcPr>
            <w:tcW w:w="18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凭证辅助核算项目的启用设置与调整，解决编码调整与增删改问题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基础数据维护</w:t>
            </w:r>
          </w:p>
        </w:tc>
        <w:tc>
          <w:tcPr>
            <w:tcW w:w="18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核算要素</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凭证类型维护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根据不同的做账方式，设置增加修改凭证类型不同字号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凭证模板维护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解决凭证模板无法保存、或者凭证模板无法调用、凭证模板无法删除等问题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9</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基金财务处理</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凭证处理</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凭证处理维护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top"/>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凭证编制、审核、记账等不成功时问题解决。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账簿查询</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账簿查询维护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top"/>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协助设置方案查询，解决查账当中较为经常出现的问题如账簿余额不平、科目缺失、数据有误等问题。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期初业务</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期初业务维护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top"/>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协助解决导入或者录入期初余额过程当中出现的如借贷不平，科目是否末级能否录入期初，期初余额结转等问题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期末业务</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期末业务维护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top"/>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协助解决结账问题如本期间内账务不平如何快速检查、无法结账或反结账等问题。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打印归档</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打印归档维护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协助解决凭证分类归档过程中打印模板的设置与维护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基金财务业务平台</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取数设置</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业财一体化接口维护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对接医保业务平台维护取数过程中产生的错误问题查询解决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2"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模板设置</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生成凭证模板设置</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top"/>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根据业务系统回盘确认后传输的预记账数据，设置对应生成的会计科目、金额、摘要、辅助项等。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生成凭证</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生成凭证功能维护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协助正常生成凭证和取消凭证，指导用户实现账套选择和数据的筛选生成等问题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17</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基金报表管理</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基础设置</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报表基础资料维护</w:t>
            </w:r>
          </w:p>
        </w:tc>
        <w:tc>
          <w:tcPr>
            <w:tcW w:w="18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对应报表任务、表样式、公式、数据源等取数的维护调整，上传下载Excel错误查询解决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任务管理</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统一的报表设计和调整</w:t>
            </w:r>
          </w:p>
        </w:tc>
        <w:tc>
          <w:tcPr>
            <w:tcW w:w="18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19</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数据录入</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报表生成功能维护</w:t>
            </w:r>
          </w:p>
        </w:tc>
        <w:tc>
          <w:tcPr>
            <w:tcW w:w="1857" w:type="pct"/>
            <w:vMerge w:val="restar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top"/>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协助解决月度、季度、年度报表等在查询取数过程中如有数据错误的对应修改与解决，汇总下级单位报表信息出现的问题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20</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报表查询</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报表查询功能维护</w:t>
            </w:r>
          </w:p>
        </w:tc>
        <w:tc>
          <w:tcPr>
            <w:tcW w:w="1857" w:type="pct"/>
            <w:vMerge w:val="continue"/>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21</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基金出纳管理</w:t>
            </w: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账簿管理</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账簿管理功能维护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协助出纳账簿建立、修改、删除工作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22</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登记出纳账</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登记出纳账功能维护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协助解决如无法导入日记账、登账保存不成功、登账时无法选择辅助或其他问题等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2"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账簿查询</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账簿查询功能维护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top"/>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协助设置方案查询，解决查账当中较为经常出现的问题如账簿余额不平、科目缺失、数据有误等问题。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24</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对账</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对账功能维护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协助解决对账不平等问题，如对应的账套、科目是否设置有误等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25</w:t>
            </w: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8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期末处理</w:t>
            </w:r>
          </w:p>
        </w:tc>
        <w:tc>
          <w:tcPr>
            <w:tcW w:w="10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期末结账和期末结转维护</w:t>
            </w:r>
          </w:p>
        </w:tc>
        <w:tc>
          <w:tcPr>
            <w:tcW w:w="1857" w:type="pct"/>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top"/>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协助解决结账问题如本期间内账务不平如何快速检查、无法结账或反结账等问题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26</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系统故障处理</w:t>
            </w:r>
          </w:p>
        </w:tc>
        <w:tc>
          <w:tcPr>
            <w:tcW w:w="37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解决用户界面、功能操作报错，浏览器兼容性、缓存等常规性问题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27</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数据核对检查</w:t>
            </w:r>
          </w:p>
        </w:tc>
        <w:tc>
          <w:tcPr>
            <w:tcW w:w="37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协助用户核对系统数据，检查数据错误，查出差异原因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28</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业务流程、系统操作指导</w:t>
            </w:r>
          </w:p>
        </w:tc>
        <w:tc>
          <w:tcPr>
            <w:tcW w:w="37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模块的操作指导和操作文档的编写和发布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二、</w:t>
            </w:r>
          </w:p>
        </w:tc>
        <w:tc>
          <w:tcPr>
            <w:tcW w:w="457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fldChar w:fldCharType="begin"/>
            </w:r>
            <w:r>
              <w:rPr>
                <w:rFonts w:hint="eastAsia" w:ascii="宋体" w:hAnsi="宋体" w:eastAsia="宋体" w:cs="宋体"/>
                <w:b/>
                <w:bCs/>
                <w:i w:val="0"/>
                <w:iCs w:val="0"/>
                <w:color w:val="auto"/>
                <w:kern w:val="0"/>
                <w:sz w:val="21"/>
                <w:szCs w:val="21"/>
                <w:u w:val="none"/>
                <w:lang w:val="en-US" w:eastAsia="zh-CN" w:bidi="ar"/>
              </w:rPr>
              <w:instrText xml:space="preserve"> HYPERLINK "" \l "_Toc30309_" </w:instrText>
            </w:r>
            <w:r>
              <w:rPr>
                <w:rFonts w:hint="eastAsia" w:ascii="宋体" w:hAnsi="宋体" w:eastAsia="宋体" w:cs="宋体"/>
                <w:b/>
                <w:bCs/>
                <w:i w:val="0"/>
                <w:iCs w:val="0"/>
                <w:color w:val="auto"/>
                <w:kern w:val="0"/>
                <w:sz w:val="21"/>
                <w:szCs w:val="21"/>
                <w:u w:val="none"/>
                <w:lang w:val="en-US" w:eastAsia="zh-CN" w:bidi="ar"/>
              </w:rPr>
              <w:fldChar w:fldCharType="separate"/>
            </w:r>
            <w:r>
              <w:rPr>
                <w:rStyle w:val="18"/>
                <w:rFonts w:hint="eastAsia" w:ascii="宋体" w:hAnsi="宋体" w:eastAsia="宋体" w:cs="宋体"/>
                <w:b/>
                <w:bCs/>
                <w:i w:val="0"/>
                <w:iCs w:val="0"/>
                <w:color w:val="auto"/>
                <w:sz w:val="21"/>
                <w:szCs w:val="21"/>
                <w:u w:val="none"/>
              </w:rPr>
              <w:t>安全运营服务</w:t>
            </w:r>
            <w:r>
              <w:rPr>
                <w:rFonts w:hint="eastAsia" w:ascii="宋体" w:hAnsi="宋体" w:eastAsia="宋体" w:cs="宋体"/>
                <w:b/>
                <w:bCs/>
                <w:i w:val="0"/>
                <w:iCs w:val="0"/>
                <w:color w:val="auto"/>
                <w:kern w:val="0"/>
                <w:sz w:val="21"/>
                <w:szCs w:val="21"/>
                <w:u w:val="non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29</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系统补丁及完善</w:t>
            </w:r>
          </w:p>
        </w:tc>
        <w:tc>
          <w:tcPr>
            <w:tcW w:w="37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针对原有功能模块提供不定时进行以下处理：（1）安全补丁升级（2）安全漏洞完善（3）系统BUG修复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30</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操作权限</w:t>
            </w:r>
          </w:p>
        </w:tc>
        <w:tc>
          <w:tcPr>
            <w:tcW w:w="37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定期对操作权限进行授权和检查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31</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数据权限</w:t>
            </w:r>
          </w:p>
        </w:tc>
        <w:tc>
          <w:tcPr>
            <w:tcW w:w="37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保障数据权限的安全隔离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32</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数据加密</w:t>
            </w:r>
          </w:p>
        </w:tc>
        <w:tc>
          <w:tcPr>
            <w:tcW w:w="37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系统数据提供加密方案，增强数据的安全性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可用性</w:t>
            </w:r>
          </w:p>
        </w:tc>
        <w:tc>
          <w:tcPr>
            <w:tcW w:w="37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系统架构应保证无单点故障，关键处理点要考虑负载均衡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三、</w:t>
            </w:r>
          </w:p>
        </w:tc>
        <w:tc>
          <w:tcPr>
            <w:tcW w:w="457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fldChar w:fldCharType="begin"/>
            </w:r>
            <w:r>
              <w:rPr>
                <w:rFonts w:hint="eastAsia" w:ascii="宋体" w:hAnsi="宋体" w:eastAsia="宋体" w:cs="宋体"/>
                <w:b/>
                <w:bCs/>
                <w:i w:val="0"/>
                <w:iCs w:val="0"/>
                <w:color w:val="auto"/>
                <w:kern w:val="0"/>
                <w:sz w:val="21"/>
                <w:szCs w:val="21"/>
                <w:u w:val="none"/>
                <w:lang w:val="en-US" w:eastAsia="zh-CN" w:bidi="ar"/>
              </w:rPr>
              <w:instrText xml:space="preserve"> HYPERLINK "" \l "_Toc10607_" </w:instrText>
            </w:r>
            <w:r>
              <w:rPr>
                <w:rFonts w:hint="eastAsia" w:ascii="宋体" w:hAnsi="宋体" w:eastAsia="宋体" w:cs="宋体"/>
                <w:b/>
                <w:bCs/>
                <w:i w:val="0"/>
                <w:iCs w:val="0"/>
                <w:color w:val="auto"/>
                <w:kern w:val="0"/>
                <w:sz w:val="21"/>
                <w:szCs w:val="21"/>
                <w:u w:val="none"/>
                <w:lang w:val="en-US" w:eastAsia="zh-CN" w:bidi="ar"/>
              </w:rPr>
              <w:fldChar w:fldCharType="separate"/>
            </w:r>
            <w:r>
              <w:rPr>
                <w:rStyle w:val="18"/>
                <w:rFonts w:hint="eastAsia" w:ascii="宋体" w:hAnsi="宋体" w:eastAsia="宋体" w:cs="宋体"/>
                <w:b/>
                <w:bCs/>
                <w:i w:val="0"/>
                <w:iCs w:val="0"/>
                <w:color w:val="auto"/>
                <w:sz w:val="21"/>
                <w:szCs w:val="21"/>
                <w:u w:val="none"/>
              </w:rPr>
              <w:t>其他运营服务</w:t>
            </w:r>
            <w:r>
              <w:rPr>
                <w:rFonts w:hint="eastAsia" w:ascii="宋体" w:hAnsi="宋体" w:eastAsia="宋体" w:cs="宋体"/>
                <w:b/>
                <w:bCs/>
                <w:i w:val="0"/>
                <w:iCs w:val="0"/>
                <w:color w:val="auto"/>
                <w:kern w:val="0"/>
                <w:sz w:val="21"/>
                <w:szCs w:val="21"/>
                <w:u w:val="none"/>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34</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培训服务</w:t>
            </w:r>
          </w:p>
        </w:tc>
        <w:tc>
          <w:tcPr>
            <w:tcW w:w="37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培训服务是指一年一次用户在指定的时期内可以得到现场培训的服务，针对市医保局及下属业务经办机构业务操作培训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35</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值班及紧急服务</w:t>
            </w:r>
          </w:p>
        </w:tc>
        <w:tc>
          <w:tcPr>
            <w:tcW w:w="37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在特殊的业务时期，安排专人晚上及节假日值班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36</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系统运行的保障机制</w:t>
            </w:r>
          </w:p>
        </w:tc>
        <w:tc>
          <w:tcPr>
            <w:tcW w:w="37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建立规范的运营保障机制，保障运营的响应和解决问题的质量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阶段性驻场服务</w:t>
            </w:r>
          </w:p>
        </w:tc>
        <w:tc>
          <w:tcPr>
            <w:tcW w:w="3765"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定时驻场服务，一年四次</w:t>
            </w:r>
          </w:p>
        </w:tc>
      </w:tr>
    </w:tbl>
    <w:p>
      <w:pPr>
        <w:pStyle w:val="2"/>
        <w:numPr>
          <w:ilvl w:val="0"/>
          <w:numId w:val="0"/>
        </w:numPr>
        <w:outlineLvl w:val="1"/>
        <w:rPr>
          <w:rFonts w:hint="eastAsia" w:ascii="仿宋" w:hAnsi="仿宋" w:eastAsia="仿宋" w:cs="仿宋"/>
          <w:kern w:val="2"/>
          <w:sz w:val="28"/>
          <w:lang w:val="en-GB" w:eastAsia="zh-CN" w:bidi="ar-SA"/>
        </w:rPr>
      </w:pPr>
      <w:bookmarkStart w:id="15" w:name="_Toc7404"/>
      <w:bookmarkStart w:id="16" w:name="_Toc521"/>
      <w:bookmarkStart w:id="17" w:name="_Toc28204"/>
      <w:bookmarkStart w:id="18" w:name="_Toc15889"/>
      <w:bookmarkStart w:id="19" w:name="_Toc11744"/>
      <w:bookmarkStart w:id="20" w:name="_Toc31992"/>
      <w:bookmarkStart w:id="21" w:name="_Toc5337"/>
      <w:r>
        <w:rPr>
          <w:rFonts w:hint="eastAsia" w:ascii="仿宋" w:hAnsi="仿宋" w:eastAsia="仿宋" w:cs="仿宋"/>
          <w:kern w:val="2"/>
          <w:sz w:val="28"/>
          <w:lang w:val="en-GB" w:eastAsia="zh-CN" w:bidi="ar-SA"/>
        </w:rPr>
        <w:t>（</w:t>
      </w:r>
      <w:r>
        <w:rPr>
          <w:rFonts w:hint="eastAsia" w:ascii="仿宋" w:hAnsi="仿宋" w:eastAsia="仿宋" w:cs="仿宋"/>
          <w:kern w:val="2"/>
          <w:sz w:val="28"/>
          <w:lang w:val="en-US" w:eastAsia="zh-CN" w:bidi="ar-SA"/>
        </w:rPr>
        <w:t>2</w:t>
      </w:r>
      <w:r>
        <w:rPr>
          <w:rFonts w:hint="eastAsia" w:ascii="仿宋" w:hAnsi="仿宋" w:eastAsia="仿宋" w:cs="仿宋"/>
          <w:kern w:val="2"/>
          <w:sz w:val="28"/>
          <w:lang w:val="en-GB" w:eastAsia="zh-CN" w:bidi="ar-SA"/>
        </w:rPr>
        <w:t>）运营人员配置</w:t>
      </w:r>
      <w:bookmarkEnd w:id="15"/>
      <w:bookmarkEnd w:id="16"/>
      <w:bookmarkEnd w:id="17"/>
      <w:bookmarkEnd w:id="18"/>
      <w:bookmarkEnd w:id="19"/>
      <w:bookmarkEnd w:id="20"/>
      <w:bookmarkEnd w:id="21"/>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color w:val="000000"/>
          <w:sz w:val="24"/>
          <w:szCs w:val="22"/>
          <w:lang w:val="en-GB"/>
        </w:rPr>
      </w:pPr>
      <w:r>
        <w:rPr>
          <w:rFonts w:hint="eastAsia" w:ascii="仿宋" w:hAnsi="仿宋" w:eastAsia="仿宋" w:cs="仿宋"/>
          <w:color w:val="000000"/>
          <w:sz w:val="24"/>
          <w:szCs w:val="22"/>
          <w:lang w:val="en-GB" w:eastAsia="zh-CN"/>
        </w:rPr>
        <w:t>本年项目需承建单位</w:t>
      </w:r>
      <w:r>
        <w:rPr>
          <w:rFonts w:hint="eastAsia" w:ascii="仿宋" w:hAnsi="仿宋" w:eastAsia="仿宋" w:cs="仿宋"/>
          <w:color w:val="000000"/>
          <w:sz w:val="24"/>
          <w:szCs w:val="22"/>
          <w:lang w:val="en-GB"/>
        </w:rPr>
        <w:t>提供专项运营服务的</w:t>
      </w:r>
      <w:r>
        <w:rPr>
          <w:rFonts w:hint="eastAsia" w:ascii="仿宋" w:hAnsi="仿宋" w:eastAsia="仿宋" w:cs="仿宋"/>
          <w:color w:val="000000"/>
          <w:sz w:val="24"/>
          <w:szCs w:val="22"/>
          <w:lang w:val="en-GB" w:eastAsia="zh-CN"/>
        </w:rPr>
        <w:t>运营人员</w:t>
      </w:r>
      <w:r>
        <w:rPr>
          <w:rFonts w:hint="eastAsia" w:ascii="仿宋" w:hAnsi="仿宋" w:eastAsia="仿宋" w:cs="仿宋"/>
          <w:color w:val="000000"/>
          <w:sz w:val="24"/>
          <w:szCs w:val="22"/>
          <w:lang w:val="en-GB"/>
        </w:rPr>
        <w:t>包含1名业务系统应用软件维护项目经理、不少于3名技术支持工程师。当业务高峰期，服务提供方需以电话接听率为评价指标，调增相应运维人员，以满足该项目运维质量要求。</w:t>
      </w:r>
    </w:p>
    <w:p>
      <w:pPr>
        <w:pStyle w:val="2"/>
        <w:rPr>
          <w:rFonts w:hint="eastAsia"/>
          <w:lang w:val="en-GB"/>
        </w:rPr>
      </w:pPr>
    </w:p>
    <w:p>
      <w:pPr>
        <w:keepNext w:val="0"/>
        <w:keepLines w:val="0"/>
        <w:pageBreakBefore w:val="0"/>
        <w:widowControl w:val="0"/>
        <w:tabs>
          <w:tab w:val="left" w:pos="284"/>
        </w:tabs>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8"/>
          <w:szCs w:val="28"/>
        </w:rPr>
      </w:pPr>
      <w:r>
        <w:rPr>
          <w:rFonts w:hint="eastAsia" w:ascii="宋体" w:hAnsi="宋体" w:cs="宋体"/>
          <w:b/>
          <w:sz w:val="28"/>
          <w:szCs w:val="28"/>
          <w:lang w:val="en-US" w:eastAsia="zh-CN"/>
        </w:rPr>
        <w:t>四</w:t>
      </w:r>
      <w:r>
        <w:rPr>
          <w:rFonts w:hint="eastAsia" w:ascii="宋体" w:hAnsi="宋体" w:eastAsia="宋体" w:cs="宋体"/>
          <w:b/>
          <w:sz w:val="28"/>
          <w:szCs w:val="28"/>
          <w:lang w:val="en-US" w:eastAsia="zh-CN"/>
        </w:rPr>
        <w:t>、</w:t>
      </w:r>
      <w:r>
        <w:rPr>
          <w:rFonts w:hint="eastAsia" w:ascii="宋体" w:hAnsi="宋体" w:eastAsia="宋体" w:cs="宋体"/>
          <w:b/>
          <w:sz w:val="28"/>
          <w:szCs w:val="28"/>
        </w:rPr>
        <w:t>采购项目商务要求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410"/>
        <w:gridCol w:w="6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序号</w:t>
            </w:r>
          </w:p>
        </w:tc>
        <w:tc>
          <w:tcPr>
            <w:tcW w:w="82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商务条款</w:t>
            </w:r>
          </w:p>
        </w:tc>
        <w:tc>
          <w:tcPr>
            <w:tcW w:w="375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US" w:eastAsia="zh-CN"/>
              </w:rPr>
              <w:t>1</w:t>
            </w:r>
          </w:p>
        </w:tc>
        <w:tc>
          <w:tcPr>
            <w:tcW w:w="82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报价要求</w:t>
            </w:r>
          </w:p>
        </w:tc>
        <w:tc>
          <w:tcPr>
            <w:tcW w:w="3758" w:type="pct"/>
            <w:noWrap w:val="0"/>
            <w:vAlign w:val="center"/>
          </w:tcPr>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1.本项目报价为广东省佛山市目的地交付价。</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2.投标报价指投标人为完成本项目所收取的全部费用，包含但不限于以下费用：前期调研费、所有技术人员的工勤费用（包括工资、福利、交通、食宿、通讯的费用等）、管理费、利润、全额含税发票以及合同实施过程中的应预见和不可预见费用等完成合同规定责任和义务、达到合同目的的一切费用及企业利润。</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3.投标人须考虑本项目在实施期间的一切可能产生的费用。</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GB"/>
              </w:rPr>
              <w:t>4.</w:t>
            </w:r>
            <w:r>
              <w:rPr>
                <w:rFonts w:hint="eastAsia" w:ascii="宋体" w:hAnsi="宋体" w:eastAsia="宋体" w:cs="宋体"/>
                <w:color w:val="auto"/>
                <w:sz w:val="24"/>
                <w:szCs w:val="24"/>
              </w:rPr>
              <w:t>报价不得高于本项目的采购项目预算金额，否则视为无效报价，作无效投标处理。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US" w:eastAsia="zh-CN"/>
              </w:rPr>
              <w:t>2</w:t>
            </w:r>
          </w:p>
        </w:tc>
        <w:tc>
          <w:tcPr>
            <w:tcW w:w="82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服务时间</w:t>
            </w:r>
          </w:p>
        </w:tc>
        <w:tc>
          <w:tcPr>
            <w:tcW w:w="375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本项目</w:t>
            </w:r>
            <w:r>
              <w:rPr>
                <w:rFonts w:hint="eastAsia" w:ascii="宋体" w:hAnsi="宋体" w:eastAsia="宋体" w:cs="宋体"/>
                <w:color w:val="auto"/>
                <w:sz w:val="24"/>
                <w:szCs w:val="24"/>
                <w:lang w:val="en-US" w:eastAsia="zh-CN"/>
              </w:rPr>
              <w:t>运营</w:t>
            </w:r>
            <w:r>
              <w:rPr>
                <w:rFonts w:hint="eastAsia" w:ascii="宋体" w:hAnsi="宋体" w:eastAsia="宋体" w:cs="宋体"/>
                <w:color w:val="auto"/>
                <w:sz w:val="24"/>
                <w:szCs w:val="24"/>
                <w:lang w:val="en-GB"/>
              </w:rPr>
              <w:t>期限为合同生效之日起</w:t>
            </w:r>
            <w:r>
              <w:rPr>
                <w:rFonts w:hint="eastAsia" w:ascii="宋体" w:hAnsi="宋体" w:cs="宋体"/>
                <w:color w:val="auto"/>
                <w:sz w:val="24"/>
                <w:szCs w:val="24"/>
                <w:lang w:val="en-GB" w:eastAsia="zh-CN"/>
              </w:rPr>
              <w:t>一</w:t>
            </w:r>
            <w:r>
              <w:rPr>
                <w:rFonts w:hint="eastAsia" w:ascii="宋体" w:hAnsi="宋体" w:eastAsia="宋体" w:cs="宋体"/>
                <w:color w:val="auto"/>
                <w:sz w:val="24"/>
                <w:szCs w:val="24"/>
                <w:lang w:val="en-GB"/>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US" w:eastAsia="zh-CN"/>
              </w:rPr>
              <w:t>3</w:t>
            </w:r>
          </w:p>
        </w:tc>
        <w:tc>
          <w:tcPr>
            <w:tcW w:w="82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服务地点</w:t>
            </w:r>
          </w:p>
        </w:tc>
        <w:tc>
          <w:tcPr>
            <w:tcW w:w="375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US" w:eastAsia="zh-CN"/>
              </w:rPr>
              <w:t>4</w:t>
            </w:r>
          </w:p>
        </w:tc>
        <w:tc>
          <w:tcPr>
            <w:tcW w:w="82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付款办法</w:t>
            </w:r>
          </w:p>
        </w:tc>
        <w:tc>
          <w:tcPr>
            <w:tcW w:w="3758" w:type="pct"/>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240" w:lineRule="auto"/>
              <w:ind w:left="211" w:right="0" w:firstLine="0" w:firstLineChars="0"/>
              <w:jc w:val="both"/>
              <w:textAlignment w:val="auto"/>
              <w:rPr>
                <w:rFonts w:hint="eastAsia" w:ascii="宋体" w:hAnsi="宋体" w:eastAsia="宋体" w:cs="宋体"/>
                <w:b/>
                <w:bCs w:val="0"/>
                <w:color w:val="auto"/>
                <w:sz w:val="24"/>
                <w:szCs w:val="24"/>
                <w:lang w:val="en-US"/>
              </w:rPr>
            </w:pPr>
            <w:r>
              <w:rPr>
                <w:rFonts w:hint="eastAsia" w:ascii="宋体" w:hAnsi="宋体" w:eastAsia="宋体" w:cs="宋体"/>
                <w:b/>
                <w:bCs w:val="0"/>
                <w:color w:val="auto"/>
                <w:kern w:val="2"/>
                <w:sz w:val="24"/>
                <w:szCs w:val="24"/>
                <w:lang w:val="en-US" w:eastAsia="zh-CN" w:bidi="ar"/>
              </w:rPr>
              <w:t>1.采购人根据项目情况，对照以下合同款项，支付阶段和比例如下：</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宋体" w:hAnsi="宋体" w:cs="宋体"/>
                <w:b/>
                <w:bCs/>
                <w:color w:val="auto"/>
                <w:sz w:val="24"/>
                <w:szCs w:val="24"/>
                <w:lang w:val="en-US" w:eastAsia="zh-CN" w:bidi="ar"/>
              </w:rPr>
            </w:pPr>
            <w:r>
              <w:rPr>
                <w:rFonts w:hint="eastAsia" w:ascii="宋体" w:hAnsi="宋体" w:cs="宋体"/>
                <w:b/>
                <w:bCs/>
                <w:color w:val="auto"/>
                <w:sz w:val="24"/>
                <w:szCs w:val="24"/>
                <w:lang w:eastAsia="zh-CN" w:bidi="ar"/>
              </w:rPr>
              <w:t>内容</w:t>
            </w:r>
            <w:r>
              <w:rPr>
                <w:rFonts w:hint="eastAsia" w:ascii="宋体" w:hAnsi="宋体" w:cs="宋体"/>
                <w:b/>
                <w:bCs/>
                <w:color w:val="auto"/>
                <w:sz w:val="24"/>
                <w:szCs w:val="24"/>
                <w:lang w:val="en-US" w:eastAsia="zh-CN" w:bidi="ar"/>
              </w:rPr>
              <w:t>1</w:t>
            </w:r>
            <w:r>
              <w:rPr>
                <w:rFonts w:hint="eastAsia" w:ascii="宋体" w:hAnsi="宋体" w:cs="宋体"/>
                <w:b/>
                <w:bCs/>
                <w:color w:val="auto"/>
                <w:sz w:val="24"/>
                <w:szCs w:val="24"/>
                <w:lang w:eastAsia="zh-CN" w:bidi="ar"/>
              </w:rPr>
              <w:t>支付方式：</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eastAsia" w:ascii="宋体" w:hAnsi="宋体" w:eastAsia="宋体" w:cs="宋体"/>
                <w:color w:val="auto"/>
                <w:sz w:val="24"/>
                <w:szCs w:val="24"/>
                <w:lang w:bidi="ar"/>
              </w:rPr>
            </w:pPr>
            <w:r>
              <w:rPr>
                <w:rFonts w:hint="eastAsia" w:ascii="宋体" w:hAnsi="宋体" w:eastAsia="宋体" w:cs="宋体"/>
                <w:color w:val="auto"/>
                <w:sz w:val="24"/>
                <w:szCs w:val="24"/>
                <w:lang w:eastAsia="zh-CN" w:bidi="ar"/>
              </w:rPr>
              <w:t>（</w:t>
            </w:r>
            <w:r>
              <w:rPr>
                <w:rFonts w:hint="eastAsia" w:ascii="宋体" w:hAnsi="宋体" w:eastAsia="宋体" w:cs="宋体"/>
                <w:color w:val="auto"/>
                <w:sz w:val="24"/>
                <w:szCs w:val="24"/>
                <w:lang w:val="en-US" w:eastAsia="zh-CN" w:bidi="ar"/>
              </w:rPr>
              <w:t>1</w:t>
            </w:r>
            <w:r>
              <w:rPr>
                <w:rFonts w:hint="eastAsia" w:ascii="宋体" w:hAnsi="宋体" w:eastAsia="宋体" w:cs="宋体"/>
                <w:color w:val="auto"/>
                <w:sz w:val="24"/>
                <w:szCs w:val="24"/>
                <w:lang w:eastAsia="zh-CN" w:bidi="ar"/>
              </w:rPr>
              <w:t>）</w:t>
            </w:r>
            <w:r>
              <w:rPr>
                <w:rFonts w:hint="eastAsia" w:ascii="宋体" w:hAnsi="宋体" w:eastAsia="宋体" w:cs="宋体"/>
                <w:color w:val="auto"/>
                <w:sz w:val="24"/>
                <w:szCs w:val="24"/>
                <w:lang w:bidi="ar"/>
              </w:rPr>
              <w:t>合同签订后，甲方向乙方支付合同总额的</w:t>
            </w:r>
            <w:r>
              <w:rPr>
                <w:rFonts w:hint="eastAsia" w:ascii="宋体" w:hAnsi="宋体" w:cs="宋体"/>
                <w:color w:val="auto"/>
                <w:sz w:val="24"/>
                <w:szCs w:val="24"/>
                <w:lang w:val="en-US" w:eastAsia="zh-CN" w:bidi="ar"/>
              </w:rPr>
              <w:t>3</w:t>
            </w:r>
            <w:r>
              <w:rPr>
                <w:rFonts w:hint="eastAsia" w:ascii="宋体" w:hAnsi="宋体" w:eastAsia="宋体" w:cs="宋体"/>
                <w:color w:val="auto"/>
                <w:sz w:val="24"/>
                <w:szCs w:val="24"/>
                <w:lang w:bidi="ar"/>
              </w:rPr>
              <w:t>0%；</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4"/>
                <w:szCs w:val="24"/>
                <w:lang w:bidi="ar"/>
              </w:rPr>
            </w:pPr>
            <w:r>
              <w:rPr>
                <w:rFonts w:hint="eastAsia" w:ascii="宋体" w:hAnsi="宋体" w:eastAsia="宋体" w:cs="宋体"/>
                <w:color w:val="auto"/>
                <w:sz w:val="24"/>
                <w:szCs w:val="24"/>
                <w:lang w:eastAsia="zh-CN" w:bidi="ar"/>
              </w:rPr>
              <w:t>（</w:t>
            </w:r>
            <w:r>
              <w:rPr>
                <w:rFonts w:hint="eastAsia" w:ascii="宋体" w:hAnsi="宋体" w:eastAsia="宋体" w:cs="宋体"/>
                <w:color w:val="auto"/>
                <w:sz w:val="24"/>
                <w:szCs w:val="24"/>
                <w:lang w:val="en-US" w:eastAsia="zh-CN" w:bidi="ar"/>
              </w:rPr>
              <w:t>2</w:t>
            </w:r>
            <w:r>
              <w:rPr>
                <w:rFonts w:hint="eastAsia" w:ascii="宋体" w:hAnsi="宋体" w:eastAsia="宋体" w:cs="宋体"/>
                <w:color w:val="auto"/>
                <w:sz w:val="24"/>
                <w:szCs w:val="24"/>
                <w:lang w:eastAsia="zh-CN" w:bidi="ar"/>
              </w:rPr>
              <w:t>）</w:t>
            </w:r>
            <w:r>
              <w:rPr>
                <w:rFonts w:hint="eastAsia" w:ascii="宋体" w:hAnsi="宋体" w:cs="宋体"/>
                <w:color w:val="auto"/>
                <w:sz w:val="24"/>
                <w:szCs w:val="24"/>
                <w:lang w:eastAsia="zh-CN" w:bidi="ar"/>
              </w:rPr>
              <w:t>合同生效后运营服务至</w:t>
            </w:r>
            <w:r>
              <w:rPr>
                <w:rFonts w:hint="eastAsia" w:ascii="宋体" w:hAnsi="宋体" w:cs="宋体"/>
                <w:color w:val="auto"/>
                <w:sz w:val="24"/>
                <w:szCs w:val="24"/>
                <w:lang w:val="en-US" w:eastAsia="zh-CN" w:bidi="ar"/>
              </w:rPr>
              <w:t>2024年12月，且甲方对服务满意，乙方无重大违约行为的，</w:t>
            </w:r>
            <w:r>
              <w:rPr>
                <w:rFonts w:hint="eastAsia" w:ascii="宋体" w:hAnsi="宋体" w:eastAsia="宋体" w:cs="宋体"/>
                <w:color w:val="auto"/>
                <w:sz w:val="24"/>
                <w:szCs w:val="24"/>
                <w:lang w:bidi="ar"/>
              </w:rPr>
              <w:t>甲方向乙方支付合同总额的</w:t>
            </w:r>
            <w:r>
              <w:rPr>
                <w:rFonts w:hint="eastAsia" w:ascii="宋体" w:hAnsi="宋体" w:cs="宋体"/>
                <w:color w:val="auto"/>
                <w:sz w:val="24"/>
                <w:szCs w:val="24"/>
                <w:lang w:val="en-US" w:eastAsia="zh-CN" w:bidi="ar"/>
              </w:rPr>
              <w:t>2</w:t>
            </w:r>
            <w:r>
              <w:rPr>
                <w:rFonts w:hint="eastAsia" w:ascii="宋体" w:hAnsi="宋体" w:eastAsia="宋体" w:cs="宋体"/>
                <w:color w:val="auto"/>
                <w:sz w:val="24"/>
                <w:szCs w:val="24"/>
                <w:lang w:bidi="ar"/>
              </w:rPr>
              <w:t>0%；</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4"/>
                <w:szCs w:val="24"/>
                <w:lang w:bidi="ar"/>
              </w:rPr>
            </w:pPr>
            <w:r>
              <w:rPr>
                <w:rFonts w:hint="eastAsia" w:ascii="宋体" w:hAnsi="宋体" w:cs="宋体"/>
                <w:color w:val="auto"/>
                <w:sz w:val="24"/>
                <w:szCs w:val="24"/>
                <w:lang w:eastAsia="zh-CN" w:bidi="ar"/>
              </w:rPr>
              <w:t>（</w:t>
            </w:r>
            <w:r>
              <w:rPr>
                <w:rFonts w:hint="eastAsia" w:ascii="宋体" w:hAnsi="宋体" w:cs="宋体"/>
                <w:color w:val="auto"/>
                <w:sz w:val="24"/>
                <w:szCs w:val="24"/>
                <w:lang w:val="en-US" w:eastAsia="zh-CN" w:bidi="ar"/>
              </w:rPr>
              <w:t>3</w:t>
            </w:r>
            <w:r>
              <w:rPr>
                <w:rFonts w:hint="eastAsia" w:ascii="宋体" w:hAnsi="宋体" w:cs="宋体"/>
                <w:color w:val="auto"/>
                <w:sz w:val="24"/>
                <w:szCs w:val="24"/>
                <w:lang w:eastAsia="zh-CN" w:bidi="ar"/>
              </w:rPr>
              <w:t>）运营服务期满且</w:t>
            </w:r>
            <w:r>
              <w:rPr>
                <w:rFonts w:hint="eastAsia" w:ascii="宋体" w:hAnsi="宋体" w:eastAsia="宋体" w:cs="宋体"/>
                <w:color w:val="auto"/>
                <w:sz w:val="24"/>
                <w:szCs w:val="24"/>
                <w:lang w:bidi="ar"/>
              </w:rPr>
              <w:t>合同验收通过后，甲方支付乙方合同总金额的</w:t>
            </w:r>
            <w:r>
              <w:rPr>
                <w:rFonts w:hint="eastAsia" w:ascii="宋体" w:hAnsi="宋体" w:cs="宋体"/>
                <w:color w:val="auto"/>
                <w:sz w:val="24"/>
                <w:szCs w:val="24"/>
                <w:lang w:val="en-US" w:eastAsia="zh-CN" w:bidi="ar"/>
              </w:rPr>
              <w:t>50</w:t>
            </w:r>
            <w:r>
              <w:rPr>
                <w:rFonts w:hint="eastAsia" w:ascii="宋体" w:hAnsi="宋体" w:eastAsia="宋体" w:cs="宋体"/>
                <w:color w:val="auto"/>
                <w:sz w:val="24"/>
                <w:szCs w:val="24"/>
                <w:lang w:bidi="ar"/>
              </w:rPr>
              <w:t>%；</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default" w:ascii="宋体" w:hAnsi="宋体" w:cs="宋体"/>
                <w:b/>
                <w:bCs/>
                <w:color w:val="auto"/>
                <w:sz w:val="24"/>
                <w:szCs w:val="24"/>
                <w:lang w:val="en-US" w:eastAsia="zh-CN" w:bidi="ar"/>
              </w:rPr>
            </w:pPr>
            <w:r>
              <w:rPr>
                <w:rFonts w:hint="eastAsia" w:ascii="宋体" w:hAnsi="宋体" w:cs="宋体"/>
                <w:b/>
                <w:bCs/>
                <w:color w:val="auto"/>
                <w:sz w:val="24"/>
                <w:szCs w:val="24"/>
                <w:lang w:eastAsia="zh-CN" w:bidi="ar"/>
              </w:rPr>
              <w:t>内容</w:t>
            </w:r>
            <w:r>
              <w:rPr>
                <w:rFonts w:hint="eastAsia" w:ascii="宋体" w:hAnsi="宋体" w:cs="宋体"/>
                <w:b/>
                <w:bCs/>
                <w:color w:val="auto"/>
                <w:sz w:val="24"/>
                <w:szCs w:val="24"/>
                <w:lang w:val="en-US" w:eastAsia="zh-CN" w:bidi="ar"/>
              </w:rPr>
              <w:t>2</w:t>
            </w:r>
            <w:r>
              <w:rPr>
                <w:rFonts w:hint="eastAsia" w:ascii="宋体" w:hAnsi="宋体" w:cs="宋体"/>
                <w:b/>
                <w:bCs/>
                <w:color w:val="auto"/>
                <w:sz w:val="24"/>
                <w:szCs w:val="24"/>
                <w:lang w:eastAsia="zh-CN" w:bidi="ar"/>
              </w:rPr>
              <w:t>支付方式：</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240" w:lineRule="auto"/>
              <w:ind w:left="0" w:leftChars="0" w:right="0" w:firstLine="0" w:firstLineChars="0"/>
              <w:jc w:val="both"/>
              <w:textAlignment w:val="auto"/>
              <w:rPr>
                <w:rFonts w:hint="eastAsia" w:ascii="宋体" w:hAnsi="宋体" w:eastAsia="宋体" w:cs="宋体"/>
                <w:color w:val="auto"/>
                <w:sz w:val="24"/>
                <w:szCs w:val="24"/>
                <w:lang w:bidi="ar"/>
              </w:rPr>
            </w:pPr>
            <w:r>
              <w:rPr>
                <w:rFonts w:hint="eastAsia" w:ascii="宋体" w:hAnsi="宋体" w:eastAsia="宋体" w:cs="宋体"/>
                <w:color w:val="auto"/>
                <w:sz w:val="24"/>
                <w:szCs w:val="24"/>
                <w:lang w:eastAsia="zh-CN" w:bidi="ar"/>
              </w:rPr>
              <w:t>（</w:t>
            </w:r>
            <w:r>
              <w:rPr>
                <w:rFonts w:hint="eastAsia" w:ascii="宋体" w:hAnsi="宋体" w:eastAsia="宋体" w:cs="宋体"/>
                <w:color w:val="auto"/>
                <w:sz w:val="24"/>
                <w:szCs w:val="24"/>
                <w:lang w:val="en-US" w:eastAsia="zh-CN" w:bidi="ar"/>
              </w:rPr>
              <w:t>1</w:t>
            </w:r>
            <w:r>
              <w:rPr>
                <w:rFonts w:hint="eastAsia" w:ascii="宋体" w:hAnsi="宋体" w:eastAsia="宋体" w:cs="宋体"/>
                <w:color w:val="auto"/>
                <w:sz w:val="24"/>
                <w:szCs w:val="24"/>
                <w:lang w:eastAsia="zh-CN" w:bidi="ar"/>
              </w:rPr>
              <w:t>）</w:t>
            </w:r>
            <w:r>
              <w:rPr>
                <w:rFonts w:hint="eastAsia" w:ascii="宋体" w:hAnsi="宋体" w:eastAsia="宋体" w:cs="宋体"/>
                <w:color w:val="auto"/>
                <w:sz w:val="24"/>
                <w:szCs w:val="24"/>
                <w:lang w:bidi="ar"/>
              </w:rPr>
              <w:t>合同签订后，甲方向乙方支付合同总额的</w:t>
            </w:r>
            <w:r>
              <w:rPr>
                <w:rFonts w:hint="eastAsia" w:ascii="宋体" w:hAnsi="宋体" w:cs="宋体"/>
                <w:color w:val="auto"/>
                <w:sz w:val="24"/>
                <w:szCs w:val="24"/>
                <w:lang w:val="en-US" w:eastAsia="zh-CN" w:bidi="ar"/>
              </w:rPr>
              <w:t>5</w:t>
            </w:r>
            <w:r>
              <w:rPr>
                <w:rFonts w:hint="eastAsia" w:ascii="宋体" w:hAnsi="宋体" w:eastAsia="宋体" w:cs="宋体"/>
                <w:color w:val="auto"/>
                <w:sz w:val="24"/>
                <w:szCs w:val="24"/>
                <w:lang w:bidi="ar"/>
              </w:rPr>
              <w:t>0%；</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4"/>
                <w:szCs w:val="24"/>
                <w:lang w:bidi="ar"/>
              </w:rPr>
            </w:pPr>
            <w:r>
              <w:rPr>
                <w:rFonts w:hint="eastAsia" w:ascii="宋体" w:hAnsi="宋体" w:eastAsia="宋体" w:cs="宋体"/>
                <w:color w:val="auto"/>
                <w:sz w:val="24"/>
                <w:szCs w:val="24"/>
                <w:lang w:eastAsia="zh-CN" w:bidi="ar"/>
              </w:rPr>
              <w:t>（</w:t>
            </w:r>
            <w:r>
              <w:rPr>
                <w:rFonts w:hint="eastAsia" w:ascii="宋体" w:hAnsi="宋体" w:eastAsia="宋体" w:cs="宋体"/>
                <w:color w:val="auto"/>
                <w:sz w:val="24"/>
                <w:szCs w:val="24"/>
                <w:lang w:val="en-US" w:eastAsia="zh-CN" w:bidi="ar"/>
              </w:rPr>
              <w:t>2</w:t>
            </w:r>
            <w:r>
              <w:rPr>
                <w:rFonts w:hint="eastAsia" w:ascii="宋体" w:hAnsi="宋体" w:eastAsia="宋体" w:cs="宋体"/>
                <w:color w:val="auto"/>
                <w:sz w:val="24"/>
                <w:szCs w:val="24"/>
                <w:lang w:eastAsia="zh-CN" w:bidi="ar"/>
              </w:rPr>
              <w:t>）</w:t>
            </w:r>
            <w:r>
              <w:rPr>
                <w:rFonts w:hint="eastAsia" w:ascii="宋体" w:hAnsi="宋体" w:cs="宋体"/>
                <w:color w:val="auto"/>
                <w:sz w:val="24"/>
                <w:szCs w:val="24"/>
                <w:lang w:eastAsia="zh-CN" w:bidi="ar"/>
              </w:rPr>
              <w:t>运营服务期满且</w:t>
            </w:r>
            <w:r>
              <w:rPr>
                <w:rFonts w:hint="eastAsia" w:ascii="宋体" w:hAnsi="宋体" w:eastAsia="宋体" w:cs="宋体"/>
                <w:color w:val="auto"/>
                <w:sz w:val="24"/>
                <w:szCs w:val="24"/>
                <w:lang w:bidi="ar"/>
              </w:rPr>
              <w:t>合同验收通过后，甲方支付乙方合同总金额的</w:t>
            </w:r>
            <w:r>
              <w:rPr>
                <w:rFonts w:hint="eastAsia" w:ascii="宋体" w:hAnsi="宋体" w:cs="宋体"/>
                <w:color w:val="auto"/>
                <w:sz w:val="24"/>
                <w:szCs w:val="24"/>
                <w:lang w:val="en-US" w:eastAsia="zh-CN" w:bidi="ar"/>
              </w:rPr>
              <w:t>50</w:t>
            </w:r>
            <w:r>
              <w:rPr>
                <w:rFonts w:hint="eastAsia" w:ascii="宋体" w:hAnsi="宋体" w:eastAsia="宋体" w:cs="宋体"/>
                <w:color w:val="auto"/>
                <w:sz w:val="24"/>
                <w:szCs w:val="24"/>
                <w:lang w:bidi="ar"/>
              </w:rPr>
              <w:t>%；</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315" w:firstLine="0" w:firstLineChars="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2.合同款项的支付方式：转账结算（银行转账）。</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315" w:firstLine="0" w:firstLineChars="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3.付款方：采购人；收款方：中标人。</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4.开具发票：</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en-GB"/>
              </w:rPr>
              <w:t>人收款时必须持有效发票。收款方、出具发票方、合同乙方均必须与</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en-GB"/>
              </w:rPr>
              <w:t>人名称一致。</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5.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6.付款期间如因特殊情况需调整，由双方协商处理。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noWrap w:val="0"/>
            <w:vAlign w:val="center"/>
          </w:tcPr>
          <w:p>
            <w:pPr>
              <w:keepNext w:val="0"/>
              <w:keepLines w:val="0"/>
              <w:pageBreakBefore w:val="0"/>
              <w:widowControl w:val="0"/>
              <w:tabs>
                <w:tab w:val="left" w:pos="180"/>
              </w:tabs>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5</w:t>
            </w:r>
          </w:p>
        </w:tc>
        <w:tc>
          <w:tcPr>
            <w:tcW w:w="82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验收标准</w:t>
            </w:r>
          </w:p>
        </w:tc>
        <w:tc>
          <w:tcPr>
            <w:tcW w:w="375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lang w:val="en-GB"/>
              </w:rPr>
            </w:pPr>
            <w:r>
              <w:rPr>
                <w:rFonts w:hint="eastAsia" w:ascii="宋体" w:hAnsi="宋体" w:eastAsia="宋体" w:cs="宋体"/>
                <w:sz w:val="24"/>
                <w:szCs w:val="24"/>
                <w:lang w:val="en-GB"/>
              </w:rPr>
              <w:t>1.验收要求</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lang w:val="en-GB"/>
              </w:rPr>
            </w:pPr>
            <w:r>
              <w:rPr>
                <w:rFonts w:hint="eastAsia" w:ascii="宋体" w:hAnsi="宋体" w:cs="宋体"/>
                <w:sz w:val="24"/>
                <w:szCs w:val="24"/>
                <w:lang w:val="en-US" w:eastAsia="zh-CN"/>
              </w:rPr>
              <w:t>成交</w:t>
            </w:r>
            <w:r>
              <w:rPr>
                <w:rFonts w:hint="eastAsia" w:ascii="宋体" w:hAnsi="宋体" w:eastAsia="宋体" w:cs="宋体"/>
                <w:sz w:val="24"/>
                <w:szCs w:val="24"/>
                <w:lang w:val="en-GB"/>
              </w:rPr>
              <w:t>人须为验收提供必需的一切条件及相关费用，必须提供本项目的相关文档和报告，积极配合采购人进行完工验收工作，保证</w:t>
            </w:r>
            <w:r>
              <w:rPr>
                <w:rFonts w:hint="eastAsia" w:ascii="宋体" w:hAnsi="宋体" w:eastAsia="宋体" w:cs="宋体"/>
                <w:sz w:val="24"/>
                <w:szCs w:val="24"/>
                <w:lang w:val="en-GB" w:eastAsia="zh-CN"/>
              </w:rPr>
              <w:t>运营</w:t>
            </w:r>
            <w:r>
              <w:rPr>
                <w:rFonts w:hint="eastAsia" w:ascii="宋体" w:hAnsi="宋体" w:eastAsia="宋体" w:cs="宋体"/>
                <w:sz w:val="24"/>
                <w:szCs w:val="24"/>
                <w:lang w:val="en-GB"/>
              </w:rPr>
              <w:t>服务项目符合采购人的要求。如果验收发现与详细业务需求不符或达不到规定的性能指标，采购人有权提出索赔。</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lang w:val="en-GB"/>
              </w:rPr>
            </w:pPr>
            <w:r>
              <w:rPr>
                <w:rFonts w:hint="eastAsia" w:ascii="宋体" w:hAnsi="宋体" w:eastAsia="宋体" w:cs="宋体"/>
                <w:sz w:val="24"/>
                <w:szCs w:val="24"/>
                <w:lang w:val="en-GB"/>
              </w:rPr>
              <w:t>2.项目验收依次序对照执行标准</w:t>
            </w:r>
          </w:p>
          <w:p>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eastAsia" w:ascii="宋体" w:hAnsi="宋体" w:eastAsia="宋体" w:cs="宋体"/>
                <w:sz w:val="24"/>
                <w:szCs w:val="24"/>
                <w:lang w:val="en-GB"/>
              </w:rPr>
            </w:pPr>
            <w:r>
              <w:rPr>
                <w:rFonts w:hint="eastAsia" w:ascii="宋体" w:hAnsi="宋体" w:eastAsia="宋体" w:cs="宋体"/>
                <w:sz w:val="24"/>
                <w:szCs w:val="24"/>
                <w:lang w:val="en-GB"/>
              </w:rPr>
              <w:t>（1）符合中华人民共和国国家和履约地相关安全质量标准、行业技术规范标准、环保节能标准；</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lang w:val="en-GB"/>
              </w:rPr>
            </w:pPr>
            <w:r>
              <w:rPr>
                <w:rFonts w:hint="eastAsia" w:ascii="宋体" w:hAnsi="宋体" w:eastAsia="宋体" w:cs="宋体"/>
                <w:sz w:val="24"/>
                <w:szCs w:val="24"/>
                <w:lang w:val="en-GB"/>
              </w:rPr>
              <w:t>（2）符合招标文件和投标承诺中各方共同认可的各项要求；</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lang w:val="en-GB"/>
              </w:rPr>
            </w:pPr>
            <w:r>
              <w:rPr>
                <w:rFonts w:hint="eastAsia" w:ascii="宋体" w:hAnsi="宋体" w:eastAsia="宋体" w:cs="宋体"/>
                <w:sz w:val="24"/>
                <w:szCs w:val="24"/>
                <w:lang w:val="en-GB"/>
              </w:rPr>
              <w:t>（3）上述各类标准与法规必须是有关官方机构最新发布的现行标准版本。</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验收文档</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应包括：</w:t>
            </w:r>
            <w:r>
              <w:rPr>
                <w:rFonts w:hint="eastAsia" w:ascii="宋体" w:hAnsi="宋体" w:eastAsia="宋体" w:cs="宋体"/>
                <w:sz w:val="24"/>
                <w:szCs w:val="24"/>
              </w:rPr>
              <w:br w:type="textWrapping"/>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s="宋体"/>
                <w:sz w:val="24"/>
                <w:szCs w:val="24"/>
              </w:rPr>
              <w:t>合同协议书</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sz w:val="24"/>
                <w:szCs w:val="24"/>
              </w:rPr>
              <w:t>项目开工申请、开工令（如有）</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s="宋体"/>
                <w:sz w:val="24"/>
                <w:szCs w:val="24"/>
              </w:rPr>
              <w:t>会议纪要、周报/月报（如有）</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s="宋体"/>
                <w:sz w:val="24"/>
                <w:szCs w:val="24"/>
              </w:rPr>
              <w:t>变更证明或审批材料（建设单位盖章，项目管理系统生成，可选项）（如有）</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项目延期审批材料（如有）</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w:t>
            </w:r>
            <w:r>
              <w:rPr>
                <w:rFonts w:hint="eastAsia" w:ascii="宋体" w:hAnsi="宋体" w:eastAsia="宋体" w:cs="宋体"/>
                <w:sz w:val="24"/>
                <w:szCs w:val="24"/>
              </w:rPr>
              <w:t>业务运营实施方案、计划</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lang w:eastAsia="zh-CN"/>
              </w:rPr>
              <w:t>）</w:t>
            </w:r>
            <w:r>
              <w:rPr>
                <w:rFonts w:hint="eastAsia" w:ascii="宋体" w:hAnsi="宋体" w:eastAsia="宋体" w:cs="宋体"/>
                <w:sz w:val="24"/>
                <w:szCs w:val="24"/>
              </w:rPr>
              <w:t>业务运营服务工作文档</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w:t>
            </w:r>
            <w:r>
              <w:rPr>
                <w:rFonts w:hint="eastAsia" w:ascii="宋体" w:hAnsi="宋体" w:eastAsia="宋体" w:cs="宋体"/>
                <w:sz w:val="24"/>
                <w:szCs w:val="24"/>
              </w:rPr>
              <w:t>业务运营成果清单</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w:t>
            </w:r>
            <w:r>
              <w:rPr>
                <w:rFonts w:hint="eastAsia" w:ascii="宋体" w:hAnsi="宋体" w:eastAsia="宋体" w:cs="宋体"/>
                <w:sz w:val="24"/>
                <w:szCs w:val="24"/>
              </w:rPr>
              <w:t>专家验收意见/验收意见（如有）</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10</w:t>
            </w:r>
            <w:r>
              <w:rPr>
                <w:rFonts w:hint="eastAsia" w:ascii="宋体" w:hAnsi="宋体" w:eastAsia="宋体" w:cs="宋体"/>
                <w:sz w:val="24"/>
                <w:szCs w:val="24"/>
                <w:lang w:eastAsia="zh-CN"/>
              </w:rPr>
              <w:t>）</w:t>
            </w:r>
            <w:r>
              <w:rPr>
                <w:rFonts w:hint="eastAsia" w:ascii="宋体" w:hAnsi="宋体" w:eastAsia="宋体" w:cs="宋体"/>
                <w:sz w:val="24"/>
                <w:szCs w:val="24"/>
              </w:rPr>
              <w:t>项目总结报告</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w:t>
            </w:r>
            <w:r>
              <w:rPr>
                <w:rFonts w:hint="eastAsia" w:ascii="宋体" w:hAnsi="宋体" w:eastAsia="宋体" w:cs="宋体"/>
                <w:sz w:val="24"/>
                <w:szCs w:val="24"/>
              </w:rPr>
              <w:t>合同验收报告</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sz w:val="24"/>
                <w:szCs w:val="24"/>
                <w:lang w:val="en-GB"/>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12</w:t>
            </w:r>
            <w:r>
              <w:rPr>
                <w:rFonts w:hint="eastAsia" w:ascii="宋体" w:hAnsi="宋体" w:eastAsia="宋体" w:cs="宋体"/>
                <w:sz w:val="24"/>
                <w:szCs w:val="24"/>
                <w:lang w:eastAsia="zh-CN"/>
              </w:rPr>
              <w:t>）</w:t>
            </w:r>
            <w:r>
              <w:rPr>
                <w:rFonts w:hint="eastAsia" w:ascii="宋体" w:hAnsi="宋体" w:eastAsia="宋体" w:cs="宋体"/>
                <w:sz w:val="24"/>
                <w:szCs w:val="24"/>
              </w:rPr>
              <w:t>合同规定申报单位提交的其他文档（如有）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noWrap w:val="0"/>
            <w:vAlign w:val="center"/>
          </w:tcPr>
          <w:p>
            <w:pPr>
              <w:keepNext w:val="0"/>
              <w:keepLines w:val="0"/>
              <w:pageBreakBefore w:val="0"/>
              <w:widowControl w:val="0"/>
              <w:tabs>
                <w:tab w:val="left" w:pos="180"/>
              </w:tabs>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6</w:t>
            </w:r>
          </w:p>
        </w:tc>
        <w:tc>
          <w:tcPr>
            <w:tcW w:w="827"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GB"/>
              </w:rPr>
              <w:t>人员管理</w:t>
            </w:r>
          </w:p>
        </w:tc>
        <w:tc>
          <w:tcPr>
            <w:tcW w:w="3758" w:type="pct"/>
            <w:noWrap w:val="0"/>
            <w:vAlign w:val="center"/>
          </w:tcPr>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1.</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en-GB"/>
              </w:rPr>
              <w:t>人</w:t>
            </w:r>
            <w:r>
              <w:rPr>
                <w:rFonts w:hint="eastAsia" w:ascii="宋体" w:hAnsi="宋体" w:eastAsia="宋体" w:cs="宋体"/>
                <w:color w:val="auto"/>
                <w:sz w:val="24"/>
                <w:szCs w:val="24"/>
                <w:lang w:val="en-US" w:eastAsia="zh-CN"/>
              </w:rPr>
              <w:t>在</w:t>
            </w:r>
            <w:r>
              <w:rPr>
                <w:rFonts w:hint="eastAsia" w:ascii="宋体" w:hAnsi="宋体" w:eastAsia="宋体" w:cs="宋体"/>
                <w:color w:val="auto"/>
                <w:sz w:val="24"/>
                <w:szCs w:val="24"/>
                <w:lang w:val="en-GB"/>
              </w:rPr>
              <w:t>投标文件中承诺提供的项目组人员必须按要求投入到本项目中(</w:t>
            </w:r>
            <w:r>
              <w:rPr>
                <w:rFonts w:hint="eastAsia" w:ascii="宋体" w:hAnsi="宋体" w:cs="宋体"/>
                <w:color w:val="auto"/>
                <w:sz w:val="24"/>
                <w:szCs w:val="24"/>
                <w:lang w:val="en-US" w:eastAsia="zh-CN"/>
              </w:rPr>
              <w:t>成交</w:t>
            </w:r>
            <w:r>
              <w:rPr>
                <w:rFonts w:hint="eastAsia" w:ascii="宋体" w:hAnsi="宋体" w:eastAsia="宋体" w:cs="宋体"/>
                <w:color w:val="auto"/>
                <w:sz w:val="24"/>
                <w:szCs w:val="24"/>
                <w:lang w:val="en-GB"/>
              </w:rPr>
              <w:t>人必须与项目组人员签订劳动合同及购买社保，并在投标文件中提供投标人为其缴纳社保的证明材料），在合同期内不得擅自更换。</w:t>
            </w:r>
            <w:r>
              <w:rPr>
                <w:rFonts w:hint="eastAsia" w:ascii="宋体" w:hAnsi="宋体" w:cs="宋体"/>
                <w:color w:val="auto"/>
                <w:sz w:val="24"/>
                <w:szCs w:val="24"/>
                <w:lang w:val="en-US" w:eastAsia="zh-CN"/>
              </w:rPr>
              <w:t>成交</w:t>
            </w:r>
            <w:r>
              <w:rPr>
                <w:rFonts w:hint="eastAsia" w:ascii="宋体" w:hAnsi="宋体" w:eastAsia="宋体" w:cs="宋体"/>
                <w:color w:val="auto"/>
                <w:sz w:val="24"/>
                <w:szCs w:val="24"/>
                <w:lang w:val="en-GB"/>
              </w:rPr>
              <w:t>人如因工作安排或其它原因，需要更换项目组人员时，应事前向采购人提出书面申请，未经采购人同意，不得更换人员。</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2.采购人有权以书面形式要求</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en-GB"/>
              </w:rPr>
              <w:t>人更换不能按规定履行合同的人员。即使是采购人要求或同意更换的人员，其代替人员的资质仍应得到采购人的认可，且其资历和经验均不低于被更换人员。由此而产生的费用由中标人承担。</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GB"/>
              </w:rPr>
              <w:t>3.如</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en-GB"/>
              </w:rPr>
              <w:t>人未经采购人书面同意擅自更换项目组人员，采购人有权扣除</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en-GB"/>
              </w:rPr>
              <w:t>人一定的违约金。发生本条上述情况累计达4次后，采购人有权终止合同，由此引致的经济损失，</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en-GB"/>
              </w:rPr>
              <w:t>人须全额赔偿，采购人保留追究中标人相关责任的权利。</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GB"/>
              </w:rPr>
              <w:t>4.</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en-GB"/>
              </w:rPr>
              <w:t>人对其雇员的人身安全负全部责任。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noWrap w:val="0"/>
            <w:vAlign w:val="center"/>
          </w:tcPr>
          <w:p>
            <w:pPr>
              <w:keepNext w:val="0"/>
              <w:keepLines w:val="0"/>
              <w:pageBreakBefore w:val="0"/>
              <w:widowControl w:val="0"/>
              <w:tabs>
                <w:tab w:val="left" w:pos="180"/>
              </w:tabs>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t>
            </w:r>
          </w:p>
        </w:tc>
        <w:tc>
          <w:tcPr>
            <w:tcW w:w="827"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sz w:val="24"/>
                <w:szCs w:val="24"/>
                <w:lang w:val="en-GB"/>
              </w:rPr>
              <w:t>保密要求</w:t>
            </w:r>
          </w:p>
        </w:tc>
        <w:tc>
          <w:tcPr>
            <w:tcW w:w="3758" w:type="pct"/>
            <w:noWrap w:val="0"/>
            <w:vAlign w:val="center"/>
          </w:tcPr>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en-GB"/>
              </w:rPr>
              <w:t>人在项目实施过程中，对采购人所提供的所有相关资料、数据，未经采购人书面同意不得向任何第三人泄露，且保密责任不因合同的终止或解除而失效。如采购人提出要求，</w:t>
            </w:r>
            <w:r>
              <w:rPr>
                <w:rFonts w:hint="eastAsia" w:ascii="宋体" w:hAnsi="宋体" w:eastAsia="宋体" w:cs="宋体"/>
                <w:color w:val="auto"/>
                <w:sz w:val="24"/>
                <w:szCs w:val="24"/>
                <w:lang w:val="en-US" w:eastAsia="zh-CN"/>
              </w:rPr>
              <w:t>成交</w:t>
            </w:r>
            <w:r>
              <w:rPr>
                <w:rFonts w:hint="eastAsia" w:ascii="宋体" w:hAnsi="宋体" w:eastAsia="宋体" w:cs="宋体"/>
                <w:color w:val="auto"/>
                <w:sz w:val="24"/>
                <w:szCs w:val="24"/>
                <w:lang w:val="en-GB"/>
              </w:rPr>
              <w:t>人须无条件与采购人签定保密协议。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pct"/>
            <w:noWrap w:val="0"/>
            <w:vAlign w:val="center"/>
          </w:tcPr>
          <w:p>
            <w:pPr>
              <w:keepNext w:val="0"/>
              <w:keepLines w:val="0"/>
              <w:pageBreakBefore w:val="0"/>
              <w:widowControl w:val="0"/>
              <w:tabs>
                <w:tab w:val="left" w:pos="180"/>
              </w:tabs>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p>
        </w:tc>
        <w:tc>
          <w:tcPr>
            <w:tcW w:w="1555" w:type="dxa"/>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eastAsia" w:ascii="宋体" w:hAnsi="宋体" w:eastAsia="宋体" w:cs="宋体"/>
                <w:color w:val="auto"/>
                <w:kern w:val="2"/>
                <w:sz w:val="24"/>
                <w:szCs w:val="24"/>
                <w:lang w:val="en-US" w:eastAsia="zh-CN" w:bidi="ar"/>
              </w:rPr>
            </w:pPr>
            <w:r>
              <w:rPr>
                <w:rFonts w:hint="eastAsia" w:ascii="宋体" w:hAnsi="宋体" w:eastAsia="宋体" w:cs="宋体"/>
                <w:color w:val="auto"/>
                <w:sz w:val="24"/>
                <w:szCs w:val="24"/>
                <w:lang w:val="en-GB"/>
              </w:rPr>
              <w:t>成果的归属</w:t>
            </w:r>
          </w:p>
        </w:tc>
        <w:tc>
          <w:tcPr>
            <w:tcW w:w="7066" w:type="dxa"/>
            <w:noWrap w:val="0"/>
            <w:vAlign w:val="center"/>
          </w:tcPr>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val="en-GB" w:eastAsia="zh-CN"/>
              </w:rPr>
              <w:t>采购人引用</w:t>
            </w:r>
            <w:r>
              <w:rPr>
                <w:rFonts w:hint="eastAsia" w:ascii="宋体" w:hAnsi="宋体" w:cs="宋体"/>
                <w:color w:val="auto"/>
                <w:sz w:val="24"/>
                <w:szCs w:val="24"/>
                <w:lang w:val="en-US" w:eastAsia="zh-CN"/>
              </w:rPr>
              <w:t>成交</w:t>
            </w:r>
            <w:r>
              <w:rPr>
                <w:rFonts w:hint="eastAsia" w:ascii="宋体" w:hAnsi="宋体" w:eastAsia="宋体" w:cs="宋体"/>
                <w:color w:val="auto"/>
                <w:sz w:val="24"/>
                <w:szCs w:val="24"/>
                <w:lang w:val="en-GB" w:eastAsia="zh-CN"/>
              </w:rPr>
              <w:t>人的工作成果所完成的新的技术成果，属于采购人所有，采购人可依法享有就该项技术成果取得的精神权利、经济权利和其他权利。</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val="en-GB" w:eastAsia="zh-CN"/>
              </w:rPr>
              <w:t>无论发生何种情形（包括但不限于合同提前终止或解除），采购人均有权利用中标人的阶段性工作成果，并且采购人引用</w:t>
            </w:r>
            <w:r>
              <w:rPr>
                <w:rFonts w:hint="eastAsia" w:ascii="宋体" w:hAnsi="宋体" w:cs="宋体"/>
                <w:color w:val="auto"/>
                <w:sz w:val="24"/>
                <w:szCs w:val="24"/>
                <w:lang w:val="en-US" w:eastAsia="zh-CN"/>
              </w:rPr>
              <w:t>成交</w:t>
            </w:r>
            <w:r>
              <w:rPr>
                <w:rFonts w:hint="eastAsia" w:ascii="宋体" w:hAnsi="宋体" w:eastAsia="宋体" w:cs="宋体"/>
                <w:color w:val="auto"/>
                <w:sz w:val="24"/>
                <w:szCs w:val="24"/>
                <w:lang w:val="en-GB" w:eastAsia="zh-CN"/>
              </w:rPr>
              <w:t>人的阶段性工作成果所完成的新的技术成果，属于采购人所有，采购人可依法享有就该项技术成果取得的精神权利、经济权利和其他权利。</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val="en-GB"/>
              </w:rPr>
              <w:t>.</w:t>
            </w:r>
            <w:r>
              <w:rPr>
                <w:rFonts w:hint="eastAsia" w:ascii="宋体" w:hAnsi="宋体" w:cs="宋体"/>
                <w:color w:val="auto"/>
                <w:sz w:val="24"/>
                <w:szCs w:val="24"/>
                <w:lang w:val="en-US" w:eastAsia="zh-CN"/>
              </w:rPr>
              <w:t>成交</w:t>
            </w:r>
            <w:r>
              <w:rPr>
                <w:rFonts w:hint="eastAsia" w:ascii="宋体" w:hAnsi="宋体" w:eastAsia="宋体" w:cs="宋体"/>
                <w:color w:val="auto"/>
                <w:sz w:val="24"/>
                <w:szCs w:val="24"/>
                <w:lang w:val="en-GB"/>
              </w:rPr>
              <w:t>人提交的成果有下列情形之一的，采购人将有权终止合同：</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val="en-GB" w:eastAsia="zh-CN"/>
              </w:rPr>
              <w:t>服务工作不符合本项目规定或服务质量严重偏离采购人下达的任务要求的。</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US" w:eastAsia="zh-CN"/>
              </w:rPr>
              <w:t>（2）</w:t>
            </w:r>
            <w:r>
              <w:rPr>
                <w:rFonts w:hint="eastAsia" w:ascii="宋体" w:hAnsi="宋体" w:cs="宋体"/>
                <w:color w:val="auto"/>
                <w:sz w:val="24"/>
                <w:szCs w:val="24"/>
                <w:lang w:val="en-US" w:eastAsia="zh-CN"/>
              </w:rPr>
              <w:t>成交</w:t>
            </w:r>
            <w:r>
              <w:rPr>
                <w:rFonts w:hint="eastAsia" w:ascii="宋体" w:hAnsi="宋体" w:eastAsia="宋体" w:cs="宋体"/>
                <w:color w:val="auto"/>
                <w:sz w:val="24"/>
                <w:szCs w:val="24"/>
                <w:lang w:val="en-GB" w:eastAsia="zh-CN"/>
              </w:rPr>
              <w:t>人未能履行合同义务，未能统筹协调整体服务工作。</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US" w:eastAsia="zh-CN"/>
              </w:rPr>
              <w:t>（3）</w:t>
            </w:r>
            <w:r>
              <w:rPr>
                <w:rFonts w:hint="eastAsia" w:ascii="宋体" w:hAnsi="宋体" w:cs="宋体"/>
                <w:color w:val="auto"/>
                <w:sz w:val="24"/>
                <w:szCs w:val="24"/>
                <w:lang w:val="en-US" w:eastAsia="zh-CN"/>
              </w:rPr>
              <w:t>成交</w:t>
            </w:r>
            <w:r>
              <w:rPr>
                <w:rFonts w:hint="eastAsia" w:ascii="宋体" w:hAnsi="宋体" w:eastAsia="宋体" w:cs="宋体"/>
                <w:color w:val="auto"/>
                <w:sz w:val="24"/>
                <w:szCs w:val="24"/>
                <w:lang w:val="en-GB" w:eastAsia="zh-CN"/>
              </w:rPr>
              <w:t>人未经采购人同意，擅自修改成果。</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GB" w:eastAsia="zh-CN"/>
              </w:rPr>
            </w:pPr>
            <w:r>
              <w:rPr>
                <w:rFonts w:hint="eastAsia" w:ascii="宋体" w:hAnsi="宋体" w:eastAsia="宋体" w:cs="宋体"/>
                <w:color w:val="auto"/>
                <w:sz w:val="24"/>
                <w:szCs w:val="24"/>
                <w:lang w:val="en-US" w:eastAsia="zh-CN"/>
              </w:rPr>
              <w:t>（4）</w:t>
            </w:r>
            <w:r>
              <w:rPr>
                <w:rFonts w:hint="eastAsia" w:ascii="宋体" w:hAnsi="宋体" w:cs="宋体"/>
                <w:color w:val="auto"/>
                <w:sz w:val="24"/>
                <w:szCs w:val="24"/>
                <w:lang w:val="en-US" w:eastAsia="zh-CN"/>
              </w:rPr>
              <w:t>成交</w:t>
            </w:r>
            <w:r>
              <w:rPr>
                <w:rFonts w:hint="eastAsia" w:ascii="宋体" w:hAnsi="宋体" w:eastAsia="宋体" w:cs="宋体"/>
                <w:color w:val="auto"/>
                <w:sz w:val="24"/>
                <w:szCs w:val="24"/>
                <w:lang w:val="en-GB" w:eastAsia="zh-CN"/>
              </w:rPr>
              <w:t>人未经采购人同意，随意调整本项目项目负责人或本项目组的主要成员。</w:t>
            </w:r>
          </w:p>
          <w:p>
            <w:pPr>
              <w:keepNext w:val="0"/>
              <w:keepLines w:val="0"/>
              <w:pageBreakBefore w:val="0"/>
              <w:widowControl w:val="0"/>
              <w:tabs>
                <w:tab w:val="left" w:pos="540"/>
              </w:tabs>
              <w:kinsoku/>
              <w:wordWrap/>
              <w:overflowPunct/>
              <w:topLinePunct w:val="0"/>
              <w:autoSpaceDE/>
              <w:autoSpaceDN/>
              <w:bidi w:val="0"/>
              <w:adjustRightInd/>
              <w:snapToGrid/>
              <w:spacing w:line="240" w:lineRule="auto"/>
              <w:ind w:left="210" w:firstLine="0" w:firstLine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r>
              <w:rPr>
                <w:rFonts w:hint="eastAsia" w:ascii="宋体" w:hAnsi="宋体" w:cs="宋体"/>
                <w:color w:val="auto"/>
                <w:sz w:val="24"/>
                <w:szCs w:val="24"/>
                <w:lang w:val="en-US" w:eastAsia="zh-CN"/>
              </w:rPr>
              <w:t>成交</w:t>
            </w:r>
            <w:r>
              <w:rPr>
                <w:rFonts w:hint="eastAsia" w:ascii="宋体" w:hAnsi="宋体" w:eastAsia="宋体" w:cs="宋体"/>
                <w:color w:val="auto"/>
                <w:sz w:val="24"/>
                <w:szCs w:val="24"/>
                <w:lang w:val="en-GB" w:eastAsia="zh-CN"/>
              </w:rPr>
              <w:t>人未经采购人同意，擅自将项目分包或转包的。</w:t>
            </w:r>
          </w:p>
        </w:tc>
      </w:tr>
    </w:tbl>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99EEE3"/>
    <w:multiLevelType w:val="multilevel"/>
    <w:tmpl w:val="8999EEE3"/>
    <w:lvl w:ilvl="0" w:tentative="0">
      <w:start w:val="1"/>
      <w:numFmt w:val="decimal"/>
      <w:pStyle w:val="3"/>
      <w:suff w:val="nothing"/>
      <w:lvlText w:val="第%1章 "/>
      <w:lvlJc w:val="left"/>
      <w:pPr>
        <w:ind w:left="432" w:hanging="432"/>
      </w:pPr>
      <w:rPr>
        <w:rFonts w:hint="default" w:ascii="黑体" w:hAnsi="黑体" w:eastAsia="黑体" w:cs="黑体"/>
        <w:sz w:val="44"/>
        <w:szCs w:val="44"/>
        <w:lang w:val="en-US"/>
      </w:rPr>
    </w:lvl>
    <w:lvl w:ilvl="1" w:tentative="0">
      <w:start w:val="1"/>
      <w:numFmt w:val="decimal"/>
      <w:pStyle w:val="5"/>
      <w:isLgl/>
      <w:lvlText w:val="%1.%2"/>
      <w:lvlJc w:val="left"/>
      <w:pPr>
        <w:ind w:left="575" w:hanging="575"/>
      </w:pPr>
      <w:rPr>
        <w:rFonts w:hint="default" w:ascii="Times New Roman" w:hAnsi="Times New Roman" w:eastAsia="宋体" w:cs="Times New Roman"/>
        <w:sz w:val="32"/>
        <w:szCs w:val="32"/>
      </w:rPr>
    </w:lvl>
    <w:lvl w:ilvl="2" w:tentative="0">
      <w:start w:val="1"/>
      <w:numFmt w:val="decimal"/>
      <w:pStyle w:val="6"/>
      <w:isLgl/>
      <w:lvlText w:val="%1.%2.%3"/>
      <w:lvlJc w:val="left"/>
      <w:pPr>
        <w:ind w:left="720" w:hanging="720"/>
      </w:pPr>
      <w:rPr>
        <w:rFonts w:hint="default" w:ascii="Arial" w:hAnsi="Arial" w:eastAsia="宋体" w:cs="Times New Roman"/>
      </w:rPr>
    </w:lvl>
    <w:lvl w:ilvl="3" w:tentative="0">
      <w:start w:val="1"/>
      <w:numFmt w:val="decimal"/>
      <w:pStyle w:val="7"/>
      <w:isLgl/>
      <w:lvlText w:val="%1.%2.%3.%4"/>
      <w:lvlJc w:val="left"/>
      <w:pPr>
        <w:ind w:left="2334" w:hanging="864"/>
      </w:pPr>
      <w:rPr>
        <w:rFonts w:hint="default" w:ascii="Arial" w:hAnsi="Arial" w:eastAsia="宋体" w:cs="Times New Roman"/>
      </w:rPr>
    </w:lvl>
    <w:lvl w:ilvl="4" w:tentative="0">
      <w:start w:val="1"/>
      <w:numFmt w:val="decimal"/>
      <w:pStyle w:val="8"/>
      <w:isLgl/>
      <w:lvlText w:val="%1.%2.%3.%4.%5"/>
      <w:lvlJc w:val="left"/>
      <w:pPr>
        <w:ind w:left="1008" w:hanging="1008"/>
      </w:pPr>
      <w:rPr>
        <w:rFonts w:hint="default" w:ascii="Arial" w:hAnsi="Arial" w:eastAsia="宋体" w:cs="Times New Roman"/>
      </w:rPr>
    </w:lvl>
    <w:lvl w:ilvl="5" w:tentative="0">
      <w:start w:val="1"/>
      <w:numFmt w:val="decimal"/>
      <w:pStyle w:val="9"/>
      <w:isLgl/>
      <w:lvlText w:val="%1.%2.%3.%4.%5.%6"/>
      <w:lvlJc w:val="left"/>
      <w:pPr>
        <w:ind w:left="1151" w:hanging="1151"/>
      </w:pPr>
      <w:rPr>
        <w:rFonts w:hint="default" w:ascii="Arial" w:hAnsi="Arial" w:eastAsia="宋体" w:cs="Times New Roman"/>
      </w:rPr>
    </w:lvl>
    <w:lvl w:ilvl="6" w:tentative="0">
      <w:start w:val="1"/>
      <w:numFmt w:val="decimal"/>
      <w:pStyle w:val="10"/>
      <w:isLgl/>
      <w:lvlText w:val="%1.%2.%3.%4.%5.%6.%7"/>
      <w:lvlJc w:val="left"/>
      <w:pPr>
        <w:ind w:left="1856" w:hanging="1296"/>
      </w:pPr>
      <w:rPr>
        <w:rFonts w:hint="default" w:ascii="Arial" w:hAnsi="Arial" w:eastAsia="宋体" w:cs="Times New Roman"/>
      </w:rPr>
    </w:lvl>
    <w:lvl w:ilvl="7" w:tentative="0">
      <w:start w:val="1"/>
      <w:numFmt w:val="decimal"/>
      <w:pStyle w:val="11"/>
      <w:isLgl/>
      <w:lvlText w:val="%1.%2.%3.%4.%5.%6.%7.%8"/>
      <w:lvlJc w:val="left"/>
      <w:pPr>
        <w:ind w:left="1440" w:hanging="1440"/>
      </w:pPr>
      <w:rPr>
        <w:rFonts w:hint="eastAsia" w:ascii="宋体" w:hAnsi="宋体" w:eastAsia="宋体" w:cs="宋体"/>
      </w:rPr>
    </w:lvl>
    <w:lvl w:ilvl="8" w:tentative="0">
      <w:start w:val="1"/>
      <w:numFmt w:val="decimal"/>
      <w:pStyle w:val="12"/>
      <w:isLgl/>
      <w:lvlText w:val="%1.%2.%3.%4.%5.%6.%7.%8.%9"/>
      <w:lvlJc w:val="left"/>
      <w:pPr>
        <w:ind w:left="1583" w:hanging="1583"/>
      </w:pPr>
      <w:rPr>
        <w:rFonts w:hint="eastAsia" w:ascii="宋体" w:hAnsi="宋体" w:eastAsia="宋体" w:cs="宋体"/>
      </w:rPr>
    </w:lvl>
  </w:abstractNum>
  <w:abstractNum w:abstractNumId="1">
    <w:nsid w:val="174F7288"/>
    <w:multiLevelType w:val="singleLevel"/>
    <w:tmpl w:val="174F7288"/>
    <w:lvl w:ilvl="0" w:tentative="0">
      <w:start w:val="1"/>
      <w:numFmt w:val="decimal"/>
      <w:suff w:val="nothing"/>
      <w:lvlText w:val="%1．"/>
      <w:lvlJc w:val="left"/>
      <w:pPr>
        <w:ind w:left="0" w:firstLine="400"/>
      </w:pPr>
      <w:rPr>
        <w:rFonts w:hint="default"/>
      </w:rPr>
    </w:lvl>
  </w:abstractNum>
  <w:abstractNum w:abstractNumId="2">
    <w:nsid w:val="7831A0AA"/>
    <w:multiLevelType w:val="singleLevel"/>
    <w:tmpl w:val="7831A0AA"/>
    <w:lvl w:ilvl="0" w:tentative="0">
      <w:start w:val="2"/>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jYWVmNjQ5MzlhMTEwNWJiNDAxNjYwNjhjYzUxODIifQ=="/>
  </w:docVars>
  <w:rsids>
    <w:rsidRoot w:val="2D951344"/>
    <w:rsid w:val="11B53426"/>
    <w:rsid w:val="23957B07"/>
    <w:rsid w:val="2D951344"/>
    <w:rsid w:val="39C956D9"/>
    <w:rsid w:val="3D344BAB"/>
    <w:rsid w:val="55DC4A1C"/>
    <w:rsid w:val="5D0A63D2"/>
    <w:rsid w:val="78A23E3D"/>
    <w:rsid w:val="798D6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uto"/>
      <w:ind w:firstLine="200" w:firstLineChars="200"/>
      <w:jc w:val="both"/>
    </w:pPr>
    <w:rPr>
      <w:rFonts w:hint="default" w:ascii="Times New Roman" w:hAnsi="Times New Roman" w:eastAsia="宋体" w:cs="Times New Roman"/>
      <w:kern w:val="2"/>
      <w:sz w:val="28"/>
      <w:lang w:val="en-US" w:eastAsia="zh-CN" w:bidi="ar-SA"/>
    </w:rPr>
  </w:style>
  <w:style w:type="paragraph" w:styleId="3">
    <w:name w:val="heading 1"/>
    <w:basedOn w:val="4"/>
    <w:next w:val="2"/>
    <w:link w:val="19"/>
    <w:qFormat/>
    <w:uiPriority w:val="0"/>
    <w:pPr>
      <w:keepNext/>
      <w:keepLines/>
      <w:numPr>
        <w:ilvl w:val="0"/>
        <w:numId w:val="1"/>
      </w:numPr>
      <w:spacing w:before="340" w:after="330" w:line="578" w:lineRule="auto"/>
      <w:outlineLvl w:val="0"/>
    </w:pPr>
    <w:rPr>
      <w:rFonts w:ascii="Calibri" w:hAnsi="Calibri" w:eastAsia="黑体" w:cs="Times New Roman"/>
      <w:kern w:val="44"/>
      <w:szCs w:val="44"/>
    </w:rPr>
  </w:style>
  <w:style w:type="paragraph" w:styleId="5">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6">
    <w:name w:val="heading 3"/>
    <w:basedOn w:val="1"/>
    <w:next w:val="1"/>
    <w:autoRedefine/>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7">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2334" w:hanging="864"/>
      <w:outlineLvl w:val="3"/>
    </w:pPr>
    <w:rPr>
      <w:rFonts w:ascii="Arial" w:hAnsi="Arial" w:eastAsia="黑体"/>
      <w:b/>
      <w:sz w:val="28"/>
    </w:rPr>
  </w:style>
  <w:style w:type="paragraph" w:styleId="8">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9">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10">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856" w:hanging="1296"/>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2">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7">
    <w:name w:val="Default Paragraph Font"/>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4">
    <w:name w:val="Title"/>
    <w:basedOn w:val="1"/>
    <w:autoRedefine/>
    <w:qFormat/>
    <w:uiPriority w:val="0"/>
    <w:pPr>
      <w:spacing w:before="240" w:beforeLines="0" w:beforeAutospacing="0" w:after="60" w:afterLines="0" w:afterAutospacing="0"/>
      <w:jc w:val="center"/>
      <w:outlineLvl w:val="0"/>
    </w:pPr>
    <w:rPr>
      <w:rFonts w:ascii="Arial" w:hAnsi="Arial"/>
      <w:b/>
      <w:sz w:val="32"/>
    </w:rPr>
  </w:style>
  <w:style w:type="paragraph" w:styleId="13">
    <w:name w:val="Body Text"/>
    <w:basedOn w:val="1"/>
    <w:qFormat/>
    <w:uiPriority w:val="0"/>
    <w:rPr>
      <w:rFonts w:ascii="宋体" w:hAnsi="宋体" w:cs="Times New Roman"/>
      <w:kern w:val="0"/>
      <w:sz w:val="28"/>
      <w:szCs w:val="21"/>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8">
    <w:name w:val="Hyperlink"/>
    <w:basedOn w:val="17"/>
    <w:qFormat/>
    <w:uiPriority w:val="0"/>
    <w:rPr>
      <w:color w:val="0000FF"/>
      <w:u w:val="single"/>
    </w:rPr>
  </w:style>
  <w:style w:type="character" w:customStyle="1" w:styleId="19">
    <w:name w:val="标题 1 字符"/>
    <w:link w:val="3"/>
    <w:autoRedefine/>
    <w:qFormat/>
    <w:uiPriority w:val="0"/>
    <w:rPr>
      <w:rFonts w:ascii="Calibri" w:hAnsi="Calibri" w:eastAsia="黑体" w:cs="Times New Roman"/>
      <w:b/>
      <w:kern w:val="44"/>
      <w:sz w:val="32"/>
      <w:szCs w:val="44"/>
    </w:rPr>
  </w:style>
  <w:style w:type="paragraph" w:customStyle="1" w:styleId="20">
    <w:name w:val="正文（缩进）"/>
    <w:basedOn w:val="1"/>
    <w:autoRedefine/>
    <w:qFormat/>
    <w:uiPriority w:val="0"/>
    <w:pPr>
      <w:spacing w:before="156" w:beforeLines="50" w:after="156" w:afterLines="50" w:line="360" w:lineRule="auto"/>
      <w:ind w:firstLine="480" w:firstLineChars="200"/>
    </w:pPr>
    <w:rPr>
      <w:sz w:val="24"/>
    </w:rPr>
  </w:style>
  <w:style w:type="paragraph" w:customStyle="1" w:styleId="21">
    <w:name w:val="正文 首行缩进"/>
    <w:basedOn w:val="1"/>
    <w:qFormat/>
    <w:uiPriority w:val="0"/>
    <w:pPr>
      <w:adjustRightInd w:val="0"/>
      <w:ind w:firstLine="437"/>
      <w:jc w:val="left"/>
    </w:pPr>
    <w:rPr>
      <w:rFonts w:hint="eastAsia" w:ascii="宋体" w:hAnsi="宋体" w:eastAsia="宋体" w:cs="Times New Roman"/>
      <w:kern w:val="0"/>
      <w:szCs w:val="21"/>
    </w:rPr>
  </w:style>
  <w:style w:type="paragraph" w:customStyle="1" w:styleId="22">
    <w:name w:val="rs正文"/>
    <w:basedOn w:val="1"/>
    <w:autoRedefine/>
    <w:qFormat/>
    <w:uiPriority w:val="0"/>
    <w:pPr>
      <w:ind w:firstLine="200" w:firstLineChars="200"/>
      <w:contextualSpacing/>
    </w:pPr>
    <w:rPr>
      <w:rFonts w:eastAsia="宋体" w:cs="宋体"/>
      <w:sz w:val="28"/>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佛山市社会保险基金管理局</Company>
  <Pages>1</Pages>
  <Words>0</Words>
  <Characters>0</Characters>
  <Lines>0</Lines>
  <Paragraphs>0</Paragraphs>
  <TotalTime>3</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2024-03-26T01:48:00Z</dcterms:created>
  <dc:creator>FSSI</dc:creator>
  <cp:lastModifiedBy>Administrator</cp:lastModifiedBy>
  <dcterms:modified xsi:type="dcterms:W3CDTF">2024-03-28T02:21:17Z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0F8C60E254D545C7B2196310D3512FCC</vt:lpwstr>
  </property>
</Properties>
</file>