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DC272">
      <w:pPr>
        <w:spacing w:after="480" w:line="360" w:lineRule="auto"/>
        <w:jc w:val="both"/>
        <w:rPr>
          <w:rFonts w:hint="eastAsia" w:ascii="宋体" w:hAnsi="宋体" w:eastAsia="宋体" w:cs="宋体"/>
          <w:b/>
          <w:color w:val="auto"/>
          <w:sz w:val="32"/>
          <w:szCs w:val="32"/>
          <w:lang w:eastAsia="zh-CN"/>
        </w:rPr>
      </w:pPr>
      <w:r>
        <w:rPr>
          <w:rFonts w:hint="eastAsia" w:ascii="宋体" w:hAnsi="宋体" w:eastAsia="宋体" w:cs="宋体"/>
          <w:b/>
          <w:color w:val="auto"/>
          <w:sz w:val="32"/>
          <w:szCs w:val="32"/>
          <w:lang w:eastAsia="zh-CN"/>
        </w:rPr>
        <w:t>附件1：</w:t>
      </w:r>
    </w:p>
    <w:p w14:paraId="11F984D4">
      <w:pPr>
        <w:spacing w:after="480" w:line="360" w:lineRule="auto"/>
        <w:jc w:val="center"/>
        <w:rPr>
          <w:color w:val="auto"/>
        </w:rPr>
      </w:pPr>
      <w:r>
        <w:rPr>
          <w:rFonts w:hint="eastAsia" w:ascii="Times New Roman" w:hAnsi="Times New Roman" w:eastAsia="宋体"/>
          <w:b/>
          <w:color w:val="auto"/>
          <w:sz w:val="44"/>
        </w:rPr>
        <w:t>仁化县第二轮土地承包到期后再延长30年试点技术服务</w:t>
      </w:r>
      <w:r>
        <w:rPr>
          <w:rFonts w:ascii="Times New Roman" w:hAnsi="Times New Roman" w:eastAsia="宋体"/>
          <w:b/>
          <w:color w:val="auto"/>
          <w:sz w:val="44"/>
        </w:rPr>
        <w:t>采购需求</w:t>
      </w:r>
    </w:p>
    <w:p w14:paraId="2C6984C5">
      <w:pPr>
        <w:spacing w:after="160" w:line="360" w:lineRule="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一、特定资格要求</w:t>
      </w:r>
    </w:p>
    <w:p w14:paraId="6717458B">
      <w:pPr>
        <w:spacing w:after="120" w:line="360" w:lineRule="auto"/>
        <w:ind w:firstLine="480"/>
        <w:jc w:val="both"/>
        <w:rPr>
          <w:rFonts w:hint="eastAsia" w:ascii="宋体" w:hAnsi="宋体" w:eastAsia="宋体" w:cs="宋体"/>
          <w:b/>
          <w:color w:val="auto"/>
          <w:sz w:val="24"/>
          <w:szCs w:val="24"/>
          <w:lang w:eastAsia="zh-CN"/>
        </w:rPr>
      </w:pPr>
      <w:r>
        <w:rPr>
          <w:rFonts w:hint="eastAsia" w:ascii="宋体" w:hAnsi="宋体" w:eastAsia="宋体" w:cs="宋体"/>
          <w:color w:val="auto"/>
          <w:sz w:val="24"/>
          <w:szCs w:val="24"/>
        </w:rPr>
        <w:t>投标人须具有测绘行政主管部门颁发的乙级或以上测绘资质证书（资质专业范围须包含界线与不动产测绘）（注：因国家资质管理政策，造成相关资质到期未换证的单位，需提供相关证明）。</w:t>
      </w:r>
    </w:p>
    <w:p w14:paraId="02D3C662">
      <w:pPr>
        <w:spacing w:after="160" w:line="360" w:lineRule="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二、本项目不接受联合体投标。</w:t>
      </w:r>
    </w:p>
    <w:p w14:paraId="116E4BC3">
      <w:pPr>
        <w:spacing w:after="160" w:line="360" w:lineRule="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三、项目简况</w:t>
      </w:r>
    </w:p>
    <w:p w14:paraId="4F5D271F">
      <w:pPr>
        <w:spacing w:after="120" w:line="360" w:lineRule="auto"/>
        <w:ind w:firstLine="48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rPr>
        <w:t>项目名称</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仁化县第二轮土地承包到期后再延长30年试点技术服务</w:t>
      </w:r>
      <w:r>
        <w:rPr>
          <w:rFonts w:hint="eastAsia" w:ascii="宋体" w:hAnsi="宋体" w:eastAsia="宋体" w:cs="宋体"/>
          <w:color w:val="auto"/>
          <w:sz w:val="24"/>
          <w:szCs w:val="24"/>
          <w:lang w:eastAsia="zh-CN"/>
        </w:rPr>
        <w:t>。</w:t>
      </w:r>
    </w:p>
    <w:p w14:paraId="43B2B258">
      <w:pPr>
        <w:spacing w:after="120" w:line="360" w:lineRule="auto"/>
        <w:ind w:firstLine="48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rPr>
        <w:t>采购预算金额</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最高限价金额</w:t>
      </w:r>
      <w:r>
        <w:rPr>
          <w:rFonts w:hint="eastAsia" w:ascii="宋体" w:hAnsi="宋体" w:eastAsia="宋体" w:cs="宋体"/>
          <w:color w:val="auto"/>
          <w:sz w:val="24"/>
          <w:szCs w:val="24"/>
          <w:lang w:eastAsia="zh-CN"/>
        </w:rPr>
        <w:t>：8,465,916.45元。</w:t>
      </w:r>
    </w:p>
    <w:p w14:paraId="3970AAE4">
      <w:pPr>
        <w:spacing w:after="160" w:line="360" w:lineRule="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四、采购项目需求一览表</w:t>
      </w:r>
    </w:p>
    <w:tbl>
      <w:tblPr>
        <w:tblStyle w:val="34"/>
        <w:tblW w:w="9711" w:type="dxa"/>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65"/>
        <w:gridCol w:w="1989"/>
        <w:gridCol w:w="868"/>
        <w:gridCol w:w="2277"/>
        <w:gridCol w:w="3812"/>
      </w:tblGrid>
      <w:tr w14:paraId="01D2751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298" w:hRule="atLeast"/>
          <w:jc w:val="center"/>
        </w:trPr>
        <w:tc>
          <w:tcPr>
            <w:tcW w:w="765" w:type="dxa"/>
            <w:tcBorders>
              <w:top w:val="single" w:color="000000" w:sz="4" w:space="0"/>
              <w:left w:val="single" w:color="000000" w:sz="4" w:space="0"/>
              <w:bottom w:val="single" w:color="auto" w:sz="4" w:space="0"/>
              <w:right w:val="single" w:color="000000" w:sz="4" w:space="0"/>
            </w:tcBorders>
            <w:tcMar>
              <w:top w:w="0" w:type="dxa"/>
              <w:left w:w="105" w:type="dxa"/>
              <w:bottom w:w="0" w:type="dxa"/>
              <w:right w:w="105" w:type="dxa"/>
            </w:tcMar>
            <w:vAlign w:val="center"/>
          </w:tcPr>
          <w:p w14:paraId="3258CD43">
            <w:pPr>
              <w:pStyle w:val="169"/>
              <w:spacing w:line="360" w:lineRule="auto"/>
              <w:jc w:val="center"/>
              <w:rPr>
                <w:rFonts w:ascii="宋体" w:hAnsi="宋体" w:eastAsia="宋体" w:cs="宋体"/>
                <w:b/>
                <w:color w:val="auto"/>
                <w:sz w:val="24"/>
                <w:szCs w:val="24"/>
                <w:lang w:eastAsia="zh-CN"/>
              </w:rPr>
            </w:pPr>
            <w:r>
              <w:rPr>
                <w:rFonts w:ascii="宋体" w:hAnsi="宋体" w:eastAsia="宋体" w:cs="宋体"/>
                <w:b/>
                <w:color w:val="auto"/>
                <w:sz w:val="24"/>
                <w:szCs w:val="24"/>
                <w:lang w:eastAsia="zh-CN"/>
              </w:rPr>
              <w:t>采购包号</w:t>
            </w:r>
          </w:p>
        </w:tc>
        <w:tc>
          <w:tcPr>
            <w:tcW w:w="1989" w:type="dxa"/>
            <w:tcBorders>
              <w:top w:val="single" w:color="000000" w:sz="4" w:space="0"/>
              <w:left w:val="single" w:color="000000" w:sz="4" w:space="0"/>
              <w:bottom w:val="single" w:color="auto" w:sz="4" w:space="0"/>
              <w:right w:val="single" w:color="000000" w:sz="4" w:space="0"/>
            </w:tcBorders>
            <w:tcMar>
              <w:top w:w="0" w:type="dxa"/>
              <w:left w:w="105" w:type="dxa"/>
              <w:bottom w:w="0" w:type="dxa"/>
              <w:right w:w="105" w:type="dxa"/>
            </w:tcMar>
            <w:vAlign w:val="center"/>
          </w:tcPr>
          <w:p w14:paraId="13C7546A">
            <w:pPr>
              <w:pStyle w:val="169"/>
              <w:spacing w:line="360" w:lineRule="auto"/>
              <w:jc w:val="center"/>
              <w:rPr>
                <w:rFonts w:ascii="宋体" w:hAnsi="宋体" w:eastAsia="宋体" w:cs="宋体"/>
                <w:color w:val="auto"/>
                <w:sz w:val="24"/>
                <w:szCs w:val="24"/>
              </w:rPr>
            </w:pPr>
            <w:r>
              <w:rPr>
                <w:rFonts w:ascii="宋体" w:hAnsi="宋体" w:eastAsia="宋体" w:cs="宋体"/>
                <w:b/>
                <w:color w:val="auto"/>
                <w:sz w:val="24"/>
                <w:szCs w:val="24"/>
                <w:lang w:eastAsia="zh-CN"/>
              </w:rPr>
              <w:t>采购包</w:t>
            </w:r>
            <w:r>
              <w:rPr>
                <w:rFonts w:ascii="宋体" w:hAnsi="宋体" w:eastAsia="宋体" w:cs="宋体"/>
                <w:b/>
                <w:color w:val="auto"/>
                <w:sz w:val="24"/>
                <w:szCs w:val="24"/>
              </w:rPr>
              <w:t>名称</w:t>
            </w:r>
          </w:p>
        </w:tc>
        <w:tc>
          <w:tcPr>
            <w:tcW w:w="868"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60FE2E83">
            <w:pPr>
              <w:pStyle w:val="169"/>
              <w:spacing w:line="360" w:lineRule="auto"/>
              <w:jc w:val="center"/>
              <w:rPr>
                <w:rFonts w:ascii="宋体" w:hAnsi="宋体" w:eastAsia="宋体" w:cs="宋体"/>
                <w:color w:val="auto"/>
                <w:sz w:val="24"/>
                <w:szCs w:val="24"/>
              </w:rPr>
            </w:pPr>
            <w:r>
              <w:rPr>
                <w:rFonts w:ascii="宋体" w:hAnsi="宋体" w:eastAsia="宋体" w:cs="宋体"/>
                <w:b/>
                <w:color w:val="auto"/>
                <w:sz w:val="24"/>
                <w:szCs w:val="24"/>
              </w:rPr>
              <w:t>数量</w:t>
            </w:r>
          </w:p>
        </w:tc>
        <w:tc>
          <w:tcPr>
            <w:tcW w:w="2277"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124B46C9">
            <w:pPr>
              <w:pStyle w:val="169"/>
              <w:spacing w:line="360" w:lineRule="auto"/>
              <w:jc w:val="center"/>
              <w:rPr>
                <w:rFonts w:ascii="宋体" w:hAnsi="宋体" w:eastAsia="宋体" w:cs="宋体"/>
                <w:color w:val="auto"/>
                <w:sz w:val="24"/>
                <w:szCs w:val="24"/>
                <w:lang w:eastAsia="zh-CN"/>
              </w:rPr>
            </w:pPr>
            <w:r>
              <w:rPr>
                <w:rFonts w:ascii="宋体" w:hAnsi="宋体" w:eastAsia="宋体" w:cs="宋体"/>
                <w:b/>
                <w:bCs/>
                <w:color w:val="auto"/>
                <w:sz w:val="24"/>
                <w:szCs w:val="24"/>
                <w:lang w:eastAsia="zh-CN"/>
              </w:rPr>
              <w:t>各采购包采购预算金额/最高限价金额</w:t>
            </w:r>
          </w:p>
        </w:tc>
        <w:tc>
          <w:tcPr>
            <w:tcW w:w="3812"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6CE755C6">
            <w:pPr>
              <w:pStyle w:val="169"/>
              <w:spacing w:line="360" w:lineRule="auto"/>
              <w:jc w:val="center"/>
              <w:rPr>
                <w:rFonts w:ascii="宋体" w:hAnsi="宋体" w:eastAsia="宋体" w:cs="宋体"/>
                <w:b/>
                <w:color w:val="auto"/>
                <w:sz w:val="24"/>
                <w:szCs w:val="24"/>
                <w:lang w:eastAsia="zh-CN"/>
              </w:rPr>
            </w:pPr>
            <w:r>
              <w:rPr>
                <w:rFonts w:ascii="宋体" w:hAnsi="宋体" w:eastAsia="宋体" w:cs="宋体"/>
                <w:b/>
                <w:color w:val="auto"/>
                <w:sz w:val="24"/>
                <w:szCs w:val="24"/>
                <w:lang w:eastAsia="zh-CN"/>
              </w:rPr>
              <w:t>服务范围</w:t>
            </w:r>
          </w:p>
        </w:tc>
      </w:tr>
      <w:tr w14:paraId="0C9481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96" w:hRule="atLeast"/>
          <w:jc w:val="center"/>
        </w:trPr>
        <w:tc>
          <w:tcPr>
            <w:tcW w:w="76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1E26CB1">
            <w:pPr>
              <w:pStyle w:val="169"/>
              <w:spacing w:line="360" w:lineRule="auto"/>
              <w:jc w:val="center"/>
              <w:rPr>
                <w:rFonts w:ascii="宋体" w:hAnsi="宋体" w:eastAsia="宋体" w:cs="宋体"/>
                <w:color w:val="auto"/>
                <w:sz w:val="24"/>
                <w:szCs w:val="24"/>
                <w:lang w:eastAsia="zh-CN"/>
              </w:rPr>
            </w:pPr>
            <w:r>
              <w:rPr>
                <w:rFonts w:ascii="宋体" w:hAnsi="宋体" w:eastAsia="宋体" w:cs="宋体"/>
                <w:color w:val="auto"/>
                <w:sz w:val="24"/>
                <w:szCs w:val="24"/>
                <w:lang w:eastAsia="zh-CN"/>
              </w:rPr>
              <w:t>采购包1</w:t>
            </w:r>
          </w:p>
        </w:tc>
        <w:tc>
          <w:tcPr>
            <w:tcW w:w="1989"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6706F68">
            <w:pPr>
              <w:pStyle w:val="169"/>
              <w:spacing w:line="360" w:lineRule="auto"/>
              <w:jc w:val="center"/>
              <w:rPr>
                <w:rFonts w:ascii="宋体" w:hAnsi="宋体" w:eastAsia="宋体" w:cs="宋体"/>
                <w:color w:val="auto"/>
                <w:sz w:val="24"/>
                <w:szCs w:val="24"/>
              </w:rPr>
            </w:pPr>
            <w:r>
              <w:rPr>
                <w:rFonts w:ascii="宋体" w:hAnsi="宋体" w:eastAsia="宋体" w:cs="宋体"/>
                <w:color w:val="auto"/>
                <w:sz w:val="24"/>
                <w:szCs w:val="24"/>
                <w:lang w:eastAsia="zh-CN"/>
              </w:rPr>
              <w:t>仁化县第二轮土地承包到期后再</w:t>
            </w:r>
            <w:bookmarkStart w:id="7" w:name="_GoBack"/>
            <w:bookmarkEnd w:id="7"/>
            <w:r>
              <w:rPr>
                <w:rFonts w:ascii="宋体" w:hAnsi="宋体" w:eastAsia="宋体" w:cs="宋体"/>
                <w:color w:val="auto"/>
                <w:sz w:val="24"/>
                <w:szCs w:val="24"/>
                <w:lang w:eastAsia="zh-CN"/>
              </w:rPr>
              <w:t>延长30年试点技术服务（属地实施+全县技术总牵头）</w:t>
            </w:r>
          </w:p>
        </w:tc>
        <w:tc>
          <w:tcPr>
            <w:tcW w:w="86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26EE6F6">
            <w:pPr>
              <w:pStyle w:val="169"/>
              <w:spacing w:line="360" w:lineRule="auto"/>
              <w:jc w:val="center"/>
              <w:rPr>
                <w:rFonts w:ascii="宋体" w:hAnsi="宋体" w:eastAsia="宋体" w:cs="宋体"/>
                <w:color w:val="auto"/>
                <w:sz w:val="24"/>
                <w:szCs w:val="24"/>
                <w:lang w:eastAsia="zh-CN"/>
              </w:rPr>
            </w:pPr>
            <w:r>
              <w:rPr>
                <w:rFonts w:ascii="宋体" w:hAnsi="宋体" w:eastAsia="宋体" w:cs="宋体"/>
                <w:color w:val="auto"/>
                <w:sz w:val="24"/>
                <w:szCs w:val="24"/>
                <w:lang w:eastAsia="zh-CN"/>
              </w:rPr>
              <w:t>1项</w:t>
            </w:r>
          </w:p>
        </w:tc>
        <w:tc>
          <w:tcPr>
            <w:tcW w:w="2277"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39F12B4">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rPr>
              <w:t>4,436,024.81元</w:t>
            </w:r>
          </w:p>
        </w:tc>
        <w:tc>
          <w:tcPr>
            <w:tcW w:w="381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89D6B18">
            <w:pPr>
              <w:spacing w:before="20" w:after="20"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属地实施+全县技术总牵头：</w:t>
            </w:r>
          </w:p>
          <w:p w14:paraId="0A225143">
            <w:pPr>
              <w:spacing w:before="20" w:after="20"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1.属地实施服务范围为：闻韶镇、扶溪镇、长江镇、大桥镇、周田镇、黄坑镇6个镇，确权亩数：131966.25亩，承包农户约19277户；</w:t>
            </w:r>
          </w:p>
          <w:p w14:paraId="61942D23">
            <w:pPr>
              <w:spacing w:before="20" w:after="20"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2.全县技术总牵头范围为：仁化县11个镇（街）集体承包土地，涉及确权登记承包地总面积约259293亩，承包农户约36309户。</w:t>
            </w:r>
          </w:p>
        </w:tc>
      </w:tr>
      <w:tr w14:paraId="6940F41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46" w:hRule="atLeast"/>
          <w:jc w:val="center"/>
        </w:trPr>
        <w:tc>
          <w:tcPr>
            <w:tcW w:w="76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83C4A95">
            <w:pPr>
              <w:pStyle w:val="169"/>
              <w:spacing w:line="360" w:lineRule="auto"/>
              <w:jc w:val="center"/>
              <w:rPr>
                <w:rFonts w:ascii="宋体" w:hAnsi="宋体" w:eastAsia="宋体" w:cs="宋体"/>
                <w:color w:val="auto"/>
                <w:sz w:val="24"/>
                <w:szCs w:val="24"/>
                <w:lang w:eastAsia="zh-CN"/>
              </w:rPr>
            </w:pPr>
            <w:r>
              <w:rPr>
                <w:rFonts w:ascii="宋体" w:hAnsi="宋体" w:eastAsia="宋体" w:cs="宋体"/>
                <w:color w:val="auto"/>
                <w:sz w:val="24"/>
                <w:szCs w:val="24"/>
                <w:lang w:eastAsia="zh-CN"/>
              </w:rPr>
              <w:t>采购包2</w:t>
            </w:r>
          </w:p>
        </w:tc>
        <w:tc>
          <w:tcPr>
            <w:tcW w:w="1989"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C060FF7">
            <w:pPr>
              <w:pStyle w:val="169"/>
              <w:spacing w:line="360" w:lineRule="auto"/>
              <w:jc w:val="center"/>
              <w:rPr>
                <w:rFonts w:ascii="宋体" w:hAnsi="宋体" w:eastAsia="宋体" w:cs="宋体"/>
                <w:color w:val="auto"/>
                <w:sz w:val="24"/>
                <w:szCs w:val="24"/>
                <w:lang w:eastAsia="zh-CN"/>
              </w:rPr>
            </w:pPr>
            <w:r>
              <w:rPr>
                <w:rFonts w:ascii="宋体" w:hAnsi="宋体" w:eastAsia="宋体" w:cs="宋体"/>
                <w:color w:val="auto"/>
                <w:sz w:val="24"/>
                <w:szCs w:val="24"/>
                <w:lang w:eastAsia="zh-CN"/>
              </w:rPr>
              <w:t>仁化县第二轮土地承包到期后再延长30年试点技术服务(属地实施)</w:t>
            </w:r>
          </w:p>
        </w:tc>
        <w:tc>
          <w:tcPr>
            <w:tcW w:w="86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F9F6EC5">
            <w:pPr>
              <w:pStyle w:val="169"/>
              <w:spacing w:line="360" w:lineRule="auto"/>
              <w:jc w:val="center"/>
              <w:rPr>
                <w:rFonts w:ascii="宋体" w:hAnsi="宋体" w:eastAsia="宋体" w:cs="宋体"/>
                <w:color w:val="auto"/>
                <w:sz w:val="24"/>
                <w:szCs w:val="24"/>
                <w:lang w:eastAsia="zh-CN"/>
              </w:rPr>
            </w:pPr>
            <w:r>
              <w:rPr>
                <w:rFonts w:ascii="宋体" w:hAnsi="宋体" w:eastAsia="宋体" w:cs="宋体"/>
                <w:color w:val="auto"/>
                <w:sz w:val="24"/>
                <w:szCs w:val="24"/>
                <w:lang w:eastAsia="zh-CN"/>
              </w:rPr>
              <w:t>1项</w:t>
            </w:r>
          </w:p>
        </w:tc>
        <w:tc>
          <w:tcPr>
            <w:tcW w:w="2277"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2692EBD">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rPr>
              <w:t>4,029,891.64元</w:t>
            </w:r>
          </w:p>
        </w:tc>
        <w:tc>
          <w:tcPr>
            <w:tcW w:w="381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8330B2F">
            <w:pPr>
              <w:spacing w:before="20" w:after="20"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属地实施服务范围为：丹霞街道、城口镇、红山镇、石塘镇、董塘镇5个镇（街），确权亩数：127326.76亩，承包农户约17032.00户。</w:t>
            </w:r>
          </w:p>
        </w:tc>
      </w:tr>
    </w:tbl>
    <w:p w14:paraId="7BE13DBE">
      <w:pPr>
        <w:spacing w:after="120" w:line="360" w:lineRule="auto"/>
        <w:ind w:firstLine="48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注：本项目兼投不兼中：</w:t>
      </w:r>
    </w:p>
    <w:p w14:paraId="0B0A99FD">
      <w:pPr>
        <w:spacing w:after="120" w:line="360" w:lineRule="auto"/>
        <w:ind w:firstLine="48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（1）投标人可以选择其中一个采购包进行投标，也可同时对两个采购包进行投标，但必须对同一采购包的全部内容进行响应，且每个采购包的投标文件必须单独制作。</w:t>
      </w:r>
      <w:r>
        <w:rPr>
          <w:rFonts w:hint="eastAsia" w:ascii="宋体" w:hAnsi="宋体" w:eastAsia="宋体" w:cs="宋体"/>
          <w:color w:val="auto"/>
          <w:sz w:val="24"/>
          <w:szCs w:val="24"/>
          <w:lang w:eastAsia="zh-CN"/>
        </w:rPr>
        <w:br w:type="textWrapping"/>
      </w:r>
      <w:r>
        <w:rPr>
          <w:rFonts w:hint="eastAsia" w:ascii="宋体" w:hAnsi="宋体" w:eastAsia="宋体" w:cs="宋体"/>
          <w:color w:val="auto"/>
          <w:sz w:val="24"/>
          <w:szCs w:val="24"/>
          <w:lang w:eastAsia="zh-CN"/>
        </w:rPr>
        <w:t xml:space="preserve">    （2）每个投标人最多只能被确定为1个采购包的第一中标候选人。本项目按采购包的顺序（即采购包1、采购包2）进行评审，依次按照评标总得分由高到低的顺序推荐，已获得采购包1第一中标候选人资格的，将不得进入后续采购包的评审环节，以此类推。</w:t>
      </w:r>
    </w:p>
    <w:p w14:paraId="30C22B0B">
      <w:pPr>
        <w:spacing w:after="160"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五</w:t>
      </w:r>
      <w:r>
        <w:rPr>
          <w:rFonts w:hint="eastAsia" w:ascii="宋体" w:hAnsi="宋体" w:eastAsia="宋体" w:cs="宋体"/>
          <w:b/>
          <w:color w:val="auto"/>
          <w:sz w:val="24"/>
          <w:szCs w:val="24"/>
        </w:rPr>
        <w:t>、项目概况</w:t>
      </w:r>
    </w:p>
    <w:p w14:paraId="23FA1E50">
      <w:pPr>
        <w:spacing w:after="120"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贯彻落实习近平总书记关于“三农”工作的重要论述和关于保持农村土地承包关系稳定并长久不变的重要批示指示精神，牢固树立和贯彻落实新发展理念，紧扣处理好农民和土地关系这一主线，坚持农户家庭承包经营，确保承包关系长久稳定，赋予农民更加充分而有保障的土地权利，巩固和完善农村基本经营制度，落实农村土地所有权、承包权、经营权“三权”分置政策，为保持社会和谐稳定、促进乡村振兴奠定基础。</w:t>
      </w:r>
    </w:p>
    <w:p w14:paraId="4D69AA52">
      <w:pPr>
        <w:spacing w:after="120"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党的十九大明确提出保持土地承包关系稳定并长久不变，第二轮土地承包到期后再延长三十年，作为新时代农村改革核心制度安排。2023年农业农村部印发《第二轮土地承包到期后再延长30年试点工作规程（试行）》（农办政改〔2023〕7号），统一全国技术流程、档案、测绘标准。2026年3月中办国办印发《关于做好第二轮土地承包到期后再延长30年试点工作的意见》，部署全国全面开展整省延包试点，按照文件要求，合同到期后1年内完成全部延包工作。为稳妥推进仁化县第二轮农村土地承包到期后再延长30年试点工作，确保农村土地承包关系稳定并长久不变，巩固完善农村基本经营制度，充分保障农民土地承包权益，提升农村二轮延包成果应用，为广大农户提供信息化便利化服务。根据《中共中央</w:t>
      </w:r>
      <w:r>
        <w:rPr>
          <w:rFonts w:hint="eastAsia" w:ascii="宋体" w:hAnsi="宋体" w:eastAsia="宋体" w:cs="宋体"/>
          <w:color w:val="auto"/>
          <w:sz w:val="24"/>
          <w:szCs w:val="24"/>
          <w:lang w:eastAsia="zh-CN"/>
        </w:rPr>
        <w:t xml:space="preserve">  </w:t>
      </w:r>
      <w:r>
        <w:rPr>
          <w:rFonts w:hint="eastAsia" w:ascii="宋体" w:hAnsi="宋体" w:eastAsia="宋体" w:cs="宋体"/>
          <w:color w:val="auto"/>
          <w:sz w:val="24"/>
          <w:szCs w:val="24"/>
        </w:rPr>
        <w:t>国务院关于保持土地承包关系稳定并长久不变的意见》、中央一号文件精神，结合仁化县实际，以第二轮确权登记成果为基础，全面完成辖区内所有村组延包处置工作，形成标准化矢量数据库、规范承包合同、县镇村三级三合一纸质+电子档案，同步对接省级管理平台、不动产登记系统，建立动态更新的农村土地承包权属管理体系，实现承包关系长期稳定、农民权益全面保障、农村土地矛盾源头化解，并顺利通过省、市延包工作验收。</w:t>
      </w:r>
    </w:p>
    <w:p w14:paraId="69B7DBA9">
      <w:pPr>
        <w:spacing w:after="120" w:line="360" w:lineRule="auto"/>
        <w:ind w:firstLine="480"/>
        <w:jc w:val="both"/>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采购包1：仁化县第二轮土地承包到期后再延长30年试点技术服务（属地实施+全县技术总牵头）</w:t>
      </w:r>
    </w:p>
    <w:p w14:paraId="4D72D45C">
      <w:pPr>
        <w:spacing w:after="120" w:line="360" w:lineRule="auto"/>
        <w:ind w:firstLine="48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1.主要商务要求</w:t>
      </w:r>
    </w:p>
    <w:tbl>
      <w:tblPr>
        <w:tblStyle w:val="35"/>
        <w:tblW w:w="96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8"/>
        <w:gridCol w:w="7718"/>
      </w:tblGrid>
      <w:tr w14:paraId="17EAA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8" w:type="dxa"/>
          </w:tcPr>
          <w:p w14:paraId="4949B1D3">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标的提供的时间</w:t>
            </w:r>
          </w:p>
        </w:tc>
        <w:tc>
          <w:tcPr>
            <w:tcW w:w="7718" w:type="dxa"/>
          </w:tcPr>
          <w:p w14:paraId="2B37D4C7">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2028年6月30日</w:t>
            </w:r>
            <w:r>
              <w:rPr>
                <w:rFonts w:hint="eastAsia" w:ascii="宋体" w:hAnsi="宋体" w:eastAsia="宋体" w:cs="宋体"/>
                <w:color w:val="auto"/>
                <w:sz w:val="24"/>
                <w:szCs w:val="24"/>
              </w:rPr>
              <w:t>前完成全部项目建设内容（包括摸底调查、方案制定、核实调查、公示纠错、合同网签、数据库更新、档案整理、成果汇交、竣工验收全流程技术服务），详细工期以上级相关要求为准。</w:t>
            </w:r>
          </w:p>
        </w:tc>
      </w:tr>
      <w:tr w14:paraId="603D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8" w:type="dxa"/>
          </w:tcPr>
          <w:p w14:paraId="208B0480">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标的提供的地点</w:t>
            </w:r>
          </w:p>
        </w:tc>
        <w:tc>
          <w:tcPr>
            <w:tcW w:w="7718" w:type="dxa"/>
          </w:tcPr>
          <w:p w14:paraId="1038706E">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采购人指定地点。</w:t>
            </w:r>
          </w:p>
        </w:tc>
      </w:tr>
      <w:tr w14:paraId="328C8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8" w:type="dxa"/>
          </w:tcPr>
          <w:p w14:paraId="4027A391">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付款方式</w:t>
            </w:r>
          </w:p>
        </w:tc>
        <w:tc>
          <w:tcPr>
            <w:tcW w:w="7718" w:type="dxa"/>
          </w:tcPr>
          <w:p w14:paraId="6FB910FB">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1期：支付比例30%，合同签订后、人员进场开始作业后，5个工作日内，采购人向中标人支付合同总金额30%。</w:t>
            </w:r>
          </w:p>
          <w:p w14:paraId="317EBF94">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2期：支付比例30%，采购人审核后，同时满足土地延包成果公示达90%、延包合同签订率达90%，采购人向中标人支付合同总金额的30%；</w:t>
            </w:r>
          </w:p>
          <w:p w14:paraId="66FB8183">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期：支付比例30%，完成全部延包工作的图件成果、标准化数据库建设、档案整理、平台预汇交，项目整体初验合格、资料齐全归档完毕后，项目通过上级主管部门最终竣工验收、成果正式汇交入库，采购人向中标人支付合同总金额的30%；</w:t>
            </w:r>
          </w:p>
          <w:p w14:paraId="6BC07A86">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4期：支付比例10%，无数据明显错误后，正常开展两年数据维护，采购人向中标人支付合同总金额的10%。</w:t>
            </w:r>
          </w:p>
          <w:p w14:paraId="6C0C6506">
            <w:pPr>
              <w:spacing w:before="20" w:after="20"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注：①上述每期款项支付前，中标人均应向采购人提供请款申报材料（如需）及相应金额的合法有效的发票，否则，采购人有权拒绝支付相应的款项，并不构成违约；②因采购人用的是财政资金，采购人在前款规定的付款时间为向政府采购支付部门提出办理财政支付申请手续的时间（不含政府财政支付部门审核的时间），在前述规定时间内提出办理支付申请手续后，采购人不承担逾期支付的违约责任。如项目发生合同融资，采购人需将合同款项支付到合同约定收款账户。</w:t>
            </w:r>
          </w:p>
        </w:tc>
      </w:tr>
      <w:tr w14:paraId="3073D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8" w:type="dxa"/>
          </w:tcPr>
          <w:p w14:paraId="54313806">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验收要求</w:t>
            </w:r>
          </w:p>
        </w:tc>
        <w:tc>
          <w:tcPr>
            <w:tcW w:w="7718" w:type="dxa"/>
          </w:tcPr>
          <w:p w14:paraId="7F3F1E16">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延包试点工作结束后，县、镇（街）、村总结延包工作的组织情况、主要做法经验和问题处置建议等，编制全套验收资料，配合成果验收，对验收提出的问题按采购人及上级验收单位规定时限完成无偿整改直至合格。</w:t>
            </w:r>
          </w:p>
          <w:p w14:paraId="33721F04">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2.本项目统一验收、独立结算，各包组分别编制本包组总结验收资料并分别接受验收；</w:t>
            </w:r>
            <w:r>
              <w:rPr>
                <w:rFonts w:hint="eastAsia" w:ascii="宋体" w:hAnsi="宋体" w:eastAsia="宋体" w:cs="宋体"/>
                <w:color w:val="auto"/>
                <w:sz w:val="24"/>
                <w:szCs w:val="24"/>
                <w:lang w:eastAsia="zh-CN"/>
              </w:rPr>
              <w:t>采购包1</w:t>
            </w:r>
            <w:r>
              <w:rPr>
                <w:rFonts w:hint="eastAsia" w:ascii="宋体" w:hAnsi="宋体" w:eastAsia="宋体" w:cs="宋体"/>
                <w:color w:val="auto"/>
                <w:sz w:val="24"/>
                <w:szCs w:val="24"/>
              </w:rPr>
              <w:t>另承担全县整体自检、总验收技术统筹及验收汇编工作。</w:t>
            </w:r>
          </w:p>
          <w:p w14:paraId="3C1C9B05">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3.所有验收文件、资料要提交给采购人以作留档备案。</w:t>
            </w:r>
          </w:p>
        </w:tc>
      </w:tr>
      <w:tr w14:paraId="4B4B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8" w:type="dxa"/>
          </w:tcPr>
          <w:p w14:paraId="67CB7C8F">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履约保证金</w:t>
            </w:r>
          </w:p>
        </w:tc>
        <w:tc>
          <w:tcPr>
            <w:tcW w:w="7718" w:type="dxa"/>
          </w:tcPr>
          <w:p w14:paraId="04765943">
            <w:pPr>
              <w:spacing w:before="20" w:after="20"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无</w:t>
            </w:r>
          </w:p>
        </w:tc>
      </w:tr>
      <w:tr w14:paraId="12C26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8" w:type="dxa"/>
          </w:tcPr>
          <w:p w14:paraId="1A62AA7F">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其他</w:t>
            </w:r>
          </w:p>
        </w:tc>
        <w:tc>
          <w:tcPr>
            <w:tcW w:w="7718" w:type="dxa"/>
          </w:tcPr>
          <w:p w14:paraId="56338D59">
            <w:pPr>
              <w:spacing w:before="20" w:after="20"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p>
        </w:tc>
      </w:tr>
    </w:tbl>
    <w:p w14:paraId="46E4F32F">
      <w:pPr>
        <w:spacing w:after="160" w:line="360" w:lineRule="auto"/>
        <w:rPr>
          <w:rFonts w:hint="eastAsia" w:ascii="宋体" w:hAnsi="宋体" w:eastAsia="宋体" w:cs="宋体"/>
          <w:color w:val="auto"/>
          <w:sz w:val="24"/>
          <w:szCs w:val="24"/>
        </w:rPr>
      </w:pPr>
      <w:r>
        <w:rPr>
          <w:rFonts w:hint="eastAsia" w:ascii="宋体" w:hAnsi="宋体" w:eastAsia="宋体" w:cs="宋体"/>
          <w:b/>
          <w:color w:val="auto"/>
          <w:sz w:val="24"/>
          <w:szCs w:val="24"/>
        </w:rPr>
        <w:t>其他商务需求</w:t>
      </w:r>
    </w:p>
    <w:tbl>
      <w:tblPr>
        <w:tblStyle w:val="35"/>
        <w:tblW w:w="95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760"/>
        <w:gridCol w:w="1334"/>
        <w:gridCol w:w="6545"/>
      </w:tblGrid>
      <w:tr w14:paraId="5648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8" w:type="dxa"/>
          </w:tcPr>
          <w:p w14:paraId="5852223F">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参数性质</w:t>
            </w:r>
          </w:p>
        </w:tc>
        <w:tc>
          <w:tcPr>
            <w:tcW w:w="760" w:type="dxa"/>
          </w:tcPr>
          <w:p w14:paraId="61F8B25C">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编号</w:t>
            </w:r>
          </w:p>
        </w:tc>
        <w:tc>
          <w:tcPr>
            <w:tcW w:w="1334" w:type="dxa"/>
          </w:tcPr>
          <w:p w14:paraId="1CDF6DB5">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内容明细</w:t>
            </w:r>
          </w:p>
        </w:tc>
        <w:tc>
          <w:tcPr>
            <w:tcW w:w="6545" w:type="dxa"/>
          </w:tcPr>
          <w:p w14:paraId="42807D04">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内容说明</w:t>
            </w:r>
          </w:p>
        </w:tc>
      </w:tr>
      <w:tr w14:paraId="2E16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14:paraId="4132BDB5">
            <w:pPr>
              <w:spacing w:before="20" w:after="20" w:line="360" w:lineRule="auto"/>
              <w:jc w:val="center"/>
              <w:rPr>
                <w:rFonts w:hint="eastAsia" w:ascii="宋体" w:hAnsi="宋体" w:eastAsia="宋体" w:cs="宋体"/>
                <w:color w:val="auto"/>
                <w:sz w:val="24"/>
                <w:szCs w:val="24"/>
              </w:rPr>
            </w:pPr>
          </w:p>
        </w:tc>
        <w:tc>
          <w:tcPr>
            <w:tcW w:w="760" w:type="dxa"/>
          </w:tcPr>
          <w:p w14:paraId="52A49E2C">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334" w:type="dxa"/>
          </w:tcPr>
          <w:p w14:paraId="1054DA86">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报价要求</w:t>
            </w:r>
          </w:p>
        </w:tc>
        <w:tc>
          <w:tcPr>
            <w:tcW w:w="6545" w:type="dxa"/>
          </w:tcPr>
          <w:p w14:paraId="225006AC">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本项目为固定总价包干项目，实施过程中不因工作量增减、人员投入、难度提升、天气影响、整改次数增加而调整合同价格；因国家、省出台新的强制性技术标准，导致工作内容发生重大变更的，按政府采购变更程序另行协商处理。</w:t>
            </w:r>
          </w:p>
          <w:p w14:paraId="731CAC9A">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投标报价包括：外业调查、核实调查、测绘、图件制作、数据建库、公示公告、合同签约、资料整理、档案装订数字化、成果汇交、整改验收、税费、交通、人工、设备、质保，以及覆盖全县11个镇街全部技术牵头统筹相关全部费用</w:t>
            </w:r>
            <w:r>
              <w:rPr>
                <w:rFonts w:hint="eastAsia" w:ascii="宋体" w:hAnsi="宋体" w:eastAsia="宋体" w:cs="宋体"/>
                <w:color w:val="auto"/>
                <w:sz w:val="24"/>
                <w:szCs w:val="24"/>
                <w:lang w:eastAsia="zh-CN"/>
              </w:rPr>
              <w:t>。</w:t>
            </w:r>
          </w:p>
        </w:tc>
      </w:tr>
      <w:tr w14:paraId="31EA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14:paraId="32ECB03F">
            <w:pPr>
              <w:spacing w:before="20" w:after="20" w:line="360" w:lineRule="auto"/>
              <w:jc w:val="center"/>
              <w:rPr>
                <w:rFonts w:hint="eastAsia" w:ascii="宋体" w:hAnsi="宋体" w:eastAsia="宋体" w:cs="宋体"/>
                <w:color w:val="auto"/>
                <w:sz w:val="24"/>
                <w:szCs w:val="24"/>
              </w:rPr>
            </w:pPr>
          </w:p>
        </w:tc>
        <w:tc>
          <w:tcPr>
            <w:tcW w:w="760" w:type="dxa"/>
          </w:tcPr>
          <w:p w14:paraId="3D321FFA">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334" w:type="dxa"/>
          </w:tcPr>
          <w:p w14:paraId="47019169">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成果归属</w:t>
            </w:r>
          </w:p>
        </w:tc>
        <w:tc>
          <w:tcPr>
            <w:tcW w:w="6545" w:type="dxa"/>
          </w:tcPr>
          <w:p w14:paraId="22344FF3">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1.所有成果知识产权、数据权属、档案成果全部归采购人所有。</w:t>
            </w:r>
          </w:p>
          <w:p w14:paraId="4BEBD8D8">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仅为本项目工作需要使用本项目数据；项目结束后，</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必须删除全部本地副本，不得留存、复制、对外泄露、使用任何项目数据及农户个人信息。</w:t>
            </w:r>
          </w:p>
        </w:tc>
      </w:tr>
      <w:tr w14:paraId="66FB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14:paraId="15CD9D9A">
            <w:pPr>
              <w:spacing w:before="20" w:after="20" w:line="360" w:lineRule="auto"/>
              <w:jc w:val="center"/>
              <w:rPr>
                <w:rFonts w:hint="eastAsia" w:ascii="宋体" w:hAnsi="宋体" w:eastAsia="宋体" w:cs="宋体"/>
                <w:color w:val="auto"/>
                <w:sz w:val="24"/>
                <w:szCs w:val="24"/>
              </w:rPr>
            </w:pPr>
          </w:p>
        </w:tc>
        <w:tc>
          <w:tcPr>
            <w:tcW w:w="760" w:type="dxa"/>
          </w:tcPr>
          <w:p w14:paraId="0C23ED46">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334" w:type="dxa"/>
          </w:tcPr>
          <w:p w14:paraId="59523F1D">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保密要求</w:t>
            </w:r>
          </w:p>
        </w:tc>
        <w:tc>
          <w:tcPr>
            <w:tcW w:w="6545" w:type="dxa"/>
          </w:tcPr>
          <w:p w14:paraId="434C2D93">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中标人须</w:t>
            </w:r>
            <w:r>
              <w:rPr>
                <w:rFonts w:hint="eastAsia" w:ascii="宋体" w:hAnsi="宋体" w:eastAsia="宋体" w:cs="宋体"/>
                <w:color w:val="auto"/>
                <w:sz w:val="24"/>
                <w:szCs w:val="24"/>
              </w:rPr>
              <w:t>与采购</w:t>
            </w:r>
            <w:r>
              <w:rPr>
                <w:rFonts w:hint="eastAsia" w:ascii="宋体" w:hAnsi="宋体" w:eastAsia="宋体" w:cs="宋体"/>
                <w:color w:val="auto"/>
                <w:sz w:val="24"/>
                <w:szCs w:val="24"/>
                <w:lang w:eastAsia="zh-CN"/>
              </w:rPr>
              <w:t>人</w:t>
            </w:r>
            <w:r>
              <w:rPr>
                <w:rFonts w:hint="eastAsia" w:ascii="宋体" w:hAnsi="宋体" w:eastAsia="宋体" w:cs="宋体"/>
                <w:color w:val="auto"/>
                <w:sz w:val="24"/>
                <w:szCs w:val="24"/>
              </w:rPr>
              <w:t>签订正式数据保密协议，建立覆盖数据采集、存储、传输、使用、归档全生命周期的安全管理机制，严格遵守国家测绘地理信息保密、个人信息保护等相关法律法规，全程保障农户个人信息与地理空间数据的安全。</w:t>
            </w:r>
          </w:p>
          <w:p w14:paraId="5C7D4BC6">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2.中标人</w:t>
            </w:r>
            <w:r>
              <w:rPr>
                <w:rFonts w:hint="eastAsia" w:ascii="宋体" w:hAnsi="宋体" w:eastAsia="宋体" w:cs="宋体"/>
                <w:color w:val="auto"/>
                <w:sz w:val="24"/>
                <w:szCs w:val="24"/>
              </w:rPr>
              <w:t>对项目获取全部土地权属资料、农户身份信息、调查资料承担永久保密责任，严禁对外泄露、转让、转借。</w:t>
            </w:r>
          </w:p>
          <w:p w14:paraId="4DD0CFEF">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须具备独立数据生产办公场地，提供场地说明、现场实拍照片、机房及办公区域保密管控、设备环境资料；配备数据安全保密方向专业人员，提供安全论证报告及专家职称佐证；配备国家保密管理部门备案的涉密计算机设备，并提供涉密计算机备案表。</w:t>
            </w:r>
          </w:p>
          <w:p w14:paraId="5EC5D7F8">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4</w:t>
            </w:r>
            <w:r>
              <w:rPr>
                <w:rFonts w:hint="eastAsia" w:ascii="宋体" w:hAnsi="宋体" w:eastAsia="宋体" w:cs="宋体"/>
                <w:color w:val="auto"/>
                <w:sz w:val="24"/>
                <w:szCs w:val="24"/>
              </w:rPr>
              <w:t>.发生泄密事件，采购人有权追究</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违约责任，造成损失的由</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承担全部法律及经济责任。</w:t>
            </w:r>
          </w:p>
        </w:tc>
      </w:tr>
      <w:tr w14:paraId="486BA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14:paraId="4AC4A9A9">
            <w:pPr>
              <w:spacing w:before="20" w:after="20" w:line="360" w:lineRule="auto"/>
              <w:jc w:val="center"/>
              <w:rPr>
                <w:rFonts w:hint="eastAsia" w:ascii="宋体" w:hAnsi="宋体" w:eastAsia="宋体" w:cs="宋体"/>
                <w:color w:val="auto"/>
                <w:sz w:val="24"/>
                <w:szCs w:val="24"/>
              </w:rPr>
            </w:pPr>
          </w:p>
        </w:tc>
        <w:tc>
          <w:tcPr>
            <w:tcW w:w="760" w:type="dxa"/>
          </w:tcPr>
          <w:p w14:paraId="75AD9082">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334" w:type="dxa"/>
          </w:tcPr>
          <w:p w14:paraId="1E8DBC72">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质量管控要求</w:t>
            </w:r>
          </w:p>
        </w:tc>
        <w:tc>
          <w:tcPr>
            <w:tcW w:w="6545" w:type="dxa"/>
          </w:tcPr>
          <w:p w14:paraId="3E832693">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建立完整项目质量管控体系，开展100%内业自查，外业成果按规范开展抽查；所有成果提交采购人前必须完成内部自检，出具自检报告；对采购人、上级部门提出的质量问题，按期完成整改。严格执行验收制度，层层把控工作质量。</w:t>
            </w:r>
          </w:p>
        </w:tc>
      </w:tr>
      <w:tr w14:paraId="492E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14:paraId="6431E616">
            <w:pPr>
              <w:spacing w:before="20" w:after="20" w:line="360" w:lineRule="auto"/>
              <w:jc w:val="center"/>
              <w:rPr>
                <w:rFonts w:hint="eastAsia" w:ascii="宋体" w:hAnsi="宋体" w:eastAsia="宋体" w:cs="宋体"/>
                <w:color w:val="auto"/>
                <w:sz w:val="24"/>
                <w:szCs w:val="24"/>
              </w:rPr>
            </w:pPr>
          </w:p>
        </w:tc>
        <w:tc>
          <w:tcPr>
            <w:tcW w:w="760" w:type="dxa"/>
          </w:tcPr>
          <w:p w14:paraId="6954B3E7">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334" w:type="dxa"/>
          </w:tcPr>
          <w:p w14:paraId="7186A3EB">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进度保障要求</w:t>
            </w:r>
          </w:p>
        </w:tc>
        <w:tc>
          <w:tcPr>
            <w:tcW w:w="6545" w:type="dxa"/>
          </w:tcPr>
          <w:p w14:paraId="554B6A00">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须制定详细的项目进度计划，明确每个时间节点完成的工作内容，进行进度计划的合理分析和影响进度计划的预警分析。项目实施期间按采购人要求定期报送周报、月报工作进展。因</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原因造成工期延误的，按政府采购及合同约定承担违约责任。</w:t>
            </w:r>
          </w:p>
        </w:tc>
      </w:tr>
      <w:tr w14:paraId="2C256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14:paraId="169C69B5">
            <w:pPr>
              <w:spacing w:before="20" w:after="20" w:line="360" w:lineRule="auto"/>
              <w:jc w:val="center"/>
              <w:rPr>
                <w:rFonts w:hint="eastAsia" w:ascii="宋体" w:hAnsi="宋体" w:eastAsia="宋体" w:cs="宋体"/>
                <w:color w:val="auto"/>
                <w:sz w:val="24"/>
                <w:szCs w:val="24"/>
              </w:rPr>
            </w:pPr>
          </w:p>
        </w:tc>
        <w:tc>
          <w:tcPr>
            <w:tcW w:w="760" w:type="dxa"/>
          </w:tcPr>
          <w:p w14:paraId="098FF3E3">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334" w:type="dxa"/>
          </w:tcPr>
          <w:p w14:paraId="728C089B">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系统功能要求</w:t>
            </w:r>
          </w:p>
        </w:tc>
        <w:tc>
          <w:tcPr>
            <w:tcW w:w="6545" w:type="dxa"/>
          </w:tcPr>
          <w:p w14:paraId="0133048B">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须具备或使用符合要求的农村二轮延包相关软件系统，支持农户微信扫码远程核实承包地信息、土地延包合同线上网签全流程功能，完整覆盖权属界线调查、数据成果整合建库、数据汇交、档案归档及数字化等全部核心业务功能。</w:t>
            </w:r>
          </w:p>
          <w:p w14:paraId="1D420112">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2.投标人拥有自主开发的农村承包地二轮延包相关软件系统，并取得国家版权局颁发的计算机软件著作权登记证书的，予以优先考虑。</w:t>
            </w:r>
          </w:p>
          <w:p w14:paraId="082FC857">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3.系统须运行稳定流畅、操作简便、业务场景适配度高，完全满足本项目技术服务要求。</w:t>
            </w:r>
          </w:p>
        </w:tc>
      </w:tr>
      <w:tr w14:paraId="5415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14:paraId="318B3967">
            <w:pPr>
              <w:spacing w:before="20" w:after="20" w:line="360" w:lineRule="auto"/>
              <w:jc w:val="center"/>
              <w:rPr>
                <w:rFonts w:hint="eastAsia" w:ascii="宋体" w:hAnsi="宋体" w:eastAsia="宋体" w:cs="宋体"/>
                <w:color w:val="auto"/>
                <w:sz w:val="24"/>
                <w:szCs w:val="24"/>
              </w:rPr>
            </w:pPr>
          </w:p>
        </w:tc>
        <w:tc>
          <w:tcPr>
            <w:tcW w:w="760" w:type="dxa"/>
          </w:tcPr>
          <w:p w14:paraId="4525E74B">
            <w:pPr>
              <w:spacing w:before="20" w:after="20" w:line="360" w:lineRule="auto"/>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7</w:t>
            </w:r>
          </w:p>
        </w:tc>
        <w:tc>
          <w:tcPr>
            <w:tcW w:w="1334" w:type="dxa"/>
          </w:tcPr>
          <w:p w14:paraId="5A26F349">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质保期</w:t>
            </w:r>
          </w:p>
        </w:tc>
        <w:tc>
          <w:tcPr>
            <w:tcW w:w="6545" w:type="dxa"/>
          </w:tcPr>
          <w:p w14:paraId="2350212C">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质保期</w:t>
            </w:r>
            <w:r>
              <w:rPr>
                <w:rFonts w:hint="eastAsia" w:ascii="宋体" w:hAnsi="宋体" w:eastAsia="宋体" w:cs="宋体"/>
                <w:color w:val="auto"/>
                <w:sz w:val="24"/>
                <w:szCs w:val="24"/>
              </w:rPr>
              <w:t>不少于</w:t>
            </w:r>
            <w:r>
              <w:rPr>
                <w:rFonts w:hint="eastAsia" w:ascii="宋体" w:hAnsi="宋体" w:eastAsia="宋体" w:cs="宋体"/>
                <w:color w:val="auto"/>
                <w:sz w:val="24"/>
                <w:szCs w:val="24"/>
                <w:lang w:eastAsia="zh-CN"/>
              </w:rPr>
              <w:t>2年</w:t>
            </w:r>
            <w:r>
              <w:rPr>
                <w:rFonts w:hint="eastAsia" w:ascii="宋体" w:hAnsi="宋体" w:eastAsia="宋体" w:cs="宋体"/>
                <w:color w:val="auto"/>
                <w:sz w:val="24"/>
                <w:szCs w:val="24"/>
              </w:rPr>
              <w:t>，自全部包组均通过主管部门</w:t>
            </w:r>
            <w:r>
              <w:rPr>
                <w:rFonts w:hint="eastAsia" w:ascii="宋体" w:hAnsi="宋体" w:eastAsia="宋体" w:cs="宋体"/>
                <w:color w:val="auto"/>
                <w:sz w:val="24"/>
                <w:szCs w:val="24"/>
                <w:lang w:eastAsia="zh-CN"/>
              </w:rPr>
              <w:t>最终验收之日</w:t>
            </w:r>
            <w:r>
              <w:rPr>
                <w:rFonts w:hint="eastAsia" w:ascii="宋体" w:hAnsi="宋体" w:eastAsia="宋体" w:cs="宋体"/>
                <w:color w:val="auto"/>
                <w:sz w:val="24"/>
                <w:szCs w:val="24"/>
              </w:rPr>
              <w:t>起计算。质保期内，</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须无偿提供成果数据修正、档案补充完善、平台汇交适配调整</w:t>
            </w:r>
            <w:r>
              <w:rPr>
                <w:rFonts w:hint="eastAsia" w:ascii="宋体" w:hAnsi="宋体" w:eastAsia="宋体" w:cs="宋体"/>
                <w:color w:val="auto"/>
                <w:sz w:val="24"/>
                <w:szCs w:val="24"/>
                <w:lang w:eastAsia="zh-CN"/>
              </w:rPr>
              <w:t>、数据更新、发证配合、业务答疑等配套后续技术服务</w:t>
            </w:r>
            <w:r>
              <w:rPr>
                <w:rFonts w:hint="eastAsia" w:ascii="宋体" w:hAnsi="宋体" w:eastAsia="宋体" w:cs="宋体"/>
                <w:color w:val="auto"/>
                <w:sz w:val="24"/>
                <w:szCs w:val="24"/>
              </w:rPr>
              <w:t>。</w:t>
            </w:r>
          </w:p>
        </w:tc>
      </w:tr>
      <w:tr w14:paraId="7A315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14:paraId="5030610A">
            <w:pPr>
              <w:spacing w:before="20" w:after="20" w:line="360" w:lineRule="auto"/>
              <w:jc w:val="center"/>
              <w:rPr>
                <w:rFonts w:hint="eastAsia" w:ascii="宋体" w:hAnsi="宋体" w:eastAsia="宋体" w:cs="宋体"/>
                <w:color w:val="auto"/>
                <w:sz w:val="24"/>
                <w:szCs w:val="24"/>
              </w:rPr>
            </w:pPr>
          </w:p>
        </w:tc>
        <w:tc>
          <w:tcPr>
            <w:tcW w:w="760" w:type="dxa"/>
          </w:tcPr>
          <w:p w14:paraId="6B078D2E">
            <w:pPr>
              <w:spacing w:before="20" w:after="20" w:line="360" w:lineRule="auto"/>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8</w:t>
            </w:r>
          </w:p>
        </w:tc>
        <w:tc>
          <w:tcPr>
            <w:tcW w:w="1334" w:type="dxa"/>
          </w:tcPr>
          <w:p w14:paraId="1BC001AB">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违约处置</w:t>
            </w:r>
          </w:p>
        </w:tc>
        <w:tc>
          <w:tcPr>
            <w:tcW w:w="6545" w:type="dxa"/>
          </w:tcPr>
          <w:p w14:paraId="300CBC96">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1.未按约定工期推进工作，逾期按政府采购及合同约定承担违约责任；</w:t>
            </w:r>
          </w:p>
          <w:p w14:paraId="73AB9A8F">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2.成果多次整改仍不能达到验收标准，采购人有权扣减款项、终止合同；</w:t>
            </w:r>
          </w:p>
          <w:p w14:paraId="19555883">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3.发生数据泄露、农户信息外泄，采购人有权终止合同并追究赔偿责任。</w:t>
            </w:r>
          </w:p>
        </w:tc>
      </w:tr>
      <w:tr w14:paraId="7A9B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14:paraId="51E78584">
            <w:pPr>
              <w:spacing w:before="20" w:after="20" w:line="360" w:lineRule="auto"/>
              <w:jc w:val="center"/>
              <w:rPr>
                <w:rFonts w:hint="eastAsia" w:ascii="宋体" w:hAnsi="宋体" w:eastAsia="宋体" w:cs="宋体"/>
                <w:color w:val="auto"/>
                <w:sz w:val="24"/>
                <w:szCs w:val="24"/>
              </w:rPr>
            </w:pPr>
          </w:p>
        </w:tc>
        <w:tc>
          <w:tcPr>
            <w:tcW w:w="760" w:type="dxa"/>
          </w:tcPr>
          <w:p w14:paraId="39FA0992">
            <w:pPr>
              <w:spacing w:before="20" w:after="20" w:line="360" w:lineRule="auto"/>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9</w:t>
            </w:r>
          </w:p>
        </w:tc>
        <w:tc>
          <w:tcPr>
            <w:tcW w:w="1334" w:type="dxa"/>
          </w:tcPr>
          <w:p w14:paraId="484E001A">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采购包</w:t>
            </w:r>
            <w:r>
              <w:rPr>
                <w:rFonts w:hint="eastAsia" w:ascii="宋体" w:hAnsi="宋体" w:eastAsia="宋体" w:cs="宋体"/>
                <w:color w:val="auto"/>
                <w:sz w:val="24"/>
                <w:szCs w:val="24"/>
              </w:rPr>
              <w:t>之间工作协同要求</w:t>
            </w:r>
          </w:p>
        </w:tc>
        <w:tc>
          <w:tcPr>
            <w:tcW w:w="6545" w:type="dxa"/>
          </w:tcPr>
          <w:p w14:paraId="7366CC05">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采购包1</w:t>
            </w:r>
            <w:r>
              <w:rPr>
                <w:rFonts w:hint="eastAsia" w:ascii="宋体" w:hAnsi="宋体" w:eastAsia="宋体" w:cs="宋体"/>
                <w:color w:val="auto"/>
                <w:sz w:val="24"/>
                <w:szCs w:val="24"/>
              </w:rPr>
              <w:t>作为全县技术总牵头方，有义务及时向</w:t>
            </w:r>
            <w:r>
              <w:rPr>
                <w:rFonts w:hint="eastAsia" w:ascii="宋体" w:hAnsi="宋体" w:eastAsia="宋体" w:cs="宋体"/>
                <w:color w:val="auto"/>
                <w:sz w:val="24"/>
                <w:szCs w:val="24"/>
                <w:lang w:eastAsia="zh-CN"/>
              </w:rPr>
              <w:t>采购包2</w:t>
            </w:r>
            <w:r>
              <w:rPr>
                <w:rFonts w:hint="eastAsia" w:ascii="宋体" w:hAnsi="宋体" w:eastAsia="宋体" w:cs="宋体"/>
                <w:color w:val="auto"/>
                <w:sz w:val="24"/>
                <w:szCs w:val="24"/>
              </w:rPr>
              <w:t>提供统一模板、技术指引，及时响应</w:t>
            </w:r>
            <w:r>
              <w:rPr>
                <w:rFonts w:hint="eastAsia" w:ascii="宋体" w:hAnsi="宋体" w:eastAsia="宋体" w:cs="宋体"/>
                <w:color w:val="auto"/>
                <w:sz w:val="24"/>
                <w:szCs w:val="24"/>
                <w:lang w:eastAsia="zh-CN"/>
              </w:rPr>
              <w:t>采购包2</w:t>
            </w:r>
            <w:r>
              <w:rPr>
                <w:rFonts w:hint="eastAsia" w:ascii="宋体" w:hAnsi="宋体" w:eastAsia="宋体" w:cs="宋体"/>
                <w:color w:val="auto"/>
                <w:sz w:val="24"/>
                <w:szCs w:val="24"/>
              </w:rPr>
              <w:t>提出的技术咨询；</w:t>
            </w:r>
            <w:r>
              <w:rPr>
                <w:rFonts w:hint="eastAsia" w:ascii="宋体" w:hAnsi="宋体" w:eastAsia="宋体" w:cs="宋体"/>
                <w:color w:val="auto"/>
                <w:sz w:val="24"/>
                <w:szCs w:val="24"/>
                <w:lang w:eastAsia="zh-CN"/>
              </w:rPr>
              <w:t>采购包2</w:t>
            </w:r>
            <w:r>
              <w:rPr>
                <w:rFonts w:hint="eastAsia" w:ascii="宋体" w:hAnsi="宋体" w:eastAsia="宋体" w:cs="宋体"/>
                <w:color w:val="auto"/>
                <w:sz w:val="24"/>
                <w:szCs w:val="24"/>
              </w:rPr>
              <w:t>须严格执行</w:t>
            </w:r>
            <w:r>
              <w:rPr>
                <w:rFonts w:hint="eastAsia" w:ascii="宋体" w:hAnsi="宋体" w:eastAsia="宋体" w:cs="宋体"/>
                <w:color w:val="auto"/>
                <w:sz w:val="24"/>
                <w:szCs w:val="24"/>
                <w:lang w:eastAsia="zh-CN"/>
              </w:rPr>
              <w:t>采购包1</w:t>
            </w:r>
            <w:r>
              <w:rPr>
                <w:rFonts w:hint="eastAsia" w:ascii="宋体" w:hAnsi="宋体" w:eastAsia="宋体" w:cs="宋体"/>
                <w:color w:val="auto"/>
                <w:sz w:val="24"/>
                <w:szCs w:val="24"/>
              </w:rPr>
              <w:t>发布的全县统一技术标准、作业模板，按牵头方要求完成整改，按时报送周报月报及各类成果。</w:t>
            </w:r>
          </w:p>
          <w:p w14:paraId="49ADCF35">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采购包1</w:t>
            </w:r>
            <w:r>
              <w:rPr>
                <w:rFonts w:hint="eastAsia" w:ascii="宋体" w:hAnsi="宋体" w:eastAsia="宋体" w:cs="宋体"/>
                <w:color w:val="auto"/>
                <w:sz w:val="24"/>
                <w:szCs w:val="24"/>
              </w:rPr>
              <w:t>不得干预</w:t>
            </w:r>
            <w:r>
              <w:rPr>
                <w:rFonts w:hint="eastAsia" w:ascii="宋体" w:hAnsi="宋体" w:eastAsia="宋体" w:cs="宋体"/>
                <w:color w:val="auto"/>
                <w:sz w:val="24"/>
                <w:szCs w:val="24"/>
                <w:lang w:eastAsia="zh-CN"/>
              </w:rPr>
              <w:t>采购包2</w:t>
            </w:r>
            <w:r>
              <w:rPr>
                <w:rFonts w:hint="eastAsia" w:ascii="宋体" w:hAnsi="宋体" w:eastAsia="宋体" w:cs="宋体"/>
                <w:color w:val="auto"/>
                <w:sz w:val="24"/>
                <w:szCs w:val="24"/>
              </w:rPr>
              <w:t>内部人员组织、项目内部管理，仅做技术标准、质量、成果统筹。</w:t>
            </w:r>
          </w:p>
          <w:p w14:paraId="2BF2F39B">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3.因</w:t>
            </w:r>
            <w:r>
              <w:rPr>
                <w:rFonts w:hint="eastAsia" w:ascii="宋体" w:hAnsi="宋体" w:eastAsia="宋体" w:cs="宋体"/>
                <w:color w:val="auto"/>
                <w:sz w:val="24"/>
                <w:szCs w:val="24"/>
                <w:lang w:eastAsia="zh-CN"/>
              </w:rPr>
              <w:t>采购包1</w:t>
            </w:r>
            <w:r>
              <w:rPr>
                <w:rFonts w:hint="eastAsia" w:ascii="宋体" w:hAnsi="宋体" w:eastAsia="宋体" w:cs="宋体"/>
                <w:color w:val="auto"/>
                <w:sz w:val="24"/>
                <w:szCs w:val="24"/>
              </w:rPr>
              <w:t>牵头统筹履职不到位，造成全县整体质量、进度问题，由</w:t>
            </w:r>
            <w:r>
              <w:rPr>
                <w:rFonts w:hint="eastAsia" w:ascii="宋体" w:hAnsi="宋体" w:eastAsia="宋体" w:cs="宋体"/>
                <w:color w:val="auto"/>
                <w:sz w:val="24"/>
                <w:szCs w:val="24"/>
                <w:lang w:eastAsia="zh-CN"/>
              </w:rPr>
              <w:t>采购包1</w:t>
            </w:r>
            <w:r>
              <w:rPr>
                <w:rFonts w:hint="eastAsia" w:ascii="宋体" w:hAnsi="宋体" w:eastAsia="宋体" w:cs="宋体"/>
                <w:color w:val="auto"/>
                <w:sz w:val="24"/>
                <w:szCs w:val="24"/>
              </w:rPr>
              <w:t>向采购人承担违约责任；因</w:t>
            </w:r>
            <w:r>
              <w:rPr>
                <w:rFonts w:hint="eastAsia" w:ascii="宋体" w:hAnsi="宋体" w:eastAsia="宋体" w:cs="宋体"/>
                <w:color w:val="auto"/>
                <w:sz w:val="24"/>
                <w:szCs w:val="24"/>
                <w:lang w:eastAsia="zh-CN"/>
              </w:rPr>
              <w:t>采购包2</w:t>
            </w:r>
            <w:r>
              <w:rPr>
                <w:rFonts w:hint="eastAsia" w:ascii="宋体" w:hAnsi="宋体" w:eastAsia="宋体" w:cs="宋体"/>
                <w:color w:val="auto"/>
                <w:sz w:val="24"/>
                <w:szCs w:val="24"/>
              </w:rPr>
              <w:t>不落实统一技术标准、不按期完成属地工作产生质量、进度问题，由</w:t>
            </w:r>
            <w:r>
              <w:rPr>
                <w:rFonts w:hint="eastAsia" w:ascii="宋体" w:hAnsi="宋体" w:eastAsia="宋体" w:cs="宋体"/>
                <w:color w:val="auto"/>
                <w:sz w:val="24"/>
                <w:szCs w:val="24"/>
                <w:lang w:eastAsia="zh-CN"/>
              </w:rPr>
              <w:t>采购包2</w:t>
            </w:r>
            <w:r>
              <w:rPr>
                <w:rFonts w:hint="eastAsia" w:ascii="宋体" w:hAnsi="宋体" w:eastAsia="宋体" w:cs="宋体"/>
                <w:color w:val="auto"/>
                <w:sz w:val="24"/>
                <w:szCs w:val="24"/>
              </w:rPr>
              <w:t>向采购人承担违约责任。</w:t>
            </w:r>
          </w:p>
          <w:p w14:paraId="22784280">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4.原有违约处置条款保留，泄密、工期延误、成果不合格追责分别对应各包组。</w:t>
            </w:r>
          </w:p>
        </w:tc>
      </w:tr>
      <w:tr w14:paraId="48B5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14:paraId="487B15AE">
            <w:pPr>
              <w:spacing w:before="20" w:after="20" w:line="360" w:lineRule="auto"/>
              <w:jc w:val="center"/>
              <w:rPr>
                <w:rFonts w:hint="eastAsia" w:ascii="宋体" w:hAnsi="宋体" w:eastAsia="宋体" w:cs="宋体"/>
                <w:color w:val="auto"/>
                <w:sz w:val="24"/>
                <w:szCs w:val="24"/>
              </w:rPr>
            </w:pPr>
          </w:p>
        </w:tc>
        <w:tc>
          <w:tcPr>
            <w:tcW w:w="760" w:type="dxa"/>
          </w:tcPr>
          <w:p w14:paraId="34FBA0A2">
            <w:pPr>
              <w:spacing w:before="20" w:after="20" w:line="360" w:lineRule="auto"/>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10</w:t>
            </w:r>
          </w:p>
        </w:tc>
        <w:tc>
          <w:tcPr>
            <w:tcW w:w="1334" w:type="dxa"/>
          </w:tcPr>
          <w:p w14:paraId="344E3A53">
            <w:pPr>
              <w:spacing w:before="20" w:after="20"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项目人员配置要求</w:t>
            </w:r>
          </w:p>
        </w:tc>
        <w:tc>
          <w:tcPr>
            <w:tcW w:w="6545" w:type="dxa"/>
          </w:tcPr>
          <w:p w14:paraId="382042F7">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人须配置固定项目团队，明确项目负责人、技术负责人、内业建库、档案整理、外业调查人员、无人机操作员；项目负责人、技术负责人不得擅自更换，确需更换须经采购人书面同意，更换人员资质不得低于原人员。项目实施期间按采购人要求常驻片区开展工作，定期报送周报、月报工作进展。</w:t>
            </w:r>
          </w:p>
        </w:tc>
      </w:tr>
      <w:tr w14:paraId="26185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14:paraId="03CB25D3">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说明</w:t>
            </w:r>
          </w:p>
        </w:tc>
        <w:tc>
          <w:tcPr>
            <w:tcW w:w="8639" w:type="dxa"/>
            <w:gridSpan w:val="3"/>
          </w:tcPr>
          <w:p w14:paraId="2376D3D7">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打“★”号条款为实质性条款，若有任何一条负偏离或不满足则导致投标（响应）无效。</w:t>
            </w:r>
          </w:p>
          <w:p w14:paraId="20A99DD3">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打“▲”号条款为重要参数（如有），若有部分“▲”条款未响应或不满足，将根据评审要求影响其得分，但不作为无效投标（响应）条款。</w:t>
            </w:r>
          </w:p>
        </w:tc>
      </w:tr>
    </w:tbl>
    <w:p w14:paraId="0F9DB077">
      <w:pPr>
        <w:spacing w:after="160" w:line="360" w:lineRule="auto"/>
        <w:rPr>
          <w:rFonts w:hint="eastAsia" w:ascii="宋体" w:hAnsi="宋体" w:eastAsia="宋体" w:cs="宋体"/>
          <w:color w:val="auto"/>
          <w:sz w:val="24"/>
          <w:szCs w:val="24"/>
        </w:rPr>
      </w:pPr>
      <w:r>
        <w:rPr>
          <w:rFonts w:hint="eastAsia" w:ascii="宋体" w:hAnsi="宋体" w:eastAsia="宋体" w:cs="宋体"/>
          <w:b/>
          <w:color w:val="auto"/>
          <w:sz w:val="24"/>
          <w:szCs w:val="24"/>
        </w:rPr>
        <w:t>2.技术标准与要求</w:t>
      </w:r>
    </w:p>
    <w:tbl>
      <w:tblPr>
        <w:tblStyle w:val="35"/>
        <w:tblW w:w="9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
        <w:gridCol w:w="742"/>
        <w:gridCol w:w="1754"/>
        <w:gridCol w:w="446"/>
        <w:gridCol w:w="781"/>
        <w:gridCol w:w="1783"/>
        <w:gridCol w:w="1668"/>
        <w:gridCol w:w="996"/>
        <w:gridCol w:w="842"/>
      </w:tblGrid>
      <w:tr w14:paraId="7B065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08" w:type="dxa"/>
          </w:tcPr>
          <w:p w14:paraId="2F877EED">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序号</w:t>
            </w:r>
          </w:p>
        </w:tc>
        <w:tc>
          <w:tcPr>
            <w:tcW w:w="742" w:type="dxa"/>
          </w:tcPr>
          <w:p w14:paraId="7C1D1EB0">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品目名称</w:t>
            </w:r>
          </w:p>
        </w:tc>
        <w:tc>
          <w:tcPr>
            <w:tcW w:w="1754" w:type="dxa"/>
          </w:tcPr>
          <w:p w14:paraId="042F48EB">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标的名称</w:t>
            </w:r>
          </w:p>
        </w:tc>
        <w:tc>
          <w:tcPr>
            <w:tcW w:w="446" w:type="dxa"/>
          </w:tcPr>
          <w:p w14:paraId="250CFFF8">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单位</w:t>
            </w:r>
          </w:p>
        </w:tc>
        <w:tc>
          <w:tcPr>
            <w:tcW w:w="781" w:type="dxa"/>
          </w:tcPr>
          <w:p w14:paraId="7EC48117">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数量</w:t>
            </w:r>
          </w:p>
        </w:tc>
        <w:tc>
          <w:tcPr>
            <w:tcW w:w="1783" w:type="dxa"/>
          </w:tcPr>
          <w:p w14:paraId="539951CE">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分项预算单价（元）</w:t>
            </w:r>
          </w:p>
        </w:tc>
        <w:tc>
          <w:tcPr>
            <w:tcW w:w="1668" w:type="dxa"/>
          </w:tcPr>
          <w:p w14:paraId="3BE42ED1">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分项预算总价（元）</w:t>
            </w:r>
          </w:p>
        </w:tc>
        <w:tc>
          <w:tcPr>
            <w:tcW w:w="996" w:type="dxa"/>
          </w:tcPr>
          <w:p w14:paraId="3BE4DFBE">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所属行业</w:t>
            </w:r>
          </w:p>
        </w:tc>
        <w:tc>
          <w:tcPr>
            <w:tcW w:w="842" w:type="dxa"/>
          </w:tcPr>
          <w:p w14:paraId="5668515E">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技术要求</w:t>
            </w:r>
          </w:p>
        </w:tc>
      </w:tr>
      <w:tr w14:paraId="140FE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5" w:hRule="atLeast"/>
          <w:jc w:val="center"/>
        </w:trPr>
        <w:tc>
          <w:tcPr>
            <w:tcW w:w="508" w:type="dxa"/>
          </w:tcPr>
          <w:p w14:paraId="3D864EF4">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742" w:type="dxa"/>
          </w:tcPr>
          <w:p w14:paraId="648FC4D3">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测绘服务</w:t>
            </w:r>
          </w:p>
        </w:tc>
        <w:tc>
          <w:tcPr>
            <w:tcW w:w="1754" w:type="dxa"/>
          </w:tcPr>
          <w:p w14:paraId="7A7EB8DA">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仁化县第二轮土地承包到期后再延长30年试点技术服务（属地实施+全县技术总牵头）</w:t>
            </w:r>
          </w:p>
        </w:tc>
        <w:tc>
          <w:tcPr>
            <w:tcW w:w="446" w:type="dxa"/>
          </w:tcPr>
          <w:p w14:paraId="6A867A1B">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项</w:t>
            </w:r>
          </w:p>
        </w:tc>
        <w:tc>
          <w:tcPr>
            <w:tcW w:w="781" w:type="dxa"/>
          </w:tcPr>
          <w:p w14:paraId="440741D7">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1.00</w:t>
            </w:r>
          </w:p>
        </w:tc>
        <w:tc>
          <w:tcPr>
            <w:tcW w:w="1783" w:type="dxa"/>
          </w:tcPr>
          <w:p w14:paraId="65759B63">
            <w:pPr>
              <w:spacing w:before="20" w:after="20" w:line="360" w:lineRule="auto"/>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4,436,024.81</w:t>
            </w:r>
          </w:p>
        </w:tc>
        <w:tc>
          <w:tcPr>
            <w:tcW w:w="1668" w:type="dxa"/>
          </w:tcPr>
          <w:p w14:paraId="6BD70D56">
            <w:pPr>
              <w:spacing w:before="20" w:after="20" w:line="360" w:lineRule="auto"/>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4,436,024.81</w:t>
            </w:r>
          </w:p>
        </w:tc>
        <w:tc>
          <w:tcPr>
            <w:tcW w:w="996" w:type="dxa"/>
          </w:tcPr>
          <w:p w14:paraId="34279D6B">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其他未列明行业</w:t>
            </w:r>
          </w:p>
        </w:tc>
        <w:tc>
          <w:tcPr>
            <w:tcW w:w="842" w:type="dxa"/>
          </w:tcPr>
          <w:p w14:paraId="6ECEF167">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详见附表一</w:t>
            </w:r>
          </w:p>
        </w:tc>
      </w:tr>
    </w:tbl>
    <w:p w14:paraId="42026C9D">
      <w:pPr>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附表一：</w:t>
      </w:r>
      <w:r>
        <w:rPr>
          <w:rFonts w:hint="eastAsia" w:ascii="宋体" w:hAnsi="宋体" w:eastAsia="宋体" w:cs="宋体"/>
          <w:b/>
          <w:color w:val="auto"/>
          <w:sz w:val="24"/>
          <w:szCs w:val="24"/>
          <w:lang w:eastAsia="zh-CN"/>
        </w:rPr>
        <w:t>仁化县第二轮土地承包到期后再延长30年试点技术服务（属地实施+全县技术总牵头）</w:t>
      </w:r>
    </w:p>
    <w:tbl>
      <w:tblPr>
        <w:tblStyle w:val="35"/>
        <w:tblW w:w="94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6"/>
        <w:gridCol w:w="784"/>
        <w:gridCol w:w="7481"/>
      </w:tblGrid>
      <w:tr w14:paraId="3287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206" w:type="dxa"/>
          </w:tcPr>
          <w:p w14:paraId="720D954E">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参数性质</w:t>
            </w:r>
          </w:p>
        </w:tc>
        <w:tc>
          <w:tcPr>
            <w:tcW w:w="784" w:type="dxa"/>
          </w:tcPr>
          <w:p w14:paraId="0E25BC1D">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序号</w:t>
            </w:r>
          </w:p>
        </w:tc>
        <w:tc>
          <w:tcPr>
            <w:tcW w:w="7481" w:type="dxa"/>
          </w:tcPr>
          <w:p w14:paraId="58AE51DE">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具体技术(参数)要求</w:t>
            </w:r>
          </w:p>
        </w:tc>
      </w:tr>
      <w:tr w14:paraId="1205B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6" w:type="dxa"/>
          </w:tcPr>
          <w:p w14:paraId="1460F333">
            <w:pPr>
              <w:spacing w:before="20" w:after="20" w:line="360" w:lineRule="auto"/>
              <w:jc w:val="center"/>
              <w:rPr>
                <w:rFonts w:hint="eastAsia" w:ascii="宋体" w:hAnsi="宋体" w:eastAsia="宋体" w:cs="宋体"/>
                <w:color w:val="auto"/>
                <w:sz w:val="24"/>
                <w:szCs w:val="24"/>
              </w:rPr>
            </w:pPr>
          </w:p>
        </w:tc>
        <w:tc>
          <w:tcPr>
            <w:tcW w:w="784" w:type="dxa"/>
          </w:tcPr>
          <w:p w14:paraId="665E9B08">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7481" w:type="dxa"/>
          </w:tcPr>
          <w:p w14:paraId="566E61E3">
            <w:pPr>
              <w:spacing w:after="40"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一、采购项目需实现的功能和目标：</w:t>
            </w:r>
          </w:p>
          <w:p w14:paraId="63AE3574">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rPr>
              <w:t>根据《中华人民共和国农村土地承包法》《中华人民共和国民法典》等法律法规，按照《中共中央 国务院关于保持土地承包关系稳定并长久不变的意见》、《第二轮土地承包到期后再延长30年试点工作规程（试行）》（农办政改〔2023〕7号）、2026年3月中办国办印发《关于做好第二轮土地承包到期后再延长30年试点工作的意见》等文件要求，为稳妥推进仁化县第二轮农村土地承包到期后再延长30年试点工作，确保农村土地承包关系稳定并长久不变，巩固完善农村基本经营制度，充分保障农民土地承包权益，提升农村二轮延包成果应用，为广大农户提供信息化便利化服务，组织开展仁化县第二轮土地承包到期后再延长30年工作。</w:t>
            </w:r>
          </w:p>
          <w:p w14:paraId="2D4583E0">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rPr>
              <w:t>总体目标：以现有登记成果为基底，坚持“大稳定、小调整”原则，在</w:t>
            </w:r>
            <w:r>
              <w:rPr>
                <w:rFonts w:hint="eastAsia" w:ascii="宋体" w:hAnsi="宋体" w:eastAsia="宋体" w:cs="宋体"/>
                <w:color w:val="auto"/>
                <w:sz w:val="24"/>
                <w:szCs w:val="24"/>
                <w:lang w:eastAsia="zh-CN"/>
              </w:rPr>
              <w:t>2028</w:t>
            </w:r>
            <w:r>
              <w:rPr>
                <w:rFonts w:hint="eastAsia" w:ascii="宋体" w:hAnsi="宋体" w:eastAsia="宋体" w:cs="宋体"/>
                <w:color w:val="auto"/>
                <w:sz w:val="24"/>
                <w:szCs w:val="24"/>
              </w:rPr>
              <w:t>年</w:t>
            </w:r>
            <w:r>
              <w:rPr>
                <w:rFonts w:hint="eastAsia" w:ascii="宋体" w:hAnsi="宋体" w:eastAsia="宋体" w:cs="宋体"/>
                <w:color w:val="auto"/>
                <w:sz w:val="24"/>
                <w:szCs w:val="24"/>
                <w:lang w:eastAsia="zh-CN"/>
              </w:rPr>
              <w:t>6</w:t>
            </w:r>
            <w:r>
              <w:rPr>
                <w:rFonts w:hint="eastAsia" w:ascii="宋体" w:hAnsi="宋体" w:eastAsia="宋体" w:cs="宋体"/>
                <w:color w:val="auto"/>
                <w:sz w:val="24"/>
                <w:szCs w:val="24"/>
              </w:rPr>
              <w:t>月</w:t>
            </w:r>
            <w:r>
              <w:rPr>
                <w:rFonts w:hint="eastAsia" w:ascii="宋体" w:hAnsi="宋体" w:eastAsia="宋体" w:cs="宋体"/>
                <w:color w:val="auto"/>
                <w:sz w:val="24"/>
                <w:szCs w:val="24"/>
                <w:lang w:eastAsia="zh-CN"/>
              </w:rPr>
              <w:t>30日</w:t>
            </w:r>
            <w:r>
              <w:rPr>
                <w:rFonts w:hint="eastAsia" w:ascii="宋体" w:hAnsi="宋体" w:eastAsia="宋体" w:cs="宋体"/>
                <w:color w:val="auto"/>
                <w:sz w:val="24"/>
                <w:szCs w:val="24"/>
              </w:rPr>
              <w:t>前全覆盖完成摸底调查、方案制定、核实调查、公示纠错、合同网签、数据库更新、档案整理、成果汇交、竣工验收全流程技术服务，建立标准统一、数据互通、档案完整的二轮延包成果体系，同步对接省级平台、不动产登记系统，满足农业农村部门验收标准。</w:t>
            </w:r>
          </w:p>
          <w:p w14:paraId="5EE0EEF5">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rPr>
              <w:t>服务范围：</w:t>
            </w:r>
          </w:p>
          <w:p w14:paraId="763C0AE3">
            <w:pPr>
              <w:spacing w:after="40"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（1）属地实施服务范围为：闻韶镇、扶溪镇、长江镇、大桥镇、周田镇、黄坑镇6个镇，确权亩数：131966.25亩，承包农户约19277户；</w:t>
            </w:r>
          </w:p>
          <w:p w14:paraId="787A9727">
            <w:pPr>
              <w:spacing w:after="40"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（2）全县技术总牵头范围为：仁化县11个镇（街）集体承包土地，涉及确权登记承包地总面积约259293亩，承包农户约36309户。</w:t>
            </w:r>
          </w:p>
        </w:tc>
      </w:tr>
      <w:tr w14:paraId="38A1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6" w:type="dxa"/>
          </w:tcPr>
          <w:p w14:paraId="00D308D9">
            <w:pPr>
              <w:spacing w:before="20" w:after="20" w:line="360" w:lineRule="auto"/>
              <w:jc w:val="center"/>
              <w:rPr>
                <w:rFonts w:hint="eastAsia" w:ascii="宋体" w:hAnsi="宋体" w:eastAsia="宋体" w:cs="宋体"/>
                <w:color w:val="auto"/>
                <w:sz w:val="24"/>
                <w:szCs w:val="24"/>
              </w:rPr>
            </w:pPr>
          </w:p>
        </w:tc>
        <w:tc>
          <w:tcPr>
            <w:tcW w:w="784" w:type="dxa"/>
          </w:tcPr>
          <w:p w14:paraId="3B071AD7">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7481" w:type="dxa"/>
          </w:tcPr>
          <w:p w14:paraId="1A9D71D1">
            <w:pPr>
              <w:spacing w:after="40"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二、主要功能与服务内容：</w:t>
            </w:r>
          </w:p>
          <w:p w14:paraId="25241759">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rPr>
              <w:t>根据《第二轮土地承包到期后再延长30年试点工作规程》及《农村土地承包经营权调查规程》（NY/T2537-2014）、《地籍调查规程》（GB/T42547-2023）等有关规定，本项目技术服务主要包括前期政策动员与业务培训、农户承包信息摸底调查、权属边界实测与纠错、承包方案编制辅助服务、公示公告组织配合、承包合同网签落地、成果数据建库与汇交、项目档案整理与数字化、权属纠纷调处技术支撑、不动产登记衔接配合等全部环节。本项目技术服务主要包括以下内容：</w:t>
            </w:r>
          </w:p>
          <w:p w14:paraId="74A0828D">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①宣传培训：按县、镇（街）、村社分层次召开第二轮土地承包到期后再延长30年工作宣传动员大会，部署推进延包工作。根据延包政策依据、延包原则和方式对农户加强宣传解释，充分调动群众参与的自觉性和主动性。围绕有关政策法规、操作规程，加强对镇（街）、村社延包小组成员开展业务培训。</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须输出培训课件、培训签到表、现场影像照片、宣传海报、宣传折页、宣传工作台账等全套宣传培训资料，并纳入归档成果。</w:t>
            </w:r>
          </w:p>
          <w:p w14:paraId="4CBD5787">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②摸底调查：利用农村土地承包经营权确权登记颁证成果、农村集体产权制度改革成果、二轮土地承包台账、根据收集资料制作的延包摸底调查图及集体经济组织成员清册等资料，对农村土地承包情况开展摸底核实调查。调查</w:t>
            </w:r>
            <w:r>
              <w:rPr>
                <w:rFonts w:hint="eastAsia" w:ascii="宋体" w:hAnsi="宋体" w:eastAsia="宋体" w:cs="宋体"/>
                <w:color w:val="auto"/>
                <w:sz w:val="24"/>
                <w:szCs w:val="24"/>
                <w:lang w:eastAsia="zh-CN"/>
              </w:rPr>
              <w:t>发包方分立</w:t>
            </w:r>
            <w:r>
              <w:rPr>
                <w:rFonts w:hint="eastAsia" w:ascii="宋体" w:hAnsi="宋体" w:eastAsia="宋体" w:cs="宋体"/>
                <w:color w:val="auto"/>
                <w:sz w:val="24"/>
                <w:szCs w:val="24"/>
              </w:rPr>
              <w:t>、合并及名称变更情况；摸清各承包户延包意愿；摸清承包农户分户合户、整户消亡、</w:t>
            </w:r>
            <w:r>
              <w:rPr>
                <w:rFonts w:hint="eastAsia" w:ascii="宋体" w:hAnsi="宋体" w:eastAsia="宋体" w:cs="宋体"/>
                <w:color w:val="auto"/>
                <w:sz w:val="24"/>
                <w:szCs w:val="24"/>
                <w:lang w:eastAsia="zh-CN"/>
              </w:rPr>
              <w:t>特困人员</w:t>
            </w:r>
            <w:r>
              <w:rPr>
                <w:rFonts w:hint="eastAsia" w:ascii="宋体" w:hAnsi="宋体" w:eastAsia="宋体" w:cs="宋体"/>
                <w:color w:val="auto"/>
                <w:sz w:val="24"/>
                <w:szCs w:val="24"/>
              </w:rPr>
              <w:t>死亡承包地收归集体公田、移民户以及整户无地等情况；摸清公务员、</w:t>
            </w:r>
            <w:r>
              <w:rPr>
                <w:rFonts w:hint="eastAsia" w:ascii="宋体" w:hAnsi="宋体" w:eastAsia="宋体" w:cs="宋体"/>
                <w:color w:val="auto"/>
                <w:sz w:val="24"/>
                <w:szCs w:val="24"/>
                <w:lang w:eastAsia="zh-CN"/>
              </w:rPr>
              <w:t>出嫁女</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入赘婿</w:t>
            </w:r>
            <w:r>
              <w:rPr>
                <w:rFonts w:hint="eastAsia" w:ascii="宋体" w:hAnsi="宋体" w:eastAsia="宋体" w:cs="宋体"/>
                <w:color w:val="auto"/>
                <w:sz w:val="24"/>
                <w:szCs w:val="24"/>
              </w:rPr>
              <w:t>等特殊人群的情况；摸清第二轮土地承包以来各承包户内成员增减和户代表变更情况；摸清因征收及国有土地减少的承包用地，自然灾害损毁的承包用地，农民建房占用的承包土地，林地界线压盖的承包土地以及其他建设用地使承包地块面积、四至发生变动等情况；摸清二轮土地承包登记地块错、漏情况；摸清农户间地块互换、转让、合并情况；摸清开荒地、机动地等情况，以及存在的纠纷矛盾和历史遗留问题，掌握集体可发包耕地面积的情况；摸清二轮土地承包整社未确权登记的确权延包意愿，及集体经济组织资格人员、承包户、集体承包地的情况等，并收集</w:t>
            </w:r>
            <w:r>
              <w:rPr>
                <w:rFonts w:hint="eastAsia" w:ascii="宋体" w:hAnsi="宋体" w:eastAsia="宋体" w:cs="宋体"/>
                <w:color w:val="auto"/>
                <w:sz w:val="24"/>
                <w:szCs w:val="24"/>
                <w:lang w:eastAsia="zh-CN"/>
              </w:rPr>
              <w:t>承包方代表身份证</w:t>
            </w:r>
            <w:r>
              <w:rPr>
                <w:rFonts w:hint="eastAsia" w:ascii="宋体" w:hAnsi="宋体" w:eastAsia="宋体" w:cs="宋体"/>
                <w:color w:val="auto"/>
                <w:sz w:val="24"/>
                <w:szCs w:val="24"/>
              </w:rPr>
              <w:t>、户口本复印件等资料。</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须建立摸底调查问题台账，对历史纠纷、疑难问题形成专项处置清单。</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对收集获取的农户身份证、户口本等个人敏感信息严格履行保密义务，遵守《中华人民共和国个人信息保护法》，严禁私自复制、外泄。</w:t>
            </w:r>
          </w:p>
          <w:p w14:paraId="16D3BD12">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③制定延包方案：按照有关政策要求，在摸底调查后对农户意愿及变更情况分类汇总的基础上，协助各</w:t>
            </w:r>
            <w:bookmarkStart w:id="0" w:name="OLE_LINK2"/>
            <w:r>
              <w:rPr>
                <w:rFonts w:hint="eastAsia" w:ascii="宋体" w:hAnsi="宋体" w:eastAsia="宋体" w:cs="宋体"/>
                <w:color w:val="auto"/>
                <w:sz w:val="24"/>
                <w:szCs w:val="24"/>
              </w:rPr>
              <w:t>镇</w:t>
            </w:r>
            <w:bookmarkEnd w:id="0"/>
            <w:r>
              <w:rPr>
                <w:rFonts w:hint="eastAsia" w:ascii="宋体" w:hAnsi="宋体" w:eastAsia="宋体" w:cs="宋体"/>
                <w:color w:val="auto"/>
                <w:sz w:val="24"/>
                <w:szCs w:val="24"/>
              </w:rPr>
              <w:t>（街）及村社因类施策制定各镇（街）及村社延包试点工作实施方案，做到一村一方案，明确重大特殊问题处置方法意见。实施方案在本集体经济组织范围内公示不少于15日，经本集体经济组织成员会议三分之二以上成员或者三分之二以上村民代表（有委托书）的同意，无异议后再按实施方案公开组织实施，并上报县镇人民政府备案。整社未确权登记的延包方案应按先确权登记后延包的流程制定。</w:t>
            </w:r>
          </w:p>
          <w:p w14:paraId="54092C03">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④核实调查：根据摸底调查图表数据、工作底图、农村土地承包经营权证书原件、</w:t>
            </w:r>
            <w:r>
              <w:rPr>
                <w:rFonts w:hint="eastAsia" w:ascii="宋体" w:hAnsi="宋体" w:eastAsia="宋体" w:cs="宋体"/>
                <w:color w:val="auto"/>
                <w:sz w:val="24"/>
                <w:szCs w:val="24"/>
                <w:lang w:eastAsia="zh-CN"/>
              </w:rPr>
              <w:t>承包方代表身份证</w:t>
            </w:r>
            <w:r>
              <w:rPr>
                <w:rFonts w:hint="eastAsia" w:ascii="宋体" w:hAnsi="宋体" w:eastAsia="宋体" w:cs="宋体"/>
                <w:color w:val="auto"/>
                <w:sz w:val="24"/>
                <w:szCs w:val="24"/>
              </w:rPr>
              <w:t>和户口本复印件、承包信息变更申请和已通过的村组延包工作实施方案，逐一进行入户实地调查或实地指界，对承包农户基本信息、承包土地面积、位置、四至等进行调查核实，个别山地特殊情况可规范使用无人机作业。核实承包权与集体成员资格不符的情况、家庭成员变化的情况；农户互换土地的情况；历史国有土地、建设征地的情况；公益建设占地、宅基地建房等建设用地的情况；承包地改变用途的情况；承包地受自然灾害损坏的情况；承包户漏登记地块；整户未确权登记的情况；消亡户及</w:t>
            </w:r>
            <w:r>
              <w:rPr>
                <w:rFonts w:hint="eastAsia" w:ascii="宋体" w:hAnsi="宋体" w:eastAsia="宋体" w:cs="宋体"/>
                <w:color w:val="auto"/>
                <w:sz w:val="24"/>
                <w:szCs w:val="24"/>
                <w:lang w:eastAsia="zh-CN"/>
              </w:rPr>
              <w:t>特困人员</w:t>
            </w:r>
            <w:r>
              <w:rPr>
                <w:rFonts w:hint="eastAsia" w:ascii="宋体" w:hAnsi="宋体" w:eastAsia="宋体" w:cs="宋体"/>
                <w:color w:val="auto"/>
                <w:sz w:val="24"/>
                <w:szCs w:val="24"/>
              </w:rPr>
              <w:t>去世土地承包的情况；因其他原因上轮放弃承包地的遗留问题；分户、合户的情况；进城农户土地延包的情况；妇女权益保障的情况；多源国土数据叠加冲突排查专项：负责</w:t>
            </w:r>
            <w:r>
              <w:rPr>
                <w:rFonts w:hint="eastAsia" w:ascii="宋体" w:hAnsi="宋体" w:eastAsia="宋体" w:cs="宋体"/>
                <w:color w:val="auto"/>
                <w:sz w:val="24"/>
                <w:szCs w:val="24"/>
                <w:lang w:eastAsia="zh-CN"/>
              </w:rPr>
              <w:t>配合自然资源部门</w:t>
            </w:r>
            <w:r>
              <w:rPr>
                <w:rFonts w:hint="eastAsia" w:ascii="宋体" w:hAnsi="宋体" w:eastAsia="宋体" w:cs="宋体"/>
                <w:color w:val="auto"/>
                <w:sz w:val="24"/>
                <w:szCs w:val="24"/>
              </w:rPr>
              <w:t>完成承包地成果数据与集体土地所有权、林权、已登记建设用地、征地红线等自然资源存量数据的全量叠加比对，系统排查权属边界冲突地块，形成分类冲突台账，标注冲突类型、涉及农户范围，提前梳理发证风险点。到期无法收回承包地情况；上轮整社未确权登记延包的情况及承包地权属争议的情况等。</w:t>
            </w:r>
          </w:p>
          <w:p w14:paraId="7EEA4C13">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⑤审核公示：根据二轮确权登记成果和核实调查成果对二轮土地承包基础信息进行调整和修正，并制作公示图和公示表。村社延包工作实施小组对《公示图》《公示表》《公示公告》及有资格参与延包的成员名单公示表进行审核加盖公章，由工作人员到村务公开栏进行张贴，进行第一轮公示，并拍照存档，公示期不少于15天。公示时间按自然日计算。公示期间如有异议的，农户需向所属延包工作小组提出，由延包工作小组统一收集相关异议问题，</w:t>
            </w:r>
            <w:r>
              <w:rPr>
                <w:rFonts w:hint="eastAsia" w:ascii="宋体" w:hAnsi="宋体" w:eastAsia="宋体" w:cs="宋体"/>
                <w:color w:val="auto"/>
                <w:sz w:val="24"/>
                <w:szCs w:val="24"/>
                <w:lang w:eastAsia="zh-CN"/>
              </w:rPr>
              <w:t>由延包工作小组及中标人针对</w:t>
            </w:r>
            <w:r>
              <w:rPr>
                <w:rFonts w:hint="eastAsia" w:ascii="宋体" w:hAnsi="宋体" w:eastAsia="宋体" w:cs="宋体"/>
                <w:color w:val="auto"/>
                <w:sz w:val="24"/>
                <w:szCs w:val="24"/>
              </w:rPr>
              <w:t>有异议的问题与农户逐一核实、修正，经核实修正后重新制作《二次公示图》《二次公示表》《公示公告》进行二次公示。公示结果无异议后，由承包户代表在相关公示图表和《公示无异议书》上签字确认。</w:t>
            </w:r>
          </w:p>
          <w:p w14:paraId="7D755EB3">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⑥签约颁证：公示无异议后，根据公示结果，明确二轮承包到期后延包的土地承包关系，更新后农村土地承包经营权数据库，按照《农村土地承包合同示范文本》要求，输出土地延包合同，并按要求组织发包方与</w:t>
            </w:r>
            <w:r>
              <w:rPr>
                <w:rFonts w:hint="eastAsia" w:ascii="宋体" w:hAnsi="宋体" w:eastAsia="宋体" w:cs="宋体"/>
                <w:color w:val="auto"/>
                <w:sz w:val="24"/>
                <w:szCs w:val="24"/>
                <w:lang w:eastAsia="zh-CN"/>
              </w:rPr>
              <w:t>承包方代表</w:t>
            </w:r>
            <w:bookmarkStart w:id="1" w:name="OLE_LINK5"/>
            <w:r>
              <w:rPr>
                <w:rFonts w:hint="eastAsia" w:ascii="宋体" w:hAnsi="宋体" w:eastAsia="宋体" w:cs="宋体"/>
                <w:color w:val="auto"/>
                <w:sz w:val="24"/>
                <w:szCs w:val="24"/>
              </w:rPr>
              <w:t>签订承包合同</w:t>
            </w:r>
            <w:bookmarkEnd w:id="1"/>
            <w:r>
              <w:rPr>
                <w:rFonts w:hint="eastAsia" w:ascii="宋体" w:hAnsi="宋体" w:eastAsia="宋体" w:cs="宋体"/>
                <w:color w:val="auto"/>
                <w:sz w:val="24"/>
                <w:szCs w:val="24"/>
              </w:rPr>
              <w:t>，形成延包法律文书。合同签订采用线下和线上网签相结合模式，须支持农户微信扫码远程核实承包地信息、土地延包合同线上网签全流程功能，切实解决农户外出务工无法现场办理土地延包手续、人员成本高、办事效率低等问题。将二轮延包成果数据库移交自然资源部门，配合自然资源部门开展不动产登记相关技术对接，</w:t>
            </w:r>
            <w:r>
              <w:rPr>
                <w:rFonts w:hint="eastAsia"/>
                <w:color w:val="auto"/>
                <w:sz w:val="24"/>
                <w:szCs w:val="24"/>
              </w:rPr>
              <w:t>配合不动产登记主管部门完成数据核验、问题整改、成果汇交等全环节工作，保障承包合同签订与不动产登记发证同步推进、无缝衔接。</w:t>
            </w:r>
            <w:r>
              <w:rPr>
                <w:rFonts w:hint="eastAsia" w:ascii="宋体" w:hAnsi="宋体" w:eastAsia="宋体" w:cs="宋体"/>
                <w:color w:val="auto"/>
                <w:sz w:val="24"/>
                <w:szCs w:val="24"/>
              </w:rPr>
              <w:t>协助整理提交登记申请材料；不动产证书制证、颁发主体为自然资源部门。</w:t>
            </w:r>
          </w:p>
          <w:p w14:paraId="1ABEE527">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⑦归档建库：延包工作结束后，将延包试点工作过程中的图、表、合同书、委托书等相关实体资料和电子资料按档案整理要求进行归档整理，并按照规定统一将纸质档案扫描转为电子档案。</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按照仁化县国家档案馆接收标准完成档案整理、数字化加工，配合采购人完成向仁化县国家档案馆移交工作，按档案馆合理要求完成档案整改，验收合格后全部档案成果移交仁化县国家档案馆统一管理。对更新后农村土地承包经营权数据库数据进行制作国标版的成果汇交包，通过国家质检软件检查后汇交到省农业农村厅、国家农业农村部。因上级平台接口调整、版本升级需要修改汇交包的，</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须无偿完成适配调整。</w:t>
            </w:r>
          </w:p>
          <w:p w14:paraId="2869C0D7">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⑧总结验收：延包试点工作结束后，县、镇（街）、村总结延包工作的组织情况、主要做法经验和问题处置建议等，编制全套验收资料：项目技术总结报告、自检报告、质量检查记录、全套图件台账，配合成果验收，对验收提出的问题按采购人及上级验收单位规定时限完成无偿整改直至合格。各包组分别编制本包组总结验收资料并分别接受验收；包组一另承担全县整体自检、总验收技术统筹及验收汇编工作。</w:t>
            </w:r>
          </w:p>
          <w:p w14:paraId="7C17D05E">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rPr>
              <w:t>工作分工说明：本项目按包组分别实施、独立结算。工作内容包括本包组闻韶镇、扶溪镇、长江镇、大桥镇、周田镇、黄坑镇6个镇全套属地实施工作，以及覆盖全县11个镇街（含包组二范围）的技术总牵头统筹工作（全县技术标准总控、跨包组协同及过程质量管控、宣传培训档案成果总统筹、总自检与总验收技术服务统筹）。</w:t>
            </w:r>
          </w:p>
        </w:tc>
      </w:tr>
      <w:tr w14:paraId="5C13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6" w:type="dxa"/>
          </w:tcPr>
          <w:p w14:paraId="2C4F5E41">
            <w:pPr>
              <w:spacing w:before="20" w:after="20" w:line="360" w:lineRule="auto"/>
              <w:jc w:val="center"/>
              <w:rPr>
                <w:rFonts w:hint="eastAsia" w:ascii="宋体" w:hAnsi="宋体" w:eastAsia="宋体" w:cs="宋体"/>
                <w:color w:val="auto"/>
                <w:sz w:val="24"/>
                <w:szCs w:val="24"/>
              </w:rPr>
            </w:pPr>
          </w:p>
        </w:tc>
        <w:tc>
          <w:tcPr>
            <w:tcW w:w="784" w:type="dxa"/>
          </w:tcPr>
          <w:p w14:paraId="7BDFB0F0">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7481" w:type="dxa"/>
          </w:tcPr>
          <w:p w14:paraId="4F93D269">
            <w:pPr>
              <w:spacing w:after="40"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三、规范依据：</w:t>
            </w:r>
          </w:p>
          <w:p w14:paraId="74FBDD49">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一）法律法规：1.《中华人民共和国民法典》；2.《中华人民共和国农村土地承包法》；3.《中华人民共和国土地管理法》；4.《中华人民共和国电子签名法》；5.《中华人民共和国档案法》；6.《中华人民共和国农村集体经济组织法》；</w:t>
            </w:r>
            <w:r>
              <w:rPr>
                <w:rFonts w:hint="eastAsia" w:ascii="宋体" w:hAnsi="宋体" w:eastAsia="宋体" w:cs="宋体"/>
                <w:color w:val="auto"/>
                <w:sz w:val="24"/>
                <w:szCs w:val="24"/>
                <w:lang w:eastAsia="zh-CN"/>
              </w:rPr>
              <w:t>7</w:t>
            </w:r>
            <w:r>
              <w:rPr>
                <w:rFonts w:hint="eastAsia" w:ascii="宋体" w:hAnsi="宋体" w:eastAsia="宋体" w:cs="宋体"/>
                <w:color w:val="auto"/>
                <w:sz w:val="24"/>
                <w:szCs w:val="24"/>
              </w:rPr>
              <w:t>.《中华人民共和国个人信息保护法》；</w:t>
            </w:r>
            <w:r>
              <w:rPr>
                <w:rFonts w:hint="eastAsia" w:ascii="宋体" w:hAnsi="宋体" w:eastAsia="宋体" w:cs="宋体"/>
                <w:color w:val="auto"/>
                <w:sz w:val="24"/>
                <w:szCs w:val="24"/>
                <w:lang w:eastAsia="zh-CN"/>
              </w:rPr>
              <w:t>8</w:t>
            </w:r>
            <w:r>
              <w:rPr>
                <w:rFonts w:hint="eastAsia" w:ascii="宋体" w:hAnsi="宋体" w:eastAsia="宋体" w:cs="宋体"/>
                <w:color w:val="auto"/>
                <w:sz w:val="24"/>
                <w:szCs w:val="24"/>
              </w:rPr>
              <w:t>.农村土地承包经营权确权登记颁证相关的其他法律、行政法规。</w:t>
            </w:r>
          </w:p>
          <w:p w14:paraId="7D651CDF">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二）核心行业文件：1.《农业农村部办公厅、自然资源部办公厅、国家档案局办公室关于印发〈第二轮土地承包到期后再延长30年试点工作规程〉的通知》；2.《农业农村部、国家档案局关于印发〈第二轮土地承包到期后再延长30年试点工作档案管理办法〉的通知》（农政改发〔2025〕1号）；3.《广东省第二轮土地承包到期后再延长30年试点工作规程（试行）》；4.《农村土地承包合同管理办法》（农业农村部令2023年第1号）；5.《自然资源部关于印发土地承包经营权和土地经营权登记操作规范（试行）的通知》（自然资发〔2022〕198号）；6.《广东省第二轮土地承包到期后再延长30年试点工作方案》（粤农农〔2026〕118号）。</w:t>
            </w:r>
          </w:p>
          <w:p w14:paraId="2B1191D2">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（三）技术标准：1.《农村土地承包经营权调查规程》（NY/T 2537-2014）；2.《农村土地承包经营权要素编码规则》（GB/T 35958-2018）；3.《农村土地承包经营权确权登记数据库规范》（NY/T 2539-2016）；4.《地籍调查规程》（GB/T 42547-2023）；5.</w:t>
            </w:r>
            <w:bookmarkStart w:id="2" w:name="OLE_LINK6"/>
            <w:r>
              <w:rPr>
                <w:rFonts w:hint="eastAsia" w:ascii="宋体" w:hAnsi="宋体" w:eastAsia="宋体" w:cs="宋体"/>
                <w:color w:val="auto"/>
                <w:sz w:val="24"/>
                <w:szCs w:val="24"/>
              </w:rPr>
              <w:t>《北斗/全球卫星导航系统（GNSS）测量型接收机通用规范》（BD 420009—2015）</w:t>
            </w:r>
            <w:bookmarkEnd w:id="2"/>
            <w:r>
              <w:rPr>
                <w:rFonts w:hint="eastAsia" w:ascii="宋体" w:hAnsi="宋体" w:eastAsia="宋体" w:cs="宋体"/>
                <w:color w:val="auto"/>
                <w:sz w:val="24"/>
                <w:szCs w:val="24"/>
              </w:rPr>
              <w:t>；6.《测绘成果质量检查与验收》（GB/T 24356-2023）；7.《测绘技术总结编写规定》（CH/T 1001-2005）；8.《纸质档案数字化规范》（DA/T 31—2017）；9.《电子文件归档与管理规范》（GB/T 18894-2016）；10.省、市二轮延包专项技术规范、档案整理规范等其他相关技术文件要求。</w:t>
            </w:r>
          </w:p>
        </w:tc>
      </w:tr>
      <w:tr w14:paraId="062E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6" w:type="dxa"/>
          </w:tcPr>
          <w:p w14:paraId="0485F9CE">
            <w:pPr>
              <w:spacing w:before="20" w:after="20" w:line="360" w:lineRule="auto"/>
              <w:jc w:val="center"/>
              <w:rPr>
                <w:rFonts w:hint="eastAsia" w:ascii="宋体" w:hAnsi="宋体" w:eastAsia="宋体" w:cs="宋体"/>
                <w:color w:val="auto"/>
                <w:sz w:val="24"/>
                <w:szCs w:val="24"/>
              </w:rPr>
            </w:pPr>
          </w:p>
        </w:tc>
        <w:tc>
          <w:tcPr>
            <w:tcW w:w="784" w:type="dxa"/>
          </w:tcPr>
          <w:p w14:paraId="22CD02F8">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7481" w:type="dxa"/>
          </w:tcPr>
          <w:p w14:paraId="2DF7A13D">
            <w:pPr>
              <w:spacing w:after="40"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四、主要技术指标：</w:t>
            </w:r>
          </w:p>
          <w:p w14:paraId="0FF15D08">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（一）比例尺：土地承包经营权调查采用1:2000比例尺。</w:t>
            </w:r>
          </w:p>
          <w:p w14:paraId="398AB467">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（二）数学基础：</w:t>
            </w:r>
          </w:p>
          <w:p w14:paraId="1937AB9C">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rPr>
              <w:t>坐标系统：采用“2000国家大地坐标系统”；</w:t>
            </w:r>
          </w:p>
          <w:p w14:paraId="07BF517F">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rPr>
              <w:t>高程系统：采用“1985国家高程基准”；</w:t>
            </w:r>
          </w:p>
          <w:p w14:paraId="51A63619">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rPr>
              <w:t>投影方式：采用高斯克吕格投影。</w:t>
            </w:r>
          </w:p>
          <w:p w14:paraId="7076496D">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（三）精度指标：界址点测量精度按下列等级执行：</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1474"/>
              <w:gridCol w:w="1474"/>
              <w:gridCol w:w="1256"/>
              <w:gridCol w:w="2066"/>
            </w:tblGrid>
            <w:tr w14:paraId="14406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07" w:type="dxa"/>
                </w:tcPr>
                <w:p w14:paraId="04EBCD77">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精度等级</w:t>
                  </w:r>
                </w:p>
              </w:tc>
              <w:tc>
                <w:tcPr>
                  <w:tcW w:w="1474" w:type="dxa"/>
                </w:tcPr>
                <w:p w14:paraId="6536133D">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点位中误差（相对于邻近控制点）</w:t>
                  </w:r>
                </w:p>
              </w:tc>
              <w:tc>
                <w:tcPr>
                  <w:tcW w:w="1474" w:type="dxa"/>
                </w:tcPr>
                <w:p w14:paraId="668CF029">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相邻界址点间距中误差</w:t>
                  </w:r>
                </w:p>
              </w:tc>
              <w:tc>
                <w:tcPr>
                  <w:tcW w:w="1256" w:type="dxa"/>
                </w:tcPr>
                <w:p w14:paraId="47E64F67">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限差（最大允许误差）</w:t>
                  </w:r>
                </w:p>
              </w:tc>
              <w:tc>
                <w:tcPr>
                  <w:tcW w:w="2066" w:type="dxa"/>
                </w:tcPr>
                <w:p w14:paraId="6980FB95">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适用要求</w:t>
                  </w:r>
                </w:p>
              </w:tc>
            </w:tr>
            <w:tr w14:paraId="5ED0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7" w:type="dxa"/>
                </w:tcPr>
                <w:p w14:paraId="051B9DAF">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一级</w:t>
                  </w:r>
                </w:p>
              </w:tc>
              <w:tc>
                <w:tcPr>
                  <w:tcW w:w="1474" w:type="dxa"/>
                </w:tcPr>
                <w:p w14:paraId="0F7CE711">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±0.05m</w:t>
                  </w:r>
                </w:p>
              </w:tc>
              <w:tc>
                <w:tcPr>
                  <w:tcW w:w="1474" w:type="dxa"/>
                </w:tcPr>
                <w:p w14:paraId="45B93C42">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±0.05m</w:t>
                  </w:r>
                </w:p>
              </w:tc>
              <w:tc>
                <w:tcPr>
                  <w:tcW w:w="1256" w:type="dxa"/>
                </w:tcPr>
                <w:p w14:paraId="6E499BF2">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±0.10m</w:t>
                  </w:r>
                </w:p>
              </w:tc>
              <w:tc>
                <w:tcPr>
                  <w:tcW w:w="2066" w:type="dxa"/>
                </w:tcPr>
                <w:p w14:paraId="18F0894E">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高精度需求区域</w:t>
                  </w:r>
                </w:p>
              </w:tc>
            </w:tr>
            <w:tr w14:paraId="1A59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7" w:type="dxa"/>
                </w:tcPr>
                <w:p w14:paraId="72AF05C0">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二级</w:t>
                  </w:r>
                </w:p>
              </w:tc>
              <w:tc>
                <w:tcPr>
                  <w:tcW w:w="1474" w:type="dxa"/>
                </w:tcPr>
                <w:p w14:paraId="3F7C80A0">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±0.10m</w:t>
                  </w:r>
                </w:p>
              </w:tc>
              <w:tc>
                <w:tcPr>
                  <w:tcW w:w="1474" w:type="dxa"/>
                </w:tcPr>
                <w:p w14:paraId="265F46EE">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±0.10m</w:t>
                  </w:r>
                </w:p>
              </w:tc>
              <w:tc>
                <w:tcPr>
                  <w:tcW w:w="1256" w:type="dxa"/>
                </w:tcPr>
                <w:p w14:paraId="3030D2E8">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±0.20m</w:t>
                  </w:r>
                </w:p>
              </w:tc>
              <w:tc>
                <w:tcPr>
                  <w:tcW w:w="2066" w:type="dxa"/>
                </w:tcPr>
                <w:p w14:paraId="5C17DBD5">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平原、丘陵等一般地区最低要求</w:t>
                  </w:r>
                </w:p>
              </w:tc>
            </w:tr>
            <w:tr w14:paraId="2743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7" w:type="dxa"/>
                </w:tcPr>
                <w:p w14:paraId="6FFDDA24">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三级</w:t>
                  </w:r>
                </w:p>
              </w:tc>
              <w:tc>
                <w:tcPr>
                  <w:tcW w:w="1474" w:type="dxa"/>
                </w:tcPr>
                <w:p w14:paraId="78A69AF3">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±0.15m</w:t>
                  </w:r>
                </w:p>
              </w:tc>
              <w:tc>
                <w:tcPr>
                  <w:tcW w:w="1474" w:type="dxa"/>
                </w:tcPr>
                <w:p w14:paraId="2A93507E">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±0.15m</w:t>
                  </w:r>
                </w:p>
              </w:tc>
              <w:tc>
                <w:tcPr>
                  <w:tcW w:w="1256" w:type="dxa"/>
                </w:tcPr>
                <w:p w14:paraId="7083C11F">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±0.30m</w:t>
                  </w:r>
                </w:p>
              </w:tc>
              <w:tc>
                <w:tcPr>
                  <w:tcW w:w="2066" w:type="dxa"/>
                </w:tcPr>
                <w:p w14:paraId="0994A9D1">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山地、高山地、密林等特殊困难地区最低要求</w:t>
                  </w:r>
                </w:p>
              </w:tc>
            </w:tr>
          </w:tbl>
          <w:p w14:paraId="6083C105">
            <w:pPr>
              <w:spacing w:after="0" w:line="360" w:lineRule="auto"/>
              <w:rPr>
                <w:rFonts w:hint="eastAsia" w:ascii="宋体" w:hAnsi="宋体" w:eastAsia="宋体" w:cs="宋体"/>
                <w:color w:val="auto"/>
                <w:sz w:val="24"/>
                <w:szCs w:val="24"/>
              </w:rPr>
            </w:pPr>
          </w:p>
          <w:tbl>
            <w:tblPr>
              <w:tblStyle w:val="3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1"/>
              <w:gridCol w:w="2481"/>
              <w:gridCol w:w="2482"/>
            </w:tblGrid>
            <w:tr w14:paraId="384F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79" w:type="pct"/>
                </w:tcPr>
                <w:p w14:paraId="3990C0FF">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DOM比例尺</w:t>
                  </w:r>
                </w:p>
              </w:tc>
              <w:tc>
                <w:tcPr>
                  <w:tcW w:w="1710" w:type="pct"/>
                </w:tcPr>
                <w:p w14:paraId="0148CADC">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平原、丘陵地（米）</w:t>
                  </w:r>
                </w:p>
              </w:tc>
              <w:tc>
                <w:tcPr>
                  <w:tcW w:w="1710" w:type="pct"/>
                </w:tcPr>
                <w:p w14:paraId="609B13B1">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山地、高山地（米）</w:t>
                  </w:r>
                </w:p>
              </w:tc>
            </w:tr>
            <w:tr w14:paraId="663C2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79" w:type="pct"/>
                </w:tcPr>
                <w:p w14:paraId="54AB2A3D">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1∶500</w:t>
                  </w:r>
                </w:p>
              </w:tc>
              <w:tc>
                <w:tcPr>
                  <w:tcW w:w="1710" w:type="pct"/>
                </w:tcPr>
                <w:p w14:paraId="45804BD6">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±0.30</w:t>
                  </w:r>
                </w:p>
              </w:tc>
              <w:tc>
                <w:tcPr>
                  <w:tcW w:w="1710" w:type="pct"/>
                </w:tcPr>
                <w:p w14:paraId="65EA3D3D">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±0.40</w:t>
                  </w:r>
                </w:p>
              </w:tc>
            </w:tr>
            <w:tr w14:paraId="6027E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79" w:type="pct"/>
                </w:tcPr>
                <w:p w14:paraId="2CC7FBA4">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1∶1000</w:t>
                  </w:r>
                </w:p>
              </w:tc>
              <w:tc>
                <w:tcPr>
                  <w:tcW w:w="1710" w:type="pct"/>
                </w:tcPr>
                <w:p w14:paraId="0F0D7B01">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±0.60</w:t>
                  </w:r>
                </w:p>
              </w:tc>
              <w:tc>
                <w:tcPr>
                  <w:tcW w:w="1710" w:type="pct"/>
                </w:tcPr>
                <w:p w14:paraId="1334803A">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±0.80</w:t>
                  </w:r>
                </w:p>
              </w:tc>
            </w:tr>
            <w:tr w14:paraId="4CB1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79" w:type="pct"/>
                </w:tcPr>
                <w:p w14:paraId="74E22741">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1∶2000</w:t>
                  </w:r>
                </w:p>
              </w:tc>
              <w:tc>
                <w:tcPr>
                  <w:tcW w:w="1710" w:type="pct"/>
                </w:tcPr>
                <w:p w14:paraId="2308D87C">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±1.20</w:t>
                  </w:r>
                </w:p>
              </w:tc>
              <w:tc>
                <w:tcPr>
                  <w:tcW w:w="1710" w:type="pct"/>
                </w:tcPr>
                <w:p w14:paraId="2565C7DE">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±1.60</w:t>
                  </w:r>
                </w:p>
              </w:tc>
            </w:tr>
          </w:tbl>
          <w:p w14:paraId="4ACA2D5F">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（四）计量单位：长度单位采用米（m），面积单位采用平方米（㎡），统计汇总时面积单位采用公顷（hm²），并辅以亩为单位，均保留两位小数。</w:t>
            </w:r>
          </w:p>
          <w:p w14:paraId="493B6217">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（五）全流程作业严格执行农业农村部第二轮土地承包到期后再延长30年试点工作相关技术规范、最终交付成果数据须通过农业农村部农村承包地确权登记成果专用质检软件校验合格等要求。</w:t>
            </w:r>
          </w:p>
        </w:tc>
      </w:tr>
      <w:tr w14:paraId="1583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6" w:type="dxa"/>
          </w:tcPr>
          <w:p w14:paraId="4E2B35E4">
            <w:pPr>
              <w:spacing w:before="20" w:after="20" w:line="360" w:lineRule="auto"/>
              <w:jc w:val="center"/>
              <w:rPr>
                <w:rFonts w:hint="eastAsia" w:ascii="宋体" w:hAnsi="宋体" w:eastAsia="宋体" w:cs="宋体"/>
                <w:color w:val="auto"/>
                <w:sz w:val="24"/>
                <w:szCs w:val="24"/>
              </w:rPr>
            </w:pPr>
          </w:p>
        </w:tc>
        <w:tc>
          <w:tcPr>
            <w:tcW w:w="784" w:type="dxa"/>
          </w:tcPr>
          <w:p w14:paraId="6ABF4477">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7481" w:type="dxa"/>
          </w:tcPr>
          <w:p w14:paraId="46B284DD">
            <w:pPr>
              <w:spacing w:after="40"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五、工期要求：</w:t>
            </w:r>
          </w:p>
          <w:p w14:paraId="499FE0E2">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1.2028年6月30日</w:t>
            </w:r>
            <w:r>
              <w:rPr>
                <w:rFonts w:hint="eastAsia" w:ascii="宋体" w:hAnsi="宋体" w:eastAsia="宋体" w:cs="宋体"/>
                <w:color w:val="auto"/>
                <w:sz w:val="24"/>
                <w:szCs w:val="24"/>
              </w:rPr>
              <w:t>前完成全部项目建设内容（含摸底调查、方案制定、核实调查、公示纠错、合同网签、数据库更新、档案整理、成果汇交、竣工验收全流程技术服务），详细工期以上级相关要求为准。</w:t>
            </w: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rPr>
              <w:t>因政策调整、上级工作部署变化、村社群众不配合等非</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原因造成工期延误的，工期可相应顺延，该情形不视为</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违约。</w:t>
            </w:r>
          </w:p>
        </w:tc>
      </w:tr>
      <w:tr w14:paraId="774A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6" w:type="dxa"/>
          </w:tcPr>
          <w:p w14:paraId="64568666">
            <w:pPr>
              <w:spacing w:before="20" w:after="20" w:line="360" w:lineRule="auto"/>
              <w:jc w:val="center"/>
              <w:rPr>
                <w:rFonts w:hint="eastAsia" w:ascii="宋体" w:hAnsi="宋体" w:eastAsia="宋体" w:cs="宋体"/>
                <w:color w:val="auto"/>
                <w:sz w:val="24"/>
                <w:szCs w:val="24"/>
              </w:rPr>
            </w:pPr>
          </w:p>
        </w:tc>
        <w:tc>
          <w:tcPr>
            <w:tcW w:w="784" w:type="dxa"/>
          </w:tcPr>
          <w:p w14:paraId="666ED9CF">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7481" w:type="dxa"/>
          </w:tcPr>
          <w:p w14:paraId="45A6C379">
            <w:pPr>
              <w:spacing w:after="40"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六、</w:t>
            </w:r>
            <w:bookmarkStart w:id="3" w:name="OLE_LINK8"/>
            <w:r>
              <w:rPr>
                <w:rFonts w:hint="eastAsia" w:ascii="宋体" w:hAnsi="宋体" w:eastAsia="宋体" w:cs="宋体"/>
                <w:b/>
                <w:bCs/>
                <w:color w:val="auto"/>
                <w:sz w:val="24"/>
                <w:szCs w:val="24"/>
              </w:rPr>
              <w:t>项目成果</w:t>
            </w:r>
            <w:bookmarkEnd w:id="3"/>
            <w:r>
              <w:rPr>
                <w:rFonts w:hint="eastAsia" w:ascii="宋体" w:hAnsi="宋体" w:eastAsia="宋体" w:cs="宋体"/>
                <w:b/>
                <w:bCs/>
                <w:color w:val="auto"/>
                <w:sz w:val="24"/>
                <w:szCs w:val="24"/>
              </w:rPr>
              <w:t>：</w:t>
            </w:r>
          </w:p>
          <w:p w14:paraId="29A5DAAA">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（一）</w:t>
            </w:r>
            <w:r>
              <w:rPr>
                <w:rFonts w:hint="eastAsia" w:ascii="宋体" w:hAnsi="宋体" w:eastAsia="宋体" w:cs="宋体"/>
                <w:color w:val="auto"/>
                <w:sz w:val="24"/>
                <w:szCs w:val="24"/>
                <w:lang w:eastAsia="zh-CN"/>
              </w:rPr>
              <w:t>发包方成果</w:t>
            </w:r>
            <w:r>
              <w:rPr>
                <w:rFonts w:hint="eastAsia" w:ascii="宋体" w:hAnsi="宋体" w:eastAsia="宋体" w:cs="宋体"/>
                <w:color w:val="auto"/>
                <w:sz w:val="24"/>
                <w:szCs w:val="24"/>
              </w:rPr>
              <w:t>：1.村社方案、表决书及公示公告；2.</w:t>
            </w:r>
            <w:r>
              <w:rPr>
                <w:rFonts w:hint="eastAsia" w:ascii="宋体" w:hAnsi="宋体" w:eastAsia="宋体" w:cs="宋体"/>
                <w:color w:val="auto"/>
                <w:sz w:val="24"/>
                <w:szCs w:val="24"/>
                <w:lang w:eastAsia="zh-CN"/>
              </w:rPr>
              <w:t>发包方调查表</w:t>
            </w:r>
            <w:r>
              <w:rPr>
                <w:rFonts w:hint="eastAsia" w:ascii="宋体" w:hAnsi="宋体" w:eastAsia="宋体" w:cs="宋体"/>
                <w:color w:val="auto"/>
                <w:sz w:val="24"/>
                <w:szCs w:val="24"/>
              </w:rPr>
              <w:t>、摸底调查图、成员资格确认表；3.变更申请书、补充登记申请书；4.分户、合户、地块互换协议及其他过会材料；5.整户消亡公示公告、调查信息公示公告、调查信息公示表；6.地块分布公示图、确认图；7.界址点成果表及地块台账；8.土地承包经营权证书颁证清册；9.农业农村部、广东省农业农村厅、韶关市农业农村局要求提交的其他成果资料及综合管理类和特殊载体类等相关资料。</w:t>
            </w:r>
          </w:p>
          <w:p w14:paraId="5AC28033">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（二）</w:t>
            </w:r>
            <w:r>
              <w:rPr>
                <w:rFonts w:hint="eastAsia" w:ascii="宋体" w:hAnsi="宋体" w:eastAsia="宋体" w:cs="宋体"/>
                <w:color w:val="auto"/>
                <w:sz w:val="24"/>
                <w:szCs w:val="24"/>
                <w:lang w:val="en-US" w:eastAsia="zh-CN"/>
              </w:rPr>
              <w:t>承包方</w:t>
            </w:r>
            <w:r>
              <w:rPr>
                <w:rFonts w:hint="eastAsia" w:ascii="宋体" w:hAnsi="宋体" w:eastAsia="宋体" w:cs="宋体"/>
                <w:color w:val="auto"/>
                <w:sz w:val="24"/>
                <w:szCs w:val="24"/>
              </w:rPr>
              <w:t>成果：1.摸底调查表、户主声明书、延包申请书、指界通知书；2.</w:t>
            </w:r>
            <w:r>
              <w:rPr>
                <w:rFonts w:hint="eastAsia" w:ascii="宋体" w:hAnsi="宋体" w:eastAsia="宋体" w:cs="宋体"/>
                <w:color w:val="auto"/>
                <w:sz w:val="24"/>
                <w:szCs w:val="24"/>
                <w:lang w:eastAsia="zh-CN"/>
              </w:rPr>
              <w:t>承包方代表身份证</w:t>
            </w:r>
            <w:r>
              <w:rPr>
                <w:rFonts w:hint="eastAsia" w:ascii="宋体" w:hAnsi="宋体" w:eastAsia="宋体" w:cs="宋体"/>
                <w:color w:val="auto"/>
                <w:sz w:val="24"/>
                <w:szCs w:val="24"/>
              </w:rPr>
              <w:t>、家庭成员户口本；3.</w:t>
            </w:r>
            <w:r>
              <w:rPr>
                <w:rFonts w:hint="eastAsia" w:ascii="宋体" w:hAnsi="宋体" w:eastAsia="宋体" w:cs="宋体"/>
                <w:color w:val="auto"/>
                <w:sz w:val="24"/>
                <w:szCs w:val="24"/>
                <w:lang w:val="en-US" w:eastAsia="zh-CN"/>
              </w:rPr>
              <w:t>承包方</w:t>
            </w:r>
            <w:r>
              <w:rPr>
                <w:rFonts w:hint="eastAsia" w:ascii="宋体" w:hAnsi="宋体" w:eastAsia="宋体" w:cs="宋体"/>
                <w:color w:val="auto"/>
                <w:sz w:val="24"/>
                <w:szCs w:val="24"/>
              </w:rPr>
              <w:t>信息调查确认表、承包地块调查确认表；4.公示结果归户表；5.农村土地（耕地）承包合同（含承包地块示意图）；6.不动产登记申请书；7.</w:t>
            </w:r>
            <w:r>
              <w:rPr>
                <w:rFonts w:hint="eastAsia" w:ascii="宋体" w:hAnsi="宋体" w:eastAsia="宋体" w:cs="宋体"/>
                <w:color w:val="auto"/>
                <w:sz w:val="24"/>
                <w:szCs w:val="24"/>
                <w:lang w:eastAsia="zh-CN"/>
              </w:rPr>
              <w:t>农户承包经营权证书办理申请辅助材料</w:t>
            </w:r>
            <w:r>
              <w:rPr>
                <w:rFonts w:hint="eastAsia" w:ascii="宋体" w:hAnsi="宋体" w:eastAsia="宋体" w:cs="宋体"/>
                <w:color w:val="auto"/>
                <w:sz w:val="24"/>
                <w:szCs w:val="24"/>
              </w:rPr>
              <w:t>；8.委托书（如有）；9.农业农村部、广东省农业农村厅、韶关市农业农村局要求提交的其他合同管理类相关资料。</w:t>
            </w:r>
          </w:p>
          <w:p w14:paraId="72BD1990">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（三）档案成果：按照国家统一标准，将延包档案分为综合管理类（ZH）、合同管理类（HT）和特殊载体类（照片ZP、录音LY、录像LX、实物SW、数据SJ）三大类别，县、镇（街）及村三级工作资料归档数字化成果。</w:t>
            </w:r>
          </w:p>
          <w:p w14:paraId="5B8A9EE0">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（四）验收成果：1.项目技术设计书；2.项目自检报告；3.项目技术总结报告；4.项目工作报告；5.项目管理文档汇编材料等。</w:t>
            </w:r>
          </w:p>
          <w:p w14:paraId="6FFDD110">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五）包组一统筹成果（额外交付）：包组一作为全县技术总牵头单位，除提交上述（一）至（四）属地实施成果外，另须额外交付以下全县统筹成果：1.全县统一技术实施方案、作业细则、疑难问题处置指引；2.全县统一调查表、公示、合同、图件、档案全套模板及技术交底资料；3.全县统一二轮延包矢量数据库（含</w:t>
            </w:r>
            <w:r>
              <w:rPr>
                <w:rFonts w:hint="eastAsia" w:ascii="宋体" w:hAnsi="宋体" w:eastAsia="宋体" w:cs="宋体"/>
                <w:color w:val="auto"/>
                <w:sz w:val="24"/>
                <w:szCs w:val="24"/>
                <w:lang w:eastAsia="zh-CN"/>
              </w:rPr>
              <w:t>采购包1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采购包2</w:t>
            </w:r>
            <w:r>
              <w:rPr>
                <w:rFonts w:hint="eastAsia" w:ascii="宋体" w:hAnsi="宋体" w:eastAsia="宋体" w:cs="宋体"/>
                <w:color w:val="auto"/>
                <w:sz w:val="24"/>
                <w:szCs w:val="24"/>
              </w:rPr>
              <w:t>数据融合、冲突处理、国标质检成果）；4.全县技术总结报告、总自检报告、全县工作报告；5.全县验收汇编资料及配合省、市、县各级验收的全套资料；6.全县疑难问题处置台账、全县总进展报告资料；7.全县档案移交统筹资料（对接仁化县国家档案馆）。</w:t>
            </w:r>
            <w:bookmarkStart w:id="4" w:name="OLE_LINK9"/>
            <w:r>
              <w:rPr>
                <w:rFonts w:hint="eastAsia" w:ascii="宋体" w:hAnsi="宋体" w:eastAsia="宋体" w:cs="宋体"/>
                <w:color w:val="auto"/>
                <w:sz w:val="24"/>
                <w:szCs w:val="24"/>
              </w:rPr>
              <w:t>包组</w:t>
            </w:r>
            <w:bookmarkEnd w:id="4"/>
            <w:r>
              <w:rPr>
                <w:rFonts w:hint="eastAsia" w:ascii="宋体" w:hAnsi="宋体" w:eastAsia="宋体" w:cs="宋体"/>
                <w:color w:val="auto"/>
                <w:sz w:val="24"/>
                <w:szCs w:val="24"/>
              </w:rPr>
              <w:t>二仅提交本包组属地实施成果，不承担上述统筹成果交付义务。</w:t>
            </w:r>
          </w:p>
        </w:tc>
      </w:tr>
      <w:tr w14:paraId="78D9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6" w:type="dxa"/>
          </w:tcPr>
          <w:p w14:paraId="760F9846">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说明</w:t>
            </w:r>
          </w:p>
        </w:tc>
        <w:tc>
          <w:tcPr>
            <w:tcW w:w="8265" w:type="dxa"/>
            <w:gridSpan w:val="2"/>
          </w:tcPr>
          <w:p w14:paraId="4F51A958">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打“★”号条款为实质性条款，若有任何一条负偏离或不满足则导致投标（响应）无效。</w:t>
            </w:r>
          </w:p>
          <w:p w14:paraId="0ADA6ED0">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打“▲”号条款为重要参数（如有），若有部分“▲”条款未响应或不满足，将根据评审要求影响其得分，但不作为无效投标（响应）条款。</w:t>
            </w:r>
          </w:p>
        </w:tc>
      </w:tr>
    </w:tbl>
    <w:p w14:paraId="56956066">
      <w:pPr>
        <w:spacing w:after="120" w:line="360" w:lineRule="auto"/>
        <w:jc w:val="both"/>
        <w:rPr>
          <w:rFonts w:hint="eastAsia" w:ascii="宋体" w:hAnsi="宋体" w:eastAsia="宋体" w:cs="宋体"/>
          <w:b/>
          <w:bCs/>
          <w:color w:val="auto"/>
          <w:sz w:val="24"/>
          <w:szCs w:val="24"/>
          <w:lang w:eastAsia="zh-CN"/>
        </w:rPr>
      </w:pPr>
    </w:p>
    <w:p w14:paraId="3BA01DB8">
      <w:pPr>
        <w:spacing w:after="120" w:line="360" w:lineRule="auto"/>
        <w:jc w:val="both"/>
        <w:rPr>
          <w:rFonts w:hint="eastAsia" w:ascii="宋体" w:hAnsi="宋体" w:eastAsia="宋体" w:cs="宋体"/>
          <w:b/>
          <w:bCs/>
          <w:color w:val="auto"/>
          <w:sz w:val="24"/>
          <w:szCs w:val="24"/>
          <w:lang w:eastAsia="zh-CN"/>
        </w:rPr>
      </w:pPr>
    </w:p>
    <w:p w14:paraId="08A0EE91">
      <w:pPr>
        <w:spacing w:after="120" w:line="360" w:lineRule="auto"/>
        <w:jc w:val="both"/>
        <w:rPr>
          <w:rFonts w:hint="eastAsia" w:ascii="宋体" w:hAnsi="宋体" w:eastAsia="宋体" w:cs="宋体"/>
          <w:b/>
          <w:bCs/>
          <w:color w:val="auto"/>
          <w:sz w:val="24"/>
          <w:szCs w:val="24"/>
          <w:lang w:eastAsia="zh-CN"/>
        </w:rPr>
      </w:pPr>
    </w:p>
    <w:p w14:paraId="20ECF889">
      <w:pPr>
        <w:spacing w:after="120" w:line="360" w:lineRule="auto"/>
        <w:jc w:val="both"/>
        <w:rPr>
          <w:rFonts w:hint="eastAsia" w:ascii="宋体" w:hAnsi="宋体" w:eastAsia="宋体" w:cs="宋体"/>
          <w:b/>
          <w:bCs/>
          <w:color w:val="auto"/>
          <w:sz w:val="24"/>
          <w:szCs w:val="24"/>
          <w:lang w:eastAsia="zh-CN"/>
        </w:rPr>
      </w:pPr>
    </w:p>
    <w:p w14:paraId="3E075AAA">
      <w:pPr>
        <w:spacing w:after="120" w:line="360" w:lineRule="auto"/>
        <w:jc w:val="both"/>
        <w:rPr>
          <w:rFonts w:hint="eastAsia" w:ascii="宋体" w:hAnsi="宋体" w:eastAsia="宋体" w:cs="宋体"/>
          <w:b/>
          <w:bCs/>
          <w:color w:val="auto"/>
          <w:sz w:val="24"/>
          <w:szCs w:val="24"/>
          <w:lang w:eastAsia="zh-CN"/>
        </w:rPr>
      </w:pPr>
    </w:p>
    <w:p w14:paraId="3B2DFCC2">
      <w:pPr>
        <w:spacing w:after="120" w:line="360" w:lineRule="auto"/>
        <w:jc w:val="both"/>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采购包2：仁化县第二轮土地承包到期后再延长30年试点技术服务(属地实施)</w:t>
      </w:r>
    </w:p>
    <w:p w14:paraId="6E465F83">
      <w:pPr>
        <w:spacing w:after="160" w:line="360" w:lineRule="auto"/>
        <w:rPr>
          <w:rFonts w:hint="eastAsia" w:ascii="宋体" w:hAnsi="宋体" w:eastAsia="宋体" w:cs="宋体"/>
          <w:color w:val="auto"/>
          <w:sz w:val="24"/>
          <w:szCs w:val="24"/>
        </w:rPr>
      </w:pPr>
      <w:r>
        <w:rPr>
          <w:rFonts w:hint="eastAsia" w:ascii="宋体" w:hAnsi="宋体" w:eastAsia="宋体" w:cs="宋体"/>
          <w:b/>
          <w:color w:val="auto"/>
          <w:sz w:val="24"/>
          <w:szCs w:val="24"/>
        </w:rPr>
        <w:t>1.主要商务要求</w:t>
      </w:r>
    </w:p>
    <w:tbl>
      <w:tblPr>
        <w:tblStyle w:val="35"/>
        <w:tblW w:w="9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8"/>
        <w:gridCol w:w="7724"/>
      </w:tblGrid>
      <w:tr w14:paraId="3EA70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8" w:type="dxa"/>
          </w:tcPr>
          <w:p w14:paraId="1CCB17E8">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标的提供的时间</w:t>
            </w:r>
          </w:p>
        </w:tc>
        <w:tc>
          <w:tcPr>
            <w:tcW w:w="7724" w:type="dxa"/>
          </w:tcPr>
          <w:p w14:paraId="3660E7BD">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2028年6月30日</w:t>
            </w:r>
            <w:r>
              <w:rPr>
                <w:rFonts w:hint="eastAsia" w:ascii="宋体" w:hAnsi="宋体" w:eastAsia="宋体" w:cs="宋体"/>
                <w:color w:val="auto"/>
                <w:sz w:val="24"/>
                <w:szCs w:val="24"/>
              </w:rPr>
              <w:t>前完成全部项目建设内容（包括摸底调查、方案制定、核实调查、公示纠错、合同网签、数据库更新、档案整理、成果汇交、竣工验收全流程技术服务），详细工期以上级相关要求为准。</w:t>
            </w:r>
          </w:p>
        </w:tc>
      </w:tr>
      <w:tr w14:paraId="2357F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8" w:type="dxa"/>
          </w:tcPr>
          <w:p w14:paraId="29351295">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标的提供的地点</w:t>
            </w:r>
          </w:p>
        </w:tc>
        <w:tc>
          <w:tcPr>
            <w:tcW w:w="7724" w:type="dxa"/>
          </w:tcPr>
          <w:p w14:paraId="7416A229">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采购人指定地点。</w:t>
            </w:r>
          </w:p>
        </w:tc>
      </w:tr>
      <w:tr w14:paraId="7270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8" w:type="dxa"/>
          </w:tcPr>
          <w:p w14:paraId="017AB87D">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付款方式</w:t>
            </w:r>
          </w:p>
        </w:tc>
        <w:tc>
          <w:tcPr>
            <w:tcW w:w="7724" w:type="dxa"/>
          </w:tcPr>
          <w:p w14:paraId="52DEA2F1">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1期：支付比例30%，合同签订后、人员进场开始作业后，5个工作日内，采购人向中标人支付合同总金额30%。</w:t>
            </w:r>
          </w:p>
          <w:p w14:paraId="4B662AA8">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2期：支付比例30%，采购人审核后，同时满足土地延包成果公示达90%、延包合同签订率达90%，采购人向中标人支付合同总金额的30%；</w:t>
            </w:r>
          </w:p>
          <w:p w14:paraId="216B8954">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期：支付比例30%，完成全部延包工作的图件成果、标准化数据库建设、档案整理、平台预汇交，项目整体初验合格、资料齐全归档完毕后，项目通过上级主管部门最终竣工验收、成果正式汇交入库，采购人向中标人支付合同总金额的30%；</w:t>
            </w:r>
          </w:p>
          <w:p w14:paraId="139A47B4">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4期：支付比例10%，无数据明显错误后，正常开展两年数据维护，采购人向中标人支付合同总金额的10%。</w:t>
            </w:r>
          </w:p>
          <w:p w14:paraId="5ADD2F67">
            <w:pPr>
              <w:spacing w:before="20" w:after="20"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注：①上述每期款项支付前，中标人均应向采购人提供请款申报材料（如需）及相应金额的合法有效的发票，否则，采购人有权拒绝支付相应的款项，并不构成违约；②因采购人用的是财政资金，采购人在前款规定的付款时间为向政府采购支付部门提出办理财政支付申请手续的时间（不含政府财政支付部门审核的时间），在前述规定时间内提出办理支付申请手续后，采购人不承担逾期支付的违约责任。如项目发生合同融资，采购人需将合同款项支付到合同约定收款账户。</w:t>
            </w:r>
          </w:p>
        </w:tc>
      </w:tr>
      <w:tr w14:paraId="7EF7D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8" w:type="dxa"/>
          </w:tcPr>
          <w:p w14:paraId="5BF79CFE">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验收要求</w:t>
            </w:r>
          </w:p>
        </w:tc>
        <w:tc>
          <w:tcPr>
            <w:tcW w:w="7724" w:type="dxa"/>
          </w:tcPr>
          <w:p w14:paraId="454E9AE8">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延包试点工作结束后，县、镇（街）、村总结延包工作的组织情况、主要做法经验和问题处置建议等，编制全套验收资料，配合成果验收，对验收提出的问题按采购人及上级验收单位规定时限完成无偿整改直至合格。</w:t>
            </w:r>
          </w:p>
          <w:p w14:paraId="73999FED">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2.本项目统一验收、独立结算，各包组分别编制本包组总结验收资料并分别接受验收；</w:t>
            </w:r>
            <w:r>
              <w:rPr>
                <w:rFonts w:hint="eastAsia" w:ascii="宋体" w:hAnsi="宋体" w:eastAsia="宋体" w:cs="宋体"/>
                <w:color w:val="auto"/>
                <w:sz w:val="24"/>
                <w:szCs w:val="24"/>
                <w:lang w:eastAsia="zh-CN"/>
              </w:rPr>
              <w:t>采购包1</w:t>
            </w:r>
            <w:r>
              <w:rPr>
                <w:rFonts w:hint="eastAsia" w:ascii="宋体" w:hAnsi="宋体" w:eastAsia="宋体" w:cs="宋体"/>
                <w:color w:val="auto"/>
                <w:sz w:val="24"/>
                <w:szCs w:val="24"/>
              </w:rPr>
              <w:t>另承担全县整体自检、总验收技术统筹及验收汇编工作。</w:t>
            </w:r>
          </w:p>
          <w:p w14:paraId="67994BA5">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3.所有验收文件、资料要提交给采购人以作留档备案。</w:t>
            </w:r>
          </w:p>
        </w:tc>
      </w:tr>
      <w:tr w14:paraId="2C049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8" w:type="dxa"/>
          </w:tcPr>
          <w:p w14:paraId="063B3EDD">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履约保证金</w:t>
            </w:r>
          </w:p>
        </w:tc>
        <w:tc>
          <w:tcPr>
            <w:tcW w:w="7724" w:type="dxa"/>
          </w:tcPr>
          <w:p w14:paraId="29E75DC2">
            <w:pPr>
              <w:spacing w:before="20" w:after="20"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无</w:t>
            </w:r>
          </w:p>
        </w:tc>
      </w:tr>
      <w:tr w14:paraId="1EA5B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8" w:type="dxa"/>
          </w:tcPr>
          <w:p w14:paraId="47C1833B">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其他</w:t>
            </w:r>
          </w:p>
        </w:tc>
        <w:tc>
          <w:tcPr>
            <w:tcW w:w="7724" w:type="dxa"/>
          </w:tcPr>
          <w:p w14:paraId="65D45AA1">
            <w:pPr>
              <w:spacing w:before="20" w:after="20"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p>
        </w:tc>
      </w:tr>
    </w:tbl>
    <w:p w14:paraId="567A510C">
      <w:pPr>
        <w:spacing w:after="160" w:line="360" w:lineRule="auto"/>
        <w:rPr>
          <w:rFonts w:hint="eastAsia" w:ascii="宋体" w:hAnsi="宋体" w:eastAsia="宋体" w:cs="宋体"/>
          <w:color w:val="auto"/>
          <w:sz w:val="24"/>
          <w:szCs w:val="24"/>
        </w:rPr>
      </w:pPr>
      <w:r>
        <w:rPr>
          <w:rFonts w:hint="eastAsia" w:ascii="宋体" w:hAnsi="宋体" w:eastAsia="宋体" w:cs="宋体"/>
          <w:b/>
          <w:color w:val="auto"/>
          <w:sz w:val="24"/>
          <w:szCs w:val="24"/>
        </w:rPr>
        <w:t>其他商务需求</w:t>
      </w:r>
    </w:p>
    <w:tbl>
      <w:tblPr>
        <w:tblStyle w:val="35"/>
        <w:tblW w:w="96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9"/>
        <w:gridCol w:w="892"/>
        <w:gridCol w:w="1324"/>
        <w:gridCol w:w="6602"/>
      </w:tblGrid>
      <w:tr w14:paraId="65A83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9" w:type="dxa"/>
          </w:tcPr>
          <w:p w14:paraId="2D8416A6">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参数性质</w:t>
            </w:r>
          </w:p>
        </w:tc>
        <w:tc>
          <w:tcPr>
            <w:tcW w:w="892" w:type="dxa"/>
          </w:tcPr>
          <w:p w14:paraId="3F659740">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编号</w:t>
            </w:r>
          </w:p>
        </w:tc>
        <w:tc>
          <w:tcPr>
            <w:tcW w:w="1324" w:type="dxa"/>
          </w:tcPr>
          <w:p w14:paraId="37684DE3">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内容明细</w:t>
            </w:r>
          </w:p>
        </w:tc>
        <w:tc>
          <w:tcPr>
            <w:tcW w:w="6602" w:type="dxa"/>
          </w:tcPr>
          <w:p w14:paraId="3780DCED">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内容说明</w:t>
            </w:r>
          </w:p>
        </w:tc>
      </w:tr>
      <w:tr w14:paraId="6BC31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9" w:type="dxa"/>
          </w:tcPr>
          <w:p w14:paraId="00C534EC">
            <w:pPr>
              <w:spacing w:before="20" w:after="20" w:line="360" w:lineRule="auto"/>
              <w:jc w:val="center"/>
              <w:rPr>
                <w:rFonts w:hint="eastAsia" w:ascii="宋体" w:hAnsi="宋体" w:eastAsia="宋体" w:cs="宋体"/>
                <w:color w:val="auto"/>
                <w:sz w:val="24"/>
                <w:szCs w:val="24"/>
              </w:rPr>
            </w:pPr>
          </w:p>
        </w:tc>
        <w:tc>
          <w:tcPr>
            <w:tcW w:w="892" w:type="dxa"/>
          </w:tcPr>
          <w:p w14:paraId="288BDF55">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324" w:type="dxa"/>
          </w:tcPr>
          <w:p w14:paraId="1903900E">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报价要求</w:t>
            </w:r>
          </w:p>
        </w:tc>
        <w:tc>
          <w:tcPr>
            <w:tcW w:w="6602" w:type="dxa"/>
          </w:tcPr>
          <w:p w14:paraId="38BA35B3">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本项目为固定总价包干项目，实施过程中不因工作量增减、人员投入、难度提升、天气影响、整改次数增加而调整合同价格；因国家、省出台新的强制性技术标准，导致工作内容发生重大变更的，按政府采购变更程序另行协商处理。</w:t>
            </w:r>
          </w:p>
          <w:p w14:paraId="5AAAF698">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w:t>
            </w:r>
            <w:bookmarkStart w:id="5" w:name="OLE_LINK10"/>
            <w:r>
              <w:rPr>
                <w:rFonts w:hint="eastAsia" w:ascii="宋体" w:hAnsi="宋体" w:eastAsia="宋体" w:cs="宋体"/>
                <w:color w:val="auto"/>
                <w:sz w:val="24"/>
                <w:szCs w:val="24"/>
                <w:lang w:eastAsia="zh-CN"/>
              </w:rPr>
              <w:t>投标</w:t>
            </w:r>
            <w:r>
              <w:rPr>
                <w:rFonts w:hint="eastAsia" w:ascii="宋体" w:hAnsi="宋体" w:eastAsia="宋体" w:cs="宋体"/>
                <w:color w:val="auto"/>
                <w:sz w:val="24"/>
                <w:szCs w:val="24"/>
              </w:rPr>
              <w:t>报价包含属地实施所需的全部费用，包括但不限于外业调查、测绘、数据建库、公示、签约、档案整理、验收、税费、人员、设备、交通、质保等，采购人不再另行支付任何其他费用</w:t>
            </w:r>
            <w:r>
              <w:rPr>
                <w:rFonts w:hint="eastAsia" w:ascii="宋体" w:hAnsi="宋体" w:eastAsia="宋体" w:cs="宋体"/>
                <w:color w:val="auto"/>
                <w:sz w:val="24"/>
                <w:szCs w:val="24"/>
                <w:lang w:eastAsia="zh-CN"/>
              </w:rPr>
              <w:t>。</w:t>
            </w:r>
            <w:bookmarkEnd w:id="5"/>
          </w:p>
        </w:tc>
      </w:tr>
      <w:tr w14:paraId="3815D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9" w:type="dxa"/>
          </w:tcPr>
          <w:p w14:paraId="3551F682">
            <w:pPr>
              <w:spacing w:before="20" w:after="20" w:line="360" w:lineRule="auto"/>
              <w:jc w:val="center"/>
              <w:rPr>
                <w:rFonts w:hint="eastAsia" w:ascii="宋体" w:hAnsi="宋体" w:eastAsia="宋体" w:cs="宋体"/>
                <w:color w:val="auto"/>
                <w:sz w:val="24"/>
                <w:szCs w:val="24"/>
              </w:rPr>
            </w:pPr>
          </w:p>
        </w:tc>
        <w:tc>
          <w:tcPr>
            <w:tcW w:w="892" w:type="dxa"/>
          </w:tcPr>
          <w:p w14:paraId="246A9BB1">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324" w:type="dxa"/>
          </w:tcPr>
          <w:p w14:paraId="28E38D33">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成果归属</w:t>
            </w:r>
          </w:p>
        </w:tc>
        <w:tc>
          <w:tcPr>
            <w:tcW w:w="6602" w:type="dxa"/>
          </w:tcPr>
          <w:p w14:paraId="3CACA456">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1.所有成果知识产权、数据权属、档案成果全部归采购人所有。</w:t>
            </w:r>
          </w:p>
          <w:p w14:paraId="462943AB">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仅为本项目工作需要使用本项目数据；项目结束后，</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必须删除全部本地副本，不得留存、复制、对外泄露、使用任何项目数据及农户个人信息。</w:t>
            </w:r>
          </w:p>
        </w:tc>
      </w:tr>
      <w:tr w14:paraId="3AF33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9" w:type="dxa"/>
          </w:tcPr>
          <w:p w14:paraId="3990ACEF">
            <w:pPr>
              <w:spacing w:before="20" w:after="20" w:line="360" w:lineRule="auto"/>
              <w:jc w:val="center"/>
              <w:rPr>
                <w:rFonts w:hint="eastAsia" w:ascii="宋体" w:hAnsi="宋体" w:eastAsia="宋体" w:cs="宋体"/>
                <w:color w:val="auto"/>
                <w:sz w:val="24"/>
                <w:szCs w:val="24"/>
              </w:rPr>
            </w:pPr>
          </w:p>
        </w:tc>
        <w:tc>
          <w:tcPr>
            <w:tcW w:w="892" w:type="dxa"/>
          </w:tcPr>
          <w:p w14:paraId="7E4724B6">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324" w:type="dxa"/>
          </w:tcPr>
          <w:p w14:paraId="0A585CCC">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保密要求</w:t>
            </w:r>
          </w:p>
        </w:tc>
        <w:tc>
          <w:tcPr>
            <w:tcW w:w="6602" w:type="dxa"/>
          </w:tcPr>
          <w:p w14:paraId="7AECA931">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中标人须</w:t>
            </w:r>
            <w:r>
              <w:rPr>
                <w:rFonts w:hint="eastAsia" w:ascii="宋体" w:hAnsi="宋体" w:eastAsia="宋体" w:cs="宋体"/>
                <w:color w:val="auto"/>
                <w:sz w:val="24"/>
                <w:szCs w:val="24"/>
              </w:rPr>
              <w:t>与采购</w:t>
            </w:r>
            <w:r>
              <w:rPr>
                <w:rFonts w:hint="eastAsia" w:ascii="宋体" w:hAnsi="宋体" w:eastAsia="宋体" w:cs="宋体"/>
                <w:color w:val="auto"/>
                <w:sz w:val="24"/>
                <w:szCs w:val="24"/>
                <w:lang w:eastAsia="zh-CN"/>
              </w:rPr>
              <w:t>人</w:t>
            </w:r>
            <w:r>
              <w:rPr>
                <w:rFonts w:hint="eastAsia" w:ascii="宋体" w:hAnsi="宋体" w:eastAsia="宋体" w:cs="宋体"/>
                <w:color w:val="auto"/>
                <w:sz w:val="24"/>
                <w:szCs w:val="24"/>
              </w:rPr>
              <w:t>签订正式数据保密协议，建立覆盖数据采集、存储、传输、使用、归档全生命周期的安全管理机制，严格遵守国家测绘地理信息保密、个人信息保护等相关法律法规，全程保障农户个人信息与地理空间数据的安全。</w:t>
            </w:r>
          </w:p>
          <w:p w14:paraId="6423A7A6">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2.中标人</w:t>
            </w:r>
            <w:r>
              <w:rPr>
                <w:rFonts w:hint="eastAsia" w:ascii="宋体" w:hAnsi="宋体" w:eastAsia="宋体" w:cs="宋体"/>
                <w:color w:val="auto"/>
                <w:sz w:val="24"/>
                <w:szCs w:val="24"/>
              </w:rPr>
              <w:t>对项目获取全部土地权属资料、农户身份信息、调查资料承担永久保密责任，严禁对外泄露、转让、转借。</w:t>
            </w:r>
          </w:p>
          <w:p w14:paraId="46E3660B">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须具备独立数据生产办公场地，提供场地说明、现场实拍照片、机房及办公区域保密管控、设备环境资料；配备数据安全保密方向专业人员，提供安全论证报告及专家职称佐证；配备国家保密管理部门备案的涉密计算机设备，并提供涉密计算机备案表。</w:t>
            </w:r>
          </w:p>
          <w:p w14:paraId="1CCE8C90">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4</w:t>
            </w:r>
            <w:r>
              <w:rPr>
                <w:rFonts w:hint="eastAsia" w:ascii="宋体" w:hAnsi="宋体" w:eastAsia="宋体" w:cs="宋体"/>
                <w:color w:val="auto"/>
                <w:sz w:val="24"/>
                <w:szCs w:val="24"/>
              </w:rPr>
              <w:t>.发生泄密事件，采购人有权追究</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违约责任，造成损失的由</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承担全部法律及经济责任。</w:t>
            </w:r>
          </w:p>
        </w:tc>
      </w:tr>
      <w:tr w14:paraId="5B0F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9" w:type="dxa"/>
          </w:tcPr>
          <w:p w14:paraId="20B5DFC2">
            <w:pPr>
              <w:spacing w:before="20" w:after="20" w:line="360" w:lineRule="auto"/>
              <w:jc w:val="center"/>
              <w:rPr>
                <w:rFonts w:hint="eastAsia" w:ascii="宋体" w:hAnsi="宋体" w:eastAsia="宋体" w:cs="宋体"/>
                <w:color w:val="auto"/>
                <w:sz w:val="24"/>
                <w:szCs w:val="24"/>
              </w:rPr>
            </w:pPr>
          </w:p>
        </w:tc>
        <w:tc>
          <w:tcPr>
            <w:tcW w:w="892" w:type="dxa"/>
          </w:tcPr>
          <w:p w14:paraId="7C55DD54">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324" w:type="dxa"/>
          </w:tcPr>
          <w:p w14:paraId="0518E724">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质量管控要求</w:t>
            </w:r>
          </w:p>
        </w:tc>
        <w:tc>
          <w:tcPr>
            <w:tcW w:w="6602" w:type="dxa"/>
          </w:tcPr>
          <w:p w14:paraId="2767FADD">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建立完整项目质量管控体系，开展100%内业自查，外业成果按规范开展抽查；所有成果提交采购人前必须完成内部自检，出具自检报告；对采购人、上级部门提出的质量问题，按期完成整改。严格执行验收制度，层层把控工作质量。</w:t>
            </w:r>
          </w:p>
        </w:tc>
      </w:tr>
      <w:tr w14:paraId="4340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9" w:type="dxa"/>
          </w:tcPr>
          <w:p w14:paraId="0629320E">
            <w:pPr>
              <w:spacing w:before="20" w:after="20" w:line="360" w:lineRule="auto"/>
              <w:jc w:val="center"/>
              <w:rPr>
                <w:rFonts w:hint="eastAsia" w:ascii="宋体" w:hAnsi="宋体" w:eastAsia="宋体" w:cs="宋体"/>
                <w:color w:val="auto"/>
                <w:sz w:val="24"/>
                <w:szCs w:val="24"/>
              </w:rPr>
            </w:pPr>
          </w:p>
        </w:tc>
        <w:tc>
          <w:tcPr>
            <w:tcW w:w="892" w:type="dxa"/>
          </w:tcPr>
          <w:p w14:paraId="7571E5DA">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324" w:type="dxa"/>
          </w:tcPr>
          <w:p w14:paraId="2D8BC0D3">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进度保障要求</w:t>
            </w:r>
          </w:p>
        </w:tc>
        <w:tc>
          <w:tcPr>
            <w:tcW w:w="6602" w:type="dxa"/>
          </w:tcPr>
          <w:p w14:paraId="65713664">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须制定详细的项目进度计划，明确每个时间节点完成的工作内容，进行进度计划的合理分析和影响进度计划的预警分析。项目实施期间按采购人要求定期报送周报、月报工作进展。因</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原因造成工期延误的，按政府采购及合同约定承担违约责任。</w:t>
            </w:r>
          </w:p>
        </w:tc>
      </w:tr>
      <w:tr w14:paraId="7D8E7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9" w:type="dxa"/>
          </w:tcPr>
          <w:p w14:paraId="1EBD58DE">
            <w:pPr>
              <w:spacing w:before="20" w:after="20" w:line="360" w:lineRule="auto"/>
              <w:jc w:val="center"/>
              <w:rPr>
                <w:rFonts w:hint="eastAsia" w:ascii="宋体" w:hAnsi="宋体" w:eastAsia="宋体" w:cs="宋体"/>
                <w:color w:val="auto"/>
                <w:sz w:val="24"/>
                <w:szCs w:val="24"/>
              </w:rPr>
            </w:pPr>
          </w:p>
        </w:tc>
        <w:tc>
          <w:tcPr>
            <w:tcW w:w="892" w:type="dxa"/>
          </w:tcPr>
          <w:p w14:paraId="61070062">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324" w:type="dxa"/>
          </w:tcPr>
          <w:p w14:paraId="64A6913B">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系统功能要求</w:t>
            </w:r>
          </w:p>
        </w:tc>
        <w:tc>
          <w:tcPr>
            <w:tcW w:w="6602" w:type="dxa"/>
          </w:tcPr>
          <w:p w14:paraId="651E7845">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须具备或使用符合要求的农村二轮延包相关软件系统，支持农户微信扫码远程核实承包地信息、土地延包合同线上网签全流程功能，完整覆盖权属界线调查、数据成果整合建库、数据汇交、档案归档及数字化等全部核心业务功能。</w:t>
            </w:r>
          </w:p>
          <w:p w14:paraId="5CF8E839">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2.投标人拥有自主开发的农村承包地二轮延包相关软件系统，并取得国家版权局颁发的计算机软件著作权登记证书的，予以优先考虑。</w:t>
            </w:r>
          </w:p>
          <w:p w14:paraId="53F1C7E5">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3.系统须运行稳定流畅、操作简便、业务场景适配度高，完全满足本项目技术服务要求。</w:t>
            </w:r>
          </w:p>
        </w:tc>
      </w:tr>
      <w:tr w14:paraId="72893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9" w:type="dxa"/>
          </w:tcPr>
          <w:p w14:paraId="5DD15CE3">
            <w:pPr>
              <w:spacing w:before="20" w:after="20" w:line="360" w:lineRule="auto"/>
              <w:jc w:val="center"/>
              <w:rPr>
                <w:rFonts w:hint="eastAsia" w:ascii="宋体" w:hAnsi="宋体" w:eastAsia="宋体" w:cs="宋体"/>
                <w:color w:val="auto"/>
                <w:sz w:val="24"/>
                <w:szCs w:val="24"/>
              </w:rPr>
            </w:pPr>
          </w:p>
        </w:tc>
        <w:tc>
          <w:tcPr>
            <w:tcW w:w="892" w:type="dxa"/>
          </w:tcPr>
          <w:p w14:paraId="43E5547F">
            <w:pPr>
              <w:spacing w:before="20" w:after="20" w:line="360" w:lineRule="auto"/>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7</w:t>
            </w:r>
          </w:p>
        </w:tc>
        <w:tc>
          <w:tcPr>
            <w:tcW w:w="1324" w:type="dxa"/>
          </w:tcPr>
          <w:p w14:paraId="4FE7526B">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质保期</w:t>
            </w:r>
          </w:p>
        </w:tc>
        <w:tc>
          <w:tcPr>
            <w:tcW w:w="6602" w:type="dxa"/>
          </w:tcPr>
          <w:p w14:paraId="7851BB3E">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质保期</w:t>
            </w:r>
            <w:r>
              <w:rPr>
                <w:rFonts w:hint="eastAsia" w:ascii="宋体" w:hAnsi="宋体" w:eastAsia="宋体" w:cs="宋体"/>
                <w:color w:val="auto"/>
                <w:sz w:val="24"/>
                <w:szCs w:val="24"/>
              </w:rPr>
              <w:t>不少于</w:t>
            </w:r>
            <w:r>
              <w:rPr>
                <w:rFonts w:hint="eastAsia" w:ascii="宋体" w:hAnsi="宋体" w:eastAsia="宋体" w:cs="宋体"/>
                <w:color w:val="auto"/>
                <w:sz w:val="24"/>
                <w:szCs w:val="24"/>
                <w:lang w:eastAsia="zh-CN"/>
              </w:rPr>
              <w:t>2年</w:t>
            </w:r>
            <w:r>
              <w:rPr>
                <w:rFonts w:hint="eastAsia" w:ascii="宋体" w:hAnsi="宋体" w:eastAsia="宋体" w:cs="宋体"/>
                <w:color w:val="auto"/>
                <w:sz w:val="24"/>
                <w:szCs w:val="24"/>
              </w:rPr>
              <w:t>，自全部包组均通过主管部门</w:t>
            </w:r>
            <w:r>
              <w:rPr>
                <w:rFonts w:hint="eastAsia" w:ascii="宋体" w:hAnsi="宋体" w:eastAsia="宋体" w:cs="宋体"/>
                <w:color w:val="auto"/>
                <w:sz w:val="24"/>
                <w:szCs w:val="24"/>
                <w:lang w:eastAsia="zh-CN"/>
              </w:rPr>
              <w:t>最终验收之日</w:t>
            </w:r>
            <w:r>
              <w:rPr>
                <w:rFonts w:hint="eastAsia" w:ascii="宋体" w:hAnsi="宋体" w:eastAsia="宋体" w:cs="宋体"/>
                <w:color w:val="auto"/>
                <w:sz w:val="24"/>
                <w:szCs w:val="24"/>
              </w:rPr>
              <w:t>起计算。质保期内，</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须无偿提供成果数据修正、档案补充完善、平台汇交适配调整</w:t>
            </w:r>
            <w:r>
              <w:rPr>
                <w:rFonts w:hint="eastAsia" w:ascii="宋体" w:hAnsi="宋体" w:eastAsia="宋体" w:cs="宋体"/>
                <w:color w:val="auto"/>
                <w:sz w:val="24"/>
                <w:szCs w:val="24"/>
                <w:lang w:eastAsia="zh-CN"/>
              </w:rPr>
              <w:t>、数据更新、发证配合、业务答疑等配套后续技术服务</w:t>
            </w:r>
            <w:r>
              <w:rPr>
                <w:rFonts w:hint="eastAsia" w:ascii="宋体" w:hAnsi="宋体" w:eastAsia="宋体" w:cs="宋体"/>
                <w:color w:val="auto"/>
                <w:sz w:val="24"/>
                <w:szCs w:val="24"/>
              </w:rPr>
              <w:t>。</w:t>
            </w:r>
          </w:p>
        </w:tc>
      </w:tr>
      <w:tr w14:paraId="57345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9" w:type="dxa"/>
          </w:tcPr>
          <w:p w14:paraId="159DC490">
            <w:pPr>
              <w:spacing w:before="20" w:after="20" w:line="360" w:lineRule="auto"/>
              <w:jc w:val="center"/>
              <w:rPr>
                <w:rFonts w:hint="eastAsia" w:ascii="宋体" w:hAnsi="宋体" w:eastAsia="宋体" w:cs="宋体"/>
                <w:color w:val="auto"/>
                <w:sz w:val="24"/>
                <w:szCs w:val="24"/>
              </w:rPr>
            </w:pPr>
          </w:p>
        </w:tc>
        <w:tc>
          <w:tcPr>
            <w:tcW w:w="892" w:type="dxa"/>
          </w:tcPr>
          <w:p w14:paraId="608A9291">
            <w:pPr>
              <w:spacing w:before="20" w:after="20" w:line="360" w:lineRule="auto"/>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8</w:t>
            </w:r>
          </w:p>
        </w:tc>
        <w:tc>
          <w:tcPr>
            <w:tcW w:w="1324" w:type="dxa"/>
          </w:tcPr>
          <w:p w14:paraId="3F259EBD">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违约处置</w:t>
            </w:r>
          </w:p>
        </w:tc>
        <w:tc>
          <w:tcPr>
            <w:tcW w:w="6602" w:type="dxa"/>
          </w:tcPr>
          <w:p w14:paraId="21479F3D">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1.未按约定工期推进工作，逾期按政府采购及合同约定承担违约责任；</w:t>
            </w:r>
          </w:p>
          <w:p w14:paraId="53B4B430">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2.成果多次整改仍不能达到验收标准，采购人有权扣减款项、终止合同；</w:t>
            </w:r>
          </w:p>
          <w:p w14:paraId="567164C9">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3.发生数据泄露、农户信息外泄，采购人有权终止合同并追究赔偿责任。</w:t>
            </w:r>
          </w:p>
        </w:tc>
      </w:tr>
      <w:tr w14:paraId="3445A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9" w:type="dxa"/>
          </w:tcPr>
          <w:p w14:paraId="0E836DEE">
            <w:pPr>
              <w:spacing w:before="20" w:after="20" w:line="360" w:lineRule="auto"/>
              <w:jc w:val="center"/>
              <w:rPr>
                <w:rFonts w:hint="eastAsia" w:ascii="宋体" w:hAnsi="宋体" w:eastAsia="宋体" w:cs="宋体"/>
                <w:color w:val="auto"/>
                <w:sz w:val="24"/>
                <w:szCs w:val="24"/>
              </w:rPr>
            </w:pPr>
          </w:p>
        </w:tc>
        <w:tc>
          <w:tcPr>
            <w:tcW w:w="892" w:type="dxa"/>
          </w:tcPr>
          <w:p w14:paraId="631D0399">
            <w:pPr>
              <w:spacing w:before="20" w:after="20" w:line="360" w:lineRule="auto"/>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9</w:t>
            </w:r>
          </w:p>
        </w:tc>
        <w:tc>
          <w:tcPr>
            <w:tcW w:w="1324" w:type="dxa"/>
          </w:tcPr>
          <w:p w14:paraId="6B1FF100">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采购包</w:t>
            </w:r>
            <w:r>
              <w:rPr>
                <w:rFonts w:hint="eastAsia" w:ascii="宋体" w:hAnsi="宋体" w:eastAsia="宋体" w:cs="宋体"/>
                <w:color w:val="auto"/>
                <w:sz w:val="24"/>
                <w:szCs w:val="24"/>
              </w:rPr>
              <w:t>之间工作协同要求</w:t>
            </w:r>
          </w:p>
        </w:tc>
        <w:tc>
          <w:tcPr>
            <w:tcW w:w="6602" w:type="dxa"/>
          </w:tcPr>
          <w:p w14:paraId="436D86D5">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采购包1</w:t>
            </w:r>
            <w:r>
              <w:rPr>
                <w:rFonts w:hint="eastAsia" w:ascii="宋体" w:hAnsi="宋体" w:eastAsia="宋体" w:cs="宋体"/>
                <w:color w:val="auto"/>
                <w:sz w:val="24"/>
                <w:szCs w:val="24"/>
              </w:rPr>
              <w:t>作为全县技术总牵头方，有义务及时向</w:t>
            </w:r>
            <w:r>
              <w:rPr>
                <w:rFonts w:hint="eastAsia" w:ascii="宋体" w:hAnsi="宋体" w:eastAsia="宋体" w:cs="宋体"/>
                <w:color w:val="auto"/>
                <w:sz w:val="24"/>
                <w:szCs w:val="24"/>
                <w:lang w:eastAsia="zh-CN"/>
              </w:rPr>
              <w:t>采购包2</w:t>
            </w:r>
            <w:r>
              <w:rPr>
                <w:rFonts w:hint="eastAsia" w:ascii="宋体" w:hAnsi="宋体" w:eastAsia="宋体" w:cs="宋体"/>
                <w:color w:val="auto"/>
                <w:sz w:val="24"/>
                <w:szCs w:val="24"/>
              </w:rPr>
              <w:t>提供统一模板、技术指引，及时响应</w:t>
            </w:r>
            <w:r>
              <w:rPr>
                <w:rFonts w:hint="eastAsia" w:ascii="宋体" w:hAnsi="宋体" w:eastAsia="宋体" w:cs="宋体"/>
                <w:color w:val="auto"/>
                <w:sz w:val="24"/>
                <w:szCs w:val="24"/>
                <w:lang w:eastAsia="zh-CN"/>
              </w:rPr>
              <w:t>采购包2</w:t>
            </w:r>
            <w:r>
              <w:rPr>
                <w:rFonts w:hint="eastAsia" w:ascii="宋体" w:hAnsi="宋体" w:eastAsia="宋体" w:cs="宋体"/>
                <w:color w:val="auto"/>
                <w:sz w:val="24"/>
                <w:szCs w:val="24"/>
              </w:rPr>
              <w:t>提出的技术咨询；</w:t>
            </w:r>
            <w:r>
              <w:rPr>
                <w:rFonts w:hint="eastAsia" w:ascii="宋体" w:hAnsi="宋体" w:eastAsia="宋体" w:cs="宋体"/>
                <w:color w:val="auto"/>
                <w:sz w:val="24"/>
                <w:szCs w:val="24"/>
                <w:lang w:eastAsia="zh-CN"/>
              </w:rPr>
              <w:t>采购包2</w:t>
            </w:r>
            <w:r>
              <w:rPr>
                <w:rFonts w:hint="eastAsia" w:ascii="宋体" w:hAnsi="宋体" w:eastAsia="宋体" w:cs="宋体"/>
                <w:color w:val="auto"/>
                <w:sz w:val="24"/>
                <w:szCs w:val="24"/>
              </w:rPr>
              <w:t>须严格执行</w:t>
            </w:r>
            <w:r>
              <w:rPr>
                <w:rFonts w:hint="eastAsia" w:ascii="宋体" w:hAnsi="宋体" w:eastAsia="宋体" w:cs="宋体"/>
                <w:color w:val="auto"/>
                <w:sz w:val="24"/>
                <w:szCs w:val="24"/>
                <w:lang w:eastAsia="zh-CN"/>
              </w:rPr>
              <w:t>采购包1</w:t>
            </w:r>
            <w:r>
              <w:rPr>
                <w:rFonts w:hint="eastAsia" w:ascii="宋体" w:hAnsi="宋体" w:eastAsia="宋体" w:cs="宋体"/>
                <w:color w:val="auto"/>
                <w:sz w:val="24"/>
                <w:szCs w:val="24"/>
              </w:rPr>
              <w:t>发布的全县统一技术标准、作业模板，按牵头方要求完成整改，按时报送周报月报及各类成果。</w:t>
            </w:r>
          </w:p>
          <w:p w14:paraId="5BDA80B4">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采购包1</w:t>
            </w:r>
            <w:r>
              <w:rPr>
                <w:rFonts w:hint="eastAsia" w:ascii="宋体" w:hAnsi="宋体" w:eastAsia="宋体" w:cs="宋体"/>
                <w:color w:val="auto"/>
                <w:sz w:val="24"/>
                <w:szCs w:val="24"/>
              </w:rPr>
              <w:t>不得干预</w:t>
            </w:r>
            <w:r>
              <w:rPr>
                <w:rFonts w:hint="eastAsia" w:ascii="宋体" w:hAnsi="宋体" w:eastAsia="宋体" w:cs="宋体"/>
                <w:color w:val="auto"/>
                <w:sz w:val="24"/>
                <w:szCs w:val="24"/>
                <w:lang w:eastAsia="zh-CN"/>
              </w:rPr>
              <w:t>采购包2</w:t>
            </w:r>
            <w:r>
              <w:rPr>
                <w:rFonts w:hint="eastAsia" w:ascii="宋体" w:hAnsi="宋体" w:eastAsia="宋体" w:cs="宋体"/>
                <w:color w:val="auto"/>
                <w:sz w:val="24"/>
                <w:szCs w:val="24"/>
              </w:rPr>
              <w:t>内部人员组织、项目内部管理，仅做技术标准、质量、成果统筹。</w:t>
            </w:r>
          </w:p>
          <w:p w14:paraId="688865BC">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3.因</w:t>
            </w:r>
            <w:r>
              <w:rPr>
                <w:rFonts w:hint="eastAsia" w:ascii="宋体" w:hAnsi="宋体" w:eastAsia="宋体" w:cs="宋体"/>
                <w:color w:val="auto"/>
                <w:sz w:val="24"/>
                <w:szCs w:val="24"/>
                <w:lang w:eastAsia="zh-CN"/>
              </w:rPr>
              <w:t>采购包1</w:t>
            </w:r>
            <w:r>
              <w:rPr>
                <w:rFonts w:hint="eastAsia" w:ascii="宋体" w:hAnsi="宋体" w:eastAsia="宋体" w:cs="宋体"/>
                <w:color w:val="auto"/>
                <w:sz w:val="24"/>
                <w:szCs w:val="24"/>
              </w:rPr>
              <w:t>牵头统筹履职不到位，造成全县整体质量、进度问题，由</w:t>
            </w:r>
            <w:r>
              <w:rPr>
                <w:rFonts w:hint="eastAsia" w:ascii="宋体" w:hAnsi="宋体" w:eastAsia="宋体" w:cs="宋体"/>
                <w:color w:val="auto"/>
                <w:sz w:val="24"/>
                <w:szCs w:val="24"/>
                <w:lang w:eastAsia="zh-CN"/>
              </w:rPr>
              <w:t>采购包1</w:t>
            </w:r>
            <w:r>
              <w:rPr>
                <w:rFonts w:hint="eastAsia" w:ascii="宋体" w:hAnsi="宋体" w:eastAsia="宋体" w:cs="宋体"/>
                <w:color w:val="auto"/>
                <w:sz w:val="24"/>
                <w:szCs w:val="24"/>
              </w:rPr>
              <w:t>向采购人承担违约责任；因</w:t>
            </w:r>
            <w:r>
              <w:rPr>
                <w:rFonts w:hint="eastAsia" w:ascii="宋体" w:hAnsi="宋体" w:eastAsia="宋体" w:cs="宋体"/>
                <w:color w:val="auto"/>
                <w:sz w:val="24"/>
                <w:szCs w:val="24"/>
                <w:lang w:eastAsia="zh-CN"/>
              </w:rPr>
              <w:t>采购包2</w:t>
            </w:r>
            <w:r>
              <w:rPr>
                <w:rFonts w:hint="eastAsia" w:ascii="宋体" w:hAnsi="宋体" w:eastAsia="宋体" w:cs="宋体"/>
                <w:color w:val="auto"/>
                <w:sz w:val="24"/>
                <w:szCs w:val="24"/>
              </w:rPr>
              <w:t>不落实统一技术标准、不按期完成属地工作产生质量、进度问题，由</w:t>
            </w:r>
            <w:r>
              <w:rPr>
                <w:rFonts w:hint="eastAsia" w:ascii="宋体" w:hAnsi="宋体" w:eastAsia="宋体" w:cs="宋体"/>
                <w:color w:val="auto"/>
                <w:sz w:val="24"/>
                <w:szCs w:val="24"/>
                <w:lang w:eastAsia="zh-CN"/>
              </w:rPr>
              <w:t>采购包2</w:t>
            </w:r>
            <w:r>
              <w:rPr>
                <w:rFonts w:hint="eastAsia" w:ascii="宋体" w:hAnsi="宋体" w:eastAsia="宋体" w:cs="宋体"/>
                <w:color w:val="auto"/>
                <w:sz w:val="24"/>
                <w:szCs w:val="24"/>
              </w:rPr>
              <w:t>向采购人承担违约责任。</w:t>
            </w:r>
          </w:p>
          <w:p w14:paraId="53B3D029">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4.原有违约处置条款保留，泄密、工期延误、成果不合格追责分别对应各包组。</w:t>
            </w:r>
          </w:p>
        </w:tc>
      </w:tr>
      <w:tr w14:paraId="4EBE3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9" w:type="dxa"/>
          </w:tcPr>
          <w:p w14:paraId="6E1F55D5">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说明</w:t>
            </w:r>
          </w:p>
        </w:tc>
        <w:tc>
          <w:tcPr>
            <w:tcW w:w="892" w:type="dxa"/>
          </w:tcPr>
          <w:p w14:paraId="432CCB02">
            <w:pPr>
              <w:spacing w:before="20" w:after="20" w:line="360" w:lineRule="auto"/>
              <w:rPr>
                <w:rFonts w:hint="eastAsia" w:ascii="宋体" w:hAnsi="宋体" w:eastAsia="宋体" w:cs="宋体"/>
                <w:color w:val="auto"/>
                <w:sz w:val="24"/>
                <w:szCs w:val="24"/>
              </w:rPr>
            </w:pPr>
          </w:p>
        </w:tc>
        <w:tc>
          <w:tcPr>
            <w:tcW w:w="1324" w:type="dxa"/>
          </w:tcPr>
          <w:p w14:paraId="2874E4AB">
            <w:pPr>
              <w:spacing w:before="20" w:after="20" w:line="360" w:lineRule="auto"/>
              <w:rPr>
                <w:rFonts w:hint="eastAsia" w:ascii="宋体" w:hAnsi="宋体" w:eastAsia="宋体" w:cs="宋体"/>
                <w:color w:val="auto"/>
                <w:sz w:val="24"/>
                <w:szCs w:val="24"/>
              </w:rPr>
            </w:pPr>
          </w:p>
        </w:tc>
        <w:tc>
          <w:tcPr>
            <w:tcW w:w="6602" w:type="dxa"/>
          </w:tcPr>
          <w:p w14:paraId="27753EE7">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打“★”号条款为实质性条款，若有任何一条负偏离或不满足则导致投标（响应）无效。</w:t>
            </w:r>
          </w:p>
          <w:p w14:paraId="57FAE208">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打“▲”号条款为重要参数（如有），若有部分“▲”条款未响应或不满足，将根据评审要求影响其得分，但不作为无效投标（响应）条款。</w:t>
            </w:r>
          </w:p>
        </w:tc>
      </w:tr>
    </w:tbl>
    <w:p w14:paraId="7336F8A5">
      <w:pPr>
        <w:spacing w:after="160" w:line="360" w:lineRule="auto"/>
        <w:rPr>
          <w:rFonts w:hint="eastAsia" w:ascii="宋体" w:hAnsi="宋体" w:eastAsia="宋体" w:cs="宋体"/>
          <w:color w:val="auto"/>
          <w:sz w:val="24"/>
          <w:szCs w:val="24"/>
        </w:rPr>
      </w:pPr>
      <w:r>
        <w:rPr>
          <w:rFonts w:hint="eastAsia" w:ascii="宋体" w:hAnsi="宋体" w:eastAsia="宋体" w:cs="宋体"/>
          <w:b/>
          <w:color w:val="auto"/>
          <w:sz w:val="24"/>
          <w:szCs w:val="24"/>
        </w:rPr>
        <w:t>2.技术标准与要求</w:t>
      </w:r>
    </w:p>
    <w:tbl>
      <w:tblPr>
        <w:tblStyle w:val="35"/>
        <w:tblW w:w="96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5"/>
        <w:gridCol w:w="759"/>
        <w:gridCol w:w="1518"/>
        <w:gridCol w:w="488"/>
        <w:gridCol w:w="802"/>
        <w:gridCol w:w="1724"/>
        <w:gridCol w:w="1656"/>
        <w:gridCol w:w="1136"/>
        <w:gridCol w:w="1020"/>
      </w:tblGrid>
      <w:tr w14:paraId="5271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5" w:type="dxa"/>
          </w:tcPr>
          <w:p w14:paraId="1EEDD55E">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序号</w:t>
            </w:r>
          </w:p>
        </w:tc>
        <w:tc>
          <w:tcPr>
            <w:tcW w:w="759" w:type="dxa"/>
          </w:tcPr>
          <w:p w14:paraId="251F41B4">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品目名称</w:t>
            </w:r>
          </w:p>
        </w:tc>
        <w:tc>
          <w:tcPr>
            <w:tcW w:w="1518" w:type="dxa"/>
          </w:tcPr>
          <w:p w14:paraId="3B2865F7">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标的名称</w:t>
            </w:r>
          </w:p>
        </w:tc>
        <w:tc>
          <w:tcPr>
            <w:tcW w:w="488" w:type="dxa"/>
          </w:tcPr>
          <w:p w14:paraId="17DC8AD3">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单位</w:t>
            </w:r>
          </w:p>
        </w:tc>
        <w:tc>
          <w:tcPr>
            <w:tcW w:w="802" w:type="dxa"/>
          </w:tcPr>
          <w:p w14:paraId="02C68F2E">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数量</w:t>
            </w:r>
          </w:p>
        </w:tc>
        <w:tc>
          <w:tcPr>
            <w:tcW w:w="1724" w:type="dxa"/>
          </w:tcPr>
          <w:p w14:paraId="166F98FA">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分项预算单价（元）</w:t>
            </w:r>
          </w:p>
        </w:tc>
        <w:tc>
          <w:tcPr>
            <w:tcW w:w="1656" w:type="dxa"/>
          </w:tcPr>
          <w:p w14:paraId="524C6A51">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分项预算总价（元）</w:t>
            </w:r>
          </w:p>
        </w:tc>
        <w:tc>
          <w:tcPr>
            <w:tcW w:w="1136" w:type="dxa"/>
          </w:tcPr>
          <w:p w14:paraId="58977872">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所属行业</w:t>
            </w:r>
          </w:p>
        </w:tc>
        <w:tc>
          <w:tcPr>
            <w:tcW w:w="1020" w:type="dxa"/>
          </w:tcPr>
          <w:p w14:paraId="45F49125">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技术要求</w:t>
            </w:r>
          </w:p>
        </w:tc>
      </w:tr>
      <w:tr w14:paraId="552F7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85" w:type="dxa"/>
          </w:tcPr>
          <w:p w14:paraId="557B557A">
            <w:pPr>
              <w:spacing w:before="20" w:after="20" w:line="360" w:lineRule="auto"/>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p>
        </w:tc>
        <w:tc>
          <w:tcPr>
            <w:tcW w:w="759" w:type="dxa"/>
          </w:tcPr>
          <w:p w14:paraId="778B02A2">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测绘服务</w:t>
            </w:r>
          </w:p>
        </w:tc>
        <w:tc>
          <w:tcPr>
            <w:tcW w:w="1518" w:type="dxa"/>
          </w:tcPr>
          <w:p w14:paraId="2AF0EE79">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仁化县第二轮土地承包到期后再延长30年试点技术服务(属地实施)</w:t>
            </w:r>
          </w:p>
        </w:tc>
        <w:tc>
          <w:tcPr>
            <w:tcW w:w="488" w:type="dxa"/>
          </w:tcPr>
          <w:p w14:paraId="77F967E7">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项</w:t>
            </w:r>
          </w:p>
        </w:tc>
        <w:tc>
          <w:tcPr>
            <w:tcW w:w="802" w:type="dxa"/>
          </w:tcPr>
          <w:p w14:paraId="361401DA">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1.00</w:t>
            </w:r>
          </w:p>
        </w:tc>
        <w:tc>
          <w:tcPr>
            <w:tcW w:w="1724" w:type="dxa"/>
          </w:tcPr>
          <w:p w14:paraId="3897E8A1">
            <w:pPr>
              <w:spacing w:before="20" w:after="20" w:line="360" w:lineRule="auto"/>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4,029,891.64</w:t>
            </w:r>
          </w:p>
        </w:tc>
        <w:tc>
          <w:tcPr>
            <w:tcW w:w="1656" w:type="dxa"/>
          </w:tcPr>
          <w:p w14:paraId="36C43990">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rPr>
              <w:t>4,029,891.64</w:t>
            </w:r>
          </w:p>
        </w:tc>
        <w:tc>
          <w:tcPr>
            <w:tcW w:w="1136" w:type="dxa"/>
          </w:tcPr>
          <w:p w14:paraId="20E11152">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其他未列明行业</w:t>
            </w:r>
          </w:p>
        </w:tc>
        <w:tc>
          <w:tcPr>
            <w:tcW w:w="1020" w:type="dxa"/>
          </w:tcPr>
          <w:p w14:paraId="75623F9E">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详见附表一</w:t>
            </w:r>
          </w:p>
        </w:tc>
      </w:tr>
    </w:tbl>
    <w:p w14:paraId="1A3BD32E">
      <w:pPr>
        <w:spacing w:line="360" w:lineRule="auto"/>
        <w:jc w:val="both"/>
        <w:rPr>
          <w:rFonts w:hint="eastAsia" w:ascii="宋体" w:hAnsi="宋体" w:eastAsia="宋体" w:cs="宋体"/>
          <w:color w:val="auto"/>
          <w:sz w:val="24"/>
          <w:szCs w:val="24"/>
        </w:rPr>
      </w:pPr>
      <w:r>
        <w:rPr>
          <w:rFonts w:hint="eastAsia" w:ascii="宋体" w:hAnsi="宋体" w:eastAsia="宋体" w:cs="宋体"/>
          <w:b/>
          <w:color w:val="auto"/>
          <w:sz w:val="24"/>
          <w:szCs w:val="24"/>
        </w:rPr>
        <w:t>附表一：</w:t>
      </w:r>
      <w:r>
        <w:rPr>
          <w:rFonts w:hint="eastAsia" w:ascii="宋体" w:hAnsi="宋体" w:eastAsia="宋体" w:cs="宋体"/>
          <w:b/>
          <w:color w:val="auto"/>
          <w:sz w:val="24"/>
          <w:szCs w:val="24"/>
          <w:lang w:eastAsia="zh-CN"/>
        </w:rPr>
        <w:t>仁化县第二轮土地承包到期后再延长30年试点技术服务(属地实施)</w:t>
      </w:r>
    </w:p>
    <w:tbl>
      <w:tblPr>
        <w:tblStyle w:val="35"/>
        <w:tblW w:w="96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7"/>
        <w:gridCol w:w="775"/>
        <w:gridCol w:w="7726"/>
      </w:tblGrid>
      <w:tr w14:paraId="16CF2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87" w:type="dxa"/>
          </w:tcPr>
          <w:p w14:paraId="04215897">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参数性质</w:t>
            </w:r>
          </w:p>
        </w:tc>
        <w:tc>
          <w:tcPr>
            <w:tcW w:w="775" w:type="dxa"/>
          </w:tcPr>
          <w:p w14:paraId="0E505A45">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序号</w:t>
            </w:r>
          </w:p>
        </w:tc>
        <w:tc>
          <w:tcPr>
            <w:tcW w:w="7726" w:type="dxa"/>
          </w:tcPr>
          <w:p w14:paraId="3BA3D27F">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具体技术(参数)要求</w:t>
            </w:r>
          </w:p>
        </w:tc>
      </w:tr>
      <w:tr w14:paraId="5ABF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tcPr>
          <w:p w14:paraId="24E266FA">
            <w:pPr>
              <w:spacing w:before="20" w:after="20" w:line="360" w:lineRule="auto"/>
              <w:jc w:val="center"/>
              <w:rPr>
                <w:rFonts w:hint="eastAsia" w:ascii="宋体" w:hAnsi="宋体" w:eastAsia="宋体" w:cs="宋体"/>
                <w:color w:val="auto"/>
                <w:sz w:val="24"/>
                <w:szCs w:val="24"/>
              </w:rPr>
            </w:pPr>
          </w:p>
        </w:tc>
        <w:tc>
          <w:tcPr>
            <w:tcW w:w="775" w:type="dxa"/>
          </w:tcPr>
          <w:p w14:paraId="1C954DBA">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7726" w:type="dxa"/>
          </w:tcPr>
          <w:p w14:paraId="26D3A84C">
            <w:pPr>
              <w:spacing w:after="40"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一、采购项目需实现的功能和目标：</w:t>
            </w:r>
          </w:p>
          <w:p w14:paraId="20EC2947">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rPr>
              <w:t>根据《中华人民共和国农村土地承包法》《中华人民共和国民法典》等法律法规，按照《中共中央 国务院关于保持土地承包关系稳定并长久不变的意见》、《第二轮土地承包到期后再延长30年试点工作规程（试行）》（农办政改〔2023〕7号）、2026年3月中办国办印发《关于做好第二轮土地承包到期后再延长30年试点工作的意见》等文件要求，为稳妥推进仁化县第二轮农村土地承包到期后再延长30年试点工作，确保农村土地承包关系稳定并长久不变，巩固完善农村基本经营制度，充分保障农民土地承包权益，提升农村二轮延包成果应用，为广大农户提供信息化便利化服务，组织开展仁化县第二轮土地承包到期后再延长30年工作。</w:t>
            </w:r>
          </w:p>
          <w:p w14:paraId="1EF84F14">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rPr>
              <w:t>总体目标：以现有登记成果为基底，坚持“大稳定、小调整”原则，在</w:t>
            </w:r>
            <w:r>
              <w:rPr>
                <w:rFonts w:hint="eastAsia" w:ascii="宋体" w:hAnsi="宋体" w:eastAsia="宋体" w:cs="宋体"/>
                <w:color w:val="auto"/>
                <w:sz w:val="24"/>
                <w:szCs w:val="24"/>
                <w:lang w:eastAsia="zh-CN"/>
              </w:rPr>
              <w:t>2028</w:t>
            </w:r>
            <w:r>
              <w:rPr>
                <w:rFonts w:hint="eastAsia" w:ascii="宋体" w:hAnsi="宋体" w:eastAsia="宋体" w:cs="宋体"/>
                <w:color w:val="auto"/>
                <w:sz w:val="24"/>
                <w:szCs w:val="24"/>
              </w:rPr>
              <w:t>年</w:t>
            </w:r>
            <w:r>
              <w:rPr>
                <w:rFonts w:hint="eastAsia" w:ascii="宋体" w:hAnsi="宋体" w:eastAsia="宋体" w:cs="宋体"/>
                <w:color w:val="auto"/>
                <w:sz w:val="24"/>
                <w:szCs w:val="24"/>
                <w:lang w:eastAsia="zh-CN"/>
              </w:rPr>
              <w:t>6</w:t>
            </w:r>
            <w:r>
              <w:rPr>
                <w:rFonts w:hint="eastAsia" w:ascii="宋体" w:hAnsi="宋体" w:eastAsia="宋体" w:cs="宋体"/>
                <w:color w:val="auto"/>
                <w:sz w:val="24"/>
                <w:szCs w:val="24"/>
              </w:rPr>
              <w:t>月</w:t>
            </w:r>
            <w:r>
              <w:rPr>
                <w:rFonts w:hint="eastAsia" w:ascii="宋体" w:hAnsi="宋体" w:eastAsia="宋体" w:cs="宋体"/>
                <w:color w:val="auto"/>
                <w:sz w:val="24"/>
                <w:szCs w:val="24"/>
                <w:lang w:eastAsia="zh-CN"/>
              </w:rPr>
              <w:t>30日</w:t>
            </w:r>
            <w:r>
              <w:rPr>
                <w:rFonts w:hint="eastAsia" w:ascii="宋体" w:hAnsi="宋体" w:eastAsia="宋体" w:cs="宋体"/>
                <w:color w:val="auto"/>
                <w:sz w:val="24"/>
                <w:szCs w:val="24"/>
              </w:rPr>
              <w:t>前全覆盖完成摸底调查、方案制定、核实调查、公示纠错、合同网签、数据库更新、档案整理、成果汇交、竣工验收全流程技术服务，建立标准统一、数据互通、档案完整的二轮延包成果体系，同步对接省级平台、不动产登记系统，满足农业农村部门验收标准。</w:t>
            </w:r>
          </w:p>
          <w:p w14:paraId="36FE7447">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3.属地实施服务范围为：丹霞街道、城口镇、红山镇、石塘镇、董塘镇5个镇（街），确权亩数：127326.76亩，承包农户约17032.00户。</w:t>
            </w:r>
          </w:p>
        </w:tc>
      </w:tr>
      <w:tr w14:paraId="57CDE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tcPr>
          <w:p w14:paraId="04CDF3D9">
            <w:pPr>
              <w:spacing w:before="20" w:after="20" w:line="360" w:lineRule="auto"/>
              <w:jc w:val="center"/>
              <w:rPr>
                <w:rFonts w:hint="eastAsia" w:ascii="宋体" w:hAnsi="宋体" w:eastAsia="宋体" w:cs="宋体"/>
                <w:color w:val="auto"/>
                <w:sz w:val="24"/>
                <w:szCs w:val="24"/>
              </w:rPr>
            </w:pPr>
          </w:p>
        </w:tc>
        <w:tc>
          <w:tcPr>
            <w:tcW w:w="775" w:type="dxa"/>
          </w:tcPr>
          <w:p w14:paraId="6C106FA5">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7726" w:type="dxa"/>
          </w:tcPr>
          <w:p w14:paraId="4D980666">
            <w:pPr>
              <w:spacing w:after="40"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二、主要功能与服务内容：</w:t>
            </w:r>
          </w:p>
          <w:p w14:paraId="5C3A61D3">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rPr>
              <w:t>根据《第二轮土地承包到期后再延长30年试点工作规程》及《农村土地承包经营权调查规程》（NY/T2537-2014）、《地籍调查规程》（GB/T42547-2023）等有关规定，本项目技术服务主要包括前期政策动员与业务培训、农户承包信息摸底调查、权属边界实测与纠错、承包方案编制辅助服务、公示公告组织配合、承包合同网签落地、成果数据建库与汇交、项目档案整理与数字化、权属纠纷调处技术支撑、不动产登记衔接配合等全部环节。本项目技术服务主要包括以下内容：</w:t>
            </w:r>
          </w:p>
          <w:p w14:paraId="46C7D5A3">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①宣传培训：按县、镇（街）、村社分层次召开第二轮土地承包到期后再延长30年工作宣传动员大会，部署推进延包工作。根据延包政策依据、延包原则和方式对农户加强宣传解释，充分调动群众参与的自觉性和主动性。围绕有关政策法规、操作规程，加强对镇（街）、村社延包小组成员开展业务培训。</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须输出培训课件、培训签到表、现场影像照片、宣传海报、宣传折页、宣传工作台账等全套宣传培训资料，并纳入归档成果。</w:t>
            </w:r>
          </w:p>
          <w:p w14:paraId="7B5B9CF6">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②摸底调查：利用农村土地承包经营权确权登记颁证成果、农村集体产权制度改革成果、二轮土地承包台账、根据收集资料制作的延包摸底调查图及集体经济组织成员清册等资料，对农村土地承包情况开展摸底核实调查。调查</w:t>
            </w:r>
            <w:r>
              <w:rPr>
                <w:rFonts w:hint="eastAsia" w:ascii="宋体" w:hAnsi="宋体" w:eastAsia="宋体" w:cs="宋体"/>
                <w:color w:val="auto"/>
                <w:sz w:val="24"/>
                <w:szCs w:val="24"/>
                <w:lang w:eastAsia="zh-CN"/>
              </w:rPr>
              <w:t>发包方分立</w:t>
            </w:r>
            <w:r>
              <w:rPr>
                <w:rFonts w:hint="eastAsia" w:ascii="宋体" w:hAnsi="宋体" w:eastAsia="宋体" w:cs="宋体"/>
                <w:color w:val="auto"/>
                <w:sz w:val="24"/>
                <w:szCs w:val="24"/>
              </w:rPr>
              <w:t>、合并及名称变更情况；摸清各承包户延包意愿；摸清承包农户分户合户、整户消亡、</w:t>
            </w:r>
            <w:r>
              <w:rPr>
                <w:rFonts w:hint="eastAsia" w:ascii="宋体" w:hAnsi="宋体" w:eastAsia="宋体" w:cs="宋体"/>
                <w:color w:val="auto"/>
                <w:sz w:val="24"/>
                <w:szCs w:val="24"/>
                <w:lang w:eastAsia="zh-CN"/>
              </w:rPr>
              <w:t>特困人员</w:t>
            </w:r>
            <w:r>
              <w:rPr>
                <w:rFonts w:hint="eastAsia" w:ascii="宋体" w:hAnsi="宋体" w:eastAsia="宋体" w:cs="宋体"/>
                <w:color w:val="auto"/>
                <w:sz w:val="24"/>
                <w:szCs w:val="24"/>
              </w:rPr>
              <w:t>死亡承包地收归集体公田、移民户以及整户无地等情况；摸清公务员、</w:t>
            </w:r>
            <w:r>
              <w:rPr>
                <w:rFonts w:hint="eastAsia" w:ascii="宋体" w:hAnsi="宋体" w:eastAsia="宋体" w:cs="宋体"/>
                <w:color w:val="auto"/>
                <w:sz w:val="24"/>
                <w:szCs w:val="24"/>
                <w:lang w:eastAsia="zh-CN"/>
              </w:rPr>
              <w:t>出嫁女</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入赘婿</w:t>
            </w:r>
            <w:r>
              <w:rPr>
                <w:rFonts w:hint="eastAsia" w:ascii="宋体" w:hAnsi="宋体" w:eastAsia="宋体" w:cs="宋体"/>
                <w:color w:val="auto"/>
                <w:sz w:val="24"/>
                <w:szCs w:val="24"/>
              </w:rPr>
              <w:t>等特殊人群的情况；摸清第二轮土地承包以来各承包户内成员增减和户代表变更情况；摸清因征收及国有土地减少的承包用地，自然灾害损毁的承包用地，农民建房占用的承包土地，林地界线压盖的承包土地以及其他建设用地使承包地块面积、四至发生变动等情况；摸清二轮土地承包登记地块错、漏情况；摸清农户间地块互换、转让、合并情况；摸清开荒地、机动地等情况，以及存在的纠纷矛盾和历史遗留问题，掌握集体可发包耕地面积的情况；摸清二轮土地承包整社未确权登记的确权延包意愿，及集体经济组织资格人员、承包户、集体承包地的情况等，并收集</w:t>
            </w:r>
            <w:r>
              <w:rPr>
                <w:rFonts w:hint="eastAsia" w:ascii="宋体" w:hAnsi="宋体" w:eastAsia="宋体" w:cs="宋体"/>
                <w:color w:val="auto"/>
                <w:sz w:val="24"/>
                <w:szCs w:val="24"/>
                <w:lang w:eastAsia="zh-CN"/>
              </w:rPr>
              <w:t>承包方代表身份证</w:t>
            </w:r>
            <w:r>
              <w:rPr>
                <w:rFonts w:hint="eastAsia" w:ascii="宋体" w:hAnsi="宋体" w:eastAsia="宋体" w:cs="宋体"/>
                <w:color w:val="auto"/>
                <w:sz w:val="24"/>
                <w:szCs w:val="24"/>
              </w:rPr>
              <w:t>、户口本复印件等资料。</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须建立摸底调查问题台账，对历史纠纷、疑难问题形成专项处置清单。</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对收集获取的农户身份证、户口本等个人敏感信息严格履行保密义务，遵守《中华人民共和国个人信息保护法》，严禁私自复制、外泄。</w:t>
            </w:r>
          </w:p>
          <w:p w14:paraId="04A185E7">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③制定延包方案：按照有关政策要求，在摸底调查后对农户意愿及变更情况分类汇总的基础上，协助各镇（街）及村社因类施策制定各镇（街）及村社延包试点工作实施方案，做到一村一方案，明确重大特殊问题处置方法意见。实施方案在本集体经济组织范围内公示不少于15日，经本集体经济组织成员会议三分之二以上成员或者三分之二以上村民代表（有委托书）的同意，无异议后再按实施方案公开组织实施，并上报县镇人民政府备案。整社未确权登记的延包方案应按先确权登记后延包的流程制定。</w:t>
            </w:r>
          </w:p>
          <w:p w14:paraId="439A9E33">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④核实调查：根据摸底调查图表数据、工作底图、农村土地承包经营权证书原件、</w:t>
            </w:r>
            <w:r>
              <w:rPr>
                <w:rFonts w:hint="eastAsia" w:ascii="宋体" w:hAnsi="宋体" w:eastAsia="宋体" w:cs="宋体"/>
                <w:color w:val="auto"/>
                <w:sz w:val="24"/>
                <w:szCs w:val="24"/>
                <w:lang w:eastAsia="zh-CN"/>
              </w:rPr>
              <w:t>承包方代表身份证</w:t>
            </w:r>
            <w:r>
              <w:rPr>
                <w:rFonts w:hint="eastAsia" w:ascii="宋体" w:hAnsi="宋体" w:eastAsia="宋体" w:cs="宋体"/>
                <w:color w:val="auto"/>
                <w:sz w:val="24"/>
                <w:szCs w:val="24"/>
              </w:rPr>
              <w:t>和户口本复印件、承包信息变更申请和已通过的村组延包工作实施方案，逐一进行入户实地调查或实地指界，对承包农户基本信息、承包土地面积、位置、四至等进行调查核实，个别山地特殊情况可规范使用无人机作业。核实承包权与集体成员资格不符的情况、家庭成员变化的情况；农户互换土地的情况；历史国有土地、建设征地的情况；公益建设占地、宅基地建房等建设用地的情况；承包地改变用途的情况；承包地受自然灾害损坏的情况；承包户漏登记地块；整户未确权登记的情况；消亡户及</w:t>
            </w:r>
            <w:r>
              <w:rPr>
                <w:rFonts w:hint="eastAsia" w:ascii="宋体" w:hAnsi="宋体" w:eastAsia="宋体" w:cs="宋体"/>
                <w:color w:val="auto"/>
                <w:sz w:val="24"/>
                <w:szCs w:val="24"/>
                <w:lang w:eastAsia="zh-CN"/>
              </w:rPr>
              <w:t>特困人员</w:t>
            </w:r>
            <w:r>
              <w:rPr>
                <w:rFonts w:hint="eastAsia" w:ascii="宋体" w:hAnsi="宋体" w:eastAsia="宋体" w:cs="宋体"/>
                <w:color w:val="auto"/>
                <w:sz w:val="24"/>
                <w:szCs w:val="24"/>
              </w:rPr>
              <w:t>去世土地承包的情况；因其他原因上轮放弃承包地的遗留问题；分户、合户的情况；进城农户土地延包的情况；妇女权益保障的情况；多源国土数据叠加冲突排查专项：负责</w:t>
            </w:r>
            <w:r>
              <w:rPr>
                <w:rFonts w:hint="eastAsia" w:ascii="宋体" w:hAnsi="宋体" w:eastAsia="宋体" w:cs="宋体"/>
                <w:color w:val="auto"/>
                <w:sz w:val="24"/>
                <w:szCs w:val="24"/>
                <w:lang w:eastAsia="zh-CN"/>
              </w:rPr>
              <w:t>配合自然资源部门</w:t>
            </w:r>
            <w:r>
              <w:rPr>
                <w:rFonts w:hint="eastAsia" w:ascii="宋体" w:hAnsi="宋体" w:eastAsia="宋体" w:cs="宋体"/>
                <w:color w:val="auto"/>
                <w:sz w:val="24"/>
                <w:szCs w:val="24"/>
              </w:rPr>
              <w:t>完成承包地成果数据与集体土地所有权、林权、已登记建设用地、征地红线等自然资源存量数据的全量叠加比对，系统排查权属边界冲突地块，形成分类冲突台账，标注冲突类型、涉及农户范围，提前梳理发证风险点。到期无法收回承包地情况；上轮整社未确权登记延包的情况及承包地权属争议的情况等。</w:t>
            </w:r>
          </w:p>
          <w:p w14:paraId="1DB3D59C">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⑤审核公示：根据二轮确权登记成果和核实调查成果对二轮土地承包基础信息进行调整和修正，并制作公示图和公示表。村社延包工作实施小组对《公示图》《公示表》《公示公告》及有资格参与延包的成员名单公示表进行审核加盖公章，由工作人员到村务公开栏进行张贴，进行第一轮公示，并拍照存档，公示期不少于15天。公示时间按自然日计算。公示期间如有异议的，农户需向所属延包工作小组提出，由延包工作小组统一收集相关异议问题，</w:t>
            </w:r>
            <w:r>
              <w:rPr>
                <w:rFonts w:hint="eastAsia" w:ascii="宋体" w:hAnsi="宋体" w:eastAsia="宋体" w:cs="宋体"/>
                <w:color w:val="auto"/>
                <w:sz w:val="24"/>
                <w:szCs w:val="24"/>
                <w:lang w:eastAsia="zh-CN"/>
              </w:rPr>
              <w:t>由延包工作小组及中标人针对</w:t>
            </w:r>
            <w:r>
              <w:rPr>
                <w:rFonts w:hint="eastAsia" w:ascii="宋体" w:hAnsi="宋体" w:eastAsia="宋体" w:cs="宋体"/>
                <w:color w:val="auto"/>
                <w:sz w:val="24"/>
                <w:szCs w:val="24"/>
              </w:rPr>
              <w:t>有异议的问题与农户逐一核实、修正，经核实修正后重新制作《二次公示图》《二次公示表》《公示公告》进行二次公示。公示结果无异议后，由承包户代表在相关公示图表和《公示无异议书》上签字确认。</w:t>
            </w:r>
          </w:p>
          <w:p w14:paraId="1716754D">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⑥签约颁证：公示无异议后，根据公示结果，明确二轮承包到期后延包的土地承包关系，更新后农村土地承包经营权数据库，按照《农村土地承包合同示范文本》要求，输出土地延包合同，并按要求组织发包方与</w:t>
            </w:r>
            <w:r>
              <w:rPr>
                <w:rFonts w:hint="eastAsia" w:ascii="宋体" w:hAnsi="宋体" w:eastAsia="宋体" w:cs="宋体"/>
                <w:color w:val="auto"/>
                <w:sz w:val="24"/>
                <w:szCs w:val="24"/>
                <w:lang w:eastAsia="zh-CN"/>
              </w:rPr>
              <w:t>承包方代表</w:t>
            </w:r>
            <w:r>
              <w:rPr>
                <w:rFonts w:hint="eastAsia" w:ascii="宋体" w:hAnsi="宋体" w:eastAsia="宋体" w:cs="宋体"/>
                <w:color w:val="auto"/>
                <w:sz w:val="24"/>
                <w:szCs w:val="24"/>
              </w:rPr>
              <w:t>签订承包合同，形成延包法律文书。合同签订采用线下和线上网签相结合模式，须支持农户微信扫码远程核实承包地信息、土地延包合同线上网签全流程功能，切实解决农户外出务工无法现场办理土地延包手续、人员成本高、办事效率低等问题。将二轮延包成果数据库移交自然资源部门，配合自然资源部门开展不动产登记相关技术对接，</w:t>
            </w:r>
            <w:r>
              <w:rPr>
                <w:rFonts w:hint="eastAsia"/>
                <w:color w:val="auto"/>
                <w:sz w:val="24"/>
                <w:szCs w:val="24"/>
              </w:rPr>
              <w:t>配合不动产登记主管部门完成数据核验、问题整改、成果汇交等全环节工作，保障承包合同签订与不动产登记发证同步推进、无缝衔接。</w:t>
            </w:r>
            <w:r>
              <w:rPr>
                <w:rFonts w:hint="eastAsia" w:ascii="宋体" w:hAnsi="宋体" w:eastAsia="宋体" w:cs="宋体"/>
                <w:color w:val="auto"/>
                <w:sz w:val="24"/>
                <w:szCs w:val="24"/>
              </w:rPr>
              <w:t>协助整理提交登记申请材料；不动产证书制证、颁发主体为自然资源部门。</w:t>
            </w:r>
          </w:p>
          <w:p w14:paraId="539EC438">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⑦归档建库：延包工作结束后，将延包试点工作过程中的图、表、合同书、委托书等相关实体资料和电子资料按档案整理要求进行归档整理，并按照规定统一将纸质档案扫描转为电子档案。</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按照仁化县国家档案馆接收标准完成档案整理、数字化加工，配合采购人完成向仁化县国家档案馆移交工作，按档案馆合理要求完成档案整改，验收合格后全部档案成果移交仁化县国家档案馆统一管理。对更新后农村土地承包经营权数据库数据进行制作国标版的成果汇交包，通过国家质检软件检查后汇交到省农业农村厅、国家农业农村部。因上级平台接口调整、版本升级需要修改汇交包的，</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须无偿完成适配调整。</w:t>
            </w:r>
          </w:p>
          <w:p w14:paraId="0CDA697F">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⑧总结验收：延包试点工作结束后，县、镇（街）、村总结延包工作的组织情况、主要做法经验和问题处置建议等，编制全套验收资料：项目技术总结报告、自检报告、质量检查记录、全套图件台账，配合成果验收，对验收提出的问题按采购人及上级验收单位规定时限完成无偿整改直至合格。各包组分别编制本包组总结验收资料并分别接受验收；包组一另承担全县整体自检、总验收技术统筹及验收汇编工作。</w:t>
            </w:r>
          </w:p>
          <w:p w14:paraId="320DD5C0">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rPr>
              <w:t>工作分工说明：本项目按包组分别实施、独立结算。完成本包组丹霞街道、城口镇、红山镇、石塘镇、董塘镇5个镇（街）全套属地实施工作，不承担全县统筹职能，实施过程中须服从包组一发布的统一技术标准、模板及质量整改要求，按要求提交本包组成果、数据库、档案。</w:t>
            </w:r>
          </w:p>
        </w:tc>
      </w:tr>
      <w:tr w14:paraId="5989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tcPr>
          <w:p w14:paraId="11CED700">
            <w:pPr>
              <w:spacing w:before="20" w:after="20" w:line="360" w:lineRule="auto"/>
              <w:jc w:val="center"/>
              <w:rPr>
                <w:rFonts w:hint="eastAsia" w:ascii="宋体" w:hAnsi="宋体" w:eastAsia="宋体" w:cs="宋体"/>
                <w:color w:val="auto"/>
                <w:sz w:val="24"/>
                <w:szCs w:val="24"/>
              </w:rPr>
            </w:pPr>
          </w:p>
        </w:tc>
        <w:tc>
          <w:tcPr>
            <w:tcW w:w="775" w:type="dxa"/>
          </w:tcPr>
          <w:p w14:paraId="471AD944">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7726" w:type="dxa"/>
          </w:tcPr>
          <w:p w14:paraId="6C0DDD5E">
            <w:pPr>
              <w:spacing w:after="40"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三、规范依据：</w:t>
            </w:r>
          </w:p>
          <w:p w14:paraId="6AF24CEB">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一）法律法规：1.《中华人民共和国民法典》；2.《中华人民共和国农村土地承包法》；3.《中华人民共和国土地管理法》；4.《中华人民共和国电子签名法》；5.《中华人民共和国档案法》；6.《中华人民共和国农村集体经济组织法》；</w:t>
            </w:r>
            <w:r>
              <w:rPr>
                <w:rFonts w:hint="eastAsia" w:ascii="宋体" w:hAnsi="宋体" w:eastAsia="宋体" w:cs="宋体"/>
                <w:color w:val="auto"/>
                <w:sz w:val="24"/>
                <w:szCs w:val="24"/>
                <w:lang w:eastAsia="zh-CN"/>
              </w:rPr>
              <w:t>7</w:t>
            </w:r>
            <w:r>
              <w:rPr>
                <w:rFonts w:hint="eastAsia" w:ascii="宋体" w:hAnsi="宋体" w:eastAsia="宋体" w:cs="宋体"/>
                <w:color w:val="auto"/>
                <w:sz w:val="24"/>
                <w:szCs w:val="24"/>
              </w:rPr>
              <w:t>.《中华人民共和国个人信息保护法》；</w:t>
            </w:r>
            <w:r>
              <w:rPr>
                <w:rFonts w:hint="eastAsia" w:ascii="宋体" w:hAnsi="宋体" w:eastAsia="宋体" w:cs="宋体"/>
                <w:color w:val="auto"/>
                <w:sz w:val="24"/>
                <w:szCs w:val="24"/>
                <w:lang w:eastAsia="zh-CN"/>
              </w:rPr>
              <w:t>8</w:t>
            </w:r>
            <w:r>
              <w:rPr>
                <w:rFonts w:hint="eastAsia" w:ascii="宋体" w:hAnsi="宋体" w:eastAsia="宋体" w:cs="宋体"/>
                <w:color w:val="auto"/>
                <w:sz w:val="24"/>
                <w:szCs w:val="24"/>
              </w:rPr>
              <w:t>.农村土地承包经营权确权登记颁证相关的其他法律、行政法规。</w:t>
            </w:r>
          </w:p>
          <w:p w14:paraId="6C7DB141">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二）核心行业文件：1.《农业农村部办公厅、自然资源部办公厅、国家档案局办公室关于印发〈第二轮土地承包到期后再延长30年试点工作规程〉的通知》；2.《农业农村部、国家档案局关于印发〈第二轮土地承包到期后再延长30年试点工作档案管理办法〉的通知》（农政改发〔2025〕1号）；3.《广东省第二轮土地承包到期后再延长30年试点工作规程（试行）》；4.《农村土地承包合同管理办法》（农业农村部令2023年第1号）；5.《自然资源部关于印发土地承包经营权和土地经营权登记操作规范（试行）的通知》（自然资发〔2022〕198号）；6.《广东省第二轮土地承包到期后再延长30年试点工作方案》（粤农农〔2026〕118号）。</w:t>
            </w:r>
          </w:p>
          <w:p w14:paraId="2D05FB62">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（三）技术标准：1.《农村土地承包经营权调查规程》（NY/T 2537-2014）；2.《农村土地承包经营权要素编码规则》（GB/T 35958-2018）；3.《农村土地承包经营权确权登记数据库规范》（NY/T 2539-2016）；4.《地籍调查规程》（GB/T 42547-2023）；5.《北斗/全球卫星导航系统（GNSS）测量型接收机通用规范》（BD 420009—2015）；6.《测绘成果质量检查与验收》（GB/T 24356-2023）；7.《测绘技术总结编写规定》（CH/T 1001-2005）；8.《纸质档案数字化规范》（DA/T 31—2017）；9.《电子文件归档与管理规范》（GB/T 18894-2016）；10.省、市二轮延包专项技术规范、档案整理规范等其他相关技术文件要求。</w:t>
            </w:r>
          </w:p>
        </w:tc>
      </w:tr>
      <w:tr w14:paraId="765B2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tcPr>
          <w:p w14:paraId="0FD8025E">
            <w:pPr>
              <w:spacing w:before="20" w:after="20" w:line="360" w:lineRule="auto"/>
              <w:jc w:val="center"/>
              <w:rPr>
                <w:rFonts w:hint="eastAsia" w:ascii="宋体" w:hAnsi="宋体" w:eastAsia="宋体" w:cs="宋体"/>
                <w:color w:val="auto"/>
                <w:sz w:val="24"/>
                <w:szCs w:val="24"/>
              </w:rPr>
            </w:pPr>
          </w:p>
        </w:tc>
        <w:tc>
          <w:tcPr>
            <w:tcW w:w="775" w:type="dxa"/>
          </w:tcPr>
          <w:p w14:paraId="6CDF99CD">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7726" w:type="dxa"/>
          </w:tcPr>
          <w:p w14:paraId="591C3C84">
            <w:pPr>
              <w:spacing w:after="40"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四、主要技术指标：</w:t>
            </w:r>
          </w:p>
          <w:p w14:paraId="2B4A7549">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（一）比例尺：土地承包经营权调查采用1:2000比例尺。</w:t>
            </w:r>
          </w:p>
          <w:p w14:paraId="6282497C">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（二）数学基础：</w:t>
            </w: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rPr>
              <w:t>坐标系统：采用“2000国家大地坐标系统”；</w:t>
            </w: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rPr>
              <w:t>高程系统：采用“1985国家高程基准”；</w:t>
            </w: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rPr>
              <w:t>投影方式：采用高斯克吕格投影。</w:t>
            </w:r>
          </w:p>
          <w:p w14:paraId="3B49FD54">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（三）精度指标：界址点测量精度按下列等级执行：</w:t>
            </w:r>
          </w:p>
          <w:tbl>
            <w:tblPr>
              <w:tblStyle w:val="35"/>
              <w:tblW w:w="74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1474"/>
              <w:gridCol w:w="1474"/>
              <w:gridCol w:w="1261"/>
              <w:gridCol w:w="2314"/>
            </w:tblGrid>
            <w:tr w14:paraId="3959D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07" w:type="dxa"/>
                </w:tcPr>
                <w:p w14:paraId="20884CD8">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精度等级</w:t>
                  </w:r>
                </w:p>
              </w:tc>
              <w:tc>
                <w:tcPr>
                  <w:tcW w:w="1474" w:type="dxa"/>
                </w:tcPr>
                <w:p w14:paraId="27F8BF54">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点位中误差（相对于邻近控制点）</w:t>
                  </w:r>
                </w:p>
              </w:tc>
              <w:tc>
                <w:tcPr>
                  <w:tcW w:w="1474" w:type="dxa"/>
                </w:tcPr>
                <w:p w14:paraId="0CD0D096">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相邻界址点间距中误差</w:t>
                  </w:r>
                </w:p>
              </w:tc>
              <w:tc>
                <w:tcPr>
                  <w:tcW w:w="1261" w:type="dxa"/>
                </w:tcPr>
                <w:p w14:paraId="41DEC084">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限差（最大允许误差）</w:t>
                  </w:r>
                </w:p>
              </w:tc>
              <w:tc>
                <w:tcPr>
                  <w:tcW w:w="2314" w:type="dxa"/>
                </w:tcPr>
                <w:p w14:paraId="198C605F">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适用要求</w:t>
                  </w:r>
                </w:p>
              </w:tc>
            </w:tr>
            <w:tr w14:paraId="1AF80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7" w:type="dxa"/>
                </w:tcPr>
                <w:p w14:paraId="477B5856">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一级</w:t>
                  </w:r>
                </w:p>
              </w:tc>
              <w:tc>
                <w:tcPr>
                  <w:tcW w:w="1474" w:type="dxa"/>
                </w:tcPr>
                <w:p w14:paraId="61F8C8B6">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±0.05m</w:t>
                  </w:r>
                </w:p>
              </w:tc>
              <w:tc>
                <w:tcPr>
                  <w:tcW w:w="1474" w:type="dxa"/>
                </w:tcPr>
                <w:p w14:paraId="2038D66B">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±0.05m</w:t>
                  </w:r>
                </w:p>
              </w:tc>
              <w:tc>
                <w:tcPr>
                  <w:tcW w:w="1261" w:type="dxa"/>
                </w:tcPr>
                <w:p w14:paraId="3F869AB7">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±0.10m</w:t>
                  </w:r>
                </w:p>
              </w:tc>
              <w:tc>
                <w:tcPr>
                  <w:tcW w:w="2314" w:type="dxa"/>
                </w:tcPr>
                <w:p w14:paraId="29EA4223">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高精度需求区域</w:t>
                  </w:r>
                </w:p>
              </w:tc>
            </w:tr>
            <w:tr w14:paraId="458D9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7" w:type="dxa"/>
                </w:tcPr>
                <w:p w14:paraId="37857EEF">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二级</w:t>
                  </w:r>
                </w:p>
              </w:tc>
              <w:tc>
                <w:tcPr>
                  <w:tcW w:w="1474" w:type="dxa"/>
                </w:tcPr>
                <w:p w14:paraId="17636FC4">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±0.10m</w:t>
                  </w:r>
                </w:p>
              </w:tc>
              <w:tc>
                <w:tcPr>
                  <w:tcW w:w="1474" w:type="dxa"/>
                </w:tcPr>
                <w:p w14:paraId="5CC37CFB">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±0.10m</w:t>
                  </w:r>
                </w:p>
              </w:tc>
              <w:tc>
                <w:tcPr>
                  <w:tcW w:w="1261" w:type="dxa"/>
                </w:tcPr>
                <w:p w14:paraId="529E8DA9">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±0.20m</w:t>
                  </w:r>
                </w:p>
              </w:tc>
              <w:tc>
                <w:tcPr>
                  <w:tcW w:w="2314" w:type="dxa"/>
                </w:tcPr>
                <w:p w14:paraId="27AD7C7D">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平原、丘陵等一般地区最低要求</w:t>
                  </w:r>
                </w:p>
              </w:tc>
            </w:tr>
            <w:tr w14:paraId="6CE8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7" w:type="dxa"/>
                </w:tcPr>
                <w:p w14:paraId="63E8F782">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三级</w:t>
                  </w:r>
                </w:p>
              </w:tc>
              <w:tc>
                <w:tcPr>
                  <w:tcW w:w="1474" w:type="dxa"/>
                </w:tcPr>
                <w:p w14:paraId="7B6C26FE">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±0.15m</w:t>
                  </w:r>
                </w:p>
              </w:tc>
              <w:tc>
                <w:tcPr>
                  <w:tcW w:w="1474" w:type="dxa"/>
                </w:tcPr>
                <w:p w14:paraId="7F20C645">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±0.15m</w:t>
                  </w:r>
                </w:p>
              </w:tc>
              <w:tc>
                <w:tcPr>
                  <w:tcW w:w="1261" w:type="dxa"/>
                </w:tcPr>
                <w:p w14:paraId="276349C4">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±0.30m</w:t>
                  </w:r>
                </w:p>
              </w:tc>
              <w:tc>
                <w:tcPr>
                  <w:tcW w:w="2314" w:type="dxa"/>
                </w:tcPr>
                <w:p w14:paraId="2711B20E">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山地、高山地、密林等特殊困难地区最低要求</w:t>
                  </w:r>
                </w:p>
              </w:tc>
            </w:tr>
          </w:tbl>
          <w:p w14:paraId="3143B401">
            <w:pPr>
              <w:spacing w:after="0" w:line="360" w:lineRule="auto"/>
              <w:rPr>
                <w:rFonts w:hint="eastAsia" w:ascii="宋体" w:hAnsi="宋体" w:eastAsia="宋体" w:cs="宋体"/>
                <w:color w:val="auto"/>
                <w:sz w:val="24"/>
                <w:szCs w:val="24"/>
              </w:rPr>
            </w:pPr>
          </w:p>
          <w:tbl>
            <w:tblPr>
              <w:tblStyle w:val="3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9"/>
              <w:gridCol w:w="2565"/>
              <w:gridCol w:w="2565"/>
            </w:tblGrid>
            <w:tr w14:paraId="7D02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79" w:type="pct"/>
                </w:tcPr>
                <w:p w14:paraId="0D5D6973">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DOM比例尺</w:t>
                  </w:r>
                </w:p>
              </w:tc>
              <w:tc>
                <w:tcPr>
                  <w:tcW w:w="1710" w:type="pct"/>
                </w:tcPr>
                <w:p w14:paraId="53A32782">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平原、丘陵地（米）</w:t>
                  </w:r>
                </w:p>
              </w:tc>
              <w:tc>
                <w:tcPr>
                  <w:tcW w:w="1710" w:type="pct"/>
                </w:tcPr>
                <w:p w14:paraId="352F920D">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b/>
                      <w:color w:val="auto"/>
                      <w:sz w:val="24"/>
                      <w:szCs w:val="24"/>
                    </w:rPr>
                    <w:t>山地、高山地（米）</w:t>
                  </w:r>
                </w:p>
              </w:tc>
            </w:tr>
            <w:tr w14:paraId="27180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79" w:type="pct"/>
                </w:tcPr>
                <w:p w14:paraId="6D5EECFA">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1∶500</w:t>
                  </w:r>
                </w:p>
              </w:tc>
              <w:tc>
                <w:tcPr>
                  <w:tcW w:w="1710" w:type="pct"/>
                </w:tcPr>
                <w:p w14:paraId="6DB634AB">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±0.30</w:t>
                  </w:r>
                </w:p>
              </w:tc>
              <w:tc>
                <w:tcPr>
                  <w:tcW w:w="1710" w:type="pct"/>
                </w:tcPr>
                <w:p w14:paraId="020F7C16">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±0.40</w:t>
                  </w:r>
                </w:p>
              </w:tc>
            </w:tr>
            <w:tr w14:paraId="5771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79" w:type="pct"/>
                </w:tcPr>
                <w:p w14:paraId="5F6318F1">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1∶1000</w:t>
                  </w:r>
                </w:p>
              </w:tc>
              <w:tc>
                <w:tcPr>
                  <w:tcW w:w="1710" w:type="pct"/>
                </w:tcPr>
                <w:p w14:paraId="77C0B3CF">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±0.60</w:t>
                  </w:r>
                </w:p>
              </w:tc>
              <w:tc>
                <w:tcPr>
                  <w:tcW w:w="1710" w:type="pct"/>
                </w:tcPr>
                <w:p w14:paraId="36BEF95F">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±0.80</w:t>
                  </w:r>
                </w:p>
              </w:tc>
            </w:tr>
            <w:tr w14:paraId="1F82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79" w:type="pct"/>
                </w:tcPr>
                <w:p w14:paraId="37FC2463">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1∶2000</w:t>
                  </w:r>
                </w:p>
              </w:tc>
              <w:tc>
                <w:tcPr>
                  <w:tcW w:w="1710" w:type="pct"/>
                </w:tcPr>
                <w:p w14:paraId="5F0CC800">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±1.20</w:t>
                  </w:r>
                </w:p>
              </w:tc>
              <w:tc>
                <w:tcPr>
                  <w:tcW w:w="1710" w:type="pct"/>
                </w:tcPr>
                <w:p w14:paraId="08618045">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±1.60</w:t>
                  </w:r>
                </w:p>
              </w:tc>
            </w:tr>
          </w:tbl>
          <w:p w14:paraId="6DE189FA">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（四）计量单位：长度单位采用米（m），面积单位采用平方米（㎡），统计汇总时面积单位采用公顷（</w:t>
            </w:r>
            <w:bookmarkStart w:id="6" w:name="OLE_LINK4"/>
            <w:r>
              <w:rPr>
                <w:rFonts w:hint="eastAsia" w:ascii="宋体" w:hAnsi="宋体" w:eastAsia="宋体" w:cs="宋体"/>
                <w:color w:val="auto"/>
                <w:sz w:val="24"/>
                <w:szCs w:val="24"/>
              </w:rPr>
              <w:t>hm²</w:t>
            </w:r>
            <w:bookmarkEnd w:id="6"/>
            <w:r>
              <w:rPr>
                <w:rFonts w:hint="eastAsia" w:ascii="宋体" w:hAnsi="宋体" w:eastAsia="宋体" w:cs="宋体"/>
                <w:color w:val="auto"/>
                <w:sz w:val="24"/>
                <w:szCs w:val="24"/>
              </w:rPr>
              <w:t>），并辅以亩为单位，均保留两位小数。</w:t>
            </w:r>
          </w:p>
          <w:p w14:paraId="0077288C">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（五）全流程作业严格执行农业农村部第二轮土地承包到期后再延长30年试点工作相关技术规范、最终交付成果数据须通过农业农村部农村承包地确权登记成果专用质检软件校验合格等要求。</w:t>
            </w:r>
          </w:p>
        </w:tc>
      </w:tr>
      <w:tr w14:paraId="52961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tcPr>
          <w:p w14:paraId="21BC6FE3">
            <w:pPr>
              <w:spacing w:before="20" w:after="20" w:line="360" w:lineRule="auto"/>
              <w:jc w:val="center"/>
              <w:rPr>
                <w:rFonts w:hint="eastAsia" w:ascii="宋体" w:hAnsi="宋体" w:eastAsia="宋体" w:cs="宋体"/>
                <w:color w:val="auto"/>
                <w:sz w:val="24"/>
                <w:szCs w:val="24"/>
              </w:rPr>
            </w:pPr>
          </w:p>
        </w:tc>
        <w:tc>
          <w:tcPr>
            <w:tcW w:w="775" w:type="dxa"/>
          </w:tcPr>
          <w:p w14:paraId="551D186D">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7726" w:type="dxa"/>
          </w:tcPr>
          <w:p w14:paraId="583EF9F1">
            <w:pPr>
              <w:spacing w:after="40"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五、工期要求：</w:t>
            </w:r>
          </w:p>
          <w:p w14:paraId="0307856B">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2028年6月30日</w:t>
            </w:r>
            <w:r>
              <w:rPr>
                <w:rFonts w:hint="eastAsia" w:ascii="宋体" w:hAnsi="宋体" w:eastAsia="宋体" w:cs="宋体"/>
                <w:color w:val="auto"/>
                <w:sz w:val="24"/>
                <w:szCs w:val="24"/>
              </w:rPr>
              <w:t>前完成全部项目建设内容（含摸底调查、方案制定、核实调查、公示纠错、合同网签、数据库更新、档案整理、成果汇交、竣工验收全流程技术服务），详细工期以上级相关要求为准。因政策调整、上级工作部署变化、村社群众不配合等非</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原因造成工期延误的，工期可相应顺延，该情形不视为</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违约。</w:t>
            </w:r>
          </w:p>
        </w:tc>
      </w:tr>
      <w:tr w14:paraId="26BC2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tcPr>
          <w:p w14:paraId="6428A2DF">
            <w:pPr>
              <w:spacing w:before="20" w:after="20" w:line="360" w:lineRule="auto"/>
              <w:jc w:val="center"/>
              <w:rPr>
                <w:rFonts w:hint="eastAsia" w:ascii="宋体" w:hAnsi="宋体" w:eastAsia="宋体" w:cs="宋体"/>
                <w:color w:val="auto"/>
                <w:sz w:val="24"/>
                <w:szCs w:val="24"/>
              </w:rPr>
            </w:pPr>
          </w:p>
        </w:tc>
        <w:tc>
          <w:tcPr>
            <w:tcW w:w="775" w:type="dxa"/>
          </w:tcPr>
          <w:p w14:paraId="05FD3449">
            <w:pPr>
              <w:spacing w:before="20" w:after="2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7726" w:type="dxa"/>
          </w:tcPr>
          <w:p w14:paraId="5DCB7DE1">
            <w:pPr>
              <w:spacing w:after="40"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六、项目成果：</w:t>
            </w:r>
          </w:p>
          <w:p w14:paraId="62A904C4">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（一）</w:t>
            </w:r>
            <w:r>
              <w:rPr>
                <w:rFonts w:hint="eastAsia" w:ascii="宋体" w:hAnsi="宋体" w:eastAsia="宋体" w:cs="宋体"/>
                <w:color w:val="auto"/>
                <w:sz w:val="24"/>
                <w:szCs w:val="24"/>
                <w:lang w:eastAsia="zh-CN"/>
              </w:rPr>
              <w:t>发包方成果</w:t>
            </w:r>
            <w:r>
              <w:rPr>
                <w:rFonts w:hint="eastAsia" w:ascii="宋体" w:hAnsi="宋体" w:eastAsia="宋体" w:cs="宋体"/>
                <w:color w:val="auto"/>
                <w:sz w:val="24"/>
                <w:szCs w:val="24"/>
              </w:rPr>
              <w:t>：1.村社方案、表决书及公示公告；2.</w:t>
            </w:r>
            <w:r>
              <w:rPr>
                <w:rFonts w:hint="eastAsia" w:ascii="宋体" w:hAnsi="宋体" w:eastAsia="宋体" w:cs="宋体"/>
                <w:color w:val="auto"/>
                <w:sz w:val="24"/>
                <w:szCs w:val="24"/>
                <w:lang w:eastAsia="zh-CN"/>
              </w:rPr>
              <w:t>发包方调查表</w:t>
            </w:r>
            <w:r>
              <w:rPr>
                <w:rFonts w:hint="eastAsia" w:ascii="宋体" w:hAnsi="宋体" w:eastAsia="宋体" w:cs="宋体"/>
                <w:color w:val="auto"/>
                <w:sz w:val="24"/>
                <w:szCs w:val="24"/>
              </w:rPr>
              <w:t>、摸底调查图、成员资格确认表；3.变更申请书、补充登记申请书；4.分户、合户、地块互换协议及其他过会材料；5.整户消亡公示公告、调查信息公示公告、调查信息公示表；6.地块分布公示图、确认图；7.界址点成果表及地块台账；8.土地承包经营权证书颁证清册；9.农业农村部、广东省农业农村厅、韶关市农业农村局要求提交的其他成果资料及综合管理类和特殊载体类等相关资料。</w:t>
            </w:r>
          </w:p>
          <w:p w14:paraId="0928BFDA">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（二）</w:t>
            </w:r>
            <w:r>
              <w:rPr>
                <w:rFonts w:hint="eastAsia" w:ascii="宋体" w:hAnsi="宋体" w:eastAsia="宋体" w:cs="宋体"/>
                <w:color w:val="auto"/>
                <w:sz w:val="24"/>
                <w:szCs w:val="24"/>
                <w:lang w:val="en-US" w:eastAsia="zh-CN"/>
              </w:rPr>
              <w:t>承包方</w:t>
            </w:r>
            <w:r>
              <w:rPr>
                <w:rFonts w:hint="eastAsia" w:ascii="宋体" w:hAnsi="宋体" w:eastAsia="宋体" w:cs="宋体"/>
                <w:color w:val="auto"/>
                <w:sz w:val="24"/>
                <w:szCs w:val="24"/>
              </w:rPr>
              <w:t>成果：1.摸底调查表、户主声明书、延包申请书、指界通知书；2.</w:t>
            </w:r>
            <w:r>
              <w:rPr>
                <w:rFonts w:hint="eastAsia" w:ascii="宋体" w:hAnsi="宋体" w:eastAsia="宋体" w:cs="宋体"/>
                <w:color w:val="auto"/>
                <w:sz w:val="24"/>
                <w:szCs w:val="24"/>
                <w:lang w:eastAsia="zh-CN"/>
              </w:rPr>
              <w:t>承包方代表身份证</w:t>
            </w:r>
            <w:r>
              <w:rPr>
                <w:rFonts w:hint="eastAsia" w:ascii="宋体" w:hAnsi="宋体" w:eastAsia="宋体" w:cs="宋体"/>
                <w:color w:val="auto"/>
                <w:sz w:val="24"/>
                <w:szCs w:val="24"/>
              </w:rPr>
              <w:t>、家庭成员户口本；3.</w:t>
            </w:r>
            <w:r>
              <w:rPr>
                <w:rFonts w:hint="eastAsia" w:ascii="宋体" w:hAnsi="宋体" w:eastAsia="宋体" w:cs="宋体"/>
                <w:color w:val="auto"/>
                <w:sz w:val="24"/>
                <w:szCs w:val="24"/>
                <w:lang w:val="en-US" w:eastAsia="zh-CN"/>
              </w:rPr>
              <w:t>承包方</w:t>
            </w:r>
            <w:r>
              <w:rPr>
                <w:rFonts w:hint="eastAsia" w:ascii="宋体" w:hAnsi="宋体" w:eastAsia="宋体" w:cs="宋体"/>
                <w:color w:val="auto"/>
                <w:sz w:val="24"/>
                <w:szCs w:val="24"/>
              </w:rPr>
              <w:t>信息调查确认表、承包地块调查确认表；4.、公示结果归户表；5.农村土地（耕地）承包合同（含承包地块示意图）；6.不动产登记申请书；7.农户承包经营权证书；8.委托书（如有）；9.农业农村部、广东省农业农村厅、韶关市农业农村局要求提交的其他合同管理类相关资料。</w:t>
            </w:r>
          </w:p>
          <w:p w14:paraId="7B54D034">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（三）档案成果：按照国家统一标准，将延包档案分为综合管理类（ZH）、合同管理类（HT）和特殊载体类（照片ZP、录音LY、录像LX、实物SW、数据SJ）三大类别，县、镇（街）及村三级工作资料归档数字化成果。</w:t>
            </w:r>
          </w:p>
          <w:p w14:paraId="7FC45C10">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（四）验收成果：1.项目技术设计书；2.项目自检报告；3.项目技术总结报告；4.项目工作报告；5.项目管理文档汇编材料等。</w:t>
            </w:r>
          </w:p>
          <w:p w14:paraId="2B0CD7B6">
            <w:pPr>
              <w:spacing w:after="4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五）包组一统筹成果（额外交付）：包组一作为全县技术总牵头单位，除提交上述（一）至（四）属地实施成果外，另须额外交付以下全县统筹成果：1.全县统一技术实施方案、作业细则、疑难问题处置指引；2.全县统一调查表、公示、合同、图件、档案全套模板及技术交底资料；3.全县统一二轮延包矢量数据库（含</w:t>
            </w:r>
            <w:r>
              <w:rPr>
                <w:rFonts w:hint="eastAsia" w:ascii="宋体" w:hAnsi="宋体" w:eastAsia="宋体" w:cs="宋体"/>
                <w:color w:val="auto"/>
                <w:sz w:val="24"/>
                <w:szCs w:val="24"/>
                <w:lang w:eastAsia="zh-CN"/>
              </w:rPr>
              <w:t>采购包1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采购包2</w:t>
            </w:r>
            <w:r>
              <w:rPr>
                <w:rFonts w:hint="eastAsia" w:ascii="宋体" w:hAnsi="宋体" w:eastAsia="宋体" w:cs="宋体"/>
                <w:color w:val="auto"/>
                <w:sz w:val="24"/>
                <w:szCs w:val="24"/>
              </w:rPr>
              <w:t>数据融合、冲突处理、国标质检成果）；4.全县技术总结报告、总自检报告、全县工作报告；5.全县验收汇编资料及配合省、市、县各级验收的全套资料；6.全县疑难问题处置台账、全县总进展报告资料；7.全县档案移交统筹资料（对接仁化县国家档案馆）。包组二仅提交本包组属地实施成果，不承担上述统筹成果交付义务。</w:t>
            </w:r>
          </w:p>
        </w:tc>
      </w:tr>
      <w:tr w14:paraId="695A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tcPr>
          <w:p w14:paraId="1BD8B594">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说明</w:t>
            </w:r>
          </w:p>
        </w:tc>
        <w:tc>
          <w:tcPr>
            <w:tcW w:w="775" w:type="dxa"/>
          </w:tcPr>
          <w:p w14:paraId="63BAAEFA">
            <w:pPr>
              <w:spacing w:before="20" w:after="20" w:line="360" w:lineRule="auto"/>
              <w:rPr>
                <w:rFonts w:hint="eastAsia" w:ascii="宋体" w:hAnsi="宋体" w:eastAsia="宋体" w:cs="宋体"/>
                <w:color w:val="auto"/>
                <w:sz w:val="24"/>
                <w:szCs w:val="24"/>
              </w:rPr>
            </w:pPr>
          </w:p>
        </w:tc>
        <w:tc>
          <w:tcPr>
            <w:tcW w:w="7726" w:type="dxa"/>
          </w:tcPr>
          <w:p w14:paraId="0BD7A037">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打“★”号条款为实质性条款，若有任何一条负偏离或不满足则导致投标（响应）无效。</w:t>
            </w:r>
          </w:p>
          <w:p w14:paraId="6A2A06F7">
            <w:pPr>
              <w:spacing w:before="20" w:after="2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打“▲”号条款为重要参数（如有），若有部分“▲”条款未响应或不满足，将根据评审要求影响其得分，但不作为无效投标（响应）条款。</w:t>
            </w:r>
          </w:p>
        </w:tc>
      </w:tr>
    </w:tbl>
    <w:p w14:paraId="4088BA0B">
      <w:pPr>
        <w:spacing w:line="360" w:lineRule="auto"/>
        <w:rPr>
          <w:rFonts w:hint="eastAsia" w:ascii="宋体" w:hAnsi="宋体" w:eastAsia="宋体" w:cs="宋体"/>
          <w:color w:val="auto"/>
          <w:sz w:val="24"/>
          <w:szCs w:val="24"/>
        </w:rPr>
      </w:pPr>
    </w:p>
    <w:sectPr>
      <w:footerReference r:id="rId5" w:type="default"/>
      <w:pgSz w:w="11906" w:h="16838"/>
      <w:pgMar w:top="1344" w:right="1134" w:bottom="1344" w:left="1134"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auto"/>
    <w:pitch w:val="default"/>
    <w:sig w:usb0="E00002FF" w:usb1="6AC7FDFB" w:usb2="08000012" w:usb3="00000000" w:csb0="4002009F" w:csb1="DFD70000"/>
  </w:font>
  <w:font w:name="Courier">
    <w:panose1 w:val="02060409020205020404"/>
    <w:charset w:val="00"/>
    <w:family w:val="auto"/>
    <w:pitch w:val="default"/>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450EA">
    <w:pPr>
      <w:pStyle w:val="2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CAF079">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1CAF079">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2C58"/>
    <w:rsid w:val="00034616"/>
    <w:rsid w:val="00043E93"/>
    <w:rsid w:val="00053B6B"/>
    <w:rsid w:val="0006063C"/>
    <w:rsid w:val="0013540B"/>
    <w:rsid w:val="0015074B"/>
    <w:rsid w:val="001771B5"/>
    <w:rsid w:val="001774DD"/>
    <w:rsid w:val="00187D92"/>
    <w:rsid w:val="001930D1"/>
    <w:rsid w:val="00226526"/>
    <w:rsid w:val="00283EE0"/>
    <w:rsid w:val="0029639D"/>
    <w:rsid w:val="002B6FB6"/>
    <w:rsid w:val="002C4B14"/>
    <w:rsid w:val="002E08E6"/>
    <w:rsid w:val="002F7B4D"/>
    <w:rsid w:val="003243A0"/>
    <w:rsid w:val="00326F90"/>
    <w:rsid w:val="003674F7"/>
    <w:rsid w:val="00387DDB"/>
    <w:rsid w:val="004E3403"/>
    <w:rsid w:val="00597BBF"/>
    <w:rsid w:val="005B495F"/>
    <w:rsid w:val="0069274E"/>
    <w:rsid w:val="006C0531"/>
    <w:rsid w:val="006C2C75"/>
    <w:rsid w:val="00726BAB"/>
    <w:rsid w:val="00851D20"/>
    <w:rsid w:val="008708E6"/>
    <w:rsid w:val="008A3788"/>
    <w:rsid w:val="008B526A"/>
    <w:rsid w:val="008C764E"/>
    <w:rsid w:val="009322B0"/>
    <w:rsid w:val="00946C3D"/>
    <w:rsid w:val="00A32A60"/>
    <w:rsid w:val="00A41BDB"/>
    <w:rsid w:val="00AA1D8D"/>
    <w:rsid w:val="00AA31CC"/>
    <w:rsid w:val="00AB185A"/>
    <w:rsid w:val="00AE4F76"/>
    <w:rsid w:val="00B018E1"/>
    <w:rsid w:val="00B16070"/>
    <w:rsid w:val="00B24A3E"/>
    <w:rsid w:val="00B47730"/>
    <w:rsid w:val="00B63E6D"/>
    <w:rsid w:val="00B64FB0"/>
    <w:rsid w:val="00B8622F"/>
    <w:rsid w:val="00C15F66"/>
    <w:rsid w:val="00C52DD4"/>
    <w:rsid w:val="00C740E1"/>
    <w:rsid w:val="00CB0664"/>
    <w:rsid w:val="00D97CED"/>
    <w:rsid w:val="00DA1AC6"/>
    <w:rsid w:val="00EA7B9E"/>
    <w:rsid w:val="00EB0FEA"/>
    <w:rsid w:val="00ED7166"/>
    <w:rsid w:val="00FB2703"/>
    <w:rsid w:val="00FC693F"/>
    <w:rsid w:val="01C029AA"/>
    <w:rsid w:val="04412E48"/>
    <w:rsid w:val="072F3786"/>
    <w:rsid w:val="07325D01"/>
    <w:rsid w:val="09864ED9"/>
    <w:rsid w:val="0C4B2C21"/>
    <w:rsid w:val="0D3C10B7"/>
    <w:rsid w:val="10DA43D7"/>
    <w:rsid w:val="113863AA"/>
    <w:rsid w:val="13412024"/>
    <w:rsid w:val="165B0F7E"/>
    <w:rsid w:val="185C6188"/>
    <w:rsid w:val="18E00D74"/>
    <w:rsid w:val="1C247C18"/>
    <w:rsid w:val="22DF021B"/>
    <w:rsid w:val="231846BB"/>
    <w:rsid w:val="236C68A0"/>
    <w:rsid w:val="262562A4"/>
    <w:rsid w:val="278D5548"/>
    <w:rsid w:val="2AE9495A"/>
    <w:rsid w:val="2E8D1FDE"/>
    <w:rsid w:val="2F090286"/>
    <w:rsid w:val="33EC68C0"/>
    <w:rsid w:val="37FA6580"/>
    <w:rsid w:val="3AD841A2"/>
    <w:rsid w:val="3BFB38A6"/>
    <w:rsid w:val="3C254DF2"/>
    <w:rsid w:val="3C837B9C"/>
    <w:rsid w:val="3E8B4509"/>
    <w:rsid w:val="40BC3F19"/>
    <w:rsid w:val="41401958"/>
    <w:rsid w:val="446B6DA9"/>
    <w:rsid w:val="4A5278AC"/>
    <w:rsid w:val="4B981980"/>
    <w:rsid w:val="50795093"/>
    <w:rsid w:val="53330E6E"/>
    <w:rsid w:val="53CD5E8B"/>
    <w:rsid w:val="53F52DB0"/>
    <w:rsid w:val="559432DC"/>
    <w:rsid w:val="572900A3"/>
    <w:rsid w:val="57A235D0"/>
    <w:rsid w:val="58FE6E43"/>
    <w:rsid w:val="59900619"/>
    <w:rsid w:val="5E3F0130"/>
    <w:rsid w:val="5F1F3000"/>
    <w:rsid w:val="61C51F12"/>
    <w:rsid w:val="6320146C"/>
    <w:rsid w:val="66640408"/>
    <w:rsid w:val="69151573"/>
    <w:rsid w:val="69AE208C"/>
    <w:rsid w:val="69AF45D3"/>
    <w:rsid w:val="6AFB4F65"/>
    <w:rsid w:val="6D5C4400"/>
    <w:rsid w:val="6EDD78B8"/>
    <w:rsid w:val="72822763"/>
    <w:rsid w:val="742C7BB3"/>
    <w:rsid w:val="769350EA"/>
    <w:rsid w:val="76AE6D9B"/>
    <w:rsid w:val="7C1A2035"/>
    <w:rsid w:val="7F195AB0"/>
    <w:rsid w:val="7F8F7DD6"/>
    <w:rsid w:val="BDD9820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4">
    <w:name w:val="heading 1"/>
    <w:basedOn w:val="1"/>
    <w:next w:val="1"/>
    <w:link w:val="142"/>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5">
    <w:name w:val="heading 2"/>
    <w:basedOn w:val="1"/>
    <w:next w:val="1"/>
    <w:link w:val="143"/>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3"/>
    <w:basedOn w:val="1"/>
    <w:next w:val="1"/>
    <w:link w:val="144"/>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7">
    <w:name w:val="heading 4"/>
    <w:basedOn w:val="1"/>
    <w:next w:val="1"/>
    <w:link w:val="138"/>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7"/>
    <w:unhideWhenUsed/>
    <w:qFormat/>
    <w:uiPriority w:val="99"/>
  </w:style>
  <w:style w:type="paragraph" w:styleId="3">
    <w:name w:val="macro"/>
    <w:link w:val="1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3">
    <w:name w:val="List 3"/>
    <w:basedOn w:val="1"/>
    <w:unhideWhenUsed/>
    <w:qFormat/>
    <w:uiPriority w:val="99"/>
    <w:pPr>
      <w:ind w:left="1080" w:hanging="360"/>
      <w:contextualSpacing/>
    </w:pPr>
  </w:style>
  <w:style w:type="paragraph" w:styleId="14">
    <w:name w:val="List Number 2"/>
    <w:basedOn w:val="1"/>
    <w:unhideWhenUsed/>
    <w:qFormat/>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Body Text 3"/>
    <w:basedOn w:val="1"/>
    <w:link w:val="150"/>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8"/>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40"/>
    <w:unhideWhenUsed/>
    <w:qFormat/>
    <w:uiPriority w:val="99"/>
    <w:pPr>
      <w:tabs>
        <w:tab w:val="center" w:pos="4680"/>
        <w:tab w:val="right" w:pos="9360"/>
      </w:tabs>
      <w:spacing w:after="0" w:line="240" w:lineRule="auto"/>
    </w:pPr>
  </w:style>
  <w:style w:type="paragraph" w:styleId="26">
    <w:name w:val="header"/>
    <w:basedOn w:val="1"/>
    <w:link w:val="139"/>
    <w:unhideWhenUsed/>
    <w:qFormat/>
    <w:uiPriority w:val="99"/>
    <w:pPr>
      <w:tabs>
        <w:tab w:val="center" w:pos="4680"/>
        <w:tab w:val="right" w:pos="9360"/>
      </w:tabs>
      <w:spacing w:after="0" w:line="240" w:lineRule="auto"/>
    </w:pPr>
  </w:style>
  <w:style w:type="paragraph" w:styleId="27">
    <w:name w:val="Subtitle"/>
    <w:basedOn w:val="1"/>
    <w:next w:val="1"/>
    <w:link w:val="14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9"/>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5"/>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3">
    <w:name w:val="annotation subject"/>
    <w:basedOn w:val="2"/>
    <w:next w:val="2"/>
    <w:link w:val="168"/>
    <w:semiHidden/>
    <w:unhideWhenUsed/>
    <w:qFormat/>
    <w:uiPriority w:val="99"/>
    <w:rPr>
      <w:b/>
      <w:bCs/>
    </w:rPr>
  </w:style>
  <w:style w:type="table" w:styleId="35">
    <w:name w:val="Table Grid"/>
    <w:basedOn w:val="3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6">
    <w:name w:val="Light Shading"/>
    <w:basedOn w:val="34"/>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styleId="137">
    <w:name w:val="annotation reference"/>
    <w:basedOn w:val="134"/>
    <w:semiHidden/>
    <w:unhideWhenUsed/>
    <w:qFormat/>
    <w:uiPriority w:val="99"/>
    <w:rPr>
      <w:sz w:val="21"/>
      <w:szCs w:val="21"/>
    </w:rPr>
  </w:style>
  <w:style w:type="character" w:customStyle="1" w:styleId="138">
    <w:name w:val="标题 4 字符"/>
    <w:basedOn w:val="134"/>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39">
    <w:name w:val="页眉 字符"/>
    <w:basedOn w:val="134"/>
    <w:link w:val="26"/>
    <w:qFormat/>
    <w:uiPriority w:val="99"/>
  </w:style>
  <w:style w:type="character" w:customStyle="1" w:styleId="140">
    <w:name w:val="页脚 字符"/>
    <w:basedOn w:val="134"/>
    <w:link w:val="25"/>
    <w:qFormat/>
    <w:uiPriority w:val="99"/>
  </w:style>
  <w:style w:type="paragraph" w:styleId="141">
    <w:name w:val="No Spacing"/>
    <w:qFormat/>
    <w:uiPriority w:val="1"/>
    <w:rPr>
      <w:rFonts w:asciiTheme="minorHAnsi" w:hAnsiTheme="minorHAnsi" w:eastAsiaTheme="minorEastAsia" w:cstheme="minorBidi"/>
      <w:sz w:val="22"/>
      <w:szCs w:val="22"/>
      <w:lang w:val="en-US" w:eastAsia="en-US" w:bidi="ar-SA"/>
    </w:rPr>
  </w:style>
  <w:style w:type="character" w:customStyle="1" w:styleId="142">
    <w:name w:val="标题 1 字符"/>
    <w:basedOn w:val="134"/>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43">
    <w:name w:val="标题 2 字符"/>
    <w:basedOn w:val="134"/>
    <w:link w:val="5"/>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4">
    <w:name w:val="标题 3 字符"/>
    <w:basedOn w:val="134"/>
    <w:link w:val="6"/>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5">
    <w:name w:val="标题 字符"/>
    <w:basedOn w:val="134"/>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6">
    <w:name w:val="副标题 字符"/>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7">
    <w:name w:val="List Paragraph"/>
    <w:basedOn w:val="1"/>
    <w:qFormat/>
    <w:uiPriority w:val="34"/>
    <w:pPr>
      <w:ind w:left="720"/>
      <w:contextualSpacing/>
    </w:pPr>
  </w:style>
  <w:style w:type="character" w:customStyle="1" w:styleId="148">
    <w:name w:val="正文文本 字符"/>
    <w:basedOn w:val="134"/>
    <w:link w:val="20"/>
    <w:qFormat/>
    <w:uiPriority w:val="99"/>
  </w:style>
  <w:style w:type="character" w:customStyle="1" w:styleId="149">
    <w:name w:val="正文文本 2 字符"/>
    <w:basedOn w:val="134"/>
    <w:link w:val="29"/>
    <w:qFormat/>
    <w:uiPriority w:val="99"/>
  </w:style>
  <w:style w:type="character" w:customStyle="1" w:styleId="150">
    <w:name w:val="正文文本 3 字符"/>
    <w:basedOn w:val="134"/>
    <w:link w:val="18"/>
    <w:qFormat/>
    <w:uiPriority w:val="99"/>
    <w:rPr>
      <w:sz w:val="16"/>
      <w:szCs w:val="16"/>
    </w:rPr>
  </w:style>
  <w:style w:type="character" w:customStyle="1" w:styleId="151">
    <w:name w:val="宏文本 字符"/>
    <w:basedOn w:val="134"/>
    <w:link w:val="3"/>
    <w:qFormat/>
    <w:uiPriority w:val="99"/>
    <w:rPr>
      <w:rFonts w:ascii="Courier" w:hAnsi="Courier"/>
      <w:sz w:val="20"/>
      <w:szCs w:val="20"/>
    </w:rPr>
  </w:style>
  <w:style w:type="paragraph" w:styleId="152">
    <w:name w:val="Quote"/>
    <w:basedOn w:val="1"/>
    <w:next w:val="1"/>
    <w:link w:val="153"/>
    <w:qFormat/>
    <w:uiPriority w:val="29"/>
    <w:rPr>
      <w:i/>
      <w:iCs/>
      <w:color w:val="000000" w:themeColor="text1"/>
      <w14:textFill>
        <w14:solidFill>
          <w14:schemeClr w14:val="tx1"/>
        </w14:solidFill>
      </w14:textFill>
    </w:rPr>
  </w:style>
  <w:style w:type="character" w:customStyle="1" w:styleId="153">
    <w:name w:val="引用 字符"/>
    <w:basedOn w:val="134"/>
    <w:link w:val="152"/>
    <w:qFormat/>
    <w:uiPriority w:val="29"/>
    <w:rPr>
      <w:i/>
      <w:iCs/>
      <w:color w:val="000000" w:themeColor="text1"/>
      <w14:textFill>
        <w14:solidFill>
          <w14:schemeClr w14:val="tx1"/>
        </w14:solidFill>
      </w14:textFill>
    </w:rPr>
  </w:style>
  <w:style w:type="character" w:customStyle="1" w:styleId="154">
    <w:name w:val="标题 5 字符"/>
    <w:basedOn w:val="134"/>
    <w:link w:val="8"/>
    <w:semiHidden/>
    <w:qFormat/>
    <w:uiPriority w:val="9"/>
    <w:rPr>
      <w:rFonts w:asciiTheme="majorHAnsi" w:hAnsiTheme="majorHAnsi" w:eastAsiaTheme="majorEastAsia" w:cstheme="majorBidi"/>
      <w:color w:val="254061" w:themeColor="accent1" w:themeShade="80"/>
    </w:rPr>
  </w:style>
  <w:style w:type="character" w:customStyle="1" w:styleId="155">
    <w:name w:val="标题 6 字符"/>
    <w:basedOn w:val="134"/>
    <w:link w:val="9"/>
    <w:semiHidden/>
    <w:qFormat/>
    <w:uiPriority w:val="9"/>
    <w:rPr>
      <w:rFonts w:asciiTheme="majorHAnsi" w:hAnsiTheme="majorHAnsi" w:eastAsiaTheme="majorEastAsia" w:cstheme="majorBidi"/>
      <w:i/>
      <w:iCs/>
      <w:color w:val="254061" w:themeColor="accent1" w:themeShade="80"/>
    </w:rPr>
  </w:style>
  <w:style w:type="character" w:customStyle="1" w:styleId="156">
    <w:name w:val="标题 7 字符"/>
    <w:basedOn w:val="134"/>
    <w:link w:val="10"/>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标题 8 字符"/>
    <w:basedOn w:val="134"/>
    <w:link w:val="11"/>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标题 9 字符"/>
    <w:basedOn w:val="134"/>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明显引用 字符"/>
    <w:basedOn w:val="134"/>
    <w:link w:val="159"/>
    <w:qFormat/>
    <w:uiPriority w:val="30"/>
    <w:rPr>
      <w:b/>
      <w:bCs/>
      <w:i/>
      <w:iCs/>
      <w:color w:val="4F81BD" w:themeColor="accent1"/>
      <w14:textFill>
        <w14:solidFill>
          <w14:schemeClr w14:val="accent1"/>
        </w14:solidFill>
      </w14:textFill>
    </w:rPr>
  </w:style>
  <w:style w:type="character" w:customStyle="1" w:styleId="161">
    <w:name w:val="不明显强调1"/>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明显强调1"/>
    <w:basedOn w:val="134"/>
    <w:qFormat/>
    <w:uiPriority w:val="21"/>
    <w:rPr>
      <w:b/>
      <w:bCs/>
      <w:i/>
      <w:iCs/>
      <w:color w:val="4F81BD" w:themeColor="accent1"/>
      <w14:textFill>
        <w14:solidFill>
          <w14:schemeClr w14:val="accent1"/>
        </w14:solidFill>
      </w14:textFill>
    </w:rPr>
  </w:style>
  <w:style w:type="character" w:customStyle="1" w:styleId="163">
    <w:name w:val="不明显参考1"/>
    <w:basedOn w:val="134"/>
    <w:qFormat/>
    <w:uiPriority w:val="31"/>
    <w:rPr>
      <w:smallCaps/>
      <w:color w:val="C0504D" w:themeColor="accent2"/>
      <w:u w:val="single"/>
      <w14:textFill>
        <w14:solidFill>
          <w14:schemeClr w14:val="accent2"/>
        </w14:solidFill>
      </w14:textFill>
    </w:rPr>
  </w:style>
  <w:style w:type="character" w:customStyle="1" w:styleId="164">
    <w:name w:val="明显参考1"/>
    <w:basedOn w:val="134"/>
    <w:qFormat/>
    <w:uiPriority w:val="32"/>
    <w:rPr>
      <w:b/>
      <w:bCs/>
      <w:smallCaps/>
      <w:color w:val="C0504D" w:themeColor="accent2"/>
      <w:spacing w:val="5"/>
      <w:u w:val="single"/>
      <w14:textFill>
        <w14:solidFill>
          <w14:schemeClr w14:val="accent2"/>
        </w14:solidFill>
      </w14:textFill>
    </w:rPr>
  </w:style>
  <w:style w:type="character" w:customStyle="1" w:styleId="165">
    <w:name w:val="书籍标题1"/>
    <w:basedOn w:val="134"/>
    <w:qFormat/>
    <w:uiPriority w:val="33"/>
    <w:rPr>
      <w:b/>
      <w:bCs/>
      <w:smallCaps/>
      <w:spacing w:val="5"/>
    </w:rPr>
  </w:style>
  <w:style w:type="paragraph" w:customStyle="1" w:styleId="166">
    <w:name w:val="TOC 标题1"/>
    <w:basedOn w:val="4"/>
    <w:next w:val="1"/>
    <w:semiHidden/>
    <w:unhideWhenUsed/>
    <w:qFormat/>
    <w:uiPriority w:val="39"/>
    <w:pPr>
      <w:outlineLvl w:val="9"/>
    </w:pPr>
  </w:style>
  <w:style w:type="character" w:customStyle="1" w:styleId="167">
    <w:name w:val="批注文字 字符"/>
    <w:basedOn w:val="134"/>
    <w:link w:val="2"/>
    <w:qFormat/>
    <w:uiPriority w:val="99"/>
    <w:rPr>
      <w:sz w:val="22"/>
      <w:szCs w:val="22"/>
      <w:lang w:eastAsia="en-US"/>
    </w:rPr>
  </w:style>
  <w:style w:type="character" w:customStyle="1" w:styleId="168">
    <w:name w:val="批注主题 字符"/>
    <w:basedOn w:val="167"/>
    <w:link w:val="33"/>
    <w:semiHidden/>
    <w:qFormat/>
    <w:uiPriority w:val="99"/>
    <w:rPr>
      <w:b/>
      <w:bCs/>
      <w:sz w:val="22"/>
      <w:szCs w:val="22"/>
      <w:lang w:eastAsia="en-US"/>
    </w:rPr>
  </w:style>
  <w:style w:type="paragraph" w:customStyle="1" w:styleId="169">
    <w:name w:val="null3"/>
    <w:hidden/>
    <w:qFormat/>
    <w:uiPriority w:val="0"/>
    <w:rPr>
      <w:rFonts w:hint="eastAsia" w:asciiTheme="minorHAnsi" w:hAnsiTheme="minorHAnsi" w:eastAsiaTheme="minorEastAsia" w:cstheme="minorBidi"/>
      <w:lang w:val="en-US" w:eastAsia="zh-Hans" w:bidi="ar-SA"/>
    </w:rPr>
  </w:style>
  <w:style w:type="paragraph" w:customStyle="1" w:styleId="170">
    <w:name w:val="修订1"/>
    <w:hidden/>
    <w:unhideWhenUsed/>
    <w:qFormat/>
    <w:uiPriority w:val="99"/>
    <w:rPr>
      <w:rFonts w:asciiTheme="minorHAnsi" w:hAnsiTheme="minorHAnsi" w:eastAsiaTheme="minorEastAsia" w:cstheme="minorBidi"/>
      <w:sz w:val="22"/>
      <w:szCs w:val="22"/>
      <w:lang w:val="en-US" w:eastAsia="en-US" w:bidi="ar-SA"/>
    </w:rPr>
  </w:style>
  <w:style w:type="paragraph" w:customStyle="1" w:styleId="171">
    <w:name w:val="Revision"/>
    <w:hidden/>
    <w:unhideWhenUsed/>
    <w:qFormat/>
    <w:uiPriority w:val="99"/>
    <w:rPr>
      <w:rFonts w:asciiTheme="minorHAnsi" w:hAnsiTheme="minorHAnsi" w:eastAsiaTheme="minorEastAsia"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4776</Words>
  <Characters>4985</Characters>
  <Lines>138</Lines>
  <Paragraphs>38</Paragraphs>
  <TotalTime>1</TotalTime>
  <ScaleCrop>false</ScaleCrop>
  <LinksUpToDate>false</LinksUpToDate>
  <CharactersWithSpaces>4992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Administrator</dc:creator>
  <cp:lastModifiedBy>bangong</cp:lastModifiedBy>
  <dcterms:modified xsi:type="dcterms:W3CDTF">2026-09-21T08:53:03Z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eyJoZGlkIjoiNGZkZDUyYjY3ZGNhYjE4YzFiZmIzMDhjNTc2ZTRjMTciLCJ1c2VySWQiOiIxNTA1OTQ0ODM3In0=</vt:lpwstr>
  </property>
  <property fmtid="{D5CDD505-2E9C-101B-9397-08002B2CF9AE}" pid="3" name="KSOProductBuildVer">
    <vt:lpwstr>2052-12.1.0.28505</vt:lpwstr>
  </property>
  <property fmtid="{D5CDD505-2E9C-101B-9397-08002B2CF9AE}" pid="4" name="ICV">
    <vt:lpwstr>DB0909880A5D49F0B3B51F5B7100170F_13</vt:lpwstr>
  </property>
</Properties>
</file>