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EC016">
      <w:pPr>
        <w:pStyle w:val="2"/>
        <w:pageBreakBefore w:val="0"/>
        <w:kinsoku/>
        <w:wordWrap w:val="0"/>
        <w:overflowPunct/>
        <w:topLinePunct w:val="0"/>
        <w:autoSpaceDE/>
        <w:autoSpaceDN/>
        <w:bidi w:val="0"/>
        <w:snapToGrid/>
        <w:spacing w:before="0" w:after="0" w:line="360" w:lineRule="auto"/>
        <w:jc w:val="center"/>
        <w:rPr>
          <w:rFonts w:hint="eastAsia" w:asciiTheme="minorEastAsia" w:hAnsiTheme="minorEastAsia" w:eastAsiaTheme="minorEastAsia" w:cstheme="minorEastAsia"/>
          <w:b/>
          <w:bCs/>
          <w:sz w:val="32"/>
          <w:szCs w:val="32"/>
          <w:lang w:val="en-US" w:eastAsia="zh-CN"/>
        </w:rPr>
      </w:pPr>
      <w:bookmarkStart w:id="0" w:name="_Toc368513813"/>
      <w:bookmarkStart w:id="1" w:name="_Toc115445209"/>
      <w:bookmarkStart w:id="2" w:name="_Toc86832027"/>
      <w:bookmarkStart w:id="21" w:name="_GoBack"/>
      <w:bookmarkEnd w:id="21"/>
      <w:r>
        <w:rPr>
          <w:rFonts w:hint="eastAsia" w:asciiTheme="minorEastAsia" w:hAnsiTheme="minorEastAsia" w:eastAsiaTheme="minorEastAsia" w:cstheme="minorEastAsia"/>
          <w:b/>
          <w:bCs/>
          <w:sz w:val="32"/>
          <w:szCs w:val="32"/>
        </w:rPr>
        <w:t>招标需求</w:t>
      </w:r>
      <w:bookmarkEnd w:id="0"/>
      <w:bookmarkEnd w:id="1"/>
      <w:bookmarkEnd w:id="2"/>
      <w:bookmarkStart w:id="3" w:name="_Toc214939674"/>
      <w:bookmarkStart w:id="4" w:name="_Ref216769015"/>
      <w:bookmarkStart w:id="5" w:name="_Toc357007289"/>
      <w:bookmarkStart w:id="6" w:name="_Ref216768984"/>
      <w:bookmarkStart w:id="7" w:name="_Ref216769170"/>
      <w:bookmarkStart w:id="8" w:name="_Ref222720248"/>
      <w:bookmarkStart w:id="9" w:name="_Ref216769110"/>
      <w:bookmarkStart w:id="10" w:name="_Ref216768962"/>
      <w:bookmarkStart w:id="11" w:name="_Toc214971835"/>
      <w:r>
        <w:rPr>
          <w:rFonts w:hint="eastAsia" w:asciiTheme="minorEastAsia" w:hAnsiTheme="minorEastAsia" w:eastAsiaTheme="minorEastAsia" w:cstheme="minorEastAsia"/>
          <w:b/>
          <w:bCs/>
          <w:sz w:val="32"/>
          <w:szCs w:val="32"/>
          <w:lang w:val="en-US" w:eastAsia="zh-CN"/>
        </w:rPr>
        <w:t>征集框架</w:t>
      </w:r>
    </w:p>
    <w:p w14:paraId="085457F7">
      <w:pPr>
        <w:pageBreakBefore w:val="0"/>
        <w:kinsoku/>
        <w:wordWrap w:val="0"/>
        <w:overflowPunct/>
        <w:topLinePunct w:val="0"/>
        <w:autoSpaceDE/>
        <w:autoSpaceDN/>
        <w:bidi w:val="0"/>
        <w:snapToGrid/>
        <w:spacing w:line="360" w:lineRule="auto"/>
        <w:ind w:left="0" w:leftChars="0" w:firstLine="422"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w:t>
      </w:r>
      <w:r>
        <w:rPr>
          <w:rFonts w:hint="eastAsia" w:asciiTheme="minorEastAsia" w:hAnsiTheme="minorEastAsia" w:eastAsiaTheme="minorEastAsia" w:cstheme="minorEastAsia"/>
          <w:sz w:val="21"/>
          <w:szCs w:val="21"/>
        </w:rPr>
        <w:t>★、▲”号条款</w:t>
      </w:r>
    </w:p>
    <w:p w14:paraId="49AA8B97">
      <w:pPr>
        <w:pageBreakBefore w:val="0"/>
        <w:kinsoku/>
        <w:wordWrap w:val="0"/>
        <w:overflowPunct/>
        <w:topLinePunct w:val="0"/>
        <w:autoSpaceDE/>
        <w:autoSpaceDN/>
        <w:bidi w:val="0"/>
        <w:snapToGrid/>
        <w:spacing w:line="360" w:lineRule="auto"/>
        <w:ind w:left="0" w:leftChars="0"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用户需求书》中标注有“★”号的条款必须实质性响应，负偏离（不满足要求）则投标无效，投标时应提供相关证明资料或承诺函。标有“▲”的条款为重要指标，负偏离（不满足要求）将导致技术得分的损失。</w:t>
      </w:r>
    </w:p>
    <w:bookmarkEnd w:id="3"/>
    <w:bookmarkEnd w:id="4"/>
    <w:bookmarkEnd w:id="5"/>
    <w:bookmarkEnd w:id="6"/>
    <w:bookmarkEnd w:id="7"/>
    <w:bookmarkEnd w:id="8"/>
    <w:bookmarkEnd w:id="9"/>
    <w:bookmarkEnd w:id="10"/>
    <w:bookmarkEnd w:id="11"/>
    <w:p w14:paraId="2ED3B386">
      <w:pPr>
        <w:pStyle w:val="3"/>
        <w:pageBreakBefore w:val="0"/>
        <w:numPr>
          <w:ilvl w:val="0"/>
          <w:numId w:val="1"/>
        </w:numPr>
        <w:kinsoku/>
        <w:wordWrap w:val="0"/>
        <w:overflowPunct/>
        <w:topLinePunct w:val="0"/>
        <w:autoSpaceDE/>
        <w:autoSpaceDN/>
        <w:bidi w:val="0"/>
        <w:adjustRightInd w:val="0"/>
        <w:snapToGrid/>
        <w:spacing w:before="0" w:after="0" w:line="360" w:lineRule="auto"/>
        <w:ind w:left="0" w:leftChars="0" w:firstLine="422" w:firstLineChars="200"/>
        <w:textAlignment w:val="auto"/>
        <w:rPr>
          <w:rFonts w:hint="eastAsia" w:asciiTheme="minorEastAsia" w:hAnsiTheme="minorEastAsia" w:eastAsiaTheme="minorEastAsia" w:cstheme="minorEastAsia"/>
          <w:sz w:val="21"/>
          <w:szCs w:val="21"/>
        </w:rPr>
      </w:pPr>
      <w:bookmarkStart w:id="12" w:name="_Toc115445210"/>
      <w:r>
        <w:rPr>
          <w:rFonts w:hint="eastAsia" w:asciiTheme="minorEastAsia" w:hAnsiTheme="minorEastAsia" w:eastAsiaTheme="minorEastAsia" w:cstheme="minorEastAsia"/>
          <w:sz w:val="21"/>
          <w:szCs w:val="21"/>
        </w:rPr>
        <w:t>项目概况</w:t>
      </w:r>
      <w:bookmarkEnd w:id="12"/>
    </w:p>
    <w:p w14:paraId="5619CF6D">
      <w:pPr>
        <w:pStyle w:val="19"/>
        <w:pageBreakBefore w:val="0"/>
        <w:numPr>
          <w:ilvl w:val="0"/>
          <w:numId w:val="2"/>
        </w:numPr>
        <w:kinsoku/>
        <w:wordWrap w:val="0"/>
        <w:overflowPunct/>
        <w:topLinePunct w:val="0"/>
        <w:autoSpaceDE/>
        <w:autoSpaceDN/>
        <w:bidi w:val="0"/>
        <w:snapToGrid/>
        <w:spacing w:line="360" w:lineRule="auto"/>
        <w:ind w:left="0" w:leftChars="0" w:firstLine="422" w:firstLineChars="200"/>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项目基本情况</w:t>
      </w:r>
    </w:p>
    <w:p w14:paraId="660D0252">
      <w:pPr>
        <w:pStyle w:val="19"/>
        <w:pageBreakBefore w:val="0"/>
        <w:kinsoku/>
        <w:wordWrap w:val="0"/>
        <w:overflowPunct/>
        <w:topLinePunct w:val="0"/>
        <w:autoSpaceDE/>
        <w:autoSpaceDN/>
        <w:bidi w:val="0"/>
        <w:snapToGrid/>
        <w:spacing w:line="360" w:lineRule="auto"/>
        <w:ind w:left="0" w:leftChars="0" w:firstLine="420" w:firstLineChars="200"/>
        <w:jc w:val="left"/>
        <w:textAlignment w:val="auto"/>
        <w:rPr>
          <w:rFonts w:hint="eastAsia" w:asciiTheme="minorEastAsia" w:hAnsiTheme="minorEastAsia" w:eastAsiaTheme="minorEastAsia" w:cstheme="minorEastAsia"/>
          <w:bCs/>
          <w:sz w:val="21"/>
          <w:szCs w:val="21"/>
          <w:lang w:eastAsia="zh-CN"/>
        </w:rPr>
      </w:pPr>
      <w:r>
        <w:rPr>
          <w:rFonts w:hint="eastAsia" w:asciiTheme="minorEastAsia" w:hAnsiTheme="minorEastAsia" w:eastAsiaTheme="minorEastAsia" w:cstheme="minorEastAsia"/>
          <w:bCs/>
          <w:sz w:val="21"/>
          <w:szCs w:val="21"/>
        </w:rPr>
        <w:t>1.1 项目名称：</w:t>
      </w:r>
      <w:r>
        <w:rPr>
          <w:rFonts w:hint="eastAsia" w:asciiTheme="minorEastAsia" w:hAnsiTheme="minorEastAsia" w:eastAsiaTheme="minorEastAsia" w:cstheme="minorEastAsia"/>
          <w:bCs/>
          <w:sz w:val="21"/>
          <w:szCs w:val="21"/>
          <w:lang w:eastAsia="zh-CN"/>
        </w:rPr>
        <w:t>开平市城区公共区域停车泊位与新能源汽车充电基础设施平台建设及运营项目</w:t>
      </w:r>
    </w:p>
    <w:p w14:paraId="4259B24C">
      <w:pPr>
        <w:pStyle w:val="19"/>
        <w:pageBreakBefore w:val="0"/>
        <w:kinsoku/>
        <w:wordWrap w:val="0"/>
        <w:overflowPunct/>
        <w:topLinePunct w:val="0"/>
        <w:autoSpaceDE/>
        <w:autoSpaceDN/>
        <w:bidi w:val="0"/>
        <w:snapToGrid/>
        <w:spacing w:line="360" w:lineRule="auto"/>
        <w:ind w:left="0" w:leftChars="0" w:firstLine="420" w:firstLineChars="200"/>
        <w:jc w:val="left"/>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1.2 项目合作区域:项目占地约12000平方米，本项目预计建设运营共3804个停车泊位，增加路侧停车电子收费前端:其中一类路段车位841个，二类路段车位1577个，三类路段车位993个，停车场车位393个。项目建设充电桩1169个，其中快充539个(双枪充电，覆盖1078个车位)，慢充桩630个(单枪充电，覆盖630个车位)。配套建设变配电等配套设施。(以各职能部门批准并实际上线运营的泊位数量为准)</w:t>
      </w:r>
    </w:p>
    <w:p w14:paraId="02B32FCB">
      <w:pPr>
        <w:pStyle w:val="19"/>
        <w:pageBreakBefore w:val="0"/>
        <w:kinsoku/>
        <w:wordWrap w:val="0"/>
        <w:overflowPunct/>
        <w:topLinePunct w:val="0"/>
        <w:autoSpaceDE/>
        <w:autoSpaceDN/>
        <w:bidi w:val="0"/>
        <w:snapToGrid/>
        <w:spacing w:line="360" w:lineRule="auto"/>
        <w:ind w:left="0" w:leftChars="0" w:firstLine="420" w:firstLineChars="200"/>
        <w:jc w:val="left"/>
        <w:textAlignment w:val="auto"/>
        <w:rPr>
          <w:rFonts w:hint="default" w:asciiTheme="minorEastAsia" w:hAnsiTheme="minorEastAsia" w:eastAsiaTheme="minorEastAsia" w:cstheme="minorEastAsia"/>
          <w:bCs/>
          <w:sz w:val="21"/>
          <w:szCs w:val="21"/>
          <w:u w:val="single"/>
          <w:lang w:val="en-US" w:eastAsia="zh-CN"/>
        </w:rPr>
      </w:pPr>
      <w:r>
        <w:rPr>
          <w:rFonts w:hint="eastAsia" w:asciiTheme="minorEastAsia" w:hAnsiTheme="minorEastAsia" w:eastAsiaTheme="minorEastAsia" w:cstheme="minorEastAsia"/>
          <w:bCs/>
          <w:sz w:val="21"/>
          <w:szCs w:val="21"/>
        </w:rPr>
        <w:t>★1.</w:t>
      </w:r>
      <w:r>
        <w:rPr>
          <w:rFonts w:hint="eastAsia" w:asciiTheme="minorEastAsia" w:hAnsiTheme="minorEastAsia" w:eastAsiaTheme="minorEastAsia" w:cstheme="minorEastAsia"/>
          <w:bCs/>
          <w:sz w:val="21"/>
          <w:szCs w:val="21"/>
          <w:lang w:val="en-US" w:eastAsia="zh-CN"/>
        </w:rPr>
        <w:t>3</w:t>
      </w:r>
      <w:r>
        <w:rPr>
          <w:rFonts w:hint="eastAsia" w:asciiTheme="minorEastAsia" w:hAnsiTheme="minorEastAsia" w:eastAsiaTheme="minorEastAsia" w:cstheme="minorEastAsia"/>
          <w:bCs/>
          <w:sz w:val="21"/>
          <w:szCs w:val="21"/>
        </w:rPr>
        <w:t xml:space="preserve"> 合作模式</w:t>
      </w:r>
      <w:r>
        <w:rPr>
          <w:rFonts w:hint="eastAsia" w:asciiTheme="minorEastAsia" w:hAnsiTheme="minorEastAsia" w:eastAsiaTheme="minorEastAsia" w:cstheme="minorEastAsia"/>
          <w:bCs/>
          <w:color w:val="FF0000"/>
          <w:sz w:val="21"/>
          <w:szCs w:val="21"/>
          <w:lang w:eastAsia="zh-CN"/>
        </w:rPr>
        <w:t>【</w:t>
      </w:r>
      <w:r>
        <w:rPr>
          <w:rFonts w:hint="eastAsia" w:asciiTheme="minorEastAsia" w:hAnsiTheme="minorEastAsia" w:eastAsiaTheme="minorEastAsia" w:cstheme="minorEastAsia"/>
          <w:bCs/>
          <w:color w:val="FF0000"/>
          <w:sz w:val="21"/>
          <w:szCs w:val="21"/>
          <w:lang w:val="en-US" w:eastAsia="zh-CN"/>
        </w:rPr>
        <w:t>面向社会征集</w:t>
      </w:r>
      <w:r>
        <w:rPr>
          <w:rFonts w:hint="eastAsia" w:asciiTheme="minorEastAsia" w:hAnsiTheme="minorEastAsia" w:eastAsiaTheme="minorEastAsia" w:cstheme="minorEastAsia"/>
          <w:bCs/>
          <w:color w:val="FF0000"/>
          <w:sz w:val="21"/>
          <w:szCs w:val="21"/>
          <w:lang w:eastAsia="zh-CN"/>
        </w:rPr>
        <w:t>】</w:t>
      </w:r>
      <w:r>
        <w:rPr>
          <w:rFonts w:hint="eastAsia" w:asciiTheme="minorEastAsia" w:hAnsiTheme="minorEastAsia" w:eastAsiaTheme="minorEastAsia" w:cstheme="minorEastAsia"/>
          <w:bCs/>
          <w:sz w:val="21"/>
          <w:szCs w:val="21"/>
        </w:rPr>
        <w:t>：</w:t>
      </w:r>
      <w:r>
        <w:rPr>
          <w:rFonts w:hint="eastAsia" w:asciiTheme="minorEastAsia" w:hAnsiTheme="minorEastAsia" w:eastAsiaTheme="minorEastAsia" w:cstheme="minorEastAsia"/>
          <w:bCs/>
          <w:sz w:val="21"/>
          <w:szCs w:val="21"/>
          <w:u w:val="single"/>
          <w:lang w:val="en-US" w:eastAsia="zh-CN"/>
        </w:rPr>
        <w:t xml:space="preserve">由中标人提供平台建设及运营服务，                                                                                                                                                                                                                                                                  </w:t>
      </w:r>
    </w:p>
    <w:p w14:paraId="62078748">
      <w:pPr>
        <w:pStyle w:val="19"/>
        <w:pageBreakBefore w:val="0"/>
        <w:kinsoku/>
        <w:wordWrap w:val="0"/>
        <w:overflowPunct/>
        <w:topLinePunct w:val="0"/>
        <w:autoSpaceDE/>
        <w:autoSpaceDN/>
        <w:bidi w:val="0"/>
        <w:snapToGrid/>
        <w:spacing w:line="360" w:lineRule="auto"/>
        <w:ind w:left="0" w:leftChars="0" w:firstLine="420" w:firstLineChars="200"/>
        <w:jc w:val="left"/>
        <w:textAlignment w:val="auto"/>
        <w:rPr>
          <w:rFonts w:hint="eastAsia" w:asciiTheme="minorEastAsia" w:hAnsiTheme="minorEastAsia" w:eastAsiaTheme="minorEastAsia" w:cstheme="minorEastAsia"/>
          <w:bCs/>
          <w:sz w:val="21"/>
          <w:szCs w:val="21"/>
          <w:u w:val="single"/>
          <w:lang w:val="en-US" w:eastAsia="zh-CN"/>
        </w:rPr>
      </w:pPr>
      <w:r>
        <w:rPr>
          <w:rFonts w:hint="eastAsia" w:asciiTheme="minorEastAsia" w:hAnsiTheme="minorEastAsia" w:eastAsiaTheme="minorEastAsia" w:cstheme="minorEastAsia"/>
          <w:bCs/>
          <w:sz w:val="21"/>
          <w:szCs w:val="21"/>
        </w:rPr>
        <w:t>1.</w:t>
      </w:r>
      <w:r>
        <w:rPr>
          <w:rFonts w:hint="eastAsia" w:asciiTheme="minorEastAsia" w:hAnsiTheme="minorEastAsia" w:eastAsiaTheme="minorEastAsia" w:cstheme="minorEastAsia"/>
          <w:bCs/>
          <w:sz w:val="21"/>
          <w:szCs w:val="21"/>
          <w:lang w:val="en-US" w:eastAsia="zh-CN"/>
        </w:rPr>
        <w:t>4</w:t>
      </w:r>
      <w:r>
        <w:rPr>
          <w:rFonts w:hint="eastAsia" w:asciiTheme="minorEastAsia" w:hAnsiTheme="minorEastAsia" w:eastAsiaTheme="minorEastAsia" w:cstheme="minorEastAsia"/>
          <w:bCs/>
          <w:sz w:val="21"/>
          <w:szCs w:val="21"/>
        </w:rPr>
        <w:t xml:space="preserve"> </w:t>
      </w:r>
      <w:r>
        <w:rPr>
          <w:rFonts w:hint="eastAsia" w:asciiTheme="minorEastAsia" w:hAnsiTheme="minorEastAsia" w:eastAsiaTheme="minorEastAsia" w:cstheme="minorEastAsia"/>
          <w:bCs/>
          <w:sz w:val="21"/>
          <w:szCs w:val="21"/>
          <w:lang w:val="en-US" w:eastAsia="zh-CN"/>
        </w:rPr>
        <w:t>合作方应具备的资质</w:t>
      </w:r>
      <w:r>
        <w:rPr>
          <w:rFonts w:hint="eastAsia" w:asciiTheme="minorEastAsia" w:hAnsiTheme="minorEastAsia" w:eastAsiaTheme="minorEastAsia" w:cstheme="minorEastAsia"/>
          <w:bCs/>
          <w:color w:val="FF0000"/>
          <w:sz w:val="21"/>
          <w:szCs w:val="21"/>
          <w:lang w:eastAsia="zh-CN"/>
        </w:rPr>
        <w:t>【</w:t>
      </w:r>
      <w:r>
        <w:rPr>
          <w:rFonts w:hint="eastAsia" w:asciiTheme="minorEastAsia" w:hAnsiTheme="minorEastAsia" w:eastAsiaTheme="minorEastAsia" w:cstheme="minorEastAsia"/>
          <w:bCs/>
          <w:color w:val="FF0000"/>
          <w:sz w:val="21"/>
          <w:szCs w:val="21"/>
          <w:lang w:val="en-US" w:eastAsia="zh-CN"/>
        </w:rPr>
        <w:t>面向社会征集，如有</w:t>
      </w:r>
      <w:r>
        <w:rPr>
          <w:rFonts w:hint="eastAsia" w:asciiTheme="minorEastAsia" w:hAnsiTheme="minorEastAsia" w:eastAsiaTheme="minorEastAsia" w:cstheme="minorEastAsia"/>
          <w:bCs/>
          <w:color w:val="FF0000"/>
          <w:sz w:val="21"/>
          <w:szCs w:val="21"/>
          <w:lang w:eastAsia="zh-CN"/>
        </w:rPr>
        <w:t>】</w:t>
      </w:r>
      <w:r>
        <w:rPr>
          <w:rFonts w:hint="eastAsia" w:asciiTheme="minorEastAsia" w:hAnsiTheme="minorEastAsia" w:eastAsiaTheme="minorEastAsia" w:cstheme="minorEastAsia"/>
          <w:bCs/>
          <w:sz w:val="21"/>
          <w:szCs w:val="21"/>
        </w:rPr>
        <w:t>：</w:t>
      </w:r>
      <w:r>
        <w:rPr>
          <w:rFonts w:hint="eastAsia" w:asciiTheme="minorEastAsia" w:hAnsiTheme="minorEastAsia" w:eastAsiaTheme="minorEastAsia" w:cstheme="minorEastAsia"/>
          <w:bCs/>
          <w:sz w:val="21"/>
          <w:szCs w:val="21"/>
          <w:u w:val="single"/>
          <w:lang w:val="en-US" w:eastAsia="zh-CN"/>
        </w:rPr>
        <w:t xml:space="preserve">                                                                                                                                                                                                                                                                  </w:t>
      </w:r>
    </w:p>
    <w:p w14:paraId="4AE31FA2">
      <w:pPr>
        <w:pStyle w:val="19"/>
        <w:pageBreakBefore w:val="0"/>
        <w:kinsoku/>
        <w:wordWrap w:val="0"/>
        <w:overflowPunct/>
        <w:topLinePunct w:val="0"/>
        <w:autoSpaceDE/>
        <w:autoSpaceDN/>
        <w:bidi w:val="0"/>
        <w:snapToGrid/>
        <w:spacing w:line="360" w:lineRule="auto"/>
        <w:ind w:left="0" w:leftChars="0" w:firstLine="420" w:firstLineChars="200"/>
        <w:jc w:val="left"/>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lang w:val="en-US" w:eastAsia="zh-CN"/>
        </w:rPr>
        <w:t xml:space="preserve">1.5 </w:t>
      </w:r>
      <w:r>
        <w:rPr>
          <w:rFonts w:hint="eastAsia" w:asciiTheme="minorEastAsia" w:hAnsiTheme="minorEastAsia" w:eastAsiaTheme="minorEastAsia" w:cstheme="minorEastAsia"/>
          <w:bCs/>
          <w:sz w:val="21"/>
          <w:szCs w:val="21"/>
        </w:rPr>
        <w:t>项目运营要求：本项目的运营须配备充足的人员，满足停车管理的要求并统一着装。</w:t>
      </w:r>
    </w:p>
    <w:p w14:paraId="0EC32919">
      <w:pPr>
        <w:pStyle w:val="19"/>
        <w:pageBreakBefore w:val="0"/>
        <w:kinsoku/>
        <w:wordWrap w:val="0"/>
        <w:overflowPunct/>
        <w:topLinePunct w:val="0"/>
        <w:autoSpaceDE/>
        <w:autoSpaceDN/>
        <w:bidi w:val="0"/>
        <w:snapToGrid/>
        <w:spacing w:line="360" w:lineRule="auto"/>
        <w:ind w:left="0" w:leftChars="0" w:firstLine="420" w:firstLineChars="200"/>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Cs/>
          <w:sz w:val="21"/>
          <w:szCs w:val="21"/>
        </w:rPr>
        <w:t>1.</w:t>
      </w:r>
      <w:r>
        <w:rPr>
          <w:rFonts w:hint="eastAsia" w:asciiTheme="minorEastAsia" w:hAnsiTheme="minorEastAsia" w:eastAsiaTheme="minorEastAsia" w:cstheme="minorEastAsia"/>
          <w:bCs/>
          <w:sz w:val="21"/>
          <w:szCs w:val="21"/>
          <w:lang w:val="en-US" w:eastAsia="zh-CN"/>
        </w:rPr>
        <w:t xml:space="preserve">6 </w:t>
      </w:r>
      <w:r>
        <w:rPr>
          <w:rFonts w:hint="eastAsia" w:asciiTheme="minorEastAsia" w:hAnsiTheme="minorEastAsia" w:eastAsiaTheme="minorEastAsia" w:cstheme="minorEastAsia"/>
          <w:bCs/>
          <w:sz w:val="21"/>
          <w:szCs w:val="21"/>
        </w:rPr>
        <w:t>报价要求</w:t>
      </w:r>
      <w:r>
        <w:rPr>
          <w:rFonts w:hint="eastAsia" w:asciiTheme="minorEastAsia" w:hAnsiTheme="minorEastAsia" w:eastAsiaTheme="minorEastAsia" w:cstheme="minorEastAsia"/>
          <w:bCs/>
          <w:color w:val="FF0000"/>
          <w:sz w:val="21"/>
          <w:szCs w:val="21"/>
          <w:lang w:eastAsia="zh-CN"/>
        </w:rPr>
        <w:t>【</w:t>
      </w:r>
      <w:r>
        <w:rPr>
          <w:rFonts w:hint="eastAsia" w:asciiTheme="minorEastAsia" w:hAnsiTheme="minorEastAsia" w:eastAsiaTheme="minorEastAsia" w:cstheme="minorEastAsia"/>
          <w:bCs/>
          <w:color w:val="FF0000"/>
          <w:sz w:val="21"/>
          <w:szCs w:val="21"/>
          <w:lang w:val="en-US" w:eastAsia="zh-CN"/>
        </w:rPr>
        <w:t>面向社会征集，须与合作模式匹配</w:t>
      </w:r>
      <w:r>
        <w:rPr>
          <w:rFonts w:hint="eastAsia" w:asciiTheme="minorEastAsia" w:hAnsiTheme="minorEastAsia" w:eastAsiaTheme="minorEastAsia" w:cstheme="minorEastAsia"/>
          <w:bCs/>
          <w:color w:val="FF0000"/>
          <w:sz w:val="21"/>
          <w:szCs w:val="21"/>
          <w:lang w:eastAsia="zh-CN"/>
        </w:rPr>
        <w:t>】</w:t>
      </w:r>
      <w:r>
        <w:rPr>
          <w:rFonts w:hint="eastAsia" w:asciiTheme="minorEastAsia" w:hAnsiTheme="minorEastAsia" w:eastAsiaTheme="minorEastAsia" w:cstheme="minorEastAsia"/>
          <w:bCs/>
          <w:sz w:val="21"/>
          <w:szCs w:val="21"/>
        </w:rPr>
        <w:t>：</w:t>
      </w:r>
      <w:r>
        <w:rPr>
          <w:rFonts w:hint="eastAsia" w:asciiTheme="minorEastAsia" w:hAnsiTheme="minorEastAsia" w:eastAsiaTheme="minorEastAsia" w:cstheme="minorEastAsia"/>
          <w:bCs/>
          <w:sz w:val="21"/>
          <w:szCs w:val="21"/>
          <w:u w:val="single"/>
          <w:lang w:val="en-US" w:eastAsia="zh-CN"/>
        </w:rPr>
        <w:t xml:space="preserve">                                                                                                                                                                                                                                                                                                    </w:t>
      </w:r>
    </w:p>
    <w:p w14:paraId="70C9DCEA">
      <w:pPr>
        <w:pStyle w:val="19"/>
        <w:keepNext w:val="0"/>
        <w:keepLines w:val="0"/>
        <w:pageBreakBefore w:val="0"/>
        <w:widowControl/>
        <w:numPr>
          <w:ilvl w:val="0"/>
          <w:numId w:val="2"/>
        </w:numPr>
        <w:kinsoku/>
        <w:wordWrap w:val="0"/>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项目内容</w:t>
      </w:r>
    </w:p>
    <w:p w14:paraId="194CD101">
      <w:pPr>
        <w:pStyle w:val="19"/>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2.1 开平市城区范围内计划泊位表。</w:t>
      </w:r>
      <w:r>
        <w:rPr>
          <w:rFonts w:hint="eastAsia" w:asciiTheme="minorEastAsia" w:hAnsiTheme="minorEastAsia" w:eastAsiaTheme="minorEastAsia" w:cstheme="minorEastAsia"/>
          <w:sz w:val="21"/>
          <w:szCs w:val="21"/>
        </w:rPr>
        <w:t>（以各职能部门批准并实际上线运营的泊位数量为准）</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775"/>
        <w:gridCol w:w="5628"/>
        <w:gridCol w:w="1320"/>
        <w:gridCol w:w="1224"/>
        <w:gridCol w:w="991"/>
      </w:tblGrid>
      <w:tr w14:paraId="47F8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blHeader/>
          <w:jc w:val="center"/>
        </w:trPr>
        <w:tc>
          <w:tcPr>
            <w:tcW w:w="775" w:type="dxa"/>
            <w:shd w:val="clear" w:color="auto" w:fill="D7D7D7" w:themeFill="background1" w:themeFillShade="D8"/>
            <w:tcMar>
              <w:top w:w="108" w:type="dxa"/>
              <w:left w:w="96" w:type="dxa"/>
              <w:bottom w:w="108" w:type="dxa"/>
              <w:right w:w="96" w:type="dxa"/>
            </w:tcMar>
            <w:vAlign w:val="center"/>
          </w:tcPr>
          <w:p w14:paraId="582BF75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kern w:val="0"/>
                <w:sz w:val="24"/>
                <w:szCs w:val="24"/>
                <w:lang w:val="en-US" w:eastAsia="zh-CN" w:bidi="ar"/>
              </w:rPr>
              <w:t>序号</w:t>
            </w:r>
          </w:p>
        </w:tc>
        <w:tc>
          <w:tcPr>
            <w:tcW w:w="5628" w:type="dxa"/>
            <w:shd w:val="clear" w:color="auto" w:fill="D7D7D7" w:themeFill="background1" w:themeFillShade="D8"/>
            <w:tcMar>
              <w:top w:w="108" w:type="dxa"/>
              <w:left w:w="96" w:type="dxa"/>
              <w:bottom w:w="108" w:type="dxa"/>
              <w:right w:w="96" w:type="dxa"/>
            </w:tcMar>
            <w:vAlign w:val="center"/>
          </w:tcPr>
          <w:p w14:paraId="7932332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kern w:val="0"/>
                <w:sz w:val="24"/>
                <w:szCs w:val="24"/>
                <w:lang w:val="en-US" w:eastAsia="zh-CN" w:bidi="ar"/>
              </w:rPr>
              <w:t>路段名称</w:t>
            </w:r>
          </w:p>
        </w:tc>
        <w:tc>
          <w:tcPr>
            <w:tcW w:w="1320" w:type="dxa"/>
            <w:shd w:val="clear" w:color="auto" w:fill="D7D7D7" w:themeFill="background1" w:themeFillShade="D8"/>
            <w:tcMar>
              <w:top w:w="108" w:type="dxa"/>
              <w:left w:w="96" w:type="dxa"/>
              <w:bottom w:w="108" w:type="dxa"/>
              <w:right w:w="96" w:type="dxa"/>
            </w:tcMar>
            <w:vAlign w:val="center"/>
          </w:tcPr>
          <w:p w14:paraId="1D376E5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kern w:val="0"/>
                <w:sz w:val="24"/>
                <w:szCs w:val="24"/>
                <w:lang w:val="en-US" w:eastAsia="zh-CN" w:bidi="ar"/>
              </w:rPr>
              <w:t>停车分区</w:t>
            </w:r>
          </w:p>
        </w:tc>
        <w:tc>
          <w:tcPr>
            <w:tcW w:w="1224" w:type="dxa"/>
            <w:shd w:val="clear" w:color="auto" w:fill="D7D7D7" w:themeFill="background1" w:themeFillShade="D8"/>
            <w:tcMar>
              <w:top w:w="108" w:type="dxa"/>
              <w:left w:w="96" w:type="dxa"/>
              <w:bottom w:w="108" w:type="dxa"/>
              <w:right w:w="96" w:type="dxa"/>
            </w:tcMar>
            <w:vAlign w:val="center"/>
          </w:tcPr>
          <w:p w14:paraId="6924AFC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kern w:val="0"/>
                <w:sz w:val="24"/>
                <w:szCs w:val="24"/>
                <w:lang w:val="en-US" w:eastAsia="zh-CN" w:bidi="ar"/>
              </w:rPr>
              <w:t>建设情况</w:t>
            </w:r>
          </w:p>
        </w:tc>
        <w:tc>
          <w:tcPr>
            <w:tcW w:w="991" w:type="dxa"/>
            <w:shd w:val="clear" w:color="auto" w:fill="D7D7D7" w:themeFill="background1" w:themeFillShade="D8"/>
            <w:tcMar>
              <w:top w:w="108" w:type="dxa"/>
              <w:left w:w="96" w:type="dxa"/>
              <w:bottom w:w="108" w:type="dxa"/>
              <w:right w:w="96" w:type="dxa"/>
            </w:tcMar>
            <w:vAlign w:val="center"/>
          </w:tcPr>
          <w:p w14:paraId="3CABC6A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kern w:val="0"/>
                <w:sz w:val="24"/>
                <w:szCs w:val="24"/>
                <w:lang w:val="en-US" w:eastAsia="zh-CN" w:bidi="ar"/>
              </w:rPr>
              <w:t>泊位数</w:t>
            </w:r>
          </w:p>
        </w:tc>
      </w:tr>
      <w:tr w14:paraId="3137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685F76A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w:t>
            </w:r>
          </w:p>
        </w:tc>
        <w:tc>
          <w:tcPr>
            <w:tcW w:w="5628" w:type="dxa"/>
            <w:shd w:val="clear" w:color="auto" w:fill="auto"/>
            <w:tcMar>
              <w:top w:w="108" w:type="dxa"/>
              <w:left w:w="96" w:type="dxa"/>
              <w:bottom w:w="108" w:type="dxa"/>
              <w:right w:w="96" w:type="dxa"/>
            </w:tcMar>
            <w:vAlign w:val="center"/>
          </w:tcPr>
          <w:p w14:paraId="6E2EECA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广播电视中心-开平人防应急指挥中心东头路段</w:t>
            </w:r>
          </w:p>
        </w:tc>
        <w:tc>
          <w:tcPr>
            <w:tcW w:w="1320" w:type="dxa"/>
            <w:shd w:val="clear" w:color="auto" w:fill="auto"/>
            <w:tcMar>
              <w:top w:w="108" w:type="dxa"/>
              <w:left w:w="96" w:type="dxa"/>
              <w:bottom w:w="108" w:type="dxa"/>
              <w:right w:w="96" w:type="dxa"/>
            </w:tcMar>
            <w:vAlign w:val="center"/>
          </w:tcPr>
          <w:p w14:paraId="157AA7F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一类路段</w:t>
            </w:r>
          </w:p>
        </w:tc>
        <w:tc>
          <w:tcPr>
            <w:tcW w:w="1224" w:type="dxa"/>
            <w:shd w:val="clear" w:color="auto" w:fill="auto"/>
            <w:tcMar>
              <w:top w:w="108" w:type="dxa"/>
              <w:left w:w="96" w:type="dxa"/>
              <w:bottom w:w="108" w:type="dxa"/>
              <w:right w:w="96" w:type="dxa"/>
            </w:tcMar>
            <w:vAlign w:val="center"/>
          </w:tcPr>
          <w:p w14:paraId="138E8E9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2C035EA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113</w:t>
            </w:r>
          </w:p>
        </w:tc>
      </w:tr>
      <w:tr w14:paraId="2A0C9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4C6BBB6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2</w:t>
            </w:r>
          </w:p>
        </w:tc>
        <w:tc>
          <w:tcPr>
            <w:tcW w:w="5628" w:type="dxa"/>
            <w:shd w:val="clear" w:color="auto" w:fill="auto"/>
            <w:tcMar>
              <w:top w:w="108" w:type="dxa"/>
              <w:left w:w="96" w:type="dxa"/>
              <w:bottom w:w="108" w:type="dxa"/>
              <w:right w:w="96" w:type="dxa"/>
            </w:tcMar>
            <w:vAlign w:val="center"/>
          </w:tcPr>
          <w:p w14:paraId="375132D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金山大道（东兴大道-金山公园南门）</w:t>
            </w:r>
          </w:p>
        </w:tc>
        <w:tc>
          <w:tcPr>
            <w:tcW w:w="1320" w:type="dxa"/>
            <w:shd w:val="clear" w:color="auto" w:fill="auto"/>
            <w:tcMar>
              <w:top w:w="108" w:type="dxa"/>
              <w:left w:w="96" w:type="dxa"/>
              <w:bottom w:w="108" w:type="dxa"/>
              <w:right w:w="96" w:type="dxa"/>
            </w:tcMar>
            <w:vAlign w:val="center"/>
          </w:tcPr>
          <w:p w14:paraId="2AB7EEB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一类路段</w:t>
            </w:r>
          </w:p>
        </w:tc>
        <w:tc>
          <w:tcPr>
            <w:tcW w:w="1224" w:type="dxa"/>
            <w:shd w:val="clear" w:color="auto" w:fill="auto"/>
            <w:tcMar>
              <w:top w:w="108" w:type="dxa"/>
              <w:left w:w="96" w:type="dxa"/>
              <w:bottom w:w="108" w:type="dxa"/>
              <w:right w:w="96" w:type="dxa"/>
            </w:tcMar>
            <w:vAlign w:val="center"/>
          </w:tcPr>
          <w:p w14:paraId="6BD5079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38E9061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124</w:t>
            </w:r>
          </w:p>
        </w:tc>
      </w:tr>
      <w:tr w14:paraId="33A7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47EE2F1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3</w:t>
            </w:r>
          </w:p>
        </w:tc>
        <w:tc>
          <w:tcPr>
            <w:tcW w:w="5628" w:type="dxa"/>
            <w:shd w:val="clear" w:color="auto" w:fill="auto"/>
            <w:tcMar>
              <w:top w:w="108" w:type="dxa"/>
              <w:left w:w="96" w:type="dxa"/>
              <w:bottom w:w="108" w:type="dxa"/>
              <w:right w:w="96" w:type="dxa"/>
            </w:tcMar>
            <w:vAlign w:val="center"/>
          </w:tcPr>
          <w:p w14:paraId="6F635FC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金山大道连接桥下停车场</w:t>
            </w:r>
          </w:p>
        </w:tc>
        <w:tc>
          <w:tcPr>
            <w:tcW w:w="1320" w:type="dxa"/>
            <w:shd w:val="clear" w:color="auto" w:fill="auto"/>
            <w:tcMar>
              <w:top w:w="108" w:type="dxa"/>
              <w:left w:w="96" w:type="dxa"/>
              <w:bottom w:w="108" w:type="dxa"/>
              <w:right w:w="96" w:type="dxa"/>
            </w:tcMar>
            <w:vAlign w:val="center"/>
          </w:tcPr>
          <w:p w14:paraId="3F4112E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停车场</w:t>
            </w:r>
          </w:p>
        </w:tc>
        <w:tc>
          <w:tcPr>
            <w:tcW w:w="1224" w:type="dxa"/>
            <w:shd w:val="clear" w:color="auto" w:fill="auto"/>
            <w:tcMar>
              <w:top w:w="108" w:type="dxa"/>
              <w:left w:w="96" w:type="dxa"/>
              <w:bottom w:w="108" w:type="dxa"/>
              <w:right w:w="96" w:type="dxa"/>
            </w:tcMar>
            <w:vAlign w:val="center"/>
          </w:tcPr>
          <w:p w14:paraId="17A49F1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60D396B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102</w:t>
            </w:r>
          </w:p>
        </w:tc>
      </w:tr>
      <w:tr w14:paraId="5F804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22F5461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4</w:t>
            </w:r>
          </w:p>
        </w:tc>
        <w:tc>
          <w:tcPr>
            <w:tcW w:w="5628" w:type="dxa"/>
            <w:shd w:val="clear" w:color="auto" w:fill="auto"/>
            <w:tcMar>
              <w:top w:w="108" w:type="dxa"/>
              <w:left w:w="96" w:type="dxa"/>
              <w:bottom w:w="108" w:type="dxa"/>
              <w:right w:w="96" w:type="dxa"/>
            </w:tcMar>
            <w:vAlign w:val="center"/>
          </w:tcPr>
          <w:p w14:paraId="370C634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开平市人民公园东侧路段</w:t>
            </w:r>
          </w:p>
        </w:tc>
        <w:tc>
          <w:tcPr>
            <w:tcW w:w="1320" w:type="dxa"/>
            <w:shd w:val="clear" w:color="auto" w:fill="auto"/>
            <w:tcMar>
              <w:top w:w="108" w:type="dxa"/>
              <w:left w:w="96" w:type="dxa"/>
              <w:bottom w:w="108" w:type="dxa"/>
              <w:right w:w="96" w:type="dxa"/>
            </w:tcMar>
            <w:vAlign w:val="center"/>
          </w:tcPr>
          <w:p w14:paraId="48242FB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一类路段</w:t>
            </w:r>
          </w:p>
        </w:tc>
        <w:tc>
          <w:tcPr>
            <w:tcW w:w="1224" w:type="dxa"/>
            <w:shd w:val="clear" w:color="auto" w:fill="auto"/>
            <w:tcMar>
              <w:top w:w="108" w:type="dxa"/>
              <w:left w:w="96" w:type="dxa"/>
              <w:bottom w:w="108" w:type="dxa"/>
              <w:right w:w="96" w:type="dxa"/>
            </w:tcMar>
            <w:vAlign w:val="center"/>
          </w:tcPr>
          <w:p w14:paraId="03B6991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55A8650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152</w:t>
            </w:r>
          </w:p>
        </w:tc>
      </w:tr>
      <w:tr w14:paraId="479F4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2027023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5</w:t>
            </w:r>
          </w:p>
        </w:tc>
        <w:tc>
          <w:tcPr>
            <w:tcW w:w="5628" w:type="dxa"/>
            <w:shd w:val="clear" w:color="auto" w:fill="auto"/>
            <w:tcMar>
              <w:top w:w="108" w:type="dxa"/>
              <w:left w:w="96" w:type="dxa"/>
              <w:bottom w:w="108" w:type="dxa"/>
              <w:right w:w="96" w:type="dxa"/>
            </w:tcMar>
            <w:vAlign w:val="center"/>
          </w:tcPr>
          <w:p w14:paraId="6BB5DCE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开平市青少年宫周边路段</w:t>
            </w:r>
          </w:p>
        </w:tc>
        <w:tc>
          <w:tcPr>
            <w:tcW w:w="1320" w:type="dxa"/>
            <w:shd w:val="clear" w:color="auto" w:fill="auto"/>
            <w:tcMar>
              <w:top w:w="108" w:type="dxa"/>
              <w:left w:w="96" w:type="dxa"/>
              <w:bottom w:w="108" w:type="dxa"/>
              <w:right w:w="96" w:type="dxa"/>
            </w:tcMar>
            <w:vAlign w:val="center"/>
          </w:tcPr>
          <w:p w14:paraId="1E64AC5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一类路段</w:t>
            </w:r>
          </w:p>
        </w:tc>
        <w:tc>
          <w:tcPr>
            <w:tcW w:w="1224" w:type="dxa"/>
            <w:shd w:val="clear" w:color="auto" w:fill="auto"/>
            <w:tcMar>
              <w:top w:w="108" w:type="dxa"/>
              <w:left w:w="96" w:type="dxa"/>
              <w:bottom w:w="108" w:type="dxa"/>
              <w:right w:w="96" w:type="dxa"/>
            </w:tcMar>
            <w:vAlign w:val="center"/>
          </w:tcPr>
          <w:p w14:paraId="3A52771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3C12E5C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25</w:t>
            </w:r>
          </w:p>
        </w:tc>
      </w:tr>
      <w:tr w14:paraId="1960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13F62BB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6</w:t>
            </w:r>
          </w:p>
        </w:tc>
        <w:tc>
          <w:tcPr>
            <w:tcW w:w="5628" w:type="dxa"/>
            <w:shd w:val="clear" w:color="auto" w:fill="auto"/>
            <w:tcMar>
              <w:top w:w="108" w:type="dxa"/>
              <w:left w:w="96" w:type="dxa"/>
              <w:bottom w:w="108" w:type="dxa"/>
              <w:right w:w="96" w:type="dxa"/>
            </w:tcMar>
            <w:vAlign w:val="center"/>
          </w:tcPr>
          <w:p w14:paraId="17B40A4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城市北广场停车场1</w:t>
            </w:r>
          </w:p>
        </w:tc>
        <w:tc>
          <w:tcPr>
            <w:tcW w:w="1320" w:type="dxa"/>
            <w:shd w:val="clear" w:color="auto" w:fill="auto"/>
            <w:tcMar>
              <w:top w:w="108" w:type="dxa"/>
              <w:left w:w="96" w:type="dxa"/>
              <w:bottom w:w="108" w:type="dxa"/>
              <w:right w:w="96" w:type="dxa"/>
            </w:tcMar>
            <w:vAlign w:val="center"/>
          </w:tcPr>
          <w:p w14:paraId="5FE70CE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停车场</w:t>
            </w:r>
          </w:p>
        </w:tc>
        <w:tc>
          <w:tcPr>
            <w:tcW w:w="1224" w:type="dxa"/>
            <w:shd w:val="clear" w:color="auto" w:fill="auto"/>
            <w:tcMar>
              <w:top w:w="108" w:type="dxa"/>
              <w:left w:w="96" w:type="dxa"/>
              <w:bottom w:w="108" w:type="dxa"/>
              <w:right w:w="96" w:type="dxa"/>
            </w:tcMar>
            <w:vAlign w:val="center"/>
          </w:tcPr>
          <w:p w14:paraId="4EB97F5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01B9A9B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67</w:t>
            </w:r>
          </w:p>
        </w:tc>
      </w:tr>
      <w:tr w14:paraId="01C1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21E8996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7</w:t>
            </w:r>
          </w:p>
        </w:tc>
        <w:tc>
          <w:tcPr>
            <w:tcW w:w="5628" w:type="dxa"/>
            <w:shd w:val="clear" w:color="auto" w:fill="auto"/>
            <w:tcMar>
              <w:top w:w="108" w:type="dxa"/>
              <w:left w:w="96" w:type="dxa"/>
              <w:bottom w:w="108" w:type="dxa"/>
              <w:right w:w="96" w:type="dxa"/>
            </w:tcMar>
            <w:vAlign w:val="center"/>
          </w:tcPr>
          <w:p w14:paraId="136F9A6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城市北广场停车场2</w:t>
            </w:r>
          </w:p>
        </w:tc>
        <w:tc>
          <w:tcPr>
            <w:tcW w:w="1320" w:type="dxa"/>
            <w:shd w:val="clear" w:color="auto" w:fill="auto"/>
            <w:tcMar>
              <w:top w:w="108" w:type="dxa"/>
              <w:left w:w="96" w:type="dxa"/>
              <w:bottom w:w="108" w:type="dxa"/>
              <w:right w:w="96" w:type="dxa"/>
            </w:tcMar>
            <w:vAlign w:val="center"/>
          </w:tcPr>
          <w:p w14:paraId="098D491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停车场</w:t>
            </w:r>
          </w:p>
        </w:tc>
        <w:tc>
          <w:tcPr>
            <w:tcW w:w="1224" w:type="dxa"/>
            <w:shd w:val="clear" w:color="auto" w:fill="auto"/>
            <w:tcMar>
              <w:top w:w="108" w:type="dxa"/>
              <w:left w:w="96" w:type="dxa"/>
              <w:bottom w:w="108" w:type="dxa"/>
              <w:right w:w="96" w:type="dxa"/>
            </w:tcMar>
            <w:vAlign w:val="center"/>
          </w:tcPr>
          <w:p w14:paraId="0FA7015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313456C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15</w:t>
            </w:r>
          </w:p>
        </w:tc>
      </w:tr>
      <w:tr w14:paraId="571C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3D2948D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8</w:t>
            </w:r>
          </w:p>
        </w:tc>
        <w:tc>
          <w:tcPr>
            <w:tcW w:w="5628" w:type="dxa"/>
            <w:shd w:val="clear" w:color="auto" w:fill="auto"/>
            <w:tcMar>
              <w:top w:w="108" w:type="dxa"/>
              <w:left w:w="96" w:type="dxa"/>
              <w:bottom w:w="108" w:type="dxa"/>
              <w:right w:w="96" w:type="dxa"/>
            </w:tcMar>
            <w:vAlign w:val="center"/>
          </w:tcPr>
          <w:p w14:paraId="0A24E3E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沿江路（世纪之舟到潭江大桥段）</w:t>
            </w:r>
          </w:p>
        </w:tc>
        <w:tc>
          <w:tcPr>
            <w:tcW w:w="1320" w:type="dxa"/>
            <w:shd w:val="clear" w:color="auto" w:fill="auto"/>
            <w:tcMar>
              <w:top w:w="108" w:type="dxa"/>
              <w:left w:w="96" w:type="dxa"/>
              <w:bottom w:w="108" w:type="dxa"/>
              <w:right w:w="96" w:type="dxa"/>
            </w:tcMar>
            <w:vAlign w:val="center"/>
          </w:tcPr>
          <w:p w14:paraId="1F0C684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一类路段</w:t>
            </w:r>
          </w:p>
        </w:tc>
        <w:tc>
          <w:tcPr>
            <w:tcW w:w="1224" w:type="dxa"/>
            <w:shd w:val="clear" w:color="auto" w:fill="auto"/>
            <w:tcMar>
              <w:top w:w="108" w:type="dxa"/>
              <w:left w:w="96" w:type="dxa"/>
              <w:bottom w:w="108" w:type="dxa"/>
              <w:right w:w="96" w:type="dxa"/>
            </w:tcMar>
            <w:vAlign w:val="center"/>
          </w:tcPr>
          <w:p w14:paraId="2EFD39E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4454004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88</w:t>
            </w:r>
          </w:p>
        </w:tc>
      </w:tr>
      <w:tr w14:paraId="4BE4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3CF4473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9</w:t>
            </w:r>
          </w:p>
        </w:tc>
        <w:tc>
          <w:tcPr>
            <w:tcW w:w="5628" w:type="dxa"/>
            <w:shd w:val="clear" w:color="auto" w:fill="auto"/>
            <w:tcMar>
              <w:top w:w="108" w:type="dxa"/>
              <w:left w:w="96" w:type="dxa"/>
              <w:bottom w:w="108" w:type="dxa"/>
              <w:right w:w="96" w:type="dxa"/>
            </w:tcMar>
            <w:vAlign w:val="center"/>
          </w:tcPr>
          <w:p w14:paraId="397280D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西宁路（东兴河-新迳桥）</w:t>
            </w:r>
          </w:p>
        </w:tc>
        <w:tc>
          <w:tcPr>
            <w:tcW w:w="1320" w:type="dxa"/>
            <w:shd w:val="clear" w:color="auto" w:fill="auto"/>
            <w:tcMar>
              <w:top w:w="108" w:type="dxa"/>
              <w:left w:w="96" w:type="dxa"/>
              <w:bottom w:w="108" w:type="dxa"/>
              <w:right w:w="96" w:type="dxa"/>
            </w:tcMar>
            <w:vAlign w:val="center"/>
          </w:tcPr>
          <w:p w14:paraId="0841473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一类路段</w:t>
            </w:r>
          </w:p>
        </w:tc>
        <w:tc>
          <w:tcPr>
            <w:tcW w:w="1224" w:type="dxa"/>
            <w:shd w:val="clear" w:color="auto" w:fill="auto"/>
            <w:tcMar>
              <w:top w:w="108" w:type="dxa"/>
              <w:left w:w="96" w:type="dxa"/>
              <w:bottom w:w="108" w:type="dxa"/>
              <w:right w:w="96" w:type="dxa"/>
            </w:tcMar>
            <w:vAlign w:val="center"/>
          </w:tcPr>
          <w:p w14:paraId="670382F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4E95F56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111</w:t>
            </w:r>
          </w:p>
        </w:tc>
      </w:tr>
      <w:tr w14:paraId="36A8D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71F954D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10</w:t>
            </w:r>
          </w:p>
        </w:tc>
        <w:tc>
          <w:tcPr>
            <w:tcW w:w="5628" w:type="dxa"/>
            <w:shd w:val="clear" w:color="auto" w:fill="auto"/>
            <w:tcMar>
              <w:top w:w="108" w:type="dxa"/>
              <w:left w:w="96" w:type="dxa"/>
              <w:bottom w:w="108" w:type="dxa"/>
              <w:right w:w="96" w:type="dxa"/>
            </w:tcMar>
            <w:vAlign w:val="center"/>
          </w:tcPr>
          <w:p w14:paraId="01128F0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富强路-中山大道（宏谊发展大楼-中山大道富强路北公交站）</w:t>
            </w:r>
          </w:p>
        </w:tc>
        <w:tc>
          <w:tcPr>
            <w:tcW w:w="1320" w:type="dxa"/>
            <w:shd w:val="clear" w:color="auto" w:fill="auto"/>
            <w:tcMar>
              <w:top w:w="108" w:type="dxa"/>
              <w:left w:w="96" w:type="dxa"/>
              <w:bottom w:w="108" w:type="dxa"/>
              <w:right w:w="96" w:type="dxa"/>
            </w:tcMar>
            <w:vAlign w:val="center"/>
          </w:tcPr>
          <w:p w14:paraId="27126BF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二类路段</w:t>
            </w:r>
          </w:p>
        </w:tc>
        <w:tc>
          <w:tcPr>
            <w:tcW w:w="1224" w:type="dxa"/>
            <w:shd w:val="clear" w:color="auto" w:fill="auto"/>
            <w:tcMar>
              <w:top w:w="108" w:type="dxa"/>
              <w:left w:w="96" w:type="dxa"/>
              <w:bottom w:w="108" w:type="dxa"/>
              <w:right w:w="96" w:type="dxa"/>
            </w:tcMar>
            <w:vAlign w:val="center"/>
          </w:tcPr>
          <w:p w14:paraId="0BE14AC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4BCDD94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127</w:t>
            </w:r>
          </w:p>
        </w:tc>
      </w:tr>
      <w:tr w14:paraId="2B86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3AE1727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11</w:t>
            </w:r>
          </w:p>
        </w:tc>
        <w:tc>
          <w:tcPr>
            <w:tcW w:w="5628" w:type="dxa"/>
            <w:shd w:val="clear" w:color="auto" w:fill="auto"/>
            <w:tcMar>
              <w:top w:w="108" w:type="dxa"/>
              <w:left w:w="96" w:type="dxa"/>
              <w:bottom w:w="108" w:type="dxa"/>
              <w:right w:w="96" w:type="dxa"/>
            </w:tcMar>
            <w:vAlign w:val="center"/>
          </w:tcPr>
          <w:p w14:paraId="58D94F8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天玺湾苍江边路段</w:t>
            </w:r>
          </w:p>
        </w:tc>
        <w:tc>
          <w:tcPr>
            <w:tcW w:w="1320" w:type="dxa"/>
            <w:shd w:val="clear" w:color="auto" w:fill="auto"/>
            <w:tcMar>
              <w:top w:w="108" w:type="dxa"/>
              <w:left w:w="96" w:type="dxa"/>
              <w:bottom w:w="108" w:type="dxa"/>
              <w:right w:w="96" w:type="dxa"/>
            </w:tcMar>
            <w:vAlign w:val="center"/>
          </w:tcPr>
          <w:p w14:paraId="572D0B6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一类路段</w:t>
            </w:r>
          </w:p>
        </w:tc>
        <w:tc>
          <w:tcPr>
            <w:tcW w:w="1224" w:type="dxa"/>
            <w:shd w:val="clear" w:color="auto" w:fill="auto"/>
            <w:tcMar>
              <w:top w:w="108" w:type="dxa"/>
              <w:left w:w="96" w:type="dxa"/>
              <w:bottom w:w="108" w:type="dxa"/>
              <w:right w:w="96" w:type="dxa"/>
            </w:tcMar>
            <w:vAlign w:val="center"/>
          </w:tcPr>
          <w:p w14:paraId="03D1713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2E9ED17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80</w:t>
            </w:r>
          </w:p>
        </w:tc>
      </w:tr>
      <w:tr w14:paraId="15CC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059239A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12</w:t>
            </w:r>
          </w:p>
        </w:tc>
        <w:tc>
          <w:tcPr>
            <w:tcW w:w="5628" w:type="dxa"/>
            <w:shd w:val="clear" w:color="auto" w:fill="auto"/>
            <w:tcMar>
              <w:top w:w="108" w:type="dxa"/>
              <w:left w:w="96" w:type="dxa"/>
              <w:bottom w:w="108" w:type="dxa"/>
              <w:right w:w="96" w:type="dxa"/>
            </w:tcMar>
            <w:vAlign w:val="center"/>
          </w:tcPr>
          <w:p w14:paraId="5525CC5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潭江大道</w:t>
            </w:r>
          </w:p>
        </w:tc>
        <w:tc>
          <w:tcPr>
            <w:tcW w:w="1320" w:type="dxa"/>
            <w:shd w:val="clear" w:color="auto" w:fill="auto"/>
            <w:tcMar>
              <w:top w:w="108" w:type="dxa"/>
              <w:left w:w="96" w:type="dxa"/>
              <w:bottom w:w="108" w:type="dxa"/>
              <w:right w:w="96" w:type="dxa"/>
            </w:tcMar>
            <w:vAlign w:val="center"/>
          </w:tcPr>
          <w:p w14:paraId="7AA59F4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二类路段</w:t>
            </w:r>
          </w:p>
        </w:tc>
        <w:tc>
          <w:tcPr>
            <w:tcW w:w="1224" w:type="dxa"/>
            <w:shd w:val="clear" w:color="auto" w:fill="auto"/>
            <w:tcMar>
              <w:top w:w="108" w:type="dxa"/>
              <w:left w:w="96" w:type="dxa"/>
              <w:bottom w:w="108" w:type="dxa"/>
              <w:right w:w="96" w:type="dxa"/>
            </w:tcMar>
            <w:vAlign w:val="center"/>
          </w:tcPr>
          <w:p w14:paraId="0ACCF5D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515BCA1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371</w:t>
            </w:r>
          </w:p>
        </w:tc>
      </w:tr>
      <w:tr w14:paraId="062D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4EF3C18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13</w:t>
            </w:r>
          </w:p>
        </w:tc>
        <w:tc>
          <w:tcPr>
            <w:tcW w:w="5628" w:type="dxa"/>
            <w:shd w:val="clear" w:color="auto" w:fill="auto"/>
            <w:tcMar>
              <w:top w:w="108" w:type="dxa"/>
              <w:left w:w="96" w:type="dxa"/>
              <w:bottom w:w="108" w:type="dxa"/>
              <w:right w:w="96" w:type="dxa"/>
            </w:tcMar>
            <w:vAlign w:val="center"/>
          </w:tcPr>
          <w:p w14:paraId="387388C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开平市风采实验学校西北侧临时停车场</w:t>
            </w:r>
          </w:p>
        </w:tc>
        <w:tc>
          <w:tcPr>
            <w:tcW w:w="1320" w:type="dxa"/>
            <w:shd w:val="clear" w:color="auto" w:fill="auto"/>
            <w:tcMar>
              <w:top w:w="108" w:type="dxa"/>
              <w:left w:w="96" w:type="dxa"/>
              <w:bottom w:w="108" w:type="dxa"/>
              <w:right w:w="96" w:type="dxa"/>
            </w:tcMar>
            <w:vAlign w:val="center"/>
          </w:tcPr>
          <w:p w14:paraId="664FD2E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停车场</w:t>
            </w:r>
          </w:p>
        </w:tc>
        <w:tc>
          <w:tcPr>
            <w:tcW w:w="1224" w:type="dxa"/>
            <w:shd w:val="clear" w:color="auto" w:fill="auto"/>
            <w:tcMar>
              <w:top w:w="108" w:type="dxa"/>
              <w:left w:w="96" w:type="dxa"/>
              <w:bottom w:w="108" w:type="dxa"/>
              <w:right w:w="96" w:type="dxa"/>
            </w:tcMar>
            <w:vAlign w:val="center"/>
          </w:tcPr>
          <w:p w14:paraId="03676BB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2FB42E6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86</w:t>
            </w:r>
          </w:p>
        </w:tc>
      </w:tr>
      <w:tr w14:paraId="774A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078E7D4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14</w:t>
            </w:r>
          </w:p>
        </w:tc>
        <w:tc>
          <w:tcPr>
            <w:tcW w:w="5628" w:type="dxa"/>
            <w:shd w:val="clear" w:color="auto" w:fill="auto"/>
            <w:tcMar>
              <w:top w:w="108" w:type="dxa"/>
              <w:left w:w="96" w:type="dxa"/>
              <w:bottom w:w="108" w:type="dxa"/>
              <w:right w:w="96" w:type="dxa"/>
            </w:tcMar>
            <w:vAlign w:val="center"/>
          </w:tcPr>
          <w:p w14:paraId="69EC4EE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慧安路</w:t>
            </w:r>
          </w:p>
        </w:tc>
        <w:tc>
          <w:tcPr>
            <w:tcW w:w="1320" w:type="dxa"/>
            <w:shd w:val="clear" w:color="auto" w:fill="auto"/>
            <w:tcMar>
              <w:top w:w="108" w:type="dxa"/>
              <w:left w:w="96" w:type="dxa"/>
              <w:bottom w:w="108" w:type="dxa"/>
              <w:right w:w="96" w:type="dxa"/>
            </w:tcMar>
            <w:vAlign w:val="center"/>
          </w:tcPr>
          <w:p w14:paraId="6B7A585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二类路段</w:t>
            </w:r>
          </w:p>
        </w:tc>
        <w:tc>
          <w:tcPr>
            <w:tcW w:w="1224" w:type="dxa"/>
            <w:shd w:val="clear" w:color="auto" w:fill="auto"/>
            <w:tcMar>
              <w:top w:w="108" w:type="dxa"/>
              <w:left w:w="96" w:type="dxa"/>
              <w:bottom w:w="108" w:type="dxa"/>
              <w:right w:w="96" w:type="dxa"/>
            </w:tcMar>
            <w:vAlign w:val="center"/>
          </w:tcPr>
          <w:p w14:paraId="0EEAF3D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498F3EB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110</w:t>
            </w:r>
          </w:p>
        </w:tc>
      </w:tr>
      <w:tr w14:paraId="0D3F1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5DACCAC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15</w:t>
            </w:r>
          </w:p>
        </w:tc>
        <w:tc>
          <w:tcPr>
            <w:tcW w:w="5628" w:type="dxa"/>
            <w:shd w:val="clear" w:color="auto" w:fill="auto"/>
            <w:tcMar>
              <w:top w:w="108" w:type="dxa"/>
              <w:left w:w="96" w:type="dxa"/>
              <w:bottom w:w="108" w:type="dxa"/>
              <w:right w:w="96" w:type="dxa"/>
            </w:tcMar>
            <w:vAlign w:val="center"/>
          </w:tcPr>
          <w:p w14:paraId="003BC56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兰坊路</w:t>
            </w:r>
          </w:p>
        </w:tc>
        <w:tc>
          <w:tcPr>
            <w:tcW w:w="1320" w:type="dxa"/>
            <w:shd w:val="clear" w:color="auto" w:fill="auto"/>
            <w:tcMar>
              <w:top w:w="108" w:type="dxa"/>
              <w:left w:w="96" w:type="dxa"/>
              <w:bottom w:w="108" w:type="dxa"/>
              <w:right w:w="96" w:type="dxa"/>
            </w:tcMar>
            <w:vAlign w:val="center"/>
          </w:tcPr>
          <w:p w14:paraId="5599456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二类路段</w:t>
            </w:r>
          </w:p>
        </w:tc>
        <w:tc>
          <w:tcPr>
            <w:tcW w:w="1224" w:type="dxa"/>
            <w:shd w:val="clear" w:color="auto" w:fill="auto"/>
            <w:tcMar>
              <w:top w:w="108" w:type="dxa"/>
              <w:left w:w="96" w:type="dxa"/>
              <w:bottom w:w="108" w:type="dxa"/>
              <w:right w:w="96" w:type="dxa"/>
            </w:tcMar>
            <w:vAlign w:val="center"/>
          </w:tcPr>
          <w:p w14:paraId="75F7801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7425E58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82</w:t>
            </w:r>
          </w:p>
        </w:tc>
      </w:tr>
      <w:tr w14:paraId="2332F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342D20D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16</w:t>
            </w:r>
          </w:p>
        </w:tc>
        <w:tc>
          <w:tcPr>
            <w:tcW w:w="5628" w:type="dxa"/>
            <w:shd w:val="clear" w:color="auto" w:fill="auto"/>
            <w:tcMar>
              <w:top w:w="108" w:type="dxa"/>
              <w:left w:w="96" w:type="dxa"/>
              <w:bottom w:w="108" w:type="dxa"/>
              <w:right w:w="96" w:type="dxa"/>
            </w:tcMar>
            <w:vAlign w:val="center"/>
          </w:tcPr>
          <w:p w14:paraId="1EF2BF7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迳富路</w:t>
            </w:r>
          </w:p>
        </w:tc>
        <w:tc>
          <w:tcPr>
            <w:tcW w:w="1320" w:type="dxa"/>
            <w:shd w:val="clear" w:color="auto" w:fill="auto"/>
            <w:tcMar>
              <w:top w:w="108" w:type="dxa"/>
              <w:left w:w="96" w:type="dxa"/>
              <w:bottom w:w="108" w:type="dxa"/>
              <w:right w:w="96" w:type="dxa"/>
            </w:tcMar>
            <w:vAlign w:val="center"/>
          </w:tcPr>
          <w:p w14:paraId="38F28F8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二类路段</w:t>
            </w:r>
          </w:p>
        </w:tc>
        <w:tc>
          <w:tcPr>
            <w:tcW w:w="1224" w:type="dxa"/>
            <w:shd w:val="clear" w:color="auto" w:fill="auto"/>
            <w:tcMar>
              <w:top w:w="108" w:type="dxa"/>
              <w:left w:w="96" w:type="dxa"/>
              <w:bottom w:w="108" w:type="dxa"/>
              <w:right w:w="96" w:type="dxa"/>
            </w:tcMar>
            <w:vAlign w:val="center"/>
          </w:tcPr>
          <w:p w14:paraId="6A0B6D1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145B1DD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78</w:t>
            </w:r>
          </w:p>
        </w:tc>
      </w:tr>
      <w:tr w14:paraId="16F1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4103E27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17</w:t>
            </w:r>
          </w:p>
        </w:tc>
        <w:tc>
          <w:tcPr>
            <w:tcW w:w="5628" w:type="dxa"/>
            <w:shd w:val="clear" w:color="auto" w:fill="auto"/>
            <w:tcMar>
              <w:top w:w="108" w:type="dxa"/>
              <w:left w:w="96" w:type="dxa"/>
              <w:bottom w:w="108" w:type="dxa"/>
              <w:right w:w="96" w:type="dxa"/>
            </w:tcMar>
            <w:vAlign w:val="center"/>
          </w:tcPr>
          <w:p w14:paraId="3EED7D7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南安路</w:t>
            </w:r>
          </w:p>
        </w:tc>
        <w:tc>
          <w:tcPr>
            <w:tcW w:w="1320" w:type="dxa"/>
            <w:shd w:val="clear" w:color="auto" w:fill="auto"/>
            <w:tcMar>
              <w:top w:w="108" w:type="dxa"/>
              <w:left w:w="96" w:type="dxa"/>
              <w:bottom w:w="108" w:type="dxa"/>
              <w:right w:w="96" w:type="dxa"/>
            </w:tcMar>
            <w:vAlign w:val="center"/>
          </w:tcPr>
          <w:p w14:paraId="24C216D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二类路段</w:t>
            </w:r>
          </w:p>
        </w:tc>
        <w:tc>
          <w:tcPr>
            <w:tcW w:w="1224" w:type="dxa"/>
            <w:shd w:val="clear" w:color="auto" w:fill="auto"/>
            <w:tcMar>
              <w:top w:w="108" w:type="dxa"/>
              <w:left w:w="96" w:type="dxa"/>
              <w:bottom w:w="108" w:type="dxa"/>
              <w:right w:w="96" w:type="dxa"/>
            </w:tcMar>
            <w:vAlign w:val="center"/>
          </w:tcPr>
          <w:p w14:paraId="2F100FE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307567F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90</w:t>
            </w:r>
          </w:p>
        </w:tc>
      </w:tr>
      <w:tr w14:paraId="1F27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0CA0A3C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18</w:t>
            </w:r>
          </w:p>
        </w:tc>
        <w:tc>
          <w:tcPr>
            <w:tcW w:w="5628" w:type="dxa"/>
            <w:shd w:val="clear" w:color="auto" w:fill="auto"/>
            <w:tcMar>
              <w:top w:w="108" w:type="dxa"/>
              <w:left w:w="96" w:type="dxa"/>
              <w:bottom w:w="108" w:type="dxa"/>
              <w:right w:w="96" w:type="dxa"/>
            </w:tcMar>
            <w:vAlign w:val="center"/>
          </w:tcPr>
          <w:p w14:paraId="03CD535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祥龙桥西环桥下停车场</w:t>
            </w:r>
          </w:p>
        </w:tc>
        <w:tc>
          <w:tcPr>
            <w:tcW w:w="1320" w:type="dxa"/>
            <w:shd w:val="clear" w:color="auto" w:fill="auto"/>
            <w:tcMar>
              <w:top w:w="108" w:type="dxa"/>
              <w:left w:w="96" w:type="dxa"/>
              <w:bottom w:w="108" w:type="dxa"/>
              <w:right w:w="96" w:type="dxa"/>
            </w:tcMar>
            <w:vAlign w:val="center"/>
          </w:tcPr>
          <w:p w14:paraId="56C09D2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停车场</w:t>
            </w:r>
          </w:p>
        </w:tc>
        <w:tc>
          <w:tcPr>
            <w:tcW w:w="1224" w:type="dxa"/>
            <w:shd w:val="clear" w:color="auto" w:fill="auto"/>
            <w:tcMar>
              <w:top w:w="108" w:type="dxa"/>
              <w:left w:w="96" w:type="dxa"/>
              <w:bottom w:w="108" w:type="dxa"/>
              <w:right w:w="96" w:type="dxa"/>
            </w:tcMar>
            <w:vAlign w:val="center"/>
          </w:tcPr>
          <w:p w14:paraId="7B5737F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35C177A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70</w:t>
            </w:r>
          </w:p>
        </w:tc>
      </w:tr>
      <w:tr w14:paraId="3EF14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447D24D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19</w:t>
            </w:r>
          </w:p>
        </w:tc>
        <w:tc>
          <w:tcPr>
            <w:tcW w:w="5628" w:type="dxa"/>
            <w:shd w:val="clear" w:color="auto" w:fill="auto"/>
            <w:tcMar>
              <w:top w:w="108" w:type="dxa"/>
              <w:left w:w="96" w:type="dxa"/>
              <w:bottom w:w="108" w:type="dxa"/>
              <w:right w:w="96" w:type="dxa"/>
            </w:tcMar>
            <w:vAlign w:val="center"/>
          </w:tcPr>
          <w:p w14:paraId="2850012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满天星周边</w:t>
            </w:r>
          </w:p>
        </w:tc>
        <w:tc>
          <w:tcPr>
            <w:tcW w:w="1320" w:type="dxa"/>
            <w:shd w:val="clear" w:color="auto" w:fill="auto"/>
            <w:tcMar>
              <w:top w:w="108" w:type="dxa"/>
              <w:left w:w="96" w:type="dxa"/>
              <w:bottom w:w="108" w:type="dxa"/>
              <w:right w:w="96" w:type="dxa"/>
            </w:tcMar>
            <w:vAlign w:val="center"/>
          </w:tcPr>
          <w:p w14:paraId="4053637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二类路段</w:t>
            </w:r>
          </w:p>
        </w:tc>
        <w:tc>
          <w:tcPr>
            <w:tcW w:w="1224" w:type="dxa"/>
            <w:shd w:val="clear" w:color="auto" w:fill="auto"/>
            <w:tcMar>
              <w:top w:w="108" w:type="dxa"/>
              <w:left w:w="96" w:type="dxa"/>
              <w:bottom w:w="108" w:type="dxa"/>
              <w:right w:w="96" w:type="dxa"/>
            </w:tcMar>
            <w:vAlign w:val="center"/>
          </w:tcPr>
          <w:p w14:paraId="0CD7B12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0055FB9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20</w:t>
            </w:r>
          </w:p>
        </w:tc>
      </w:tr>
      <w:tr w14:paraId="1689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2E7E909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20</w:t>
            </w:r>
          </w:p>
        </w:tc>
        <w:tc>
          <w:tcPr>
            <w:tcW w:w="5628" w:type="dxa"/>
            <w:shd w:val="clear" w:color="auto" w:fill="auto"/>
            <w:tcMar>
              <w:top w:w="108" w:type="dxa"/>
              <w:left w:w="96" w:type="dxa"/>
              <w:bottom w:w="108" w:type="dxa"/>
              <w:right w:w="96" w:type="dxa"/>
            </w:tcMar>
            <w:vAlign w:val="center"/>
          </w:tcPr>
          <w:p w14:paraId="4AE8B84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新桥路</w:t>
            </w:r>
          </w:p>
        </w:tc>
        <w:tc>
          <w:tcPr>
            <w:tcW w:w="1320" w:type="dxa"/>
            <w:shd w:val="clear" w:color="auto" w:fill="auto"/>
            <w:tcMar>
              <w:top w:w="108" w:type="dxa"/>
              <w:left w:w="96" w:type="dxa"/>
              <w:bottom w:w="108" w:type="dxa"/>
              <w:right w:w="96" w:type="dxa"/>
            </w:tcMar>
            <w:vAlign w:val="center"/>
          </w:tcPr>
          <w:p w14:paraId="58AAC86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三类路段</w:t>
            </w:r>
          </w:p>
        </w:tc>
        <w:tc>
          <w:tcPr>
            <w:tcW w:w="1224" w:type="dxa"/>
            <w:shd w:val="clear" w:color="auto" w:fill="auto"/>
            <w:tcMar>
              <w:top w:w="108" w:type="dxa"/>
              <w:left w:w="96" w:type="dxa"/>
              <w:bottom w:w="108" w:type="dxa"/>
              <w:right w:w="96" w:type="dxa"/>
            </w:tcMar>
            <w:vAlign w:val="center"/>
          </w:tcPr>
          <w:p w14:paraId="47CB17A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32FA825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365</w:t>
            </w:r>
          </w:p>
        </w:tc>
      </w:tr>
      <w:tr w14:paraId="01707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3A043F9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21</w:t>
            </w:r>
          </w:p>
        </w:tc>
        <w:tc>
          <w:tcPr>
            <w:tcW w:w="5628" w:type="dxa"/>
            <w:shd w:val="clear" w:color="auto" w:fill="auto"/>
            <w:tcMar>
              <w:top w:w="108" w:type="dxa"/>
              <w:left w:w="96" w:type="dxa"/>
              <w:bottom w:w="108" w:type="dxa"/>
              <w:right w:w="96" w:type="dxa"/>
            </w:tcMar>
            <w:vAlign w:val="center"/>
          </w:tcPr>
          <w:p w14:paraId="16CF418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新洲路</w:t>
            </w:r>
          </w:p>
        </w:tc>
        <w:tc>
          <w:tcPr>
            <w:tcW w:w="1320" w:type="dxa"/>
            <w:shd w:val="clear" w:color="auto" w:fill="auto"/>
            <w:tcMar>
              <w:top w:w="108" w:type="dxa"/>
              <w:left w:w="96" w:type="dxa"/>
              <w:bottom w:w="108" w:type="dxa"/>
              <w:right w:w="96" w:type="dxa"/>
            </w:tcMar>
            <w:vAlign w:val="center"/>
          </w:tcPr>
          <w:p w14:paraId="74B86AD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二类路段</w:t>
            </w:r>
          </w:p>
        </w:tc>
        <w:tc>
          <w:tcPr>
            <w:tcW w:w="1224" w:type="dxa"/>
            <w:shd w:val="clear" w:color="auto" w:fill="auto"/>
            <w:tcMar>
              <w:top w:w="108" w:type="dxa"/>
              <w:left w:w="96" w:type="dxa"/>
              <w:bottom w:w="108" w:type="dxa"/>
              <w:right w:w="96" w:type="dxa"/>
            </w:tcMar>
            <w:vAlign w:val="center"/>
          </w:tcPr>
          <w:p w14:paraId="095ACC5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66ECEF8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32</w:t>
            </w:r>
          </w:p>
        </w:tc>
      </w:tr>
      <w:tr w14:paraId="4496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2D58C7B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22</w:t>
            </w:r>
          </w:p>
        </w:tc>
        <w:tc>
          <w:tcPr>
            <w:tcW w:w="5628" w:type="dxa"/>
            <w:shd w:val="clear" w:color="auto" w:fill="auto"/>
            <w:tcMar>
              <w:top w:w="108" w:type="dxa"/>
              <w:left w:w="96" w:type="dxa"/>
              <w:bottom w:w="108" w:type="dxa"/>
              <w:right w:w="96" w:type="dxa"/>
            </w:tcMar>
            <w:vAlign w:val="center"/>
          </w:tcPr>
          <w:p w14:paraId="3709F56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汇龙路</w:t>
            </w:r>
          </w:p>
        </w:tc>
        <w:tc>
          <w:tcPr>
            <w:tcW w:w="1320" w:type="dxa"/>
            <w:shd w:val="clear" w:color="auto" w:fill="auto"/>
            <w:tcMar>
              <w:top w:w="108" w:type="dxa"/>
              <w:left w:w="96" w:type="dxa"/>
              <w:bottom w:w="108" w:type="dxa"/>
              <w:right w:w="96" w:type="dxa"/>
            </w:tcMar>
            <w:vAlign w:val="center"/>
          </w:tcPr>
          <w:p w14:paraId="66DAFF5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二类路段</w:t>
            </w:r>
          </w:p>
        </w:tc>
        <w:tc>
          <w:tcPr>
            <w:tcW w:w="1224" w:type="dxa"/>
            <w:shd w:val="clear" w:color="auto" w:fill="auto"/>
            <w:tcMar>
              <w:top w:w="108" w:type="dxa"/>
              <w:left w:w="96" w:type="dxa"/>
              <w:bottom w:w="108" w:type="dxa"/>
              <w:right w:w="96" w:type="dxa"/>
            </w:tcMar>
            <w:vAlign w:val="center"/>
          </w:tcPr>
          <w:p w14:paraId="33AC1B0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63AF801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107</w:t>
            </w:r>
          </w:p>
        </w:tc>
      </w:tr>
      <w:tr w14:paraId="15AF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077849E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23</w:t>
            </w:r>
          </w:p>
        </w:tc>
        <w:tc>
          <w:tcPr>
            <w:tcW w:w="5628" w:type="dxa"/>
            <w:shd w:val="clear" w:color="auto" w:fill="auto"/>
            <w:tcMar>
              <w:top w:w="108" w:type="dxa"/>
              <w:left w:w="96" w:type="dxa"/>
              <w:bottom w:w="108" w:type="dxa"/>
              <w:right w:w="96" w:type="dxa"/>
            </w:tcMar>
            <w:vAlign w:val="center"/>
          </w:tcPr>
          <w:p w14:paraId="32FD025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东九路</w:t>
            </w:r>
          </w:p>
        </w:tc>
        <w:tc>
          <w:tcPr>
            <w:tcW w:w="1320" w:type="dxa"/>
            <w:shd w:val="clear" w:color="auto" w:fill="auto"/>
            <w:tcMar>
              <w:top w:w="108" w:type="dxa"/>
              <w:left w:w="96" w:type="dxa"/>
              <w:bottom w:w="108" w:type="dxa"/>
              <w:right w:w="96" w:type="dxa"/>
            </w:tcMar>
            <w:vAlign w:val="center"/>
          </w:tcPr>
          <w:p w14:paraId="78D5461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三类路段</w:t>
            </w:r>
          </w:p>
        </w:tc>
        <w:tc>
          <w:tcPr>
            <w:tcW w:w="1224" w:type="dxa"/>
            <w:shd w:val="clear" w:color="auto" w:fill="auto"/>
            <w:tcMar>
              <w:top w:w="108" w:type="dxa"/>
              <w:left w:w="96" w:type="dxa"/>
              <w:bottom w:w="108" w:type="dxa"/>
              <w:right w:w="96" w:type="dxa"/>
            </w:tcMar>
            <w:vAlign w:val="center"/>
          </w:tcPr>
          <w:p w14:paraId="63AB6D5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4E15267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51</w:t>
            </w:r>
          </w:p>
        </w:tc>
      </w:tr>
      <w:tr w14:paraId="0F9D4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75F33AB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24</w:t>
            </w:r>
          </w:p>
        </w:tc>
        <w:tc>
          <w:tcPr>
            <w:tcW w:w="5628" w:type="dxa"/>
            <w:shd w:val="clear" w:color="auto" w:fill="auto"/>
            <w:tcMar>
              <w:top w:w="108" w:type="dxa"/>
              <w:left w:w="96" w:type="dxa"/>
              <w:bottom w:w="108" w:type="dxa"/>
              <w:right w:w="96" w:type="dxa"/>
            </w:tcMar>
            <w:vAlign w:val="center"/>
          </w:tcPr>
          <w:p w14:paraId="5E154BF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规划支路</w:t>
            </w:r>
          </w:p>
        </w:tc>
        <w:tc>
          <w:tcPr>
            <w:tcW w:w="1320" w:type="dxa"/>
            <w:shd w:val="clear" w:color="auto" w:fill="auto"/>
            <w:tcMar>
              <w:top w:w="108" w:type="dxa"/>
              <w:left w:w="96" w:type="dxa"/>
              <w:bottom w:w="108" w:type="dxa"/>
              <w:right w:w="96" w:type="dxa"/>
            </w:tcMar>
            <w:vAlign w:val="center"/>
          </w:tcPr>
          <w:p w14:paraId="4873850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三类路段</w:t>
            </w:r>
          </w:p>
        </w:tc>
        <w:tc>
          <w:tcPr>
            <w:tcW w:w="1224" w:type="dxa"/>
            <w:shd w:val="clear" w:color="auto" w:fill="auto"/>
            <w:tcMar>
              <w:top w:w="108" w:type="dxa"/>
              <w:left w:w="96" w:type="dxa"/>
              <w:bottom w:w="108" w:type="dxa"/>
              <w:right w:w="96" w:type="dxa"/>
            </w:tcMar>
            <w:vAlign w:val="center"/>
          </w:tcPr>
          <w:p w14:paraId="44DB791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02C9CAE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86</w:t>
            </w:r>
          </w:p>
        </w:tc>
      </w:tr>
      <w:tr w14:paraId="72DA9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5CB6A24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25</w:t>
            </w:r>
          </w:p>
        </w:tc>
        <w:tc>
          <w:tcPr>
            <w:tcW w:w="5628" w:type="dxa"/>
            <w:shd w:val="clear" w:color="auto" w:fill="auto"/>
            <w:tcMar>
              <w:top w:w="108" w:type="dxa"/>
              <w:left w:w="96" w:type="dxa"/>
              <w:bottom w:w="108" w:type="dxa"/>
              <w:right w:w="96" w:type="dxa"/>
            </w:tcMar>
            <w:vAlign w:val="center"/>
          </w:tcPr>
          <w:p w14:paraId="6950075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东七路</w:t>
            </w:r>
          </w:p>
        </w:tc>
        <w:tc>
          <w:tcPr>
            <w:tcW w:w="1320" w:type="dxa"/>
            <w:shd w:val="clear" w:color="auto" w:fill="auto"/>
            <w:tcMar>
              <w:top w:w="108" w:type="dxa"/>
              <w:left w:w="96" w:type="dxa"/>
              <w:bottom w:w="108" w:type="dxa"/>
              <w:right w:w="96" w:type="dxa"/>
            </w:tcMar>
            <w:vAlign w:val="center"/>
          </w:tcPr>
          <w:p w14:paraId="227CC5C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三类路段</w:t>
            </w:r>
          </w:p>
        </w:tc>
        <w:tc>
          <w:tcPr>
            <w:tcW w:w="1224" w:type="dxa"/>
            <w:shd w:val="clear" w:color="auto" w:fill="auto"/>
            <w:tcMar>
              <w:top w:w="108" w:type="dxa"/>
              <w:left w:w="96" w:type="dxa"/>
              <w:bottom w:w="108" w:type="dxa"/>
              <w:right w:w="96" w:type="dxa"/>
            </w:tcMar>
            <w:vAlign w:val="center"/>
          </w:tcPr>
          <w:p w14:paraId="2BE0501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146E789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67</w:t>
            </w:r>
          </w:p>
        </w:tc>
      </w:tr>
      <w:tr w14:paraId="2A33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65A1471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26</w:t>
            </w:r>
          </w:p>
        </w:tc>
        <w:tc>
          <w:tcPr>
            <w:tcW w:w="5628" w:type="dxa"/>
            <w:shd w:val="clear" w:color="auto" w:fill="auto"/>
            <w:tcMar>
              <w:top w:w="108" w:type="dxa"/>
              <w:left w:w="96" w:type="dxa"/>
              <w:bottom w:w="108" w:type="dxa"/>
              <w:right w:w="96" w:type="dxa"/>
            </w:tcMar>
            <w:vAlign w:val="center"/>
          </w:tcPr>
          <w:p w14:paraId="4348694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科发路西段</w:t>
            </w:r>
          </w:p>
        </w:tc>
        <w:tc>
          <w:tcPr>
            <w:tcW w:w="1320" w:type="dxa"/>
            <w:shd w:val="clear" w:color="auto" w:fill="auto"/>
            <w:tcMar>
              <w:top w:w="108" w:type="dxa"/>
              <w:left w:w="96" w:type="dxa"/>
              <w:bottom w:w="108" w:type="dxa"/>
              <w:right w:w="96" w:type="dxa"/>
            </w:tcMar>
            <w:vAlign w:val="center"/>
          </w:tcPr>
          <w:p w14:paraId="0D20287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二类路段</w:t>
            </w:r>
          </w:p>
        </w:tc>
        <w:tc>
          <w:tcPr>
            <w:tcW w:w="1224" w:type="dxa"/>
            <w:shd w:val="clear" w:color="auto" w:fill="auto"/>
            <w:tcMar>
              <w:top w:w="108" w:type="dxa"/>
              <w:left w:w="96" w:type="dxa"/>
              <w:bottom w:w="108" w:type="dxa"/>
              <w:right w:w="96" w:type="dxa"/>
            </w:tcMar>
            <w:vAlign w:val="center"/>
          </w:tcPr>
          <w:p w14:paraId="5A407B2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763CE5E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53</w:t>
            </w:r>
          </w:p>
        </w:tc>
      </w:tr>
      <w:tr w14:paraId="3CE9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6D16B55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27</w:t>
            </w:r>
          </w:p>
        </w:tc>
        <w:tc>
          <w:tcPr>
            <w:tcW w:w="5628" w:type="dxa"/>
            <w:shd w:val="clear" w:color="auto" w:fill="auto"/>
            <w:tcMar>
              <w:top w:w="108" w:type="dxa"/>
              <w:left w:w="96" w:type="dxa"/>
              <w:bottom w:w="108" w:type="dxa"/>
              <w:right w:w="96" w:type="dxa"/>
            </w:tcMar>
            <w:vAlign w:val="center"/>
          </w:tcPr>
          <w:p w14:paraId="4D02B03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科技路</w:t>
            </w:r>
          </w:p>
        </w:tc>
        <w:tc>
          <w:tcPr>
            <w:tcW w:w="1320" w:type="dxa"/>
            <w:shd w:val="clear" w:color="auto" w:fill="auto"/>
            <w:tcMar>
              <w:top w:w="108" w:type="dxa"/>
              <w:left w:w="96" w:type="dxa"/>
              <w:bottom w:w="108" w:type="dxa"/>
              <w:right w:w="96" w:type="dxa"/>
            </w:tcMar>
            <w:vAlign w:val="center"/>
          </w:tcPr>
          <w:p w14:paraId="7C79653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二类路段</w:t>
            </w:r>
          </w:p>
        </w:tc>
        <w:tc>
          <w:tcPr>
            <w:tcW w:w="1224" w:type="dxa"/>
            <w:shd w:val="clear" w:color="auto" w:fill="auto"/>
            <w:tcMar>
              <w:top w:w="108" w:type="dxa"/>
              <w:left w:w="96" w:type="dxa"/>
              <w:bottom w:w="108" w:type="dxa"/>
              <w:right w:w="96" w:type="dxa"/>
            </w:tcMar>
            <w:vAlign w:val="center"/>
          </w:tcPr>
          <w:p w14:paraId="0F19174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4B7FFC9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241</w:t>
            </w:r>
          </w:p>
        </w:tc>
      </w:tr>
      <w:tr w14:paraId="4A1B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0015311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28</w:t>
            </w:r>
          </w:p>
        </w:tc>
        <w:tc>
          <w:tcPr>
            <w:tcW w:w="5628" w:type="dxa"/>
            <w:shd w:val="clear" w:color="auto" w:fill="auto"/>
            <w:tcMar>
              <w:top w:w="108" w:type="dxa"/>
              <w:left w:w="96" w:type="dxa"/>
              <w:bottom w:w="108" w:type="dxa"/>
              <w:right w:w="96" w:type="dxa"/>
            </w:tcMar>
            <w:vAlign w:val="center"/>
          </w:tcPr>
          <w:p w14:paraId="5878A46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科展路</w:t>
            </w:r>
          </w:p>
        </w:tc>
        <w:tc>
          <w:tcPr>
            <w:tcW w:w="1320" w:type="dxa"/>
            <w:shd w:val="clear" w:color="auto" w:fill="auto"/>
            <w:tcMar>
              <w:top w:w="108" w:type="dxa"/>
              <w:left w:w="96" w:type="dxa"/>
              <w:bottom w:w="108" w:type="dxa"/>
              <w:right w:w="96" w:type="dxa"/>
            </w:tcMar>
            <w:vAlign w:val="center"/>
          </w:tcPr>
          <w:p w14:paraId="09F4F3C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二类路段</w:t>
            </w:r>
          </w:p>
        </w:tc>
        <w:tc>
          <w:tcPr>
            <w:tcW w:w="1224" w:type="dxa"/>
            <w:shd w:val="clear" w:color="auto" w:fill="auto"/>
            <w:tcMar>
              <w:top w:w="108" w:type="dxa"/>
              <w:left w:w="96" w:type="dxa"/>
              <w:bottom w:w="108" w:type="dxa"/>
              <w:right w:w="96" w:type="dxa"/>
            </w:tcMar>
            <w:vAlign w:val="center"/>
          </w:tcPr>
          <w:p w14:paraId="5732213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741EE57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168</w:t>
            </w:r>
          </w:p>
        </w:tc>
      </w:tr>
      <w:tr w14:paraId="11CF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417769B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29</w:t>
            </w:r>
          </w:p>
        </w:tc>
        <w:tc>
          <w:tcPr>
            <w:tcW w:w="5628" w:type="dxa"/>
            <w:shd w:val="clear" w:color="auto" w:fill="auto"/>
            <w:tcMar>
              <w:top w:w="108" w:type="dxa"/>
              <w:left w:w="96" w:type="dxa"/>
              <w:bottom w:w="108" w:type="dxa"/>
              <w:right w:w="96" w:type="dxa"/>
            </w:tcMar>
            <w:vAlign w:val="center"/>
          </w:tcPr>
          <w:p w14:paraId="1072281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城市南广场内部停车场</w:t>
            </w:r>
          </w:p>
        </w:tc>
        <w:tc>
          <w:tcPr>
            <w:tcW w:w="1320" w:type="dxa"/>
            <w:shd w:val="clear" w:color="auto" w:fill="auto"/>
            <w:tcMar>
              <w:top w:w="108" w:type="dxa"/>
              <w:left w:w="96" w:type="dxa"/>
              <w:bottom w:w="108" w:type="dxa"/>
              <w:right w:w="96" w:type="dxa"/>
            </w:tcMar>
            <w:vAlign w:val="center"/>
          </w:tcPr>
          <w:p w14:paraId="2D7566F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停车场</w:t>
            </w:r>
          </w:p>
        </w:tc>
        <w:tc>
          <w:tcPr>
            <w:tcW w:w="1224" w:type="dxa"/>
            <w:shd w:val="clear" w:color="auto" w:fill="auto"/>
            <w:tcMar>
              <w:top w:w="108" w:type="dxa"/>
              <w:left w:w="96" w:type="dxa"/>
              <w:bottom w:w="108" w:type="dxa"/>
              <w:right w:w="96" w:type="dxa"/>
            </w:tcMar>
            <w:vAlign w:val="center"/>
          </w:tcPr>
          <w:p w14:paraId="38356D3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73B06C1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53</w:t>
            </w:r>
          </w:p>
        </w:tc>
      </w:tr>
      <w:tr w14:paraId="5C9D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3DB86E2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30</w:t>
            </w:r>
          </w:p>
        </w:tc>
        <w:tc>
          <w:tcPr>
            <w:tcW w:w="5628" w:type="dxa"/>
            <w:shd w:val="clear" w:color="auto" w:fill="auto"/>
            <w:tcMar>
              <w:top w:w="108" w:type="dxa"/>
              <w:left w:w="96" w:type="dxa"/>
              <w:bottom w:w="108" w:type="dxa"/>
              <w:right w:w="96" w:type="dxa"/>
            </w:tcMar>
            <w:vAlign w:val="center"/>
          </w:tcPr>
          <w:p w14:paraId="6CC3B77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新外滩南边路段</w:t>
            </w:r>
          </w:p>
        </w:tc>
        <w:tc>
          <w:tcPr>
            <w:tcW w:w="1320" w:type="dxa"/>
            <w:shd w:val="clear" w:color="auto" w:fill="auto"/>
            <w:tcMar>
              <w:top w:w="108" w:type="dxa"/>
              <w:left w:w="96" w:type="dxa"/>
              <w:bottom w:w="108" w:type="dxa"/>
              <w:right w:w="96" w:type="dxa"/>
            </w:tcMar>
            <w:vAlign w:val="center"/>
          </w:tcPr>
          <w:p w14:paraId="7EC28A7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一类路段</w:t>
            </w:r>
          </w:p>
        </w:tc>
        <w:tc>
          <w:tcPr>
            <w:tcW w:w="1224" w:type="dxa"/>
            <w:shd w:val="clear" w:color="auto" w:fill="auto"/>
            <w:tcMar>
              <w:top w:w="108" w:type="dxa"/>
              <w:left w:w="96" w:type="dxa"/>
              <w:bottom w:w="108" w:type="dxa"/>
              <w:right w:w="96" w:type="dxa"/>
            </w:tcMar>
            <w:vAlign w:val="center"/>
          </w:tcPr>
          <w:p w14:paraId="14953DB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0BE8659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148</w:t>
            </w:r>
          </w:p>
        </w:tc>
      </w:tr>
      <w:tr w14:paraId="6B99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4EBD4E4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31</w:t>
            </w:r>
          </w:p>
        </w:tc>
        <w:tc>
          <w:tcPr>
            <w:tcW w:w="5628" w:type="dxa"/>
            <w:shd w:val="clear" w:color="auto" w:fill="auto"/>
            <w:tcMar>
              <w:top w:w="108" w:type="dxa"/>
              <w:left w:w="96" w:type="dxa"/>
              <w:bottom w:w="108" w:type="dxa"/>
              <w:right w:w="96" w:type="dxa"/>
            </w:tcMar>
            <w:vAlign w:val="center"/>
          </w:tcPr>
          <w:p w14:paraId="2B1A3C8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新凤路</w:t>
            </w:r>
          </w:p>
        </w:tc>
        <w:tc>
          <w:tcPr>
            <w:tcW w:w="1320" w:type="dxa"/>
            <w:shd w:val="clear" w:color="auto" w:fill="auto"/>
            <w:tcMar>
              <w:top w:w="108" w:type="dxa"/>
              <w:left w:w="96" w:type="dxa"/>
              <w:bottom w:w="108" w:type="dxa"/>
              <w:right w:w="96" w:type="dxa"/>
            </w:tcMar>
            <w:vAlign w:val="center"/>
          </w:tcPr>
          <w:p w14:paraId="128527C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二类路段</w:t>
            </w:r>
          </w:p>
        </w:tc>
        <w:tc>
          <w:tcPr>
            <w:tcW w:w="1224" w:type="dxa"/>
            <w:shd w:val="clear" w:color="auto" w:fill="auto"/>
            <w:tcMar>
              <w:top w:w="108" w:type="dxa"/>
              <w:left w:w="96" w:type="dxa"/>
              <w:bottom w:w="108" w:type="dxa"/>
              <w:right w:w="96" w:type="dxa"/>
            </w:tcMar>
            <w:vAlign w:val="center"/>
          </w:tcPr>
          <w:p w14:paraId="11033C5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74DAEC0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98</w:t>
            </w:r>
          </w:p>
        </w:tc>
      </w:tr>
      <w:tr w14:paraId="0401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5CE0381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32</w:t>
            </w:r>
          </w:p>
        </w:tc>
        <w:tc>
          <w:tcPr>
            <w:tcW w:w="5628" w:type="dxa"/>
            <w:shd w:val="clear" w:color="auto" w:fill="auto"/>
            <w:tcMar>
              <w:top w:w="108" w:type="dxa"/>
              <w:left w:w="96" w:type="dxa"/>
              <w:bottom w:w="108" w:type="dxa"/>
              <w:right w:w="96" w:type="dxa"/>
            </w:tcMar>
            <w:vAlign w:val="center"/>
          </w:tcPr>
          <w:p w14:paraId="607B3E1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武溪路</w:t>
            </w:r>
          </w:p>
        </w:tc>
        <w:tc>
          <w:tcPr>
            <w:tcW w:w="1320" w:type="dxa"/>
            <w:shd w:val="clear" w:color="auto" w:fill="auto"/>
            <w:tcMar>
              <w:top w:w="108" w:type="dxa"/>
              <w:left w:w="96" w:type="dxa"/>
              <w:bottom w:w="108" w:type="dxa"/>
              <w:right w:w="96" w:type="dxa"/>
            </w:tcMar>
            <w:vAlign w:val="center"/>
          </w:tcPr>
          <w:p w14:paraId="7233024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三类路段</w:t>
            </w:r>
          </w:p>
        </w:tc>
        <w:tc>
          <w:tcPr>
            <w:tcW w:w="1224" w:type="dxa"/>
            <w:shd w:val="clear" w:color="auto" w:fill="auto"/>
            <w:tcMar>
              <w:top w:w="108" w:type="dxa"/>
              <w:left w:w="96" w:type="dxa"/>
              <w:bottom w:w="108" w:type="dxa"/>
              <w:right w:w="96" w:type="dxa"/>
            </w:tcMar>
            <w:vAlign w:val="center"/>
          </w:tcPr>
          <w:p w14:paraId="1467EC0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50A3A2E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20</w:t>
            </w:r>
          </w:p>
        </w:tc>
      </w:tr>
      <w:tr w14:paraId="5273C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3D2DC49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33</w:t>
            </w:r>
          </w:p>
        </w:tc>
        <w:tc>
          <w:tcPr>
            <w:tcW w:w="5628" w:type="dxa"/>
            <w:shd w:val="clear" w:color="auto" w:fill="auto"/>
            <w:tcMar>
              <w:top w:w="108" w:type="dxa"/>
              <w:left w:w="96" w:type="dxa"/>
              <w:bottom w:w="108" w:type="dxa"/>
              <w:right w:w="96" w:type="dxa"/>
            </w:tcMar>
            <w:vAlign w:val="center"/>
          </w:tcPr>
          <w:p w14:paraId="29A21F0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新园街</w:t>
            </w:r>
          </w:p>
        </w:tc>
        <w:tc>
          <w:tcPr>
            <w:tcW w:w="1320" w:type="dxa"/>
            <w:shd w:val="clear" w:color="auto" w:fill="auto"/>
            <w:tcMar>
              <w:top w:w="108" w:type="dxa"/>
              <w:left w:w="96" w:type="dxa"/>
              <w:bottom w:w="108" w:type="dxa"/>
              <w:right w:w="96" w:type="dxa"/>
            </w:tcMar>
            <w:vAlign w:val="center"/>
          </w:tcPr>
          <w:p w14:paraId="063D946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三类路段</w:t>
            </w:r>
          </w:p>
        </w:tc>
        <w:tc>
          <w:tcPr>
            <w:tcW w:w="1224" w:type="dxa"/>
            <w:shd w:val="clear" w:color="auto" w:fill="auto"/>
            <w:tcMar>
              <w:top w:w="108" w:type="dxa"/>
              <w:left w:w="96" w:type="dxa"/>
              <w:bottom w:w="108" w:type="dxa"/>
              <w:right w:w="96" w:type="dxa"/>
            </w:tcMar>
            <w:vAlign w:val="center"/>
          </w:tcPr>
          <w:p w14:paraId="2FAD93F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3318104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48</w:t>
            </w:r>
          </w:p>
        </w:tc>
      </w:tr>
      <w:tr w14:paraId="75E3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3B15F1B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34</w:t>
            </w:r>
          </w:p>
        </w:tc>
        <w:tc>
          <w:tcPr>
            <w:tcW w:w="5628" w:type="dxa"/>
            <w:shd w:val="clear" w:color="auto" w:fill="auto"/>
            <w:tcMar>
              <w:top w:w="108" w:type="dxa"/>
              <w:left w:w="96" w:type="dxa"/>
              <w:bottom w:w="108" w:type="dxa"/>
              <w:right w:w="96" w:type="dxa"/>
            </w:tcMar>
            <w:vAlign w:val="center"/>
          </w:tcPr>
          <w:p w14:paraId="30A3035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向阳路</w:t>
            </w:r>
          </w:p>
        </w:tc>
        <w:tc>
          <w:tcPr>
            <w:tcW w:w="1320" w:type="dxa"/>
            <w:shd w:val="clear" w:color="auto" w:fill="auto"/>
            <w:tcMar>
              <w:top w:w="108" w:type="dxa"/>
              <w:left w:w="96" w:type="dxa"/>
              <w:bottom w:w="108" w:type="dxa"/>
              <w:right w:w="96" w:type="dxa"/>
            </w:tcMar>
            <w:vAlign w:val="center"/>
          </w:tcPr>
          <w:p w14:paraId="35C44DA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三类路段</w:t>
            </w:r>
          </w:p>
        </w:tc>
        <w:tc>
          <w:tcPr>
            <w:tcW w:w="1224" w:type="dxa"/>
            <w:shd w:val="clear" w:color="auto" w:fill="auto"/>
            <w:tcMar>
              <w:top w:w="108" w:type="dxa"/>
              <w:left w:w="96" w:type="dxa"/>
              <w:bottom w:w="108" w:type="dxa"/>
              <w:right w:w="96" w:type="dxa"/>
            </w:tcMar>
            <w:vAlign w:val="center"/>
          </w:tcPr>
          <w:p w14:paraId="51E11F3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13BEED3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147</w:t>
            </w:r>
          </w:p>
        </w:tc>
      </w:tr>
      <w:tr w14:paraId="34E1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323884D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35</w:t>
            </w:r>
          </w:p>
        </w:tc>
        <w:tc>
          <w:tcPr>
            <w:tcW w:w="5628" w:type="dxa"/>
            <w:shd w:val="clear" w:color="auto" w:fill="auto"/>
            <w:tcMar>
              <w:top w:w="108" w:type="dxa"/>
              <w:left w:w="96" w:type="dxa"/>
              <w:bottom w:w="108" w:type="dxa"/>
              <w:right w:w="96" w:type="dxa"/>
            </w:tcMar>
            <w:vAlign w:val="center"/>
          </w:tcPr>
          <w:p w14:paraId="6558DFB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新华后街</w:t>
            </w:r>
          </w:p>
        </w:tc>
        <w:tc>
          <w:tcPr>
            <w:tcW w:w="1320" w:type="dxa"/>
            <w:shd w:val="clear" w:color="auto" w:fill="auto"/>
            <w:tcMar>
              <w:top w:w="108" w:type="dxa"/>
              <w:left w:w="96" w:type="dxa"/>
              <w:bottom w:w="108" w:type="dxa"/>
              <w:right w:w="96" w:type="dxa"/>
            </w:tcMar>
            <w:vAlign w:val="center"/>
          </w:tcPr>
          <w:p w14:paraId="4907456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三类路段</w:t>
            </w:r>
          </w:p>
        </w:tc>
        <w:tc>
          <w:tcPr>
            <w:tcW w:w="1224" w:type="dxa"/>
            <w:shd w:val="clear" w:color="auto" w:fill="auto"/>
            <w:tcMar>
              <w:top w:w="108" w:type="dxa"/>
              <w:left w:w="96" w:type="dxa"/>
              <w:bottom w:w="108" w:type="dxa"/>
              <w:right w:w="96" w:type="dxa"/>
            </w:tcMar>
            <w:vAlign w:val="center"/>
          </w:tcPr>
          <w:p w14:paraId="6CAFDEA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04E6ACB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50</w:t>
            </w:r>
          </w:p>
        </w:tc>
      </w:tr>
      <w:tr w14:paraId="4B389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775" w:type="dxa"/>
            <w:shd w:val="clear" w:color="auto" w:fill="auto"/>
            <w:tcMar>
              <w:top w:w="108" w:type="dxa"/>
              <w:left w:w="96" w:type="dxa"/>
              <w:bottom w:w="108" w:type="dxa"/>
              <w:right w:w="96" w:type="dxa"/>
            </w:tcMar>
            <w:vAlign w:val="center"/>
          </w:tcPr>
          <w:p w14:paraId="343BDB4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36</w:t>
            </w:r>
          </w:p>
        </w:tc>
        <w:tc>
          <w:tcPr>
            <w:tcW w:w="5628" w:type="dxa"/>
            <w:shd w:val="clear" w:color="auto" w:fill="auto"/>
            <w:tcMar>
              <w:top w:w="108" w:type="dxa"/>
              <w:left w:w="96" w:type="dxa"/>
              <w:bottom w:w="108" w:type="dxa"/>
              <w:right w:w="96" w:type="dxa"/>
            </w:tcMar>
            <w:vAlign w:val="center"/>
          </w:tcPr>
          <w:p w14:paraId="5FAC278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长乐路</w:t>
            </w:r>
          </w:p>
        </w:tc>
        <w:tc>
          <w:tcPr>
            <w:tcW w:w="1320" w:type="dxa"/>
            <w:shd w:val="clear" w:color="auto" w:fill="auto"/>
            <w:tcMar>
              <w:top w:w="108" w:type="dxa"/>
              <w:left w:w="96" w:type="dxa"/>
              <w:bottom w:w="108" w:type="dxa"/>
              <w:right w:w="96" w:type="dxa"/>
            </w:tcMar>
            <w:vAlign w:val="center"/>
          </w:tcPr>
          <w:p w14:paraId="422261D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三类路段</w:t>
            </w:r>
          </w:p>
        </w:tc>
        <w:tc>
          <w:tcPr>
            <w:tcW w:w="1224" w:type="dxa"/>
            <w:shd w:val="clear" w:color="auto" w:fill="auto"/>
            <w:tcMar>
              <w:top w:w="108" w:type="dxa"/>
              <w:left w:w="96" w:type="dxa"/>
              <w:bottom w:w="108" w:type="dxa"/>
              <w:right w:w="96" w:type="dxa"/>
            </w:tcMar>
            <w:vAlign w:val="center"/>
          </w:tcPr>
          <w:p w14:paraId="61703C0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新建</w:t>
            </w:r>
          </w:p>
        </w:tc>
        <w:tc>
          <w:tcPr>
            <w:tcW w:w="991" w:type="dxa"/>
            <w:shd w:val="clear" w:color="auto" w:fill="auto"/>
            <w:tcMar>
              <w:top w:w="108" w:type="dxa"/>
              <w:left w:w="96" w:type="dxa"/>
              <w:bottom w:w="108" w:type="dxa"/>
              <w:right w:w="96" w:type="dxa"/>
            </w:tcMar>
            <w:vAlign w:val="center"/>
          </w:tcPr>
          <w:p w14:paraId="137BED3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159</w:t>
            </w:r>
          </w:p>
        </w:tc>
      </w:tr>
      <w:tr w14:paraId="75A1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jc w:val="center"/>
        </w:trPr>
        <w:tc>
          <w:tcPr>
            <w:tcW w:w="6403" w:type="dxa"/>
            <w:gridSpan w:val="2"/>
            <w:shd w:val="clear" w:color="auto" w:fill="auto"/>
            <w:tcMar>
              <w:top w:w="108" w:type="dxa"/>
              <w:left w:w="96" w:type="dxa"/>
              <w:bottom w:w="108" w:type="dxa"/>
              <w:right w:w="96" w:type="dxa"/>
            </w:tcMar>
            <w:vAlign w:val="center"/>
          </w:tcPr>
          <w:p w14:paraId="2863085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合计</w:t>
            </w:r>
          </w:p>
        </w:tc>
        <w:tc>
          <w:tcPr>
            <w:tcW w:w="3535" w:type="dxa"/>
            <w:gridSpan w:val="3"/>
            <w:shd w:val="clear" w:color="auto" w:fill="auto"/>
            <w:tcMar>
              <w:top w:w="108" w:type="dxa"/>
              <w:left w:w="96" w:type="dxa"/>
              <w:bottom w:w="108" w:type="dxa"/>
              <w:right w:w="96" w:type="dxa"/>
            </w:tcMar>
            <w:vAlign w:val="center"/>
          </w:tcPr>
          <w:p w14:paraId="5160A55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 w:val="24"/>
                <w:szCs w:val="24"/>
                <w:lang w:val="en-US" w:eastAsia="zh-CN" w:bidi="ar"/>
              </w:rPr>
              <w:t>3804</w:t>
            </w:r>
          </w:p>
        </w:tc>
      </w:tr>
    </w:tbl>
    <w:p w14:paraId="1C6F071C">
      <w:pPr>
        <w:pageBreakBefore w:val="0"/>
        <w:kinsoku/>
        <w:wordWrap w:val="0"/>
        <w:overflowPunct/>
        <w:topLinePunct w:val="0"/>
        <w:autoSpaceDE/>
        <w:autoSpaceDN/>
        <w:bidi w:val="0"/>
        <w:snapToGrid/>
        <w:spacing w:line="360" w:lineRule="auto"/>
        <w:rPr>
          <w:rFonts w:hint="eastAsia" w:asciiTheme="minorEastAsia" w:hAnsiTheme="minorEastAsia" w:eastAsiaTheme="minorEastAsia" w:cstheme="minorEastAsia"/>
          <w:bCs/>
          <w:sz w:val="21"/>
          <w:szCs w:val="21"/>
        </w:rPr>
      </w:pPr>
    </w:p>
    <w:p w14:paraId="693BCE79">
      <w:pPr>
        <w:pStyle w:val="19"/>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u w:val="single"/>
          <w:lang w:eastAsia="zh-CN"/>
        </w:rPr>
      </w:pPr>
      <w:r>
        <w:rPr>
          <w:rFonts w:hint="eastAsia" w:asciiTheme="minorEastAsia" w:hAnsiTheme="minorEastAsia" w:eastAsiaTheme="minorEastAsia" w:cstheme="minorEastAsia"/>
          <w:bCs/>
          <w:sz w:val="21"/>
          <w:szCs w:val="21"/>
        </w:rPr>
        <w:t>2.2、</w:t>
      </w:r>
      <w:r>
        <w:rPr>
          <w:rFonts w:hint="eastAsia" w:asciiTheme="minorEastAsia" w:hAnsiTheme="minorEastAsia" w:eastAsiaTheme="minorEastAsia" w:cstheme="minorEastAsia"/>
          <w:bCs/>
          <w:sz w:val="21"/>
          <w:szCs w:val="21"/>
          <w:lang w:val="en-US" w:eastAsia="zh-CN"/>
        </w:rPr>
        <w:t>平台开发内容</w:t>
      </w:r>
      <w:r>
        <w:rPr>
          <w:rFonts w:hint="eastAsia" w:asciiTheme="minorEastAsia" w:hAnsiTheme="minorEastAsia" w:eastAsiaTheme="minorEastAsia" w:cstheme="minorEastAsia"/>
          <w:bCs/>
          <w:color w:val="FF0000"/>
          <w:sz w:val="21"/>
          <w:szCs w:val="21"/>
          <w:lang w:eastAsia="zh-CN"/>
        </w:rPr>
        <w:t>【</w:t>
      </w:r>
      <w:r>
        <w:rPr>
          <w:rFonts w:hint="eastAsia" w:asciiTheme="minorEastAsia" w:hAnsiTheme="minorEastAsia" w:eastAsiaTheme="minorEastAsia" w:cstheme="minorEastAsia"/>
          <w:bCs/>
          <w:color w:val="FF0000"/>
          <w:sz w:val="21"/>
          <w:szCs w:val="21"/>
          <w:lang w:val="en-US" w:eastAsia="zh-CN"/>
        </w:rPr>
        <w:t>面向社会征集，须与合作模式匹配</w:t>
      </w:r>
      <w:r>
        <w:rPr>
          <w:rFonts w:hint="eastAsia" w:asciiTheme="minorEastAsia" w:hAnsiTheme="minorEastAsia" w:eastAsiaTheme="minorEastAsia" w:cstheme="minorEastAsia"/>
          <w:bCs/>
          <w:color w:val="FF0000"/>
          <w:sz w:val="21"/>
          <w:szCs w:val="21"/>
          <w:lang w:eastAsia="zh-CN"/>
        </w:rPr>
        <w:t>】：</w:t>
      </w:r>
    </w:p>
    <w:p w14:paraId="0B12F924">
      <w:pPr>
        <w:pStyle w:val="19"/>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sz w:val="21"/>
          <w:szCs w:val="21"/>
        </w:rPr>
        <w:t>。</w:t>
      </w:r>
    </w:p>
    <w:p w14:paraId="6D576AC6">
      <w:pPr>
        <w:pStyle w:val="19"/>
        <w:keepNext w:val="0"/>
        <w:keepLines w:val="0"/>
        <w:pageBreakBefore w:val="0"/>
        <w:widowControl/>
        <w:numPr>
          <w:ilvl w:val="0"/>
          <w:numId w:val="2"/>
        </w:numPr>
        <w:kinsoku/>
        <w:wordWrap w:val="0"/>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合作期限</w:t>
      </w:r>
      <w:r>
        <w:rPr>
          <w:rFonts w:hint="eastAsia" w:asciiTheme="minorEastAsia" w:hAnsiTheme="minorEastAsia" w:eastAsiaTheme="minorEastAsia" w:cstheme="minorEastAsia"/>
          <w:bCs/>
          <w:color w:val="FF0000"/>
          <w:sz w:val="21"/>
          <w:szCs w:val="21"/>
          <w:lang w:eastAsia="zh-CN"/>
        </w:rPr>
        <w:t>【</w:t>
      </w:r>
      <w:r>
        <w:rPr>
          <w:rFonts w:hint="eastAsia" w:asciiTheme="minorEastAsia" w:hAnsiTheme="minorEastAsia" w:eastAsiaTheme="minorEastAsia" w:cstheme="minorEastAsia"/>
          <w:bCs/>
          <w:color w:val="FF0000"/>
          <w:sz w:val="21"/>
          <w:szCs w:val="21"/>
          <w:lang w:val="en-US" w:eastAsia="zh-CN"/>
        </w:rPr>
        <w:t>面向社会征集</w:t>
      </w:r>
      <w:r>
        <w:rPr>
          <w:rFonts w:hint="eastAsia" w:asciiTheme="minorEastAsia" w:hAnsiTheme="minorEastAsia" w:eastAsiaTheme="minorEastAsia" w:cstheme="minorEastAsia"/>
          <w:bCs/>
          <w:color w:val="FF0000"/>
          <w:sz w:val="21"/>
          <w:szCs w:val="21"/>
          <w:lang w:eastAsia="zh-CN"/>
        </w:rPr>
        <w:t>】</w:t>
      </w:r>
    </w:p>
    <w:p w14:paraId="33D6D2A2">
      <w:pPr>
        <w:pStyle w:val="19"/>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合作期限：本项目合作期限为</w:t>
      </w:r>
      <w:r>
        <w:rPr>
          <w:rFonts w:hint="eastAsia" w:asciiTheme="minorEastAsia" w:hAnsiTheme="minorEastAsia" w:eastAsiaTheme="minorEastAsia" w:cstheme="minorEastAsia"/>
          <w:bCs/>
          <w:sz w:val="21"/>
          <w:szCs w:val="21"/>
          <w:u w:val="single"/>
          <w:lang w:val="en-US" w:eastAsia="zh-CN"/>
        </w:rPr>
        <w:t xml:space="preserve">  </w:t>
      </w:r>
      <w:r>
        <w:rPr>
          <w:rFonts w:hint="eastAsia" w:asciiTheme="minorEastAsia" w:hAnsiTheme="minorEastAsia" w:eastAsiaTheme="minorEastAsia" w:cstheme="minorEastAsia"/>
          <w:bCs/>
          <w:sz w:val="21"/>
          <w:szCs w:val="21"/>
        </w:rPr>
        <w:t>年，</w:t>
      </w:r>
      <w:r>
        <w:rPr>
          <w:rFonts w:hint="eastAsia" w:asciiTheme="minorEastAsia" w:hAnsiTheme="minorEastAsia" w:eastAsiaTheme="minorEastAsia" w:cstheme="minorEastAsia"/>
          <w:bCs/>
          <w:sz w:val="21"/>
          <w:szCs w:val="21"/>
          <w:lang w:val="en-US" w:eastAsia="zh-CN"/>
        </w:rPr>
        <w:t>平台</w:t>
      </w:r>
      <w:r>
        <w:rPr>
          <w:rFonts w:hint="eastAsia" w:asciiTheme="minorEastAsia" w:hAnsiTheme="minorEastAsia" w:eastAsiaTheme="minorEastAsia" w:cstheme="minorEastAsia"/>
          <w:bCs/>
          <w:sz w:val="21"/>
          <w:szCs w:val="21"/>
        </w:rPr>
        <w:t>必须在202</w:t>
      </w:r>
      <w:r>
        <w:rPr>
          <w:rFonts w:hint="eastAsia" w:asciiTheme="minorEastAsia" w:hAnsiTheme="minorEastAsia" w:eastAsiaTheme="minorEastAsia" w:cstheme="minorEastAsia"/>
          <w:bCs/>
          <w:sz w:val="21"/>
          <w:szCs w:val="21"/>
          <w:u w:val="single"/>
          <w:lang w:val="en-US" w:eastAsia="zh-CN"/>
        </w:rPr>
        <w:t xml:space="preserve">  </w:t>
      </w:r>
      <w:r>
        <w:rPr>
          <w:rFonts w:hint="eastAsia" w:asciiTheme="minorEastAsia" w:hAnsiTheme="minorEastAsia" w:eastAsiaTheme="minorEastAsia" w:cstheme="minorEastAsia"/>
          <w:bCs/>
          <w:sz w:val="21"/>
          <w:szCs w:val="21"/>
        </w:rPr>
        <w:t>年</w:t>
      </w:r>
      <w:r>
        <w:rPr>
          <w:rFonts w:hint="eastAsia" w:asciiTheme="minorEastAsia" w:hAnsiTheme="minorEastAsia" w:eastAsiaTheme="minorEastAsia" w:cstheme="minorEastAsia"/>
          <w:bCs/>
          <w:sz w:val="21"/>
          <w:szCs w:val="21"/>
          <w:u w:val="single"/>
          <w:lang w:val="en-US" w:eastAsia="zh-CN"/>
        </w:rPr>
        <w:t xml:space="preserve">  </w:t>
      </w:r>
      <w:r>
        <w:rPr>
          <w:rFonts w:hint="eastAsia" w:asciiTheme="minorEastAsia" w:hAnsiTheme="minorEastAsia" w:eastAsiaTheme="minorEastAsia" w:cstheme="minorEastAsia"/>
          <w:bCs/>
          <w:sz w:val="21"/>
          <w:szCs w:val="21"/>
        </w:rPr>
        <w:t>月进入试运营。合作期限自上线试运营之日起算（202</w:t>
      </w:r>
      <w:r>
        <w:rPr>
          <w:rFonts w:hint="eastAsia" w:asciiTheme="minorEastAsia" w:hAnsiTheme="minorEastAsia" w:eastAsiaTheme="minorEastAsia" w:cstheme="minorEastAsia"/>
          <w:bCs/>
          <w:sz w:val="21"/>
          <w:szCs w:val="21"/>
          <w:u w:val="single"/>
          <w:lang w:val="en-US" w:eastAsia="zh-CN"/>
        </w:rPr>
        <w:t xml:space="preserve">  </w:t>
      </w:r>
      <w:r>
        <w:rPr>
          <w:rFonts w:hint="eastAsia" w:asciiTheme="minorEastAsia" w:hAnsiTheme="minorEastAsia" w:eastAsiaTheme="minorEastAsia" w:cstheme="minorEastAsia"/>
          <w:bCs/>
          <w:sz w:val="21"/>
          <w:szCs w:val="21"/>
        </w:rPr>
        <w:t>年</w:t>
      </w:r>
      <w:r>
        <w:rPr>
          <w:rFonts w:hint="eastAsia" w:asciiTheme="minorEastAsia" w:hAnsiTheme="minorEastAsia" w:eastAsiaTheme="minorEastAsia" w:cstheme="minorEastAsia"/>
          <w:bCs/>
          <w:sz w:val="21"/>
          <w:szCs w:val="21"/>
          <w:u w:val="single"/>
          <w:lang w:val="en-US" w:eastAsia="zh-CN"/>
        </w:rPr>
        <w:t xml:space="preserve">  </w:t>
      </w:r>
      <w:r>
        <w:rPr>
          <w:rFonts w:hint="eastAsia" w:asciiTheme="minorEastAsia" w:hAnsiTheme="minorEastAsia" w:eastAsiaTheme="minorEastAsia" w:cstheme="minorEastAsia"/>
          <w:bCs/>
          <w:sz w:val="21"/>
          <w:szCs w:val="21"/>
        </w:rPr>
        <w:t>月），第二期运营时间不晚于202</w:t>
      </w:r>
      <w:r>
        <w:rPr>
          <w:rFonts w:hint="eastAsia" w:asciiTheme="minorEastAsia" w:hAnsiTheme="minorEastAsia" w:eastAsiaTheme="minorEastAsia" w:cstheme="minorEastAsia"/>
          <w:bCs/>
          <w:sz w:val="21"/>
          <w:szCs w:val="21"/>
          <w:u w:val="single"/>
          <w:lang w:val="en-US" w:eastAsia="zh-CN"/>
        </w:rPr>
        <w:t xml:space="preserve">  </w:t>
      </w:r>
      <w:r>
        <w:rPr>
          <w:rFonts w:hint="eastAsia" w:asciiTheme="minorEastAsia" w:hAnsiTheme="minorEastAsia" w:eastAsiaTheme="minorEastAsia" w:cstheme="minorEastAsia"/>
          <w:bCs/>
          <w:sz w:val="21"/>
          <w:szCs w:val="21"/>
        </w:rPr>
        <w:t>年</w:t>
      </w:r>
      <w:r>
        <w:rPr>
          <w:rFonts w:hint="eastAsia" w:asciiTheme="minorEastAsia" w:hAnsiTheme="minorEastAsia" w:eastAsiaTheme="minorEastAsia" w:cstheme="minorEastAsia"/>
          <w:bCs/>
          <w:sz w:val="21"/>
          <w:szCs w:val="21"/>
          <w:u w:val="single"/>
          <w:lang w:val="en-US" w:eastAsia="zh-CN"/>
        </w:rPr>
        <w:t xml:space="preserve">  </w:t>
      </w:r>
      <w:r>
        <w:rPr>
          <w:rFonts w:hint="eastAsia" w:asciiTheme="minorEastAsia" w:hAnsiTheme="minorEastAsia" w:eastAsiaTheme="minorEastAsia" w:cstheme="minorEastAsia"/>
          <w:bCs/>
          <w:sz w:val="21"/>
          <w:szCs w:val="21"/>
        </w:rPr>
        <w:t>月。</w:t>
      </w:r>
    </w:p>
    <w:p w14:paraId="30323C91">
      <w:pPr>
        <w:pStyle w:val="19"/>
        <w:pageBreakBefore w:val="0"/>
        <w:kinsoku/>
        <w:wordWrap w:val="0"/>
        <w:overflowPunct/>
        <w:topLinePunct w:val="0"/>
        <w:autoSpaceDE/>
        <w:autoSpaceDN/>
        <w:bidi w:val="0"/>
        <w:snapToGrid/>
        <w:spacing w:line="360" w:lineRule="auto"/>
        <w:ind w:firstLine="420" w:firstLineChars="200"/>
        <w:textAlignment w:val="auto"/>
        <w:rPr>
          <w:rFonts w:hint="eastAsia" w:asciiTheme="minorEastAsia" w:hAnsiTheme="minorEastAsia" w:eastAsiaTheme="minorEastAsia" w:cstheme="minorEastAsia"/>
          <w:bCs/>
          <w:sz w:val="21"/>
          <w:szCs w:val="21"/>
        </w:rPr>
      </w:pPr>
    </w:p>
    <w:p w14:paraId="32F48717">
      <w:pPr>
        <w:pStyle w:val="3"/>
        <w:pageBreakBefore w:val="0"/>
        <w:numPr>
          <w:ilvl w:val="0"/>
          <w:numId w:val="1"/>
        </w:numPr>
        <w:kinsoku/>
        <w:wordWrap w:val="0"/>
        <w:overflowPunct/>
        <w:topLinePunct w:val="0"/>
        <w:autoSpaceDE/>
        <w:autoSpaceDN/>
        <w:bidi w:val="0"/>
        <w:adjustRightInd w:val="0"/>
        <w:snapToGrid/>
        <w:spacing w:before="0" w:after="0" w:line="360" w:lineRule="auto"/>
        <w:ind w:firstLine="422" w:firstLineChars="200"/>
        <w:textAlignment w:val="auto"/>
        <w:rPr>
          <w:rFonts w:hint="eastAsia" w:asciiTheme="minorEastAsia" w:hAnsiTheme="minorEastAsia" w:eastAsiaTheme="minorEastAsia" w:cstheme="minorEastAsia"/>
          <w:sz w:val="21"/>
          <w:szCs w:val="21"/>
        </w:rPr>
      </w:pPr>
      <w:bookmarkStart w:id="13" w:name="_Toc115445211"/>
      <w:r>
        <w:rPr>
          <w:rFonts w:hint="eastAsia" w:asciiTheme="minorEastAsia" w:hAnsiTheme="minorEastAsia" w:eastAsiaTheme="minorEastAsia" w:cstheme="minorEastAsia"/>
          <w:sz w:val="21"/>
          <w:szCs w:val="21"/>
        </w:rPr>
        <w:t>合作具体职责</w:t>
      </w:r>
      <w:bookmarkEnd w:id="13"/>
    </w:p>
    <w:p w14:paraId="6227FFF9">
      <w:pPr>
        <w:pageBreakBefore w:val="0"/>
        <w:kinsoku/>
        <w:wordWrap w:val="0"/>
        <w:overflowPunct/>
        <w:topLinePunct w:val="0"/>
        <w:autoSpaceDE/>
        <w:autoSpaceDN/>
        <w:bidi w:val="0"/>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中标人的具体职责：</w:t>
      </w:r>
    </w:p>
    <w:p w14:paraId="1066FED9">
      <w:pPr>
        <w:pStyle w:val="14"/>
        <w:pageBreakBefore w:val="0"/>
        <w:kinsoku/>
        <w:wordWrap w:val="0"/>
        <w:overflowPunct/>
        <w:topLinePunct w:val="0"/>
        <w:autoSpaceDE/>
        <w:autoSpaceDN/>
        <w:bidi w:val="0"/>
        <w:snapToGrid/>
        <w:spacing w:before="0" w:after="0" w:line="360" w:lineRule="auto"/>
        <w:ind w:left="0"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关于</w:t>
      </w:r>
      <w:r>
        <w:rPr>
          <w:rFonts w:hint="eastAsia" w:asciiTheme="minorEastAsia" w:hAnsiTheme="minorEastAsia" w:eastAsiaTheme="minorEastAsia" w:cstheme="minorEastAsia"/>
          <w:sz w:val="21"/>
          <w:szCs w:val="21"/>
          <w:lang w:val="en-US" w:eastAsia="zh-CN"/>
        </w:rPr>
        <w:t>平台开发</w:t>
      </w:r>
      <w:r>
        <w:rPr>
          <w:rFonts w:hint="eastAsia" w:asciiTheme="minorEastAsia" w:hAnsiTheme="minorEastAsia" w:eastAsiaTheme="minorEastAsia" w:cstheme="minorEastAsia"/>
          <w:sz w:val="21"/>
          <w:szCs w:val="21"/>
        </w:rPr>
        <w:t>的具体职责：</w:t>
      </w:r>
    </w:p>
    <w:p w14:paraId="670FEF0C">
      <w:pPr>
        <w:pageBreakBefore w:val="0"/>
        <w:kinsoku/>
        <w:wordWrap w:val="0"/>
        <w:overflowPunct/>
        <w:topLinePunct w:val="0"/>
        <w:autoSpaceDE/>
        <w:autoSpaceDN/>
        <w:bidi w:val="0"/>
        <w:snapToGrid/>
        <w:spacing w:line="360" w:lineRule="auto"/>
        <w:ind w:firstLine="420" w:firstLineChars="20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（1）中标单位</w:t>
      </w:r>
      <w:r>
        <w:rPr>
          <w:rFonts w:hint="eastAsia" w:asciiTheme="minorEastAsia" w:hAnsiTheme="minorEastAsia" w:eastAsiaTheme="minorEastAsia" w:cstheme="minorEastAsia"/>
          <w:sz w:val="21"/>
          <w:szCs w:val="21"/>
          <w:lang w:val="en-US" w:eastAsia="zh-CN"/>
        </w:rPr>
        <w:t>作为运营方</w:t>
      </w:r>
      <w:r>
        <w:rPr>
          <w:rFonts w:hint="eastAsia" w:asciiTheme="minorEastAsia" w:hAnsiTheme="minorEastAsia" w:eastAsiaTheme="minorEastAsia" w:cstheme="minorEastAsia"/>
          <w:sz w:val="21"/>
          <w:szCs w:val="21"/>
        </w:rPr>
        <w:t>负责本项目建设所需</w:t>
      </w:r>
      <w:r>
        <w:rPr>
          <w:rFonts w:hint="eastAsia" w:asciiTheme="minorEastAsia" w:hAnsiTheme="minorEastAsia" w:eastAsiaTheme="minorEastAsia" w:cstheme="minorEastAsia"/>
          <w:sz w:val="21"/>
          <w:szCs w:val="21"/>
          <w:lang w:val="en-US" w:eastAsia="zh-CN"/>
        </w:rPr>
        <w:t>平台</w:t>
      </w:r>
      <w:r>
        <w:rPr>
          <w:rFonts w:hint="eastAsia" w:asciiTheme="minorEastAsia" w:hAnsiTheme="minorEastAsia" w:eastAsiaTheme="minorEastAsia" w:cstheme="minorEastAsia"/>
          <w:sz w:val="21"/>
          <w:szCs w:val="21"/>
        </w:rPr>
        <w:t>的软件，</w:t>
      </w:r>
      <w:r>
        <w:rPr>
          <w:rFonts w:hint="eastAsia" w:asciiTheme="minorEastAsia" w:hAnsiTheme="minorEastAsia" w:eastAsiaTheme="minorEastAsia" w:cstheme="minorEastAsia"/>
          <w:sz w:val="21"/>
          <w:szCs w:val="21"/>
          <w:lang w:val="en-US" w:eastAsia="zh-CN"/>
        </w:rPr>
        <w:t>并就</w:t>
      </w:r>
      <w:r>
        <w:rPr>
          <w:rFonts w:hint="eastAsia" w:asciiTheme="minorEastAsia" w:hAnsiTheme="minorEastAsia" w:eastAsiaTheme="minorEastAsia" w:cstheme="minorEastAsia"/>
          <w:sz w:val="21"/>
          <w:szCs w:val="21"/>
        </w:rPr>
        <w:t>运营期内的资产维护和重置</w:t>
      </w:r>
      <w:r>
        <w:rPr>
          <w:rFonts w:hint="eastAsia" w:asciiTheme="minorEastAsia" w:hAnsiTheme="minorEastAsia" w:eastAsiaTheme="minorEastAsia" w:cstheme="minorEastAsia"/>
          <w:sz w:val="21"/>
          <w:szCs w:val="21"/>
          <w:lang w:val="en-US" w:eastAsia="zh-CN"/>
        </w:rPr>
        <w:t>与开平市城区公共区域停车泊位与新能源汽车充电基础设施建设项目勘察设计施工总承包项目中标单位对接相关事宜</w:t>
      </w:r>
      <w:r>
        <w:rPr>
          <w:rFonts w:hint="eastAsia" w:asciiTheme="minorEastAsia" w:hAnsiTheme="minorEastAsia" w:eastAsiaTheme="minorEastAsia" w:cstheme="minorEastAsia"/>
          <w:sz w:val="21"/>
          <w:szCs w:val="21"/>
          <w:lang w:eastAsia="zh-CN"/>
        </w:rPr>
        <w:t>。</w:t>
      </w:r>
    </w:p>
    <w:p w14:paraId="1A87363D">
      <w:pPr>
        <w:pageBreakBefore w:val="0"/>
        <w:kinsoku/>
        <w:wordWrap w:val="0"/>
        <w:overflowPunct/>
        <w:topLinePunct w:val="0"/>
        <w:autoSpaceDE/>
        <w:autoSpaceDN/>
        <w:bidi w:val="0"/>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（2）中标单位负责日常项目</w:t>
      </w:r>
      <w:r>
        <w:rPr>
          <w:rFonts w:hint="eastAsia" w:asciiTheme="minorEastAsia" w:hAnsiTheme="minorEastAsia" w:eastAsiaTheme="minorEastAsia" w:cstheme="minorEastAsia"/>
          <w:sz w:val="21"/>
          <w:szCs w:val="21"/>
          <w:lang w:val="en-US" w:eastAsia="zh-CN"/>
        </w:rPr>
        <w:t>平台</w:t>
      </w:r>
      <w:r>
        <w:rPr>
          <w:rFonts w:hint="eastAsia" w:asciiTheme="minorEastAsia" w:hAnsiTheme="minorEastAsia" w:eastAsiaTheme="minorEastAsia" w:cstheme="minorEastAsia"/>
          <w:sz w:val="21"/>
          <w:szCs w:val="21"/>
        </w:rPr>
        <w:t>硬件设备及配套设施及时维护，配备硬件维护人员，建立7*24小时的维护机制，确保项目运营不停摆、低投诉</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硬件故障由中标单位与设备方对接相关事宜</w:t>
      </w:r>
      <w:r>
        <w:rPr>
          <w:rFonts w:hint="eastAsia" w:asciiTheme="minorEastAsia" w:hAnsiTheme="minorEastAsia" w:eastAsiaTheme="minorEastAsia" w:cstheme="minorEastAsia"/>
          <w:sz w:val="21"/>
          <w:szCs w:val="21"/>
        </w:rPr>
        <w:t>。</w:t>
      </w:r>
    </w:p>
    <w:p w14:paraId="19561984">
      <w:pPr>
        <w:pageBreakBefore w:val="0"/>
        <w:kinsoku/>
        <w:wordWrap w:val="0"/>
        <w:overflowPunct/>
        <w:topLinePunct w:val="0"/>
        <w:autoSpaceDE/>
        <w:autoSpaceDN/>
        <w:bidi w:val="0"/>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中标单位负责运营期内对软件平台的一切维护工作，配备软件运维人员，同时针对招标人对运营数据等相关软件需求及时响应，配备软件开发团队，无偿服务招标人对软件平台的运营数据展示、收集等功能需求的开发。</w:t>
      </w:r>
    </w:p>
    <w:p w14:paraId="34916FB0">
      <w:pPr>
        <w:pageBreakBefore w:val="0"/>
        <w:kinsoku/>
        <w:wordWrap w:val="0"/>
        <w:overflowPunct/>
        <w:topLinePunct w:val="0"/>
        <w:autoSpaceDE/>
        <w:autoSpaceDN/>
        <w:bidi w:val="0"/>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（4）按照自愿合作、互利共享的原则，逐步升级改造及运营管理全市停车位，逐步实现市区内停车位信息的互联互通及统一运营管理。</w:t>
      </w:r>
    </w:p>
    <w:p w14:paraId="45EF1002">
      <w:pPr>
        <w:pStyle w:val="14"/>
        <w:pageBreakBefore w:val="0"/>
        <w:kinsoku/>
        <w:wordWrap w:val="0"/>
        <w:overflowPunct/>
        <w:topLinePunct w:val="0"/>
        <w:autoSpaceDE/>
        <w:autoSpaceDN/>
        <w:bidi w:val="0"/>
        <w:snapToGrid/>
        <w:spacing w:before="0" w:after="0" w:line="360" w:lineRule="auto"/>
        <w:ind w:left="0"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关于运营管理的具体职责：</w:t>
      </w:r>
    </w:p>
    <w:p w14:paraId="6ECF77B6">
      <w:pPr>
        <w:pageBreakBefore w:val="0"/>
        <w:kinsoku/>
        <w:wordWrap w:val="0"/>
        <w:overflowPunct/>
        <w:topLinePunct w:val="0"/>
        <w:autoSpaceDE/>
        <w:autoSpaceDN/>
        <w:bidi w:val="0"/>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（1）中标单位负责项目运营管理工作，制定运营管理制度，配备线上与线下运营人员，并制定应急措施和应急预案，保证本项目安全平稳运营；</w:t>
      </w:r>
    </w:p>
    <w:p w14:paraId="2CAAA228">
      <w:pPr>
        <w:pageBreakBefore w:val="0"/>
        <w:kinsoku/>
        <w:wordWrap w:val="0"/>
        <w:overflowPunct/>
        <w:topLinePunct w:val="0"/>
        <w:autoSpaceDE/>
        <w:autoSpaceDN/>
        <w:bidi w:val="0"/>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（2）中标单位采用市场化机制，对经营班子和收费管理员实行绩效考核制度，保证本项目良性运营；</w:t>
      </w:r>
    </w:p>
    <w:p w14:paraId="51118661">
      <w:pPr>
        <w:pageBreakBefore w:val="0"/>
        <w:kinsoku/>
        <w:wordWrap w:val="0"/>
        <w:overflowPunct/>
        <w:topLinePunct w:val="0"/>
        <w:autoSpaceDE/>
        <w:autoSpaceDN/>
        <w:bidi w:val="0"/>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（3）运营期内，中标单位应代表项目运营管理公司按适用法律、本合同约定和谨慎运营惯例对本项目工程、财产和人员进行投保；</w:t>
      </w:r>
    </w:p>
    <w:p w14:paraId="549B53FD">
      <w:pPr>
        <w:pageBreakBefore w:val="0"/>
        <w:kinsoku/>
        <w:wordWrap w:val="0"/>
        <w:overflowPunct/>
        <w:topLinePunct w:val="0"/>
        <w:autoSpaceDE/>
        <w:autoSpaceDN/>
        <w:bidi w:val="0"/>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（4）中标单位（如联合体必须是由运营方负责）负责运营数据的存储、安全、保密等工作并承担相应费用，在运营期满后将数据移交或迁移给招标人</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且项目实施期间，招标人可随时要求获取相关数据，中标单位须无条件配合</w:t>
      </w:r>
      <w:r>
        <w:rPr>
          <w:rFonts w:hint="eastAsia" w:asciiTheme="minorEastAsia" w:hAnsiTheme="minorEastAsia" w:eastAsiaTheme="minorEastAsia" w:cstheme="minorEastAsia"/>
          <w:sz w:val="21"/>
          <w:szCs w:val="21"/>
        </w:rPr>
        <w:t>；</w:t>
      </w:r>
    </w:p>
    <w:p w14:paraId="592C1290">
      <w:pPr>
        <w:pageBreakBefore w:val="0"/>
        <w:kinsoku/>
        <w:wordWrap w:val="0"/>
        <w:overflowPunct/>
        <w:topLinePunct w:val="0"/>
        <w:autoSpaceDE/>
        <w:autoSpaceDN/>
        <w:bidi w:val="0"/>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（5）中标单位应代表项目运营管理公司配合国家和招标人按国家有关法律及法规规定对本项目进行的审计。</w:t>
      </w:r>
    </w:p>
    <w:p w14:paraId="64B1D0B2">
      <w:pPr>
        <w:pageBreakBefore w:val="0"/>
        <w:kinsoku/>
        <w:wordWrap w:val="0"/>
        <w:overflowPunct/>
        <w:topLinePunct w:val="0"/>
        <w:autoSpaceDE/>
        <w:autoSpaceDN/>
        <w:bidi w:val="0"/>
        <w:snapToGrid/>
        <w:spacing w:line="360" w:lineRule="auto"/>
        <w:ind w:firstLine="420" w:firstLineChars="200"/>
        <w:textAlignment w:val="auto"/>
        <w:rPr>
          <w:rFonts w:hint="eastAsia" w:asciiTheme="minorEastAsia" w:hAnsiTheme="minorEastAsia" w:eastAsiaTheme="minorEastAsia" w:cstheme="minorEastAsia"/>
          <w:sz w:val="21"/>
          <w:szCs w:val="21"/>
        </w:rPr>
      </w:pPr>
    </w:p>
    <w:p w14:paraId="354E3F90">
      <w:pPr>
        <w:pStyle w:val="3"/>
        <w:pageBreakBefore w:val="0"/>
        <w:numPr>
          <w:ilvl w:val="0"/>
          <w:numId w:val="1"/>
        </w:numPr>
        <w:kinsoku/>
        <w:wordWrap w:val="0"/>
        <w:overflowPunct/>
        <w:topLinePunct w:val="0"/>
        <w:autoSpaceDE/>
        <w:autoSpaceDN/>
        <w:bidi w:val="0"/>
        <w:adjustRightInd w:val="0"/>
        <w:snapToGrid/>
        <w:spacing w:before="0" w:after="0" w:line="360" w:lineRule="auto"/>
        <w:ind w:firstLine="422" w:firstLineChars="200"/>
        <w:textAlignment w:val="auto"/>
        <w:rPr>
          <w:rFonts w:hint="eastAsia" w:asciiTheme="minorEastAsia" w:hAnsiTheme="minorEastAsia" w:eastAsiaTheme="minorEastAsia" w:cstheme="minorEastAsia"/>
          <w:sz w:val="21"/>
          <w:szCs w:val="21"/>
        </w:rPr>
      </w:pPr>
      <w:bookmarkStart w:id="14" w:name="_Toc115445212"/>
      <w:r>
        <w:rPr>
          <w:rFonts w:hint="eastAsia" w:asciiTheme="minorEastAsia" w:hAnsiTheme="minorEastAsia" w:eastAsiaTheme="minorEastAsia" w:cstheme="minorEastAsia"/>
          <w:sz w:val="21"/>
          <w:szCs w:val="21"/>
        </w:rPr>
        <w:t>收费标准</w:t>
      </w:r>
      <w:bookmarkEnd w:id="14"/>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本部分不允许修改</w:t>
      </w:r>
      <w:r>
        <w:rPr>
          <w:rFonts w:hint="eastAsia" w:asciiTheme="minorEastAsia" w:hAnsiTheme="minorEastAsia" w:eastAsiaTheme="minorEastAsia" w:cstheme="minorEastAsia"/>
          <w:sz w:val="21"/>
          <w:szCs w:val="21"/>
          <w:lang w:eastAsia="zh-CN"/>
        </w:rPr>
        <w:t>】</w:t>
      </w:r>
    </w:p>
    <w:p w14:paraId="7B197F2A">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开平市道路临时停车收费标准（试行）</w:t>
      </w:r>
    </w:p>
    <w:p w14:paraId="42121C5A">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bCs/>
          <w:sz w:val="21"/>
          <w:szCs w:val="21"/>
        </w:rPr>
      </w:pPr>
    </w:p>
    <w:tbl>
      <w:tblPr>
        <w:tblStyle w:val="15"/>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412"/>
        <w:gridCol w:w="2408"/>
        <w:gridCol w:w="2269"/>
        <w:gridCol w:w="2659"/>
      </w:tblGrid>
      <w:tr w14:paraId="3A14CA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jc w:val="center"/>
        </w:trPr>
        <w:tc>
          <w:tcPr>
            <w:tcW w:w="1237" w:type="pct"/>
            <w:noWrap w:val="0"/>
            <w:vAlign w:val="center"/>
          </w:tcPr>
          <w:p w14:paraId="6CED7F2F">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9"/>
                <w:sz w:val="21"/>
                <w:szCs w:val="21"/>
              </w:rPr>
              <w:t>路</w:t>
            </w:r>
            <w:r>
              <w:rPr>
                <w:rFonts w:hint="eastAsia" w:asciiTheme="minorEastAsia" w:hAnsiTheme="minorEastAsia" w:eastAsiaTheme="minorEastAsia" w:cstheme="minorEastAsia"/>
                <w:spacing w:val="6"/>
                <w:sz w:val="21"/>
                <w:szCs w:val="21"/>
              </w:rPr>
              <w:t>段/时间</w:t>
            </w:r>
          </w:p>
        </w:tc>
        <w:tc>
          <w:tcPr>
            <w:tcW w:w="1235" w:type="pct"/>
            <w:noWrap w:val="0"/>
            <w:vAlign w:val="center"/>
          </w:tcPr>
          <w:p w14:paraId="0DFC0832">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9"/>
                <w:sz w:val="21"/>
                <w:szCs w:val="21"/>
              </w:rPr>
              <w:t>首</w:t>
            </w:r>
            <w:r>
              <w:rPr>
                <w:rFonts w:hint="eastAsia" w:asciiTheme="minorEastAsia" w:hAnsiTheme="minorEastAsia" w:eastAsiaTheme="minorEastAsia" w:cstheme="minorEastAsia"/>
                <w:spacing w:val="-14"/>
                <w:sz w:val="21"/>
                <w:szCs w:val="21"/>
              </w:rPr>
              <w:t>3小时</w:t>
            </w:r>
          </w:p>
        </w:tc>
        <w:tc>
          <w:tcPr>
            <w:tcW w:w="1164" w:type="pct"/>
            <w:noWrap w:val="0"/>
            <w:vAlign w:val="center"/>
          </w:tcPr>
          <w:p w14:paraId="24F09B60">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7"/>
                <w:sz w:val="21"/>
                <w:szCs w:val="21"/>
              </w:rPr>
              <w:t>3小时后</w:t>
            </w:r>
          </w:p>
        </w:tc>
        <w:tc>
          <w:tcPr>
            <w:tcW w:w="1362" w:type="pct"/>
            <w:noWrap w:val="0"/>
            <w:vAlign w:val="center"/>
          </w:tcPr>
          <w:p w14:paraId="77E01B96">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
                <w:sz w:val="21"/>
                <w:szCs w:val="21"/>
              </w:rPr>
              <w:t>24</w:t>
            </w:r>
            <w:r>
              <w:rPr>
                <w:rFonts w:hint="eastAsia" w:asciiTheme="minorEastAsia" w:hAnsiTheme="minorEastAsia" w:eastAsiaTheme="minorEastAsia" w:cstheme="minorEastAsia"/>
                <w:sz w:val="21"/>
                <w:szCs w:val="21"/>
              </w:rPr>
              <w:t>小时最高收费</w:t>
            </w:r>
          </w:p>
        </w:tc>
      </w:tr>
      <w:tr w14:paraId="5B6578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jc w:val="center"/>
        </w:trPr>
        <w:tc>
          <w:tcPr>
            <w:tcW w:w="1237" w:type="pct"/>
            <w:noWrap w:val="0"/>
            <w:vAlign w:val="center"/>
          </w:tcPr>
          <w:p w14:paraId="5EF183A4">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8"/>
                <w:sz w:val="21"/>
                <w:szCs w:val="21"/>
              </w:rPr>
              <w:t>一</w:t>
            </w:r>
            <w:r>
              <w:rPr>
                <w:rFonts w:hint="eastAsia" w:asciiTheme="minorEastAsia" w:hAnsiTheme="minorEastAsia" w:eastAsiaTheme="minorEastAsia" w:cstheme="minorEastAsia"/>
                <w:spacing w:val="6"/>
                <w:sz w:val="21"/>
                <w:szCs w:val="21"/>
              </w:rPr>
              <w:t>类路段</w:t>
            </w:r>
          </w:p>
        </w:tc>
        <w:tc>
          <w:tcPr>
            <w:tcW w:w="1235" w:type="pct"/>
            <w:noWrap w:val="0"/>
            <w:vAlign w:val="center"/>
          </w:tcPr>
          <w:p w14:paraId="1EAB1467">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5"/>
                <w:sz w:val="21"/>
                <w:szCs w:val="21"/>
              </w:rPr>
              <w:t>3元/小时</w:t>
            </w:r>
          </w:p>
        </w:tc>
        <w:tc>
          <w:tcPr>
            <w:tcW w:w="1164" w:type="pct"/>
            <w:noWrap w:val="0"/>
            <w:vAlign w:val="center"/>
          </w:tcPr>
          <w:p w14:paraId="38D48321">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4"/>
                <w:sz w:val="21"/>
                <w:szCs w:val="21"/>
              </w:rPr>
              <w:t>4元/小时</w:t>
            </w:r>
          </w:p>
        </w:tc>
        <w:tc>
          <w:tcPr>
            <w:tcW w:w="1362" w:type="pct"/>
            <w:noWrap w:val="0"/>
            <w:vAlign w:val="center"/>
          </w:tcPr>
          <w:p w14:paraId="3B5A29C9">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3"/>
                <w:sz w:val="21"/>
                <w:szCs w:val="21"/>
              </w:rPr>
              <w:t>2</w:t>
            </w:r>
            <w:r>
              <w:rPr>
                <w:rFonts w:hint="eastAsia" w:asciiTheme="minorEastAsia" w:hAnsiTheme="minorEastAsia" w:eastAsiaTheme="minorEastAsia" w:cstheme="minorEastAsia"/>
                <w:spacing w:val="-11"/>
                <w:sz w:val="21"/>
                <w:szCs w:val="21"/>
              </w:rPr>
              <w:t>0元</w:t>
            </w:r>
          </w:p>
        </w:tc>
      </w:tr>
      <w:tr w14:paraId="09A6C7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 w:hRule="atLeast"/>
          <w:jc w:val="center"/>
        </w:trPr>
        <w:tc>
          <w:tcPr>
            <w:tcW w:w="1237" w:type="pct"/>
            <w:noWrap w:val="0"/>
            <w:vAlign w:val="center"/>
          </w:tcPr>
          <w:p w14:paraId="6BF0E89F">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8"/>
                <w:sz w:val="21"/>
                <w:szCs w:val="21"/>
              </w:rPr>
              <w:t>二</w:t>
            </w:r>
            <w:r>
              <w:rPr>
                <w:rFonts w:hint="eastAsia" w:asciiTheme="minorEastAsia" w:hAnsiTheme="minorEastAsia" w:eastAsiaTheme="minorEastAsia" w:cstheme="minorEastAsia"/>
                <w:spacing w:val="6"/>
                <w:sz w:val="21"/>
                <w:szCs w:val="21"/>
              </w:rPr>
              <w:t>类路段</w:t>
            </w:r>
          </w:p>
        </w:tc>
        <w:tc>
          <w:tcPr>
            <w:tcW w:w="1235" w:type="pct"/>
            <w:noWrap w:val="0"/>
            <w:vAlign w:val="center"/>
          </w:tcPr>
          <w:p w14:paraId="51DFCCF1">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8"/>
                <w:sz w:val="21"/>
                <w:szCs w:val="21"/>
              </w:rPr>
              <w:t>2</w:t>
            </w:r>
            <w:r>
              <w:rPr>
                <w:rFonts w:hint="eastAsia" w:asciiTheme="minorEastAsia" w:hAnsiTheme="minorEastAsia" w:eastAsiaTheme="minorEastAsia" w:cstheme="minorEastAsia"/>
                <w:spacing w:val="-4"/>
                <w:sz w:val="21"/>
                <w:szCs w:val="21"/>
              </w:rPr>
              <w:t>元/小时</w:t>
            </w:r>
          </w:p>
        </w:tc>
        <w:tc>
          <w:tcPr>
            <w:tcW w:w="1164" w:type="pct"/>
            <w:noWrap w:val="0"/>
            <w:vAlign w:val="center"/>
          </w:tcPr>
          <w:p w14:paraId="450DF059">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5"/>
                <w:sz w:val="21"/>
                <w:szCs w:val="21"/>
              </w:rPr>
              <w:t>3元/小时</w:t>
            </w:r>
          </w:p>
        </w:tc>
        <w:tc>
          <w:tcPr>
            <w:tcW w:w="1362" w:type="pct"/>
            <w:noWrap w:val="0"/>
            <w:vAlign w:val="center"/>
          </w:tcPr>
          <w:p w14:paraId="34BF6798">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6"/>
                <w:sz w:val="21"/>
                <w:szCs w:val="21"/>
              </w:rPr>
              <w:t>1</w:t>
            </w:r>
            <w:r>
              <w:rPr>
                <w:rFonts w:hint="eastAsia" w:asciiTheme="minorEastAsia" w:hAnsiTheme="minorEastAsia" w:eastAsiaTheme="minorEastAsia" w:cstheme="minorEastAsia"/>
                <w:spacing w:val="-15"/>
                <w:sz w:val="21"/>
                <w:szCs w:val="21"/>
              </w:rPr>
              <w:t>5元</w:t>
            </w:r>
          </w:p>
        </w:tc>
      </w:tr>
      <w:tr w14:paraId="3535E3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jc w:val="center"/>
        </w:trPr>
        <w:tc>
          <w:tcPr>
            <w:tcW w:w="1237" w:type="pct"/>
            <w:noWrap w:val="0"/>
            <w:vAlign w:val="center"/>
          </w:tcPr>
          <w:p w14:paraId="09208311">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9"/>
                <w:sz w:val="21"/>
                <w:szCs w:val="21"/>
              </w:rPr>
              <w:t>三</w:t>
            </w:r>
            <w:r>
              <w:rPr>
                <w:rFonts w:hint="eastAsia" w:asciiTheme="minorEastAsia" w:hAnsiTheme="minorEastAsia" w:eastAsiaTheme="minorEastAsia" w:cstheme="minorEastAsia"/>
                <w:spacing w:val="7"/>
                <w:sz w:val="21"/>
                <w:szCs w:val="21"/>
              </w:rPr>
              <w:t>类路段</w:t>
            </w:r>
          </w:p>
        </w:tc>
        <w:tc>
          <w:tcPr>
            <w:tcW w:w="1235" w:type="pct"/>
            <w:noWrap w:val="0"/>
            <w:vAlign w:val="center"/>
          </w:tcPr>
          <w:p w14:paraId="2CDE841C">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8"/>
                <w:sz w:val="21"/>
                <w:szCs w:val="21"/>
              </w:rPr>
              <w:t>1</w:t>
            </w:r>
            <w:r>
              <w:rPr>
                <w:rFonts w:hint="eastAsia" w:asciiTheme="minorEastAsia" w:hAnsiTheme="minorEastAsia" w:eastAsiaTheme="minorEastAsia" w:cstheme="minorEastAsia"/>
                <w:spacing w:val="-7"/>
                <w:sz w:val="21"/>
                <w:szCs w:val="21"/>
              </w:rPr>
              <w:t>元/小时</w:t>
            </w:r>
          </w:p>
        </w:tc>
        <w:tc>
          <w:tcPr>
            <w:tcW w:w="1164" w:type="pct"/>
            <w:noWrap w:val="0"/>
            <w:vAlign w:val="center"/>
          </w:tcPr>
          <w:p w14:paraId="5D6DE88C">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8"/>
                <w:sz w:val="21"/>
                <w:szCs w:val="21"/>
              </w:rPr>
              <w:t>2</w:t>
            </w:r>
            <w:r>
              <w:rPr>
                <w:rFonts w:hint="eastAsia" w:asciiTheme="minorEastAsia" w:hAnsiTheme="minorEastAsia" w:eastAsiaTheme="minorEastAsia" w:cstheme="minorEastAsia"/>
                <w:spacing w:val="-4"/>
                <w:sz w:val="21"/>
                <w:szCs w:val="21"/>
              </w:rPr>
              <w:t>元/小时</w:t>
            </w:r>
          </w:p>
        </w:tc>
        <w:tc>
          <w:tcPr>
            <w:tcW w:w="1362" w:type="pct"/>
            <w:noWrap w:val="0"/>
            <w:vAlign w:val="center"/>
          </w:tcPr>
          <w:p w14:paraId="68FC29AF">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6"/>
                <w:sz w:val="21"/>
                <w:szCs w:val="21"/>
              </w:rPr>
              <w:t>1</w:t>
            </w:r>
            <w:r>
              <w:rPr>
                <w:rFonts w:hint="eastAsia" w:asciiTheme="minorEastAsia" w:hAnsiTheme="minorEastAsia" w:eastAsiaTheme="minorEastAsia" w:cstheme="minorEastAsia"/>
                <w:spacing w:val="-15"/>
                <w:sz w:val="21"/>
                <w:szCs w:val="21"/>
              </w:rPr>
              <w:t>0元</w:t>
            </w:r>
          </w:p>
        </w:tc>
      </w:tr>
      <w:tr w14:paraId="1F248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9" w:hRule="atLeast"/>
          <w:jc w:val="center"/>
        </w:trPr>
        <w:tc>
          <w:tcPr>
            <w:tcW w:w="5000" w:type="pct"/>
            <w:gridSpan w:val="4"/>
            <w:noWrap w:val="0"/>
            <w:vAlign w:val="top"/>
          </w:tcPr>
          <w:p w14:paraId="780B6CFE">
            <w:pPr>
              <w:pageBreakBefore w:val="0"/>
              <w:kinsoku/>
              <w:wordWrap w:val="0"/>
              <w:overflowPunct/>
              <w:topLinePunct w:val="0"/>
              <w:autoSpaceDE/>
              <w:autoSpaceDN/>
              <w:bidi w:val="0"/>
              <w:snapToGrid/>
              <w:spacing w:line="360" w:lineRule="auto"/>
              <w:ind w:firstLine="216" w:firstLineChars="1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3"/>
                <w:sz w:val="21"/>
                <w:szCs w:val="21"/>
              </w:rPr>
              <w:t>备</w:t>
            </w:r>
            <w:r>
              <w:rPr>
                <w:rFonts w:hint="eastAsia" w:asciiTheme="minorEastAsia" w:hAnsiTheme="minorEastAsia" w:eastAsiaTheme="minorEastAsia" w:cstheme="minorEastAsia"/>
                <w:spacing w:val="2"/>
                <w:sz w:val="21"/>
                <w:szCs w:val="21"/>
              </w:rPr>
              <w:t>注:</w:t>
            </w:r>
          </w:p>
          <w:p w14:paraId="39FAC743">
            <w:pPr>
              <w:pageBreakBefore w:val="0"/>
              <w:kinsoku/>
              <w:wordWrap w:val="0"/>
              <w:overflowPunct/>
              <w:topLinePunct w:val="0"/>
              <w:autoSpaceDE/>
              <w:autoSpaceDN/>
              <w:bidi w:val="0"/>
              <w:snapToGrid/>
              <w:spacing w:line="360" w:lineRule="auto"/>
              <w:ind w:firstLine="234" w:firstLineChars="1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2"/>
                <w:sz w:val="21"/>
                <w:szCs w:val="21"/>
              </w:rPr>
              <w:t>1、路</w:t>
            </w:r>
            <w:r>
              <w:rPr>
                <w:rFonts w:hint="eastAsia" w:asciiTheme="minorEastAsia" w:hAnsiTheme="minorEastAsia" w:eastAsiaTheme="minorEastAsia" w:cstheme="minorEastAsia"/>
                <w:spacing w:val="8"/>
                <w:sz w:val="21"/>
                <w:szCs w:val="21"/>
              </w:rPr>
              <w:t>边</w:t>
            </w:r>
            <w:r>
              <w:rPr>
                <w:rFonts w:hint="eastAsia" w:asciiTheme="minorEastAsia" w:hAnsiTheme="minorEastAsia" w:eastAsiaTheme="minorEastAsia" w:cstheme="minorEastAsia"/>
                <w:spacing w:val="6"/>
                <w:sz w:val="21"/>
                <w:szCs w:val="21"/>
              </w:rPr>
              <w:t>停车收费时段为每天8:00——20:00(具体时间段可另行拟定);</w:t>
            </w:r>
          </w:p>
          <w:p w14:paraId="6E2CA4F9">
            <w:pPr>
              <w:pageBreakBefore w:val="0"/>
              <w:kinsoku/>
              <w:wordWrap w:val="0"/>
              <w:overflowPunct/>
              <w:topLinePunct w:val="0"/>
              <w:autoSpaceDE/>
              <w:autoSpaceDN/>
              <w:bidi w:val="0"/>
              <w:snapToGrid/>
              <w:spacing w:line="360" w:lineRule="auto"/>
              <w:ind w:firstLine="198" w:firstLineChars="1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sz w:val="21"/>
                <w:szCs w:val="21"/>
              </w:rPr>
              <w:t>2、首小时停车</w:t>
            </w:r>
            <w:r>
              <w:rPr>
                <w:rFonts w:hint="eastAsia" w:asciiTheme="minorEastAsia" w:hAnsiTheme="minorEastAsia" w:eastAsiaTheme="minorEastAsia" w:cstheme="minorEastAsia"/>
                <w:spacing w:val="-4"/>
                <w:sz w:val="21"/>
                <w:szCs w:val="21"/>
              </w:rPr>
              <w:t>不</w:t>
            </w:r>
            <w:r>
              <w:rPr>
                <w:rFonts w:hint="eastAsia" w:asciiTheme="minorEastAsia" w:hAnsiTheme="minorEastAsia" w:eastAsiaTheme="minorEastAsia" w:cstheme="minorEastAsia"/>
                <w:spacing w:val="-3"/>
                <w:sz w:val="21"/>
                <w:szCs w:val="21"/>
              </w:rPr>
              <w:t>超过30分钟(含)免费，超过30分钟不足1小时按1小时计费;</w:t>
            </w:r>
          </w:p>
          <w:p w14:paraId="1A4B8869">
            <w:pPr>
              <w:pageBreakBefore w:val="0"/>
              <w:kinsoku/>
              <w:wordWrap w:val="0"/>
              <w:overflowPunct/>
              <w:topLinePunct w:val="0"/>
              <w:autoSpaceDE/>
              <w:autoSpaceDN/>
              <w:bidi w:val="0"/>
              <w:snapToGrid/>
              <w:spacing w:line="360" w:lineRule="auto"/>
              <w:ind w:right="108" w:firstLine="198" w:firstLineChars="1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sz w:val="21"/>
                <w:szCs w:val="21"/>
              </w:rPr>
              <w:t>3、从第2小时</w:t>
            </w:r>
            <w:r>
              <w:rPr>
                <w:rFonts w:hint="eastAsia" w:asciiTheme="minorEastAsia" w:hAnsiTheme="minorEastAsia" w:eastAsiaTheme="minorEastAsia" w:cstheme="minorEastAsia"/>
                <w:spacing w:val="-3"/>
                <w:sz w:val="21"/>
                <w:szCs w:val="21"/>
              </w:rPr>
              <w:t>起，每30分钟按小时标准折半计费，不足30分钟的按30分钟计</w:t>
            </w:r>
            <w:r>
              <w:rPr>
                <w:rFonts w:hint="eastAsia" w:asciiTheme="minorEastAsia" w:hAnsiTheme="minorEastAsia" w:eastAsiaTheme="minorEastAsia" w:cstheme="minorEastAsia"/>
                <w:spacing w:val="10"/>
                <w:sz w:val="21"/>
                <w:szCs w:val="21"/>
              </w:rPr>
              <w:t>费</w:t>
            </w:r>
            <w:r>
              <w:rPr>
                <w:rFonts w:hint="eastAsia" w:asciiTheme="minorEastAsia" w:hAnsiTheme="minorEastAsia" w:eastAsiaTheme="minorEastAsia" w:cstheme="minorEastAsia"/>
                <w:spacing w:val="9"/>
                <w:sz w:val="21"/>
                <w:szCs w:val="21"/>
              </w:rPr>
              <w:t>;</w:t>
            </w:r>
          </w:p>
          <w:p w14:paraId="198706DA">
            <w:pPr>
              <w:pageBreakBefore w:val="0"/>
              <w:kinsoku/>
              <w:wordWrap w:val="0"/>
              <w:overflowPunct/>
              <w:topLinePunct w:val="0"/>
              <w:autoSpaceDE/>
              <w:autoSpaceDN/>
              <w:bidi w:val="0"/>
              <w:snapToGrid/>
              <w:spacing w:line="360" w:lineRule="auto"/>
              <w:ind w:firstLine="238" w:firstLineChars="1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4"/>
                <w:sz w:val="21"/>
                <w:szCs w:val="21"/>
              </w:rPr>
              <w:t>4、</w:t>
            </w:r>
            <w:r>
              <w:rPr>
                <w:rFonts w:hint="eastAsia" w:asciiTheme="minorEastAsia" w:hAnsiTheme="minorEastAsia" w:eastAsiaTheme="minorEastAsia" w:cstheme="minorEastAsia"/>
                <w:spacing w:val="8"/>
                <w:sz w:val="21"/>
                <w:szCs w:val="21"/>
              </w:rPr>
              <w:t>路</w:t>
            </w:r>
            <w:r>
              <w:rPr>
                <w:rFonts w:hint="eastAsia" w:asciiTheme="minorEastAsia" w:hAnsiTheme="minorEastAsia" w:eastAsiaTheme="minorEastAsia" w:cstheme="minorEastAsia"/>
                <w:spacing w:val="7"/>
                <w:sz w:val="21"/>
                <w:szCs w:val="21"/>
              </w:rPr>
              <w:t>边停车收费以自然天24小时为一计费周期﹔</w:t>
            </w:r>
          </w:p>
          <w:p w14:paraId="326B89D5">
            <w:pPr>
              <w:pageBreakBefore w:val="0"/>
              <w:kinsoku/>
              <w:wordWrap w:val="0"/>
              <w:overflowPunct/>
              <w:topLinePunct w:val="0"/>
              <w:autoSpaceDE/>
              <w:autoSpaceDN/>
              <w:bidi w:val="0"/>
              <w:snapToGrid/>
              <w:spacing w:line="360" w:lineRule="auto"/>
              <w:ind w:left="262" w:leftChars="109" w:right="108"/>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2"/>
                <w:sz w:val="21"/>
                <w:szCs w:val="21"/>
              </w:rPr>
              <w:t>5、免收费车辆。对实施救助的医院救护车辆、执行公务的军警车辆、市政工</w:t>
            </w:r>
            <w:r>
              <w:rPr>
                <w:rFonts w:hint="eastAsia" w:asciiTheme="minorEastAsia" w:hAnsiTheme="minorEastAsia" w:eastAsiaTheme="minorEastAsia" w:cstheme="minorEastAsia"/>
                <w:spacing w:val="5"/>
                <w:sz w:val="21"/>
                <w:szCs w:val="21"/>
              </w:rPr>
              <w:t>程</w:t>
            </w:r>
            <w:r>
              <w:rPr>
                <w:rFonts w:hint="eastAsia" w:asciiTheme="minorEastAsia" w:hAnsiTheme="minorEastAsia" w:eastAsiaTheme="minorEastAsia" w:cstheme="minorEastAsia"/>
                <w:spacing w:val="18"/>
                <w:sz w:val="21"/>
                <w:szCs w:val="21"/>
              </w:rPr>
              <w:t>抢</w:t>
            </w:r>
            <w:r>
              <w:rPr>
                <w:rFonts w:hint="eastAsia" w:asciiTheme="minorEastAsia" w:hAnsiTheme="minorEastAsia" w:eastAsiaTheme="minorEastAsia" w:cstheme="minorEastAsia"/>
                <w:spacing w:val="9"/>
                <w:sz w:val="21"/>
                <w:szCs w:val="21"/>
              </w:rPr>
              <w:t>修车辆、救灾抢修车辆以及法律法规规定的免费车辆免收停车服务费;</w:t>
            </w:r>
          </w:p>
          <w:p w14:paraId="7340DAB2">
            <w:pPr>
              <w:pageBreakBefore w:val="0"/>
              <w:kinsoku/>
              <w:wordWrap w:val="0"/>
              <w:overflowPunct/>
              <w:topLinePunct w:val="0"/>
              <w:autoSpaceDE/>
              <w:autoSpaceDN/>
              <w:bidi w:val="0"/>
              <w:snapToGrid/>
              <w:spacing w:line="360" w:lineRule="auto"/>
              <w:ind w:firstLine="228" w:firstLineChars="1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9"/>
                <w:position w:val="2"/>
                <w:sz w:val="21"/>
                <w:szCs w:val="21"/>
              </w:rPr>
              <w:t>6、考虑举行重大活动或节假日期间，免收停车费</w:t>
            </w:r>
            <w:r>
              <w:rPr>
                <w:rFonts w:hint="eastAsia" w:asciiTheme="minorEastAsia" w:hAnsiTheme="minorEastAsia" w:eastAsiaTheme="minorEastAsia" w:cstheme="minorEastAsia"/>
                <w:spacing w:val="6"/>
                <w:position w:val="2"/>
                <w:sz w:val="21"/>
                <w:szCs w:val="21"/>
              </w:rPr>
              <w:t>。</w:t>
            </w:r>
          </w:p>
        </w:tc>
      </w:tr>
    </w:tbl>
    <w:p w14:paraId="0159DE91">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行政服务中心立体车库(120泊位)管辖权属于业主所有，原则上不属于道路(路内)收费范畴，收费标准参考同类项目及周边物业收费情况，实行政府指导价或市场调节价，暂按以下收费预测(具体以物价部门公布的收费标准为准或以政府方代表与地方国企协议确定的市场收费价格为准)：</w:t>
      </w:r>
    </w:p>
    <w:tbl>
      <w:tblPr>
        <w:tblStyle w:val="15"/>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435"/>
        <w:gridCol w:w="2436"/>
        <w:gridCol w:w="2295"/>
        <w:gridCol w:w="2584"/>
      </w:tblGrid>
      <w:tr w14:paraId="3005D3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1249" w:type="pct"/>
            <w:noWrap w:val="0"/>
            <w:vAlign w:val="center"/>
          </w:tcPr>
          <w:p w14:paraId="797628D7">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9"/>
                <w:sz w:val="21"/>
                <w:szCs w:val="21"/>
              </w:rPr>
              <w:t>路</w:t>
            </w:r>
            <w:r>
              <w:rPr>
                <w:rFonts w:hint="eastAsia" w:asciiTheme="minorEastAsia" w:hAnsiTheme="minorEastAsia" w:eastAsiaTheme="minorEastAsia" w:cstheme="minorEastAsia"/>
                <w:spacing w:val="6"/>
                <w:sz w:val="21"/>
                <w:szCs w:val="21"/>
              </w:rPr>
              <w:t>段/时间</w:t>
            </w:r>
          </w:p>
        </w:tc>
        <w:tc>
          <w:tcPr>
            <w:tcW w:w="1249" w:type="pct"/>
            <w:noWrap w:val="0"/>
            <w:vAlign w:val="center"/>
          </w:tcPr>
          <w:p w14:paraId="1B895808">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9"/>
                <w:sz w:val="21"/>
                <w:szCs w:val="21"/>
              </w:rPr>
              <w:t>首</w:t>
            </w:r>
            <w:r>
              <w:rPr>
                <w:rFonts w:hint="eastAsia" w:asciiTheme="minorEastAsia" w:hAnsiTheme="minorEastAsia" w:eastAsiaTheme="minorEastAsia" w:cstheme="minorEastAsia"/>
                <w:spacing w:val="-14"/>
                <w:sz w:val="21"/>
                <w:szCs w:val="21"/>
              </w:rPr>
              <w:t>3小时</w:t>
            </w:r>
          </w:p>
        </w:tc>
        <w:tc>
          <w:tcPr>
            <w:tcW w:w="1177" w:type="pct"/>
            <w:noWrap w:val="0"/>
            <w:vAlign w:val="center"/>
          </w:tcPr>
          <w:p w14:paraId="1CD2DD1F">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7"/>
                <w:sz w:val="21"/>
                <w:szCs w:val="21"/>
              </w:rPr>
              <w:t>3小时后</w:t>
            </w:r>
          </w:p>
        </w:tc>
        <w:tc>
          <w:tcPr>
            <w:tcW w:w="1324" w:type="pct"/>
            <w:noWrap w:val="0"/>
            <w:vAlign w:val="center"/>
          </w:tcPr>
          <w:p w14:paraId="55BF03DE">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
                <w:sz w:val="21"/>
                <w:szCs w:val="21"/>
              </w:rPr>
              <w:t>24</w:t>
            </w:r>
            <w:r>
              <w:rPr>
                <w:rFonts w:hint="eastAsia" w:asciiTheme="minorEastAsia" w:hAnsiTheme="minorEastAsia" w:eastAsiaTheme="minorEastAsia" w:cstheme="minorEastAsia"/>
                <w:sz w:val="21"/>
                <w:szCs w:val="21"/>
              </w:rPr>
              <w:t>小时最高收费</w:t>
            </w:r>
          </w:p>
        </w:tc>
      </w:tr>
      <w:tr w14:paraId="66444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1249" w:type="pct"/>
            <w:noWrap w:val="0"/>
            <w:vAlign w:val="center"/>
          </w:tcPr>
          <w:p w14:paraId="4B14DDBD">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4"/>
                <w:sz w:val="21"/>
                <w:szCs w:val="21"/>
              </w:rPr>
              <w:t>车库</w:t>
            </w:r>
          </w:p>
        </w:tc>
        <w:tc>
          <w:tcPr>
            <w:tcW w:w="1249" w:type="pct"/>
            <w:noWrap w:val="0"/>
            <w:vAlign w:val="center"/>
          </w:tcPr>
          <w:p w14:paraId="6DFB1711">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4"/>
                <w:sz w:val="21"/>
                <w:szCs w:val="21"/>
              </w:rPr>
              <w:t>4元/小时</w:t>
            </w:r>
          </w:p>
        </w:tc>
        <w:tc>
          <w:tcPr>
            <w:tcW w:w="1177" w:type="pct"/>
            <w:noWrap w:val="0"/>
            <w:vAlign w:val="center"/>
          </w:tcPr>
          <w:p w14:paraId="43E0122B">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sz w:val="21"/>
                <w:szCs w:val="21"/>
              </w:rPr>
              <w:t>8</w:t>
            </w:r>
            <w:r>
              <w:rPr>
                <w:rFonts w:hint="eastAsia" w:asciiTheme="minorEastAsia" w:hAnsiTheme="minorEastAsia" w:eastAsiaTheme="minorEastAsia" w:cstheme="minorEastAsia"/>
                <w:spacing w:val="-4"/>
                <w:sz w:val="21"/>
                <w:szCs w:val="21"/>
              </w:rPr>
              <w:t>元/小时</w:t>
            </w:r>
          </w:p>
        </w:tc>
        <w:tc>
          <w:tcPr>
            <w:tcW w:w="1324" w:type="pct"/>
            <w:noWrap w:val="0"/>
            <w:vAlign w:val="center"/>
          </w:tcPr>
          <w:p w14:paraId="24C20A5A">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3"/>
                <w:sz w:val="21"/>
                <w:szCs w:val="21"/>
              </w:rPr>
              <w:t>4</w:t>
            </w:r>
            <w:r>
              <w:rPr>
                <w:rFonts w:hint="eastAsia" w:asciiTheme="minorEastAsia" w:hAnsiTheme="minorEastAsia" w:eastAsiaTheme="minorEastAsia" w:cstheme="minorEastAsia"/>
                <w:spacing w:val="-10"/>
                <w:sz w:val="21"/>
                <w:szCs w:val="21"/>
              </w:rPr>
              <w:t>0元</w:t>
            </w:r>
          </w:p>
        </w:tc>
      </w:tr>
      <w:tr w14:paraId="39C055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6" w:hRule="atLeast"/>
          <w:jc w:val="center"/>
        </w:trPr>
        <w:tc>
          <w:tcPr>
            <w:tcW w:w="5000" w:type="pct"/>
            <w:gridSpan w:val="4"/>
            <w:noWrap w:val="0"/>
            <w:vAlign w:val="top"/>
          </w:tcPr>
          <w:p w14:paraId="4A6B223A">
            <w:pPr>
              <w:pageBreakBefore w:val="0"/>
              <w:kinsoku/>
              <w:wordWrap w:val="0"/>
              <w:overflowPunct/>
              <w:topLinePunct w:val="0"/>
              <w:autoSpaceDE/>
              <w:autoSpaceDN/>
              <w:bidi w:val="0"/>
              <w:snapToGrid/>
              <w:spacing w:line="360" w:lineRule="auto"/>
              <w:ind w:firstLine="216" w:firstLineChars="100"/>
              <w:rPr>
                <w:rFonts w:hint="eastAsia" w:asciiTheme="minorEastAsia" w:hAnsiTheme="minorEastAsia" w:eastAsiaTheme="minorEastAsia" w:cstheme="minorEastAsia"/>
                <w:spacing w:val="3"/>
                <w:sz w:val="21"/>
                <w:szCs w:val="21"/>
              </w:rPr>
            </w:pPr>
            <w:r>
              <w:rPr>
                <w:rFonts w:hint="eastAsia" w:asciiTheme="minorEastAsia" w:hAnsiTheme="minorEastAsia" w:eastAsiaTheme="minorEastAsia" w:cstheme="minorEastAsia"/>
                <w:spacing w:val="3"/>
                <w:sz w:val="21"/>
                <w:szCs w:val="21"/>
              </w:rPr>
              <w:t>备注：</w:t>
            </w:r>
          </w:p>
          <w:p w14:paraId="6183557F">
            <w:pPr>
              <w:pageBreakBefore w:val="0"/>
              <w:kinsoku/>
              <w:wordWrap w:val="0"/>
              <w:overflowPunct/>
              <w:topLinePunct w:val="0"/>
              <w:autoSpaceDE/>
              <w:autoSpaceDN/>
              <w:bidi w:val="0"/>
              <w:snapToGrid/>
              <w:spacing w:line="360" w:lineRule="auto"/>
              <w:ind w:firstLine="216" w:firstLineChars="100"/>
              <w:rPr>
                <w:rFonts w:hint="eastAsia" w:asciiTheme="minorEastAsia" w:hAnsiTheme="minorEastAsia" w:eastAsiaTheme="minorEastAsia" w:cstheme="minorEastAsia"/>
                <w:spacing w:val="3"/>
                <w:sz w:val="21"/>
                <w:szCs w:val="21"/>
              </w:rPr>
            </w:pPr>
            <w:r>
              <w:rPr>
                <w:rFonts w:hint="eastAsia" w:asciiTheme="minorEastAsia" w:hAnsiTheme="minorEastAsia" w:eastAsiaTheme="minorEastAsia" w:cstheme="minorEastAsia"/>
                <w:spacing w:val="3"/>
                <w:sz w:val="21"/>
                <w:szCs w:val="21"/>
              </w:rPr>
              <w:t>1、路边停车收费时段为每天8：00-20:00；</w:t>
            </w:r>
          </w:p>
          <w:p w14:paraId="24B617AD">
            <w:pPr>
              <w:pageBreakBefore w:val="0"/>
              <w:kinsoku/>
              <w:wordWrap w:val="0"/>
              <w:overflowPunct/>
              <w:topLinePunct w:val="0"/>
              <w:autoSpaceDE/>
              <w:autoSpaceDN/>
              <w:bidi w:val="0"/>
              <w:snapToGrid/>
              <w:spacing w:line="360" w:lineRule="auto"/>
              <w:ind w:firstLine="216" w:firstLineChars="100"/>
              <w:rPr>
                <w:rFonts w:hint="eastAsia" w:asciiTheme="minorEastAsia" w:hAnsiTheme="minorEastAsia" w:eastAsiaTheme="minorEastAsia" w:cstheme="minorEastAsia"/>
                <w:spacing w:val="3"/>
                <w:sz w:val="21"/>
                <w:szCs w:val="21"/>
              </w:rPr>
            </w:pPr>
            <w:r>
              <w:rPr>
                <w:rFonts w:hint="eastAsia" w:asciiTheme="minorEastAsia" w:hAnsiTheme="minorEastAsia" w:eastAsiaTheme="minorEastAsia" w:cstheme="minorEastAsia"/>
                <w:spacing w:val="3"/>
                <w:sz w:val="21"/>
                <w:szCs w:val="21"/>
              </w:rPr>
              <w:t>2、停车不超过60分钟(含)免费；</w:t>
            </w:r>
          </w:p>
          <w:p w14:paraId="4B56B907">
            <w:pPr>
              <w:pageBreakBefore w:val="0"/>
              <w:kinsoku/>
              <w:wordWrap w:val="0"/>
              <w:overflowPunct/>
              <w:topLinePunct w:val="0"/>
              <w:autoSpaceDE/>
              <w:autoSpaceDN/>
              <w:bidi w:val="0"/>
              <w:snapToGrid/>
              <w:spacing w:line="360" w:lineRule="auto"/>
              <w:ind w:firstLine="216" w:firstLineChars="100"/>
              <w:rPr>
                <w:rFonts w:hint="eastAsia" w:asciiTheme="minorEastAsia" w:hAnsiTheme="minorEastAsia" w:eastAsiaTheme="minorEastAsia" w:cstheme="minorEastAsia"/>
                <w:spacing w:val="3"/>
                <w:sz w:val="21"/>
                <w:szCs w:val="21"/>
              </w:rPr>
            </w:pPr>
            <w:r>
              <w:rPr>
                <w:rFonts w:hint="eastAsia" w:asciiTheme="minorEastAsia" w:hAnsiTheme="minorEastAsia" w:eastAsiaTheme="minorEastAsia" w:cstheme="minorEastAsia"/>
                <w:spacing w:val="3"/>
                <w:sz w:val="21"/>
                <w:szCs w:val="21"/>
              </w:rPr>
              <w:t>3、从第2小时起，每30分钟按小时标准折半计算，不足30分钟的按30分钟计；</w:t>
            </w:r>
          </w:p>
          <w:p w14:paraId="1B1FAC99">
            <w:pPr>
              <w:pageBreakBefore w:val="0"/>
              <w:kinsoku/>
              <w:wordWrap w:val="0"/>
              <w:overflowPunct/>
              <w:topLinePunct w:val="0"/>
              <w:autoSpaceDE/>
              <w:autoSpaceDN/>
              <w:bidi w:val="0"/>
              <w:snapToGrid/>
              <w:spacing w:line="360" w:lineRule="auto"/>
              <w:ind w:firstLine="216" w:firstLineChars="1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3"/>
                <w:sz w:val="21"/>
                <w:szCs w:val="21"/>
              </w:rPr>
              <w:t>4、路边停车收费以自然天24小时为一计费周期；</w:t>
            </w:r>
          </w:p>
        </w:tc>
      </w:tr>
    </w:tbl>
    <w:p w14:paraId="0AE387B2">
      <w:pPr>
        <w:pStyle w:val="19"/>
        <w:pageBreakBefore w:val="0"/>
        <w:kinsoku/>
        <w:wordWrap w:val="0"/>
        <w:overflowPunct/>
        <w:topLinePunct w:val="0"/>
        <w:autoSpaceDE/>
        <w:autoSpaceDN/>
        <w:bidi w:val="0"/>
        <w:snapToGrid/>
        <w:spacing w:line="360" w:lineRule="auto"/>
        <w:ind w:firstLine="420" w:firstLineChars="200"/>
        <w:textAlignment w:val="auto"/>
        <w:rPr>
          <w:rFonts w:hint="eastAsia" w:asciiTheme="minorEastAsia" w:hAnsiTheme="minorEastAsia" w:eastAsiaTheme="minorEastAsia" w:cstheme="minorEastAsia"/>
          <w:bCs/>
          <w:sz w:val="21"/>
          <w:szCs w:val="21"/>
        </w:rPr>
      </w:pPr>
    </w:p>
    <w:p w14:paraId="1E6B6335">
      <w:pPr>
        <w:pStyle w:val="3"/>
        <w:pageBreakBefore w:val="0"/>
        <w:numPr>
          <w:ilvl w:val="0"/>
          <w:numId w:val="1"/>
        </w:numPr>
        <w:kinsoku/>
        <w:wordWrap w:val="0"/>
        <w:overflowPunct/>
        <w:topLinePunct w:val="0"/>
        <w:autoSpaceDE/>
        <w:autoSpaceDN/>
        <w:bidi w:val="0"/>
        <w:adjustRightInd w:val="0"/>
        <w:snapToGrid/>
        <w:spacing w:before="0" w:after="0" w:line="360" w:lineRule="auto"/>
        <w:ind w:firstLine="422" w:firstLineChars="200"/>
        <w:textAlignment w:val="auto"/>
        <w:rPr>
          <w:rFonts w:hint="eastAsia" w:asciiTheme="minorEastAsia" w:hAnsiTheme="minorEastAsia" w:eastAsiaTheme="minorEastAsia" w:cstheme="minorEastAsia"/>
          <w:sz w:val="21"/>
          <w:szCs w:val="21"/>
        </w:rPr>
      </w:pPr>
      <w:bookmarkStart w:id="15" w:name="_Toc115445213"/>
      <w:r>
        <w:rPr>
          <w:rFonts w:hint="eastAsia" w:asciiTheme="minorEastAsia" w:hAnsiTheme="minorEastAsia" w:eastAsiaTheme="minorEastAsia" w:cstheme="minorEastAsia"/>
          <w:sz w:val="21"/>
          <w:szCs w:val="21"/>
        </w:rPr>
        <w:t>招标人收益与支付结算</w:t>
      </w:r>
      <w:bookmarkEnd w:id="15"/>
    </w:p>
    <w:p w14:paraId="57512599">
      <w:pPr>
        <w:pageBreakBefore w:val="0"/>
        <w:kinsoku/>
        <w:wordWrap w:val="0"/>
        <w:overflowPunct/>
        <w:topLinePunct w:val="0"/>
        <w:autoSpaceDE/>
        <w:autoSpaceDN/>
        <w:bidi w:val="0"/>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bCs/>
          <w:sz w:val="21"/>
          <w:szCs w:val="21"/>
        </w:rPr>
        <w:t>1、招标人收益</w:t>
      </w:r>
    </w:p>
    <w:p w14:paraId="7D6E381C">
      <w:pPr>
        <w:pageBreakBefore w:val="0"/>
        <w:kinsoku/>
        <w:wordWrap w:val="0"/>
        <w:overflowPunct/>
        <w:topLinePunct w:val="0"/>
        <w:autoSpaceDE/>
        <w:autoSpaceDN/>
        <w:bidi w:val="0"/>
        <w:adjustRightInd w:val="0"/>
        <w:snapToGrid/>
        <w:spacing w:line="360" w:lineRule="auto"/>
        <w:ind w:firstLine="420" w:firstLineChars="200"/>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bCs/>
          <w:sz w:val="21"/>
          <w:szCs w:val="21"/>
        </w:rPr>
        <w:t>招标人</w:t>
      </w:r>
      <w:r>
        <w:rPr>
          <w:rFonts w:hint="eastAsia" w:asciiTheme="minorEastAsia" w:hAnsiTheme="minorEastAsia" w:eastAsiaTheme="minorEastAsia" w:cstheme="minorEastAsia"/>
          <w:sz w:val="21"/>
          <w:szCs w:val="21"/>
        </w:rPr>
        <w:t>收益：</w:t>
      </w:r>
      <w:r>
        <w:rPr>
          <w:rFonts w:hint="eastAsia" w:asciiTheme="minorEastAsia" w:hAnsiTheme="minorEastAsia" w:eastAsiaTheme="minorEastAsia" w:cstheme="minorEastAsia"/>
          <w:bCs/>
          <w:color w:val="FF0000"/>
          <w:sz w:val="21"/>
          <w:szCs w:val="21"/>
          <w:lang w:eastAsia="zh-CN"/>
        </w:rPr>
        <w:t>【</w:t>
      </w:r>
      <w:r>
        <w:rPr>
          <w:rFonts w:hint="eastAsia" w:asciiTheme="minorEastAsia" w:hAnsiTheme="minorEastAsia" w:eastAsiaTheme="minorEastAsia" w:cstheme="minorEastAsia"/>
          <w:bCs/>
          <w:color w:val="FF0000"/>
          <w:sz w:val="21"/>
          <w:szCs w:val="21"/>
          <w:lang w:val="en-US" w:eastAsia="zh-CN"/>
        </w:rPr>
        <w:t>面向社会征集，须与合作模式匹配</w:t>
      </w:r>
      <w:r>
        <w:rPr>
          <w:rFonts w:hint="eastAsia" w:asciiTheme="minorEastAsia" w:hAnsiTheme="minorEastAsia" w:eastAsiaTheme="minorEastAsia" w:cstheme="minorEastAsia"/>
          <w:bCs/>
          <w:color w:val="FF0000"/>
          <w:sz w:val="21"/>
          <w:szCs w:val="21"/>
          <w:lang w:eastAsia="zh-CN"/>
        </w:rPr>
        <w:t>】</w:t>
      </w:r>
      <w:r>
        <w:rPr>
          <w:rFonts w:hint="eastAsia" w:asciiTheme="minorEastAsia" w:hAnsiTheme="minorEastAsia" w:eastAsiaTheme="minorEastAsia" w:cstheme="minorEastAsia"/>
          <w:bCs/>
          <w:color w:val="auto"/>
          <w:sz w:val="21"/>
          <w:szCs w:val="21"/>
          <w:u w:val="single"/>
          <w:lang w:val="en-US" w:eastAsia="zh-CN"/>
        </w:rPr>
        <w:t xml:space="preserve">                                                                                                                                                                                                                                                                                            </w:t>
      </w:r>
    </w:p>
    <w:p w14:paraId="52722C42">
      <w:pPr>
        <w:pStyle w:val="19"/>
        <w:pageBreakBefore w:val="0"/>
        <w:kinsoku/>
        <w:wordWrap w:val="0"/>
        <w:overflowPunct/>
        <w:topLinePunct w:val="0"/>
        <w:autoSpaceDE/>
        <w:autoSpaceDN/>
        <w:bidi w:val="0"/>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注：运营天数不含因政府或政府部门要求的不能收费或导致无法收费的天数</w:t>
      </w:r>
    </w:p>
    <w:p w14:paraId="7149B5EB">
      <w:pPr>
        <w:pageBreakBefore w:val="0"/>
        <w:numPr>
          <w:ilvl w:val="0"/>
          <w:numId w:val="0"/>
        </w:numPr>
        <w:kinsoku/>
        <w:wordWrap w:val="0"/>
        <w:overflowPunct/>
        <w:topLinePunct w:val="0"/>
        <w:autoSpaceDE/>
        <w:autoSpaceDN/>
        <w:bidi w:val="0"/>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★2、支付方式：</w:t>
      </w:r>
      <w:r>
        <w:rPr>
          <w:rFonts w:hint="eastAsia" w:asciiTheme="minorEastAsia" w:hAnsiTheme="minorEastAsia" w:eastAsiaTheme="minorEastAsia" w:cstheme="minorEastAsia"/>
          <w:sz w:val="21"/>
          <w:szCs w:val="21"/>
          <w:lang w:val="en-US" w:eastAsia="zh-CN"/>
        </w:rPr>
        <w:t>停车费用转入</w:t>
      </w:r>
      <w:r>
        <w:rPr>
          <w:rFonts w:hint="eastAsia" w:asciiTheme="minorEastAsia" w:hAnsiTheme="minorEastAsia" w:eastAsiaTheme="minorEastAsia" w:cstheme="minorEastAsia"/>
          <w:bCs/>
          <w:sz w:val="21"/>
          <w:szCs w:val="21"/>
        </w:rPr>
        <w:t>招标人</w:t>
      </w:r>
      <w:r>
        <w:rPr>
          <w:rFonts w:hint="eastAsia" w:asciiTheme="minorEastAsia" w:hAnsiTheme="minorEastAsia" w:eastAsiaTheme="minorEastAsia" w:cstheme="minorEastAsia"/>
          <w:bCs/>
          <w:sz w:val="21"/>
          <w:szCs w:val="21"/>
          <w:lang w:val="en-US" w:eastAsia="zh-CN"/>
        </w:rPr>
        <w:t>账号，中标人提供结算资料经招标人复核无误后，按照约定进行分成</w:t>
      </w:r>
      <w:r>
        <w:rPr>
          <w:rFonts w:hint="eastAsia" w:asciiTheme="minorEastAsia" w:hAnsiTheme="minorEastAsia" w:eastAsiaTheme="minorEastAsia" w:cstheme="minorEastAsia"/>
          <w:sz w:val="21"/>
          <w:szCs w:val="21"/>
        </w:rPr>
        <w:t>。</w:t>
      </w:r>
    </w:p>
    <w:p w14:paraId="79C44F8C">
      <w:pPr>
        <w:pageBreakBefore w:val="0"/>
        <w:kinsoku/>
        <w:wordWrap w:val="0"/>
        <w:overflowPunct/>
        <w:topLinePunct w:val="0"/>
        <w:autoSpaceDE/>
        <w:autoSpaceDN/>
        <w:bidi w:val="0"/>
        <w:snapToGrid/>
        <w:spacing w:line="360" w:lineRule="auto"/>
        <w:rPr>
          <w:rFonts w:hint="eastAsia" w:asciiTheme="minorEastAsia" w:hAnsiTheme="minorEastAsia" w:eastAsiaTheme="minorEastAsia" w:cstheme="minorEastAsia"/>
          <w:sz w:val="21"/>
          <w:szCs w:val="21"/>
        </w:rPr>
      </w:pPr>
    </w:p>
    <w:p w14:paraId="3EAAD67C">
      <w:pPr>
        <w:pStyle w:val="3"/>
        <w:pageBreakBefore w:val="0"/>
        <w:kinsoku/>
        <w:wordWrap w:val="0"/>
        <w:overflowPunct/>
        <w:topLinePunct w:val="0"/>
        <w:autoSpaceDE/>
        <w:autoSpaceDN/>
        <w:bidi w:val="0"/>
        <w:adjustRightInd w:val="0"/>
        <w:snapToGrid/>
        <w:spacing w:before="0" w:after="0" w:line="360" w:lineRule="auto"/>
        <w:ind w:firstLine="482" w:firstLineChars="200"/>
        <w:rPr>
          <w:rFonts w:hint="eastAsia" w:asciiTheme="minorEastAsia" w:hAnsiTheme="minorEastAsia" w:eastAsiaTheme="minorEastAsia" w:cstheme="minorEastAsia"/>
          <w:sz w:val="24"/>
          <w:szCs w:val="24"/>
        </w:rPr>
      </w:pPr>
      <w:bookmarkStart w:id="16" w:name="_Toc115445214"/>
      <w:bookmarkStart w:id="17" w:name="_Toc4561"/>
      <w:bookmarkStart w:id="18" w:name="_Toc14067"/>
      <w:r>
        <w:rPr>
          <w:rFonts w:hint="eastAsia" w:asciiTheme="minorEastAsia" w:hAnsiTheme="minorEastAsia" w:eastAsiaTheme="minorEastAsia" w:cstheme="minorEastAsia"/>
          <w:sz w:val="24"/>
          <w:szCs w:val="24"/>
        </w:rPr>
        <w:t>五、技术要求</w:t>
      </w:r>
      <w:bookmarkEnd w:id="16"/>
      <w:bookmarkEnd w:id="17"/>
      <w:bookmarkEnd w:id="18"/>
    </w:p>
    <w:p w14:paraId="51EA4A94">
      <w:pPr>
        <w:pageBreakBefore w:val="0"/>
        <w:kinsoku/>
        <w:wordWrap w:val="0"/>
        <w:overflowPunct/>
        <w:topLinePunct w:val="0"/>
        <w:autoSpaceDE/>
        <w:autoSpaceDN/>
        <w:bidi w:val="0"/>
        <w:snapToGrid/>
        <w:spacing w:line="360" w:lineRule="auto"/>
        <w:ind w:firstLine="480" w:firstLineChars="200"/>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w:t>
      </w:r>
      <w:r>
        <w:rPr>
          <w:rFonts w:hint="eastAsia" w:asciiTheme="minorEastAsia" w:hAnsiTheme="minorEastAsia" w:eastAsiaTheme="minorEastAsia" w:cstheme="minorEastAsia"/>
          <w:color w:val="FF0000"/>
          <w:sz w:val="24"/>
          <w:szCs w:val="24"/>
          <w:lang w:val="en-US" w:eastAsia="zh-CN"/>
        </w:rPr>
        <w:t>面向社会征集，</w:t>
      </w:r>
      <w:r>
        <w:rPr>
          <w:rFonts w:hint="eastAsia" w:asciiTheme="minorEastAsia" w:hAnsiTheme="minorEastAsia" w:eastAsiaTheme="minorEastAsia" w:cstheme="minorEastAsia"/>
          <w:b/>
          <w:bCs/>
          <w:color w:val="FF0000"/>
          <w:sz w:val="24"/>
          <w:szCs w:val="24"/>
          <w:lang w:val="en-US" w:eastAsia="zh-CN"/>
        </w:rPr>
        <w:t>须至少包括平台设备所需最低要求信息、相关相关技术要求、本项目实施及运维方案等</w:t>
      </w:r>
      <w:r>
        <w:rPr>
          <w:rFonts w:hint="eastAsia" w:asciiTheme="minorEastAsia" w:hAnsiTheme="minorEastAsia" w:eastAsiaTheme="minorEastAsia" w:cstheme="minorEastAsia"/>
          <w:color w:val="FF0000"/>
          <w:sz w:val="24"/>
          <w:szCs w:val="24"/>
          <w:lang w:eastAsia="zh-CN"/>
        </w:rPr>
        <w:t>）</w:t>
      </w:r>
    </w:p>
    <w:p w14:paraId="47298299">
      <w:pPr>
        <w:pageBreakBefore w:val="0"/>
        <w:kinsoku/>
        <w:wordWrap w:val="0"/>
        <w:overflowPunct/>
        <w:topLinePunct w:val="0"/>
        <w:autoSpaceDE/>
        <w:autoSpaceDN/>
        <w:bidi w:val="0"/>
        <w:snapToGrid/>
        <w:spacing w:line="360" w:lineRule="auto"/>
        <w:ind w:firstLine="480" w:firstLineChars="200"/>
        <w:rPr>
          <w:rFonts w:hint="default"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注：中标人须向招标人提供平台源码。</w:t>
      </w:r>
    </w:p>
    <w:p w14:paraId="09DEB844">
      <w:pPr>
        <w:pageBreakBefore w:val="0"/>
        <w:kinsoku/>
        <w:wordWrap w:val="0"/>
        <w:overflowPunct/>
        <w:topLinePunct w:val="0"/>
        <w:autoSpaceDE/>
        <w:autoSpaceDN/>
        <w:bidi w:val="0"/>
        <w:snapToGrid/>
        <w:spacing w:line="360" w:lineRule="auto"/>
        <w:ind w:firstLine="480" w:firstLineChars="200"/>
        <w:rPr>
          <w:rFonts w:hint="eastAsia" w:asciiTheme="minorEastAsia" w:hAnsiTheme="minorEastAsia" w:eastAsiaTheme="minorEastAsia" w:cstheme="minorEastAsia"/>
          <w:color w:val="FF0000"/>
          <w:sz w:val="24"/>
          <w:szCs w:val="24"/>
          <w:lang w:eastAsia="zh-CN"/>
        </w:rPr>
      </w:pPr>
    </w:p>
    <w:p w14:paraId="798AE8FF">
      <w:pPr>
        <w:pStyle w:val="3"/>
        <w:pageBreakBefore w:val="0"/>
        <w:numPr>
          <w:ilvl w:val="0"/>
          <w:numId w:val="3"/>
        </w:numPr>
        <w:kinsoku/>
        <w:wordWrap w:val="0"/>
        <w:overflowPunct/>
        <w:topLinePunct w:val="0"/>
        <w:autoSpaceDE/>
        <w:autoSpaceDN/>
        <w:bidi w:val="0"/>
        <w:adjustRightInd w:val="0"/>
        <w:snapToGrid/>
        <w:spacing w:before="0" w:after="0" w:line="360" w:lineRule="auto"/>
        <w:ind w:firstLine="482" w:firstLineChars="200"/>
        <w:rPr>
          <w:rFonts w:hint="eastAsia" w:asciiTheme="minorEastAsia" w:hAnsiTheme="minorEastAsia" w:eastAsiaTheme="minorEastAsia" w:cstheme="minorEastAsia"/>
          <w:sz w:val="24"/>
          <w:szCs w:val="24"/>
        </w:rPr>
      </w:pPr>
      <w:bookmarkStart w:id="19" w:name="_Toc115445215"/>
      <w:r>
        <w:rPr>
          <w:rFonts w:hint="eastAsia" w:asciiTheme="minorEastAsia" w:hAnsiTheme="minorEastAsia" w:eastAsiaTheme="minorEastAsia" w:cstheme="minorEastAsia"/>
          <w:sz w:val="24"/>
          <w:szCs w:val="24"/>
        </w:rPr>
        <w:t>技术规范需求</w:t>
      </w:r>
      <w:bookmarkEnd w:id="19"/>
    </w:p>
    <w:p w14:paraId="2B1F3B78">
      <w:pPr>
        <w:pageBreakBefore w:val="0"/>
        <w:kinsoku/>
        <w:wordWrap w:val="0"/>
        <w:overflowPunct/>
        <w:topLinePunct w:val="0"/>
        <w:autoSpaceDE/>
        <w:autoSpaceDN/>
        <w:bidi w:val="0"/>
        <w:snapToGrid/>
        <w:spacing w:line="360" w:lineRule="auto"/>
        <w:ind w:firstLine="480" w:firstLineChars="200"/>
        <w:rPr>
          <w:rFonts w:hint="eastAsia" w:asciiTheme="minorEastAsia" w:hAnsiTheme="minorEastAsia" w:eastAsiaTheme="minorEastAsia" w:cstheme="minorEastAsia"/>
          <w:color w:val="FF0000"/>
          <w:sz w:val="24"/>
          <w:szCs w:val="24"/>
          <w:lang w:eastAsia="zh-CN"/>
        </w:rPr>
      </w:pPr>
      <w:bookmarkStart w:id="20" w:name="_Toc115445217"/>
      <w:r>
        <w:rPr>
          <w:rFonts w:hint="eastAsia" w:asciiTheme="minorEastAsia" w:hAnsiTheme="minorEastAsia" w:eastAsiaTheme="minorEastAsia" w:cstheme="minorEastAsia"/>
          <w:color w:val="FF0000"/>
          <w:sz w:val="24"/>
          <w:szCs w:val="24"/>
          <w:lang w:eastAsia="zh-CN"/>
        </w:rPr>
        <w:t>（</w:t>
      </w:r>
      <w:r>
        <w:rPr>
          <w:rFonts w:hint="eastAsia" w:asciiTheme="minorEastAsia" w:hAnsiTheme="minorEastAsia" w:eastAsiaTheme="minorEastAsia" w:cstheme="minorEastAsia"/>
          <w:color w:val="FF0000"/>
          <w:sz w:val="24"/>
          <w:szCs w:val="24"/>
          <w:lang w:val="en-US" w:eastAsia="zh-CN"/>
        </w:rPr>
        <w:t>面向社会征集</w:t>
      </w:r>
      <w:r>
        <w:rPr>
          <w:rFonts w:hint="eastAsia" w:asciiTheme="minorEastAsia" w:hAnsiTheme="minorEastAsia" w:eastAsiaTheme="minorEastAsia" w:cstheme="minorEastAsia"/>
          <w:color w:val="FF0000"/>
          <w:sz w:val="24"/>
          <w:szCs w:val="24"/>
          <w:lang w:eastAsia="zh-CN"/>
        </w:rPr>
        <w:t>）</w:t>
      </w:r>
    </w:p>
    <w:p w14:paraId="0FCBF161">
      <w:pPr>
        <w:pageBreakBefore w:val="0"/>
        <w:kinsoku/>
        <w:wordWrap w:val="0"/>
        <w:overflowPunct/>
        <w:topLinePunct w:val="0"/>
        <w:autoSpaceDE/>
        <w:autoSpaceDN/>
        <w:bidi w:val="0"/>
        <w:snapToGrid/>
        <w:spacing w:line="360" w:lineRule="auto"/>
        <w:ind w:firstLine="480" w:firstLineChars="200"/>
        <w:rPr>
          <w:rFonts w:hint="eastAsia" w:asciiTheme="minorEastAsia" w:hAnsiTheme="minorEastAsia" w:eastAsiaTheme="minorEastAsia" w:cstheme="minorEastAsia"/>
          <w:sz w:val="24"/>
          <w:szCs w:val="24"/>
          <w:lang w:eastAsia="zh-CN"/>
        </w:rPr>
      </w:pPr>
    </w:p>
    <w:p w14:paraId="38DA325D">
      <w:pPr>
        <w:pStyle w:val="3"/>
        <w:pageBreakBefore w:val="0"/>
        <w:numPr>
          <w:ilvl w:val="0"/>
          <w:numId w:val="3"/>
        </w:numPr>
        <w:kinsoku/>
        <w:wordWrap w:val="0"/>
        <w:overflowPunct/>
        <w:topLinePunct w:val="0"/>
        <w:autoSpaceDE/>
        <w:autoSpaceDN/>
        <w:bidi w:val="0"/>
        <w:adjustRightInd w:val="0"/>
        <w:snapToGrid/>
        <w:spacing w:before="0" w:after="0" w:line="360" w:lineRule="auto"/>
        <w:ind w:firstLine="482" w:firstLineChars="200"/>
        <w:rPr>
          <w:rFonts w:hint="eastAsia" w:asciiTheme="minorEastAsia" w:hAnsiTheme="minorEastAsia" w:eastAsiaTheme="minorEastAsia" w:cstheme="minorEastAsia"/>
          <w:b w:val="0"/>
          <w:bCs w:val="0"/>
          <w:color w:val="FF0000"/>
          <w:sz w:val="24"/>
          <w:szCs w:val="24"/>
        </w:rPr>
      </w:pPr>
      <w:r>
        <w:rPr>
          <w:rFonts w:hint="eastAsia" w:asciiTheme="minorEastAsia" w:hAnsiTheme="minorEastAsia" w:eastAsiaTheme="minorEastAsia" w:cstheme="minorEastAsia"/>
          <w:sz w:val="24"/>
          <w:szCs w:val="24"/>
        </w:rPr>
        <w:t>项目运营的基本要求</w:t>
      </w:r>
      <w:bookmarkEnd w:id="20"/>
      <w:r>
        <w:rPr>
          <w:rFonts w:hint="eastAsia" w:asciiTheme="minorEastAsia" w:hAnsiTheme="minorEastAsia" w:eastAsiaTheme="minorEastAsia" w:cstheme="minorEastAsia"/>
          <w:b w:val="0"/>
          <w:bCs w:val="0"/>
          <w:color w:val="FF0000"/>
          <w:sz w:val="24"/>
          <w:szCs w:val="24"/>
          <w:lang w:eastAsia="zh-CN"/>
        </w:rPr>
        <w:t>【</w:t>
      </w:r>
      <w:r>
        <w:rPr>
          <w:rFonts w:hint="eastAsia" w:asciiTheme="minorEastAsia" w:hAnsiTheme="minorEastAsia" w:eastAsiaTheme="minorEastAsia" w:cstheme="minorEastAsia"/>
          <w:b w:val="0"/>
          <w:bCs w:val="0"/>
          <w:color w:val="FF0000"/>
          <w:sz w:val="24"/>
          <w:szCs w:val="24"/>
          <w:lang w:val="en-US" w:eastAsia="zh-CN"/>
        </w:rPr>
        <w:t>仅供参考，允许社会征集时提供优化建议</w:t>
      </w:r>
      <w:r>
        <w:rPr>
          <w:rFonts w:hint="eastAsia" w:asciiTheme="minorEastAsia" w:hAnsiTheme="minorEastAsia" w:eastAsiaTheme="minorEastAsia" w:cstheme="minorEastAsia"/>
          <w:b w:val="0"/>
          <w:bCs w:val="0"/>
          <w:color w:val="FF0000"/>
          <w:sz w:val="24"/>
          <w:szCs w:val="24"/>
          <w:lang w:eastAsia="zh-CN"/>
        </w:rPr>
        <w:t>】</w:t>
      </w:r>
    </w:p>
    <w:p w14:paraId="2FFDB81E">
      <w:pPr>
        <w:pageBreakBefore w:val="0"/>
        <w:widowControl/>
        <w:kinsoku/>
        <w:wordWrap w:val="0"/>
        <w:overflowPunct/>
        <w:topLinePunct w:val="0"/>
        <w:autoSpaceDE/>
        <w:autoSpaceDN/>
        <w:bidi w:val="0"/>
        <w:adjustRightInd w:val="0"/>
        <w:snapToGrid/>
        <w:spacing w:line="360" w:lineRule="auto"/>
        <w:ind w:left="480" w:leftChars="200"/>
        <w:jc w:val="left"/>
        <w:rPr>
          <w:rStyle w:val="25"/>
          <w:rFonts w:hint="eastAsia" w:asciiTheme="minorEastAsia" w:hAnsiTheme="minorEastAsia" w:eastAsiaTheme="minorEastAsia" w:cstheme="minorEastAsia"/>
          <w:color w:val="auto"/>
        </w:rPr>
      </w:pPr>
      <w:r>
        <w:rPr>
          <w:rStyle w:val="25"/>
          <w:rFonts w:hint="eastAsia" w:asciiTheme="minorEastAsia" w:hAnsiTheme="minorEastAsia" w:eastAsiaTheme="minorEastAsia" w:cstheme="minorEastAsia"/>
          <w:color w:val="auto"/>
        </w:rPr>
        <w:t>1.运营服务基本要求</w:t>
      </w:r>
    </w:p>
    <w:p w14:paraId="4C315ABE">
      <w:pPr>
        <w:pageBreakBefore w:val="0"/>
        <w:widowControl/>
        <w:kinsoku/>
        <w:wordWrap w:val="0"/>
        <w:overflowPunct/>
        <w:topLinePunct w:val="0"/>
        <w:autoSpaceDE/>
        <w:autoSpaceDN/>
        <w:bidi w:val="0"/>
        <w:adjustRightInd w:val="0"/>
        <w:snapToGrid/>
        <w:spacing w:line="360" w:lineRule="auto"/>
        <w:ind w:left="480" w:leftChars="200"/>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b/>
          <w:kern w:val="0"/>
          <w:sz w:val="21"/>
          <w:szCs w:val="21"/>
        </w:rPr>
        <w:t>（1）场地及人员要求</w:t>
      </w:r>
    </w:p>
    <w:p w14:paraId="506E75B1">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①在运营合同约定时间内，中标人在项目地设置运营中心。</w:t>
      </w:r>
    </w:p>
    <w:p w14:paraId="42D83D6D">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②投标人应按投标文件中的承诺为项目公司设置与本项目相适应的组织机构，配备相关的技术、财务、管理人员。</w:t>
      </w:r>
    </w:p>
    <w:p w14:paraId="44CF077A">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③中标人须配置足够数量的收费人员、巡查人员、技术人员、客服人员、管理人员及设备设施等，确保能提供专业、完善的停车运营管理服务。</w:t>
      </w:r>
    </w:p>
    <w:p w14:paraId="6868C209">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④待项目运营进入平稳期后，中标人可根据实际情况，在不降低服务质量前提下，调整本项目的人员配置。</w:t>
      </w:r>
    </w:p>
    <w:p w14:paraId="70C49BB2">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⑤中标人必须按管理要求聘请足够工作人员专用于本项目，年龄在18周岁或以上，且不超过国家法定退休年龄，能胜任工作岗位，具有完全民事行为能力的劳动者。</w:t>
      </w:r>
    </w:p>
    <w:p w14:paraId="7398EE09">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⑥为了保障员工人身安全及相关福利保险，中标人必须依法用工，项目公司与运营人员签订劳动合同或与劳务外包公司签订服务合同，按社会劳动保险的有关规定为员工购买养老、工伤、医疗、失业等四种保险，按时发放工资补贴。</w:t>
      </w:r>
    </w:p>
    <w:p w14:paraId="70A97E38">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⑦运营人员必须按规定穿着工作服及反光衣，佩戴相关防护工具。</w:t>
      </w:r>
    </w:p>
    <w:p w14:paraId="452266F0">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⑧中标人主管人员必须定期巡查管理区域，并按维护和保养要求安排好作业人员的工作，主管人员必须保证移动电话24小时畅通。</w:t>
      </w:r>
    </w:p>
    <w:p w14:paraId="30D856F2">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⑨从事运营管理的人员，必须爱国爱党，遵守相关法律法规，经过岗前培训合格后上岗，必须熟知相应收费标准以及各类收费操作流程，必须穿样式经招标人同意的统一制服上岗，佩戴具有唯一编号的工作证，注意个人仪容和礼貌，有良好的职业道德和服务态度，语言、动作规范，文明值勤。</w:t>
      </w:r>
    </w:p>
    <w:p w14:paraId="72301C4C">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⑩从事维护保养的人员，应持有所从事维护保养项目相关的操作证书，并在招标人登记备案。</w:t>
      </w:r>
    </w:p>
    <w:p w14:paraId="5D26F249">
      <w:pPr>
        <w:pageBreakBefore w:val="0"/>
        <w:widowControl/>
        <w:kinsoku/>
        <w:wordWrap w:val="0"/>
        <w:overflowPunct/>
        <w:topLinePunct w:val="0"/>
        <w:autoSpaceDE/>
        <w:autoSpaceDN/>
        <w:bidi w:val="0"/>
        <w:adjustRightInd w:val="0"/>
        <w:snapToGrid/>
        <w:spacing w:line="360" w:lineRule="auto"/>
        <w:ind w:left="480" w:leftChars="200"/>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b/>
          <w:kern w:val="0"/>
          <w:sz w:val="21"/>
          <w:szCs w:val="21"/>
        </w:rPr>
        <w:t>（2）工作配合要求</w:t>
      </w:r>
    </w:p>
    <w:p w14:paraId="1668CCE0">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①中标人必须遵守招标人各项管理规定，接受和服从招标人管理人员的管理及考评，及时根据招标人提出的整改意见进行整改。</w:t>
      </w:r>
    </w:p>
    <w:p w14:paraId="1932D6D4">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②中标人须积极配合招标人做好国家、省、市、区及相关职能部门组织的考评、检查及验收等活动的迎检工作。</w:t>
      </w:r>
    </w:p>
    <w:p w14:paraId="02593829">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③中标人须按招标人要求及时提交作业计划、应急预案等资料，确保所提供的资料真实合理。</w:t>
      </w:r>
    </w:p>
    <w:p w14:paraId="56588AC0">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④中标人须无条件配合政府及有关部门举办的与本项目相关的一切活动及协助处理应急事件。</w:t>
      </w:r>
    </w:p>
    <w:p w14:paraId="4B1C2530">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⑤中标人须配合和协助招标人进行本项目以外的其他设备的接入工作。</w:t>
      </w:r>
    </w:p>
    <w:p w14:paraId="6688A918">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⑥中标人须建立各项经营管理制度，运营服务运行情况须透明公开，能随时接受政府相关职能部门以及群众监督。</w:t>
      </w:r>
    </w:p>
    <w:p w14:paraId="19332C92">
      <w:pPr>
        <w:pageBreakBefore w:val="0"/>
        <w:widowControl/>
        <w:kinsoku/>
        <w:wordWrap w:val="0"/>
        <w:overflowPunct/>
        <w:topLinePunct w:val="0"/>
        <w:autoSpaceDE/>
        <w:autoSpaceDN/>
        <w:bidi w:val="0"/>
        <w:adjustRightInd w:val="0"/>
        <w:snapToGrid/>
        <w:spacing w:line="360" w:lineRule="auto"/>
        <w:ind w:left="480" w:leftChars="200"/>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b/>
          <w:kern w:val="0"/>
          <w:sz w:val="21"/>
          <w:szCs w:val="21"/>
        </w:rPr>
        <w:t>（3）投诉处理要求</w:t>
      </w:r>
    </w:p>
    <w:p w14:paraId="39AE9454">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①中标人必须按招标要求做好日常管理工作，减少群众通过来信、来电、来访等方式的投诉。</w:t>
      </w:r>
    </w:p>
    <w:p w14:paraId="1E7E6505">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②中标人直接或间接收到群众通过来信、来电、来访等方式的投诉，必须及时妥善处理整改，避免反复投诉。</w:t>
      </w:r>
    </w:p>
    <w:p w14:paraId="058BE116">
      <w:pPr>
        <w:pageBreakBefore w:val="0"/>
        <w:widowControl/>
        <w:kinsoku/>
        <w:wordWrap w:val="0"/>
        <w:overflowPunct/>
        <w:topLinePunct w:val="0"/>
        <w:autoSpaceDE/>
        <w:autoSpaceDN/>
        <w:bidi w:val="0"/>
        <w:adjustRightInd w:val="0"/>
        <w:snapToGrid/>
        <w:spacing w:line="360" w:lineRule="auto"/>
        <w:ind w:left="480" w:leftChars="200"/>
        <w:jc w:val="left"/>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b/>
          <w:kern w:val="0"/>
          <w:sz w:val="21"/>
          <w:szCs w:val="21"/>
        </w:rPr>
        <w:t>2.运营服务规范要求</w:t>
      </w:r>
    </w:p>
    <w:p w14:paraId="39C3680E">
      <w:pPr>
        <w:pageBreakBefore w:val="0"/>
        <w:widowControl/>
        <w:kinsoku/>
        <w:wordWrap w:val="0"/>
        <w:overflowPunct/>
        <w:topLinePunct w:val="0"/>
        <w:autoSpaceDE/>
        <w:autoSpaceDN/>
        <w:bidi w:val="0"/>
        <w:adjustRightInd w:val="0"/>
        <w:snapToGrid/>
        <w:spacing w:line="360" w:lineRule="auto"/>
        <w:ind w:left="480" w:leftChars="200"/>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b/>
          <w:kern w:val="0"/>
          <w:sz w:val="21"/>
          <w:szCs w:val="21"/>
        </w:rPr>
        <w:t>（1）收费服务管理内容及要求</w:t>
      </w:r>
    </w:p>
    <w:p w14:paraId="09279F61">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①中标人须通过技术应用，24小时实时监测停车位的使用情况。</w:t>
      </w:r>
    </w:p>
    <w:p w14:paraId="68101D0C">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②中标人须建立收费巡查机制，合理安排巡查人员对路内停车位进行巡查，由巡查人员及时进行停车取证、收费释疑、故障发现等行为。招标人有权要求中标人调整巡查人员数量、班次等收费巡查机制相关内容。</w:t>
      </w:r>
    </w:p>
    <w:p w14:paraId="7DBFBE56">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③制定路内停车位收费应急机制。当路内停车位设备发生故障时，在未完成修复前，故障停车位应暂停实施收费，若出现大面积故障或系统瘫痪时，除暂停涉及故障停车位的收费外，中标人还应立即通知招标人，由招标人判断事件对社会的影响程度，可要求中标人于简报、报纸、电视、微博、微信等主流媒体渠道发布相应情况。</w:t>
      </w:r>
    </w:p>
    <w:p w14:paraId="174A49B9">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④中标人在实施停车收费时，不得采取锁车、扣车等侵权措施。</w:t>
      </w:r>
    </w:p>
    <w:p w14:paraId="1C5D41E6">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⑥本项目的支付方式以微信公众号、小程序等手机支付方式为主，现金支付为辅的方式；中标人必须通过各种方式推广电子支付，减少使用现金支付。随着技术的发展以及支付方式的变化，经招标人审批同意，可扩展使用其他支付方式。</w:t>
      </w:r>
    </w:p>
    <w:p w14:paraId="475AA9B6">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⑦中标人负责停车用户的服务工作，除设立客服中心外，还需提供电话、邮件、即时通讯工具、网站等渠道服务用户。</w:t>
      </w:r>
    </w:p>
    <w:p w14:paraId="0DC870FB">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⑨中标人须按照经招标人验收合格的停车位数量进行收费管理，未经招标人同意不得擅自增减停车位数量。如因管理需要，招标人有权要求中标人新增或减少停车位，经双方确认后对本项目总体运营管理数量进行调整。</w:t>
      </w:r>
    </w:p>
    <w:p w14:paraId="1F7500AD">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⑩中标人必须执行当地政府制定的路内停车收费标准，不得私自更改停车收费标准。</w:t>
      </w:r>
    </w:p>
    <w:p w14:paraId="3FC24187">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⑪中标人须遵守当地停车有关法律、法规和规章的规定，按停车位的规划布局情况设立标志及收费公示牌（公布经物价部门批准后的收费标准及监督投诉电话）。</w:t>
      </w:r>
    </w:p>
    <w:p w14:paraId="51A77A99">
      <w:pPr>
        <w:pageBreakBefore w:val="0"/>
        <w:widowControl/>
        <w:kinsoku/>
        <w:wordWrap w:val="0"/>
        <w:overflowPunct/>
        <w:topLinePunct w:val="0"/>
        <w:autoSpaceDE/>
        <w:autoSpaceDN/>
        <w:bidi w:val="0"/>
        <w:adjustRightInd w:val="0"/>
        <w:snapToGrid/>
        <w:spacing w:line="360" w:lineRule="auto"/>
        <w:ind w:left="480" w:leftChars="200"/>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b/>
          <w:kern w:val="0"/>
          <w:sz w:val="21"/>
          <w:szCs w:val="21"/>
        </w:rPr>
        <w:t>（2）系统管理要求</w:t>
      </w:r>
    </w:p>
    <w:p w14:paraId="207C50DE">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①通过招标人验收合格的路内停车收费系统方可投入运营。</w:t>
      </w:r>
    </w:p>
    <w:p w14:paraId="1D183C59">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②中标人须按本项目招标文件中的要求及中标人投标文件中的承诺制定相关系统功能，招标人有权对系统界面、排版、功能组成等内容提出修改意见，相关系统须经招标人验收合格后方可投入运营。根据运营的需要，经招标人同意，可在此基础上进行功能的优化或延伸。招标人有权根据政策要求或日常管理需要，要求中标人优化或调整部分功能，中标人须无条件积极配合。</w:t>
      </w:r>
    </w:p>
    <w:p w14:paraId="3D279EC7">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③中标人须采取相应措施，保障平台和终端的数据安全，重点保护终端敏感数据的安全，使收费相关数据、系统注册用户的个人信息等敏感数据始终处于保密状态。</w:t>
      </w:r>
    </w:p>
    <w:p w14:paraId="07895658">
      <w:pPr>
        <w:pageBreakBefore w:val="0"/>
        <w:widowControl/>
        <w:kinsoku/>
        <w:wordWrap w:val="0"/>
        <w:overflowPunct/>
        <w:topLinePunct w:val="0"/>
        <w:autoSpaceDE/>
        <w:autoSpaceDN/>
        <w:bidi w:val="0"/>
        <w:adjustRightInd w:val="0"/>
        <w:snapToGrid/>
        <w:spacing w:line="360" w:lineRule="auto"/>
        <w:ind w:left="480" w:leftChars="200"/>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b/>
          <w:kern w:val="0"/>
          <w:sz w:val="21"/>
          <w:szCs w:val="21"/>
        </w:rPr>
        <w:t>（3）维护与保养要求</w:t>
      </w:r>
    </w:p>
    <w:p w14:paraId="0AE7C11B">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①中标人须维持停车位内机动车停放和行驶秩序，禁止超高、超长、超重等可能造成公共设施损坏的车辆停放。</w:t>
      </w:r>
    </w:p>
    <w:p w14:paraId="0AE887BD">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②中标人须负责所有智慧停车设施及系统的维护工作，以及车位地面、标线、编号、收费公示牌等附属设施的维护、保养工作，保证整个系统的正常运行。</w:t>
      </w:r>
    </w:p>
    <w:p w14:paraId="696AE0B2">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③中标人须负责后台系统、手持智能终端系统、公众号、小程序等项目相关软件的维护工作。</w:t>
      </w:r>
    </w:p>
    <w:p w14:paraId="349B1541">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④硬件</w:t>
      </w:r>
      <w:r>
        <w:rPr>
          <w:rFonts w:hint="eastAsia" w:asciiTheme="minorEastAsia" w:hAnsiTheme="minorEastAsia" w:eastAsiaTheme="minorEastAsia" w:cstheme="minorEastAsia"/>
          <w:kern w:val="0"/>
          <w:sz w:val="21"/>
          <w:szCs w:val="21"/>
          <w:lang w:val="en-US" w:eastAsia="zh-CN"/>
        </w:rPr>
        <w:t>出现损坏需要维修时，与硬件提供方进行对接，由硬件提供方进行维修</w:t>
      </w:r>
      <w:r>
        <w:rPr>
          <w:rFonts w:hint="eastAsia" w:asciiTheme="minorEastAsia" w:hAnsiTheme="minorEastAsia" w:eastAsiaTheme="minorEastAsia" w:cstheme="minorEastAsia"/>
          <w:kern w:val="0"/>
          <w:sz w:val="21"/>
          <w:szCs w:val="21"/>
        </w:rPr>
        <w:t>。</w:t>
      </w:r>
    </w:p>
    <w:p w14:paraId="5A197220">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⑤每半年对相关软件进行至少一次更新升级，保证相关软件可适配各种主流操作系统，使相关软件在确保安全性的前提下处于不断优化提升的状态。</w:t>
      </w:r>
    </w:p>
    <w:p w14:paraId="186B8643">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⑥为保障路内停车系统的正常运作，车位检测器或电池式视频设备的剩余电量不得低于10%，中标人须及时更换剩余电量不足的设备。</w:t>
      </w:r>
    </w:p>
    <w:p w14:paraId="4DF68702">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⑦当诱导屏、车位检测器、视频设备、手持 PDA 等硬件设备出现故障或损坏时，中标人须立即安排维护人员赶到现场处理。维护人员到达现场后，要迅速查明原因，尽快完成故障的修复，不能修复的，马上更换新部件，故障处理时限为</w:t>
      </w:r>
      <w:r>
        <w:rPr>
          <w:rFonts w:hint="eastAsia" w:asciiTheme="minorEastAsia" w:hAnsiTheme="minorEastAsia" w:eastAsiaTheme="minorEastAsia" w:cstheme="minorEastAsia"/>
          <w:color w:val="auto"/>
          <w:kern w:val="0"/>
          <w:sz w:val="21"/>
          <w:szCs w:val="21"/>
          <w:lang w:val="en-US" w:eastAsia="zh-CN"/>
        </w:rPr>
        <w:t>8</w:t>
      </w:r>
      <w:r>
        <w:rPr>
          <w:rFonts w:hint="eastAsia" w:asciiTheme="minorEastAsia" w:hAnsiTheme="minorEastAsia" w:eastAsiaTheme="minorEastAsia" w:cstheme="minorEastAsia"/>
          <w:color w:val="auto"/>
          <w:kern w:val="0"/>
          <w:sz w:val="21"/>
          <w:szCs w:val="21"/>
        </w:rPr>
        <w:t>小时。</w:t>
      </w:r>
    </w:p>
    <w:p w14:paraId="135B2F0D">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⑧当路内停车收费系统、APP等项目相关软件出现故障或瘫痪时，中标人须于48小时内完成修复，使系统能重新正常运作。如遇特殊情况的，一时不能排除的故障应及时采取应急措施，24小时内向招标人提出书面解决方案，经招标人同意后，可于招标人同意的时限内完成修复。</w:t>
      </w:r>
    </w:p>
    <w:p w14:paraId="2C372E63">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⑨中标人应提供维护主管人员的姓名及联系电话、投诉电话给招标人以便联系监督，维护人员进行维修、保养等工作时必须佩戴工作证，并遵守各项规章制度。</w:t>
      </w:r>
    </w:p>
    <w:p w14:paraId="644AF71C">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⑩建立系统维护档案，其内容包括所有硬件配置及变动记录，以保证不同的维护人员均对该系统有清晰全面的了解。</w:t>
      </w:r>
    </w:p>
    <w:p w14:paraId="6D06B72C">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⑪中标人须建立设施故障报告和故障消除登记制度，发现设备故障或非正常状态，及时组织检测和修复。每次完成维护保养或故障维修后，双方相关负责人员必须在相应的表格中签字确认。</w:t>
      </w:r>
    </w:p>
    <w:p w14:paraId="4D66A90A">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⑫当现场不能维修时，中标人负责将损坏设备送修及送回，维修材料费、运费及交通费由中标人自行承担。对于送去维修的损坏产品，中标人必须提供故障期间的替换合适产品，以保证整个停车收费系统的正常工作。</w:t>
      </w:r>
    </w:p>
    <w:p w14:paraId="4ECA693B">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⑬在使用过程中，因严重损坏无法修复需更换部件的，由中标人负责，由于停产或升级等原因，市场上无法购买相同部件时，中标人应向招标人提出，经同意后，采用材质、参数均不低于原部件进行替换。</w:t>
      </w:r>
    </w:p>
    <w:p w14:paraId="6F21585A">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⑭在使用或保养维护过程中出现的设施故障，所出现的任何费用及由此造成的所有损失，中标人须无条件负责承担。</w:t>
      </w:r>
    </w:p>
    <w:p w14:paraId="3649497F">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color w:val="FF0000"/>
          <w:kern w:val="0"/>
          <w:sz w:val="21"/>
          <w:szCs w:val="21"/>
          <w:lang w:val="en-US" w:eastAsia="zh-CN"/>
        </w:rPr>
      </w:pPr>
      <w:r>
        <w:rPr>
          <w:rFonts w:hint="eastAsia" w:asciiTheme="minorEastAsia" w:hAnsiTheme="minorEastAsia" w:eastAsiaTheme="minorEastAsia" w:cstheme="minorEastAsia"/>
          <w:kern w:val="0"/>
          <w:sz w:val="21"/>
          <w:szCs w:val="21"/>
        </w:rPr>
        <w:t>⑮制定路内停车位收费应急机制。当路内停车位设备出现大面积故障或系统瘫痪时，中标人应立即通知招标人。由招标人判断事件对社会的影响程度，可要求中标人于简报、报纸、电视、微博、微信等主流媒体渠道发布相应情况</w:t>
      </w:r>
      <w:r>
        <w:rPr>
          <w:rFonts w:hint="eastAsia" w:asciiTheme="minorEastAsia" w:hAnsiTheme="minorEastAsia" w:eastAsiaTheme="minorEastAsia" w:cstheme="minorEastAsia"/>
          <w:kern w:val="0"/>
          <w:sz w:val="21"/>
          <w:szCs w:val="21"/>
          <w:lang w:eastAsia="zh-CN"/>
        </w:rPr>
        <w:t>。</w:t>
      </w:r>
    </w:p>
    <w:p w14:paraId="40EFA2E3">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⑯每季度完结后一个月内，中标人应按招标人要求向招标人提供一份《维护服务工作总结》和《设备状态表》，列明系统所处的状态，并确保系统处于正常工作状态（除经双方共同认可的特殊情况）。</w:t>
      </w:r>
    </w:p>
    <w:p w14:paraId="22F0E2A0">
      <w:pPr>
        <w:pageBreakBefore w:val="0"/>
        <w:widowControl/>
        <w:kinsoku/>
        <w:wordWrap w:val="0"/>
        <w:overflowPunct/>
        <w:topLinePunct w:val="0"/>
        <w:autoSpaceDE/>
        <w:autoSpaceDN/>
        <w:bidi w:val="0"/>
        <w:adjustRightInd w:val="0"/>
        <w:snapToGrid/>
        <w:spacing w:line="360" w:lineRule="auto"/>
        <w:ind w:left="480" w:leftChars="200"/>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b/>
          <w:kern w:val="0"/>
          <w:sz w:val="21"/>
          <w:szCs w:val="21"/>
        </w:rPr>
        <w:t>（4）安全管理要求</w:t>
      </w:r>
    </w:p>
    <w:p w14:paraId="7F05E511">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①中标人须按照《企业安全生产费用提取和使用管理办法》规定的标准提取安全费用，专门用于完善和改进企业或者项目安全生产条件。</w:t>
      </w:r>
    </w:p>
    <w:p w14:paraId="3B2B91A3">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②中标人须为本项目投保对应责任保险、财产险等相应险种。</w:t>
      </w:r>
    </w:p>
    <w:p w14:paraId="7A2F2F6D">
      <w:pPr>
        <w:pageBreakBefore w:val="0"/>
        <w:widowControl/>
        <w:kinsoku/>
        <w:wordWrap w:val="0"/>
        <w:overflowPunct/>
        <w:topLinePunct w:val="0"/>
        <w:autoSpaceDE/>
        <w:autoSpaceDN/>
        <w:bidi w:val="0"/>
        <w:adjustRightInd w:val="0"/>
        <w:snapToGrid/>
        <w:spacing w:line="360" w:lineRule="auto"/>
        <w:ind w:firstLine="420" w:firstLineChars="20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③中标人须严格按照安全生产有关管理条例，建立本项目相关安全生产管理制度，明晰中标人的安全责任，以及生产安全事故的各类应急预案。若发生重大伤亡及其他安全事故，中标人应按有关规定立即上报有关部门并通知招标人，同时按政府有关部门要求处理，由事故责任方承担发生的费用。</w:t>
      </w:r>
    </w:p>
    <w:p w14:paraId="211A1073">
      <w:pPr>
        <w:pStyle w:val="3"/>
        <w:pageBreakBefore w:val="0"/>
        <w:numPr>
          <w:ilvl w:val="0"/>
          <w:numId w:val="3"/>
        </w:numPr>
        <w:kinsoku/>
        <w:wordWrap w:val="0"/>
        <w:overflowPunct/>
        <w:topLinePunct w:val="0"/>
        <w:autoSpaceDE/>
        <w:autoSpaceDN/>
        <w:bidi w:val="0"/>
        <w:adjustRightInd w:val="0"/>
        <w:snapToGrid/>
        <w:spacing w:before="0" w:after="0"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项目运营监管要求</w:t>
      </w:r>
    </w:p>
    <w:p w14:paraId="457C7022">
      <w:pPr>
        <w:pageBreakBefore w:val="0"/>
        <w:numPr>
          <w:ilvl w:val="0"/>
          <w:numId w:val="4"/>
        </w:numPr>
        <w:kinsoku/>
        <w:wordWrap w:val="0"/>
        <w:overflowPunct/>
        <w:topLinePunct w:val="0"/>
        <w:autoSpaceDE/>
        <w:autoSpaceDN/>
        <w:bidi w:val="0"/>
        <w:snapToGrid/>
        <w:spacing w:line="360" w:lineRule="auto"/>
        <w:ind w:firstLine="422"/>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技术环节的监管</w:t>
      </w:r>
    </w:p>
    <w:p w14:paraId="15CB2B89">
      <w:pPr>
        <w:pageBreakBefore w:val="0"/>
        <w:kinsoku/>
        <w:wordWrap w:val="0"/>
        <w:overflowPunct/>
        <w:topLinePunct w:val="0"/>
        <w:autoSpaceDE/>
        <w:autoSpaceDN/>
        <w:bidi w:val="0"/>
        <w:adjustRightInd w:val="0"/>
        <w:snapToGrid/>
        <w:spacing w:line="360" w:lineRule="auto"/>
        <w:ind w:firstLine="420" w:firstLineChars="200"/>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Cs/>
          <w:color w:val="FF0000"/>
          <w:sz w:val="21"/>
          <w:szCs w:val="21"/>
          <w:lang w:eastAsia="zh-CN"/>
        </w:rPr>
        <w:t>【</w:t>
      </w:r>
      <w:r>
        <w:rPr>
          <w:rFonts w:hint="eastAsia" w:asciiTheme="minorEastAsia" w:hAnsiTheme="minorEastAsia" w:eastAsiaTheme="minorEastAsia" w:cstheme="minorEastAsia"/>
          <w:bCs/>
          <w:color w:val="FF0000"/>
          <w:sz w:val="21"/>
          <w:szCs w:val="21"/>
          <w:lang w:val="en-US" w:eastAsia="zh-CN"/>
        </w:rPr>
        <w:t>面向社会征集</w:t>
      </w:r>
      <w:r>
        <w:rPr>
          <w:rFonts w:hint="eastAsia" w:asciiTheme="minorEastAsia" w:hAnsiTheme="minorEastAsia" w:eastAsiaTheme="minorEastAsia" w:cstheme="minorEastAsia"/>
          <w:bCs/>
          <w:color w:val="FF0000"/>
          <w:sz w:val="21"/>
          <w:szCs w:val="21"/>
          <w:lang w:eastAsia="zh-CN"/>
        </w:rPr>
        <w:t>】</w:t>
      </w:r>
      <w:r>
        <w:rPr>
          <w:rFonts w:hint="eastAsia" w:asciiTheme="minorEastAsia" w:hAnsiTheme="minorEastAsia" w:eastAsiaTheme="minorEastAsia" w:cstheme="minorEastAsia"/>
          <w:bCs/>
          <w:color w:val="auto"/>
          <w:sz w:val="21"/>
          <w:szCs w:val="21"/>
          <w:u w:val="single"/>
          <w:lang w:val="en-US" w:eastAsia="zh-CN"/>
        </w:rPr>
        <w:t xml:space="preserve">                                                                                                                                                                                                                                                                                            </w:t>
      </w:r>
    </w:p>
    <w:p w14:paraId="6C2B22F1">
      <w:pPr>
        <w:pageBreakBefore w:val="0"/>
        <w:numPr>
          <w:ilvl w:val="0"/>
          <w:numId w:val="0"/>
        </w:numPr>
        <w:kinsoku/>
        <w:wordWrap w:val="0"/>
        <w:overflowPunct/>
        <w:topLinePunct w:val="0"/>
        <w:autoSpaceDE/>
        <w:autoSpaceDN/>
        <w:bidi w:val="0"/>
        <w:snapToGrid/>
        <w:spacing w:line="360" w:lineRule="auto"/>
        <w:rPr>
          <w:rFonts w:hint="eastAsia" w:asciiTheme="minorEastAsia" w:hAnsiTheme="minorEastAsia" w:eastAsiaTheme="minorEastAsia" w:cstheme="minorEastAsia"/>
          <w:b/>
          <w:bCs/>
          <w:kern w:val="0"/>
          <w:sz w:val="21"/>
          <w:szCs w:val="21"/>
        </w:rPr>
      </w:pPr>
    </w:p>
    <w:p w14:paraId="140A57DC">
      <w:pPr>
        <w:pageBreakBefore w:val="0"/>
        <w:numPr>
          <w:ilvl w:val="0"/>
          <w:numId w:val="4"/>
        </w:numPr>
        <w:kinsoku/>
        <w:wordWrap w:val="0"/>
        <w:overflowPunct/>
        <w:topLinePunct w:val="0"/>
        <w:autoSpaceDE/>
        <w:autoSpaceDN/>
        <w:bidi w:val="0"/>
        <w:snapToGrid/>
        <w:spacing w:line="360" w:lineRule="auto"/>
        <w:ind w:firstLine="422"/>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运营环节的监管</w:t>
      </w:r>
    </w:p>
    <w:p w14:paraId="1085A54F">
      <w:pPr>
        <w:pageBreakBefore w:val="0"/>
        <w:kinsoku/>
        <w:wordWrap w:val="0"/>
        <w:overflowPunct/>
        <w:topLinePunct w:val="0"/>
        <w:autoSpaceDE/>
        <w:autoSpaceDN/>
        <w:bidi w:val="0"/>
        <w:snapToGrid/>
        <w:spacing w:line="360" w:lineRule="auto"/>
        <w:ind w:firstLine="420" w:firstLineChars="20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Cs/>
          <w:color w:val="FF0000"/>
          <w:sz w:val="21"/>
          <w:szCs w:val="21"/>
          <w:lang w:eastAsia="zh-CN"/>
        </w:rPr>
        <w:t>【</w:t>
      </w:r>
      <w:r>
        <w:rPr>
          <w:rFonts w:hint="eastAsia" w:asciiTheme="minorEastAsia" w:hAnsiTheme="minorEastAsia" w:eastAsiaTheme="minorEastAsia" w:cstheme="minorEastAsia"/>
          <w:bCs/>
          <w:color w:val="FF0000"/>
          <w:sz w:val="21"/>
          <w:szCs w:val="21"/>
          <w:lang w:val="en-US" w:eastAsia="zh-CN"/>
        </w:rPr>
        <w:t>面向社会征集</w:t>
      </w:r>
      <w:r>
        <w:rPr>
          <w:rFonts w:hint="eastAsia" w:asciiTheme="minorEastAsia" w:hAnsiTheme="minorEastAsia" w:eastAsiaTheme="minorEastAsia" w:cstheme="minorEastAsia"/>
          <w:bCs/>
          <w:color w:val="FF0000"/>
          <w:sz w:val="21"/>
          <w:szCs w:val="21"/>
          <w:lang w:eastAsia="zh-CN"/>
        </w:rPr>
        <w:t>】</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0"/>
        <w:gridCol w:w="8902"/>
      </w:tblGrid>
      <w:tr w14:paraId="326F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532" w:type="pct"/>
            <w:shd w:val="clear" w:color="auto" w:fill="D7D7D7" w:themeFill="background1" w:themeFillShade="D8"/>
            <w:noWrap w:val="0"/>
            <w:vAlign w:val="center"/>
          </w:tcPr>
          <w:p w14:paraId="494E7494">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类型</w:t>
            </w:r>
          </w:p>
        </w:tc>
        <w:tc>
          <w:tcPr>
            <w:tcW w:w="4467" w:type="pct"/>
            <w:shd w:val="clear" w:color="auto" w:fill="D7D7D7" w:themeFill="background1" w:themeFillShade="D8"/>
            <w:noWrap w:val="0"/>
            <w:vAlign w:val="center"/>
          </w:tcPr>
          <w:p w14:paraId="4A25B084">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考核标准</w:t>
            </w:r>
          </w:p>
        </w:tc>
      </w:tr>
      <w:tr w14:paraId="27DC7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2" w:type="pct"/>
            <w:noWrap w:val="0"/>
            <w:vAlign w:val="center"/>
          </w:tcPr>
          <w:p w14:paraId="0A55E7D3">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人员要求（共</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rPr>
              <w:t>分）</w:t>
            </w:r>
          </w:p>
        </w:tc>
        <w:tc>
          <w:tcPr>
            <w:tcW w:w="4467" w:type="pct"/>
            <w:noWrap w:val="0"/>
            <w:vAlign w:val="center"/>
          </w:tcPr>
          <w:p w14:paraId="642FB817">
            <w:pPr>
              <w:pageBreakBefore w:val="0"/>
              <w:kinsoku/>
              <w:wordWrap w:val="0"/>
              <w:overflowPunct/>
              <w:topLinePunct w:val="0"/>
              <w:autoSpaceDE/>
              <w:autoSpaceDN/>
              <w:bidi w:val="0"/>
              <w:snapToGrid/>
              <w:spacing w:line="360" w:lineRule="auto"/>
              <w:rPr>
                <w:rFonts w:hint="eastAsia" w:asciiTheme="minorEastAsia" w:hAnsiTheme="minorEastAsia" w:eastAsiaTheme="minorEastAsia" w:cstheme="minorEastAsia"/>
                <w:sz w:val="21"/>
                <w:szCs w:val="21"/>
              </w:rPr>
            </w:pPr>
          </w:p>
        </w:tc>
      </w:tr>
      <w:tr w14:paraId="0AFCD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2" w:type="pct"/>
            <w:noWrap w:val="0"/>
            <w:vAlign w:val="center"/>
          </w:tcPr>
          <w:p w14:paraId="25FBF283">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基础服务质量（共</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rPr>
              <w:t>分）</w:t>
            </w:r>
          </w:p>
        </w:tc>
        <w:tc>
          <w:tcPr>
            <w:tcW w:w="4467" w:type="pct"/>
            <w:noWrap w:val="0"/>
            <w:vAlign w:val="center"/>
          </w:tcPr>
          <w:p w14:paraId="0787F466">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1"/>
                <w:szCs w:val="21"/>
              </w:rPr>
            </w:pPr>
          </w:p>
        </w:tc>
      </w:tr>
      <w:tr w14:paraId="0378D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2" w:type="pct"/>
            <w:noWrap w:val="0"/>
            <w:vAlign w:val="center"/>
          </w:tcPr>
          <w:p w14:paraId="61B31403">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运营服务规范条款（共</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rPr>
              <w:t>分）</w:t>
            </w:r>
          </w:p>
        </w:tc>
        <w:tc>
          <w:tcPr>
            <w:tcW w:w="4467" w:type="pct"/>
            <w:noWrap w:val="0"/>
            <w:vAlign w:val="center"/>
          </w:tcPr>
          <w:p w14:paraId="06F4C58A">
            <w:pPr>
              <w:pageBreakBefore w:val="0"/>
              <w:kinsoku/>
              <w:wordWrap w:val="0"/>
              <w:overflowPunct/>
              <w:topLinePunct w:val="0"/>
              <w:autoSpaceDE/>
              <w:autoSpaceDN/>
              <w:bidi w:val="0"/>
              <w:snapToGrid/>
              <w:spacing w:line="360" w:lineRule="auto"/>
              <w:rPr>
                <w:rFonts w:hint="eastAsia" w:asciiTheme="minorEastAsia" w:hAnsiTheme="minorEastAsia" w:eastAsiaTheme="minorEastAsia" w:cstheme="minorEastAsia"/>
                <w:sz w:val="21"/>
                <w:szCs w:val="21"/>
              </w:rPr>
            </w:pPr>
          </w:p>
        </w:tc>
      </w:tr>
      <w:tr w14:paraId="276B5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2" w:type="pct"/>
            <w:noWrap w:val="0"/>
            <w:vAlign w:val="center"/>
          </w:tcPr>
          <w:p w14:paraId="36B7AD6F">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突发事件管理（共</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rPr>
              <w:t>分）</w:t>
            </w:r>
          </w:p>
        </w:tc>
        <w:tc>
          <w:tcPr>
            <w:tcW w:w="4467" w:type="pct"/>
            <w:noWrap w:val="0"/>
            <w:vAlign w:val="center"/>
          </w:tcPr>
          <w:p w14:paraId="15873E35">
            <w:pPr>
              <w:pageBreakBefore w:val="0"/>
              <w:kinsoku/>
              <w:wordWrap w:val="0"/>
              <w:overflowPunct/>
              <w:topLinePunct w:val="0"/>
              <w:autoSpaceDE/>
              <w:autoSpaceDN/>
              <w:bidi w:val="0"/>
              <w:snapToGrid/>
              <w:spacing w:line="360" w:lineRule="auto"/>
              <w:rPr>
                <w:rFonts w:hint="eastAsia" w:asciiTheme="minorEastAsia" w:hAnsiTheme="minorEastAsia" w:eastAsiaTheme="minorEastAsia" w:cstheme="minorEastAsia"/>
                <w:sz w:val="21"/>
                <w:szCs w:val="21"/>
              </w:rPr>
            </w:pPr>
          </w:p>
        </w:tc>
      </w:tr>
      <w:tr w14:paraId="38CF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32" w:type="pct"/>
            <w:noWrap w:val="0"/>
            <w:vAlign w:val="center"/>
          </w:tcPr>
          <w:p w14:paraId="3E08B6A7">
            <w:pPr>
              <w:pageBreakBefore w:val="0"/>
              <w:kinsoku/>
              <w:wordWrap w:val="0"/>
              <w:overflowPunct/>
              <w:topLinePunct w:val="0"/>
              <w:autoSpaceDE/>
              <w:autoSpaceDN/>
              <w:bidi w:val="0"/>
              <w:snapToGrid/>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其他（共</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rPr>
              <w:t>分）</w:t>
            </w:r>
          </w:p>
        </w:tc>
        <w:tc>
          <w:tcPr>
            <w:tcW w:w="4467" w:type="pct"/>
            <w:noWrap w:val="0"/>
            <w:vAlign w:val="center"/>
          </w:tcPr>
          <w:p w14:paraId="6DC39C68">
            <w:pPr>
              <w:pageBreakBefore w:val="0"/>
              <w:kinsoku/>
              <w:wordWrap w:val="0"/>
              <w:overflowPunct/>
              <w:topLinePunct w:val="0"/>
              <w:autoSpaceDE/>
              <w:autoSpaceDN/>
              <w:bidi w:val="0"/>
              <w:snapToGrid/>
              <w:spacing w:line="360" w:lineRule="auto"/>
              <w:rPr>
                <w:rFonts w:hint="eastAsia" w:asciiTheme="minorEastAsia" w:hAnsiTheme="minorEastAsia" w:eastAsiaTheme="minorEastAsia" w:cstheme="minorEastAsia"/>
                <w:sz w:val="21"/>
                <w:szCs w:val="21"/>
              </w:rPr>
            </w:pPr>
          </w:p>
        </w:tc>
      </w:tr>
      <w:tr w14:paraId="72DF0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2"/>
            <w:noWrap w:val="0"/>
            <w:vAlign w:val="center"/>
          </w:tcPr>
          <w:p w14:paraId="7F70EFA8">
            <w:pPr>
              <w:pageBreakBefore w:val="0"/>
              <w:kinsoku/>
              <w:wordWrap w:val="0"/>
              <w:overflowPunct/>
              <w:topLinePunct w:val="0"/>
              <w:autoSpaceDE/>
              <w:autoSpaceDN/>
              <w:bidi w:val="0"/>
              <w:snapToGrid/>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日常考核得分：考核日期：</w:t>
            </w:r>
          </w:p>
        </w:tc>
      </w:tr>
    </w:tbl>
    <w:p w14:paraId="689B93D4">
      <w:pPr>
        <w:keepNext w:val="0"/>
        <w:keepLines w:val="0"/>
        <w:pageBreakBefore w:val="0"/>
        <w:kinsoku/>
        <w:wordWrap w:val="0"/>
        <w:overflowPunct/>
        <w:topLinePunct w:val="0"/>
        <w:autoSpaceDE/>
        <w:autoSpaceDN/>
        <w:bidi w:val="0"/>
        <w:snapToGrid/>
        <w:spacing w:line="360" w:lineRule="auto"/>
        <w:ind w:left="0" w:leftChars="0"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以上考核分数总分为100，根据每月的实际运营情况，作以下评价方法：</w:t>
      </w:r>
    </w:p>
    <w:p w14:paraId="4168BCD8">
      <w:pPr>
        <w:pageBreakBefore w:val="0"/>
        <w:kinsoku/>
        <w:wordWrap w:val="0"/>
        <w:overflowPunct/>
        <w:topLinePunct w:val="0"/>
        <w:autoSpaceDE/>
        <w:autoSpaceDN/>
        <w:bidi w:val="0"/>
        <w:adjustRightInd w:val="0"/>
        <w:snapToGrid/>
        <w:spacing w:line="360" w:lineRule="auto"/>
        <w:ind w:firstLine="420" w:firstLineChars="200"/>
        <w:textAlignment w:val="auto"/>
        <w:rPr>
          <w:rFonts w:hint="eastAsia" w:asciiTheme="minorEastAsia" w:hAnsiTheme="minorEastAsia" w:eastAsiaTheme="minorEastAsia" w:cstheme="minorEastAsia"/>
          <w:bCs/>
          <w:color w:val="auto"/>
          <w:sz w:val="21"/>
          <w:szCs w:val="21"/>
          <w:u w:val="single"/>
          <w:lang w:val="en-US" w:eastAsia="zh-CN"/>
        </w:rPr>
      </w:pPr>
      <w:r>
        <w:rPr>
          <w:rFonts w:hint="eastAsia" w:asciiTheme="minorEastAsia" w:hAnsiTheme="minorEastAsia" w:eastAsiaTheme="minorEastAsia" w:cstheme="minorEastAsia"/>
          <w:bCs/>
          <w:color w:val="FF0000"/>
          <w:sz w:val="21"/>
          <w:szCs w:val="21"/>
          <w:lang w:eastAsia="zh-CN"/>
        </w:rPr>
        <w:t>【</w:t>
      </w:r>
      <w:r>
        <w:rPr>
          <w:rFonts w:hint="eastAsia" w:asciiTheme="minorEastAsia" w:hAnsiTheme="minorEastAsia" w:eastAsiaTheme="minorEastAsia" w:cstheme="minorEastAsia"/>
          <w:bCs/>
          <w:color w:val="FF0000"/>
          <w:sz w:val="21"/>
          <w:szCs w:val="21"/>
          <w:lang w:val="en-US" w:eastAsia="zh-CN"/>
        </w:rPr>
        <w:t>面向社会征集，评价要求与费用支付进行挂钩</w:t>
      </w:r>
      <w:r>
        <w:rPr>
          <w:rFonts w:hint="eastAsia" w:asciiTheme="minorEastAsia" w:hAnsiTheme="minorEastAsia" w:eastAsiaTheme="minorEastAsia" w:cstheme="minorEastAsia"/>
          <w:bCs/>
          <w:color w:val="FF0000"/>
          <w:sz w:val="21"/>
          <w:szCs w:val="21"/>
          <w:lang w:eastAsia="zh-CN"/>
        </w:rPr>
        <w:t>】</w:t>
      </w:r>
      <w:r>
        <w:rPr>
          <w:rFonts w:hint="eastAsia" w:asciiTheme="minorEastAsia" w:hAnsiTheme="minorEastAsia" w:eastAsiaTheme="minorEastAsia" w:cstheme="minorEastAsia"/>
          <w:bCs/>
          <w:color w:val="auto"/>
          <w:sz w:val="21"/>
          <w:szCs w:val="21"/>
          <w:u w:val="single"/>
          <w:lang w:val="en-US" w:eastAsia="zh-CN"/>
        </w:rPr>
        <w:t xml:space="preserve">                                                                                                                                                                                                                                                                                            </w:t>
      </w:r>
    </w:p>
    <w:p w14:paraId="202630BE">
      <w:pPr>
        <w:pageBreakBefore w:val="0"/>
        <w:kinsoku/>
        <w:wordWrap w:val="0"/>
        <w:overflowPunct/>
        <w:topLinePunct w:val="0"/>
        <w:autoSpaceDE/>
        <w:autoSpaceDN/>
        <w:bidi w:val="0"/>
        <w:adjustRightInd w:val="0"/>
        <w:snapToGrid/>
        <w:spacing w:line="360" w:lineRule="auto"/>
        <w:ind w:firstLine="420" w:firstLineChars="200"/>
        <w:textAlignment w:val="auto"/>
        <w:rPr>
          <w:rFonts w:hint="default" w:asciiTheme="minorEastAsia" w:hAnsiTheme="minorEastAsia" w:eastAsiaTheme="minorEastAsia" w:cstheme="minorEastAsia"/>
          <w:bCs/>
          <w:color w:val="auto"/>
          <w:sz w:val="21"/>
          <w:szCs w:val="21"/>
          <w:u w:val="single"/>
          <w:lang w:val="en-US" w:eastAsia="zh-CN"/>
        </w:rPr>
      </w:pPr>
      <w:r>
        <w:rPr>
          <w:rFonts w:hint="eastAsia" w:asciiTheme="minorEastAsia" w:hAnsiTheme="minorEastAsia" w:eastAsiaTheme="minorEastAsia" w:cstheme="minorEastAsia"/>
          <w:bCs/>
          <w:color w:val="auto"/>
          <w:sz w:val="21"/>
          <w:szCs w:val="21"/>
          <w:u w:val="single"/>
          <w:lang w:val="en-US" w:eastAsia="zh-CN"/>
        </w:rPr>
        <w:t xml:space="preserve"> </w:t>
      </w:r>
    </w:p>
    <w:p w14:paraId="1109172A">
      <w:pPr>
        <w:keepNext w:val="0"/>
        <w:keepLines w:val="0"/>
        <w:pageBreakBefore w:val="0"/>
        <w:widowControl/>
        <w:kinsoku/>
        <w:wordWrap w:val="0"/>
        <w:overflowPunct/>
        <w:topLinePunct w:val="0"/>
        <w:autoSpaceDE/>
        <w:autoSpaceDN/>
        <w:bidi w:val="0"/>
        <w:snapToGrid/>
        <w:spacing w:line="360" w:lineRule="auto"/>
        <w:ind w:left="0" w:leftChars="0" w:firstLine="422" w:firstLineChars="200"/>
        <w:jc w:val="left"/>
        <w:textAlignment w:val="auto"/>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3、</w:t>
      </w:r>
      <w:r>
        <w:rPr>
          <w:rFonts w:hint="eastAsia" w:asciiTheme="minorEastAsia" w:hAnsiTheme="minorEastAsia" w:eastAsiaTheme="minorEastAsia" w:cstheme="minorEastAsia"/>
          <w:b/>
          <w:bCs/>
          <w:kern w:val="0"/>
          <w:sz w:val="21"/>
          <w:szCs w:val="21"/>
          <w:lang w:val="en-US" w:eastAsia="zh-CN"/>
        </w:rPr>
        <w:t>中标人</w:t>
      </w:r>
      <w:r>
        <w:rPr>
          <w:rFonts w:hint="eastAsia" w:asciiTheme="minorEastAsia" w:hAnsiTheme="minorEastAsia" w:eastAsiaTheme="minorEastAsia" w:cstheme="minorEastAsia"/>
          <w:b/>
          <w:bCs/>
          <w:kern w:val="0"/>
          <w:sz w:val="21"/>
          <w:szCs w:val="21"/>
        </w:rPr>
        <w:t>违约责任</w:t>
      </w:r>
    </w:p>
    <w:p w14:paraId="6EC3BF1A">
      <w:pPr>
        <w:keepNext w:val="0"/>
        <w:keepLines w:val="0"/>
        <w:pageBreakBefore w:val="0"/>
        <w:widowControl/>
        <w:numPr>
          <w:ilvl w:val="0"/>
          <w:numId w:val="0"/>
        </w:numPr>
        <w:kinsoku/>
        <w:wordWrap w:val="0"/>
        <w:overflowPunct/>
        <w:topLinePunct w:val="0"/>
        <w:autoSpaceDE/>
        <w:autoSpaceDN/>
        <w:bidi w:val="0"/>
        <w:adjustRightInd w:val="0"/>
        <w:snapToGrid/>
        <w:spacing w:line="360" w:lineRule="auto"/>
        <w:ind w:firstLine="420" w:firstLineChars="200"/>
        <w:jc w:val="lef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Cs/>
          <w:color w:val="FF0000"/>
          <w:sz w:val="21"/>
          <w:szCs w:val="21"/>
          <w:lang w:eastAsia="zh-CN"/>
        </w:rPr>
        <w:t>【</w:t>
      </w:r>
      <w:r>
        <w:rPr>
          <w:rFonts w:hint="eastAsia" w:asciiTheme="minorEastAsia" w:hAnsiTheme="minorEastAsia" w:eastAsiaTheme="minorEastAsia" w:cstheme="minorEastAsia"/>
          <w:bCs/>
          <w:color w:val="FF0000"/>
          <w:sz w:val="21"/>
          <w:szCs w:val="21"/>
          <w:lang w:val="en-US" w:eastAsia="zh-CN"/>
        </w:rPr>
        <w:t>面向社会征集</w:t>
      </w:r>
      <w:r>
        <w:rPr>
          <w:rFonts w:hint="eastAsia" w:asciiTheme="minorEastAsia" w:hAnsiTheme="minorEastAsia" w:eastAsiaTheme="minorEastAsia" w:cstheme="minorEastAsia"/>
          <w:bCs/>
          <w:color w:val="FF0000"/>
          <w:sz w:val="21"/>
          <w:szCs w:val="21"/>
          <w:lang w:eastAsia="zh-CN"/>
        </w:rPr>
        <w:t>】</w:t>
      </w:r>
      <w:r>
        <w:rPr>
          <w:rFonts w:hint="eastAsia" w:asciiTheme="minorEastAsia" w:hAnsiTheme="minorEastAsia" w:eastAsiaTheme="minorEastAsia" w:cstheme="minorEastAsia"/>
          <w:bCs/>
          <w:color w:val="auto"/>
          <w:sz w:val="21"/>
          <w:szCs w:val="21"/>
          <w:u w:val="single"/>
          <w:lang w:val="en-US" w:eastAsia="zh-CN"/>
        </w:rPr>
        <w:t xml:space="preserve">                                                                                                                                                                                                                                                                                            </w:t>
      </w:r>
    </w:p>
    <w:p w14:paraId="73CAAA36">
      <w:pPr>
        <w:pStyle w:val="3"/>
        <w:pageBreakBefore w:val="0"/>
        <w:numPr>
          <w:ilvl w:val="0"/>
          <w:numId w:val="3"/>
        </w:numPr>
        <w:kinsoku/>
        <w:wordWrap w:val="0"/>
        <w:overflowPunct/>
        <w:topLinePunct w:val="0"/>
        <w:autoSpaceDE/>
        <w:autoSpaceDN/>
        <w:bidi w:val="0"/>
        <w:adjustRightInd w:val="0"/>
        <w:snapToGrid/>
        <w:spacing w:before="0" w:after="0"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承诺和保障</w:t>
      </w:r>
    </w:p>
    <w:p w14:paraId="2B88EBBE">
      <w:pPr>
        <w:keepNext w:val="0"/>
        <w:keepLines w:val="0"/>
        <w:pageBreakBefore w:val="0"/>
        <w:widowControl/>
        <w:kinsoku/>
        <w:wordWrap w:val="0"/>
        <w:overflowPunct/>
        <w:topLinePunct w:val="0"/>
        <w:autoSpaceDE/>
        <w:autoSpaceDN/>
        <w:bidi w:val="0"/>
        <w:adjustRightInd w:val="0"/>
        <w:snapToGrid/>
        <w:spacing w:line="360" w:lineRule="auto"/>
        <w:ind w:left="0" w:leftChars="0" w:firstLine="422" w:firstLineChars="200"/>
        <w:jc w:val="left"/>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b/>
          <w:kern w:val="0"/>
          <w:sz w:val="21"/>
          <w:szCs w:val="21"/>
        </w:rPr>
        <w:t>（一）出台相关政策</w:t>
      </w:r>
    </w:p>
    <w:p w14:paraId="2595D33E">
      <w:pPr>
        <w:keepNext w:val="0"/>
        <w:keepLines w:val="0"/>
        <w:pageBreakBefore w:val="0"/>
        <w:widowControl/>
        <w:kinsoku/>
        <w:wordWrap w:val="0"/>
        <w:overflowPunct/>
        <w:topLinePunct w:val="0"/>
        <w:autoSpaceDE/>
        <w:autoSpaceDN/>
        <w:bidi w:val="0"/>
        <w:adjustRightInd w:val="0"/>
        <w:snapToGrid/>
        <w:spacing w:line="360" w:lineRule="auto"/>
        <w:ind w:left="0" w:leftChars="0" w:firstLine="420" w:firstLineChars="200"/>
        <w:jc w:val="left"/>
        <w:textAlignment w:val="auto"/>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根据《国务院办公厅转发国家发展改革委等部门关于推动城市停车设施发展意见的通知》（国办函〔2021〕46号）有关精神，建议开平市根据当地的经济、人文等情况</w:t>
      </w:r>
      <w:r>
        <w:rPr>
          <w:rFonts w:hint="eastAsia" w:asciiTheme="minorEastAsia" w:hAnsiTheme="minorEastAsia" w:eastAsiaTheme="minorEastAsia" w:cstheme="minorEastAsia"/>
          <w:b/>
          <w:kern w:val="0"/>
          <w:sz w:val="21"/>
          <w:szCs w:val="21"/>
        </w:rPr>
        <w:t>出台《开平市停车管理办法》</w:t>
      </w:r>
      <w:r>
        <w:rPr>
          <w:rFonts w:hint="eastAsia" w:asciiTheme="minorEastAsia" w:hAnsiTheme="minorEastAsia" w:eastAsiaTheme="minorEastAsia" w:cstheme="minorEastAsia"/>
          <w:bCs/>
          <w:kern w:val="0"/>
          <w:sz w:val="21"/>
          <w:szCs w:val="21"/>
        </w:rPr>
        <w:t>，具体可以有：</w:t>
      </w:r>
    </w:p>
    <w:p w14:paraId="3094B18C">
      <w:pPr>
        <w:keepNext w:val="0"/>
        <w:keepLines w:val="0"/>
        <w:pageBreakBefore w:val="0"/>
        <w:widowControl/>
        <w:kinsoku/>
        <w:wordWrap w:val="0"/>
        <w:overflowPunct/>
        <w:topLinePunct w:val="0"/>
        <w:autoSpaceDE/>
        <w:autoSpaceDN/>
        <w:bidi w:val="0"/>
        <w:adjustRightInd w:val="0"/>
        <w:snapToGrid/>
        <w:spacing w:line="360" w:lineRule="auto"/>
        <w:ind w:left="0" w:leftChars="0" w:firstLine="420" w:firstLineChars="200"/>
        <w:jc w:val="left"/>
        <w:textAlignment w:val="auto"/>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1、支持运营商从法律途径处理停车恶意欠费的行为。</w:t>
      </w:r>
    </w:p>
    <w:p w14:paraId="4CF22E14">
      <w:pPr>
        <w:keepNext w:val="0"/>
        <w:keepLines w:val="0"/>
        <w:pageBreakBefore w:val="0"/>
        <w:widowControl/>
        <w:kinsoku/>
        <w:wordWrap w:val="0"/>
        <w:overflowPunct/>
        <w:topLinePunct w:val="0"/>
        <w:autoSpaceDE/>
        <w:autoSpaceDN/>
        <w:bidi w:val="0"/>
        <w:adjustRightInd w:val="0"/>
        <w:snapToGrid/>
        <w:spacing w:line="360" w:lineRule="auto"/>
        <w:ind w:left="0" w:leftChars="0" w:firstLine="420" w:firstLineChars="200"/>
        <w:jc w:val="left"/>
        <w:textAlignment w:val="auto"/>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2、其他开平镇街争取未来接入同一平台统一管理，达成全城全网，一个停车公众号。</w:t>
      </w:r>
    </w:p>
    <w:p w14:paraId="3126C29D">
      <w:pPr>
        <w:keepNext w:val="0"/>
        <w:keepLines w:val="0"/>
        <w:pageBreakBefore w:val="0"/>
        <w:widowControl/>
        <w:kinsoku/>
        <w:wordWrap w:val="0"/>
        <w:overflowPunct/>
        <w:topLinePunct w:val="0"/>
        <w:autoSpaceDE/>
        <w:autoSpaceDN/>
        <w:bidi w:val="0"/>
        <w:adjustRightInd w:val="0"/>
        <w:snapToGrid/>
        <w:spacing w:line="360" w:lineRule="auto"/>
        <w:ind w:left="0" w:leftChars="0" w:firstLine="420" w:firstLineChars="200"/>
        <w:jc w:val="left"/>
        <w:textAlignment w:val="auto"/>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3、研究从交警渠道向带资建设、运营管理合作方提供车主联系方式，可由运营商主动联系。</w:t>
      </w:r>
    </w:p>
    <w:p w14:paraId="4709DBC1">
      <w:pPr>
        <w:keepNext w:val="0"/>
        <w:keepLines w:val="0"/>
        <w:pageBreakBefore w:val="0"/>
        <w:widowControl/>
        <w:kinsoku/>
        <w:wordWrap w:val="0"/>
        <w:overflowPunct/>
        <w:topLinePunct w:val="0"/>
        <w:autoSpaceDE/>
        <w:autoSpaceDN/>
        <w:bidi w:val="0"/>
        <w:adjustRightInd w:val="0"/>
        <w:snapToGrid/>
        <w:spacing w:line="360" w:lineRule="auto"/>
        <w:ind w:left="0" w:leftChars="0" w:firstLine="422" w:firstLineChars="200"/>
        <w:jc w:val="left"/>
        <w:textAlignment w:val="auto"/>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b/>
          <w:kern w:val="0"/>
          <w:sz w:val="21"/>
          <w:szCs w:val="21"/>
        </w:rPr>
        <w:t>（二）协调多部门协调配合</w:t>
      </w:r>
    </w:p>
    <w:p w14:paraId="06B9FE3E">
      <w:pPr>
        <w:keepNext w:val="0"/>
        <w:keepLines w:val="0"/>
        <w:pageBreakBefore w:val="0"/>
        <w:widowControl/>
        <w:kinsoku/>
        <w:wordWrap w:val="0"/>
        <w:overflowPunct/>
        <w:topLinePunct w:val="0"/>
        <w:autoSpaceDE/>
        <w:autoSpaceDN/>
        <w:bidi w:val="0"/>
        <w:adjustRightInd w:val="0"/>
        <w:snapToGrid/>
        <w:spacing w:line="360" w:lineRule="auto"/>
        <w:ind w:left="0" w:leftChars="0" w:firstLine="420" w:firstLineChars="200"/>
        <w:jc w:val="left"/>
        <w:textAlignment w:val="auto"/>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1、在项目实施过程中，</w:t>
      </w:r>
      <w:r>
        <w:rPr>
          <w:rFonts w:hint="eastAsia"/>
          <w:lang w:val="en-US" w:eastAsia="zh-CN"/>
        </w:rPr>
        <w:t>中标单位负责配合业主单位协调</w:t>
      </w:r>
      <w:r>
        <w:rPr>
          <w:rFonts w:hint="eastAsia" w:asciiTheme="minorEastAsia" w:hAnsiTheme="minorEastAsia" w:eastAsiaTheme="minorEastAsia" w:cstheme="minorEastAsia"/>
          <w:bCs/>
          <w:kern w:val="0"/>
          <w:sz w:val="21"/>
          <w:szCs w:val="21"/>
        </w:rPr>
        <w:t>财政、自然资源、城管、公安交警、政数、国资、属地镇街等协调项目实施；</w:t>
      </w:r>
    </w:p>
    <w:p w14:paraId="2C0EE1B0">
      <w:pPr>
        <w:keepNext w:val="0"/>
        <w:keepLines w:val="0"/>
        <w:pageBreakBefore w:val="0"/>
        <w:widowControl/>
        <w:kinsoku/>
        <w:wordWrap w:val="0"/>
        <w:overflowPunct/>
        <w:topLinePunct w:val="0"/>
        <w:autoSpaceDE/>
        <w:autoSpaceDN/>
        <w:bidi w:val="0"/>
        <w:adjustRightInd w:val="0"/>
        <w:snapToGrid/>
        <w:spacing w:line="360" w:lineRule="auto"/>
        <w:ind w:left="0" w:leftChars="0" w:firstLine="420" w:firstLineChars="200"/>
        <w:jc w:val="left"/>
        <w:textAlignment w:val="auto"/>
        <w:rPr>
          <w:rFonts w:hint="eastAsia" w:asciiTheme="minorEastAsia" w:hAnsiTheme="minorEastAsia" w:eastAsiaTheme="minorEastAsia" w:cstheme="minorEastAsia"/>
          <w:bCs/>
          <w:kern w:val="0"/>
          <w:sz w:val="21"/>
          <w:szCs w:val="21"/>
        </w:rPr>
      </w:pPr>
      <w:r>
        <w:rPr>
          <w:rFonts w:hint="eastAsia" w:asciiTheme="minorEastAsia" w:hAnsiTheme="minorEastAsia" w:eastAsiaTheme="minorEastAsia" w:cstheme="minorEastAsia"/>
          <w:bCs/>
          <w:kern w:val="0"/>
          <w:sz w:val="21"/>
          <w:szCs w:val="21"/>
        </w:rPr>
        <w:t>2、在项目运营过程中，</w:t>
      </w:r>
      <w:r>
        <w:rPr>
          <w:rFonts w:hint="eastAsia"/>
          <w:lang w:val="en-US" w:eastAsia="zh-CN"/>
        </w:rPr>
        <w:t>中标单位负责配合业主单位协调</w:t>
      </w:r>
      <w:r>
        <w:rPr>
          <w:rFonts w:hint="eastAsia" w:asciiTheme="minorEastAsia" w:hAnsiTheme="minorEastAsia" w:eastAsiaTheme="minorEastAsia" w:cstheme="minorEastAsia"/>
          <w:bCs/>
          <w:kern w:val="0"/>
          <w:sz w:val="21"/>
          <w:szCs w:val="21"/>
        </w:rPr>
        <w:t>发改、城管、公安交警、政数、国资、宣传、属地镇街等协调项目的运营管理。</w:t>
      </w:r>
    </w:p>
    <w:p w14:paraId="5128F725">
      <w:pPr>
        <w:pStyle w:val="3"/>
        <w:pageBreakBefore w:val="0"/>
        <w:numPr>
          <w:ilvl w:val="0"/>
          <w:numId w:val="3"/>
        </w:numPr>
        <w:kinsoku/>
        <w:wordWrap w:val="0"/>
        <w:overflowPunct/>
        <w:topLinePunct w:val="0"/>
        <w:autoSpaceDE/>
        <w:autoSpaceDN/>
        <w:bidi w:val="0"/>
        <w:adjustRightInd w:val="0"/>
        <w:snapToGrid/>
        <w:spacing w:before="0" w:after="0"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合作服务期限届满后资产处置方式</w:t>
      </w:r>
      <w:r>
        <w:rPr>
          <w:rFonts w:hint="eastAsia" w:asciiTheme="minorEastAsia" w:hAnsiTheme="minorEastAsia" w:eastAsiaTheme="minorEastAsia" w:cstheme="minorEastAsia"/>
          <w:b w:val="0"/>
          <w:bCs w:val="0"/>
          <w:color w:val="FF0000"/>
          <w:sz w:val="24"/>
          <w:szCs w:val="24"/>
          <w:lang w:eastAsia="zh-CN"/>
        </w:rPr>
        <w:t>【</w:t>
      </w:r>
      <w:r>
        <w:rPr>
          <w:rFonts w:hint="eastAsia" w:asciiTheme="minorEastAsia" w:hAnsiTheme="minorEastAsia" w:eastAsiaTheme="minorEastAsia" w:cstheme="minorEastAsia"/>
          <w:b w:val="0"/>
          <w:bCs w:val="0"/>
          <w:color w:val="FF0000"/>
          <w:sz w:val="24"/>
          <w:szCs w:val="24"/>
          <w:lang w:val="en-US" w:eastAsia="zh-CN"/>
        </w:rPr>
        <w:t>仅供参考，允许社会征集时提供优化建议</w:t>
      </w:r>
      <w:r>
        <w:rPr>
          <w:rFonts w:hint="eastAsia" w:asciiTheme="minorEastAsia" w:hAnsiTheme="minorEastAsia" w:eastAsiaTheme="minorEastAsia" w:cstheme="minorEastAsia"/>
          <w:b w:val="0"/>
          <w:bCs w:val="0"/>
          <w:color w:val="FF0000"/>
          <w:sz w:val="24"/>
          <w:szCs w:val="24"/>
          <w:lang w:eastAsia="zh-CN"/>
        </w:rPr>
        <w:t>】</w:t>
      </w:r>
    </w:p>
    <w:p w14:paraId="1C97E8F5">
      <w:pPr>
        <w:keepNext w:val="0"/>
        <w:keepLines w:val="0"/>
        <w:pageBreakBefore w:val="0"/>
        <w:kinsoku/>
        <w:wordWrap w:val="0"/>
        <w:overflowPunct/>
        <w:topLinePunct w:val="0"/>
        <w:autoSpaceDE/>
        <w:autoSpaceDN/>
        <w:bidi w:val="0"/>
        <w:snapToGrid/>
        <w:spacing w:line="360" w:lineRule="auto"/>
        <w:ind w:left="0" w:leftChars="0"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无论是合作服务期末的移交或者是提前终止导致的移交，</w:t>
      </w:r>
      <w:r>
        <w:rPr>
          <w:rFonts w:hint="eastAsia" w:asciiTheme="minorEastAsia" w:hAnsiTheme="minorEastAsia" w:eastAsiaTheme="minorEastAsia" w:cstheme="minorEastAsia"/>
          <w:bCs/>
          <w:kern w:val="0"/>
          <w:sz w:val="21"/>
          <w:szCs w:val="21"/>
        </w:rPr>
        <w:t>带资建设、运营管理合作方</w:t>
      </w:r>
      <w:r>
        <w:rPr>
          <w:rFonts w:hint="eastAsia" w:asciiTheme="minorEastAsia" w:hAnsiTheme="minorEastAsia" w:eastAsiaTheme="minorEastAsia" w:cstheme="minorEastAsia"/>
          <w:kern w:val="0"/>
          <w:sz w:val="21"/>
          <w:szCs w:val="21"/>
        </w:rPr>
        <w:t>资产都应在规定的时间内按合作服务协议要求无偿移交给实施单位或其指定机构。</w:t>
      </w:r>
    </w:p>
    <w:p w14:paraId="08C51196">
      <w:pPr>
        <w:keepNext w:val="0"/>
        <w:keepLines w:val="0"/>
        <w:pageBreakBefore w:val="0"/>
        <w:kinsoku/>
        <w:wordWrap w:val="0"/>
        <w:overflowPunct/>
        <w:topLinePunct w:val="0"/>
        <w:autoSpaceDE/>
        <w:autoSpaceDN/>
        <w:bidi w:val="0"/>
        <w:snapToGrid/>
        <w:spacing w:line="360" w:lineRule="auto"/>
        <w:ind w:left="0" w:leftChars="0"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1、移交范围：</w:t>
      </w:r>
    </w:p>
    <w:p w14:paraId="373B7544">
      <w:pPr>
        <w:keepNext w:val="0"/>
        <w:keepLines w:val="0"/>
        <w:pageBreakBefore w:val="0"/>
        <w:kinsoku/>
        <w:wordWrap w:val="0"/>
        <w:overflowPunct/>
        <w:topLinePunct w:val="0"/>
        <w:autoSpaceDE/>
        <w:autoSpaceDN/>
        <w:bidi w:val="0"/>
        <w:snapToGrid/>
        <w:spacing w:line="360" w:lineRule="auto"/>
        <w:ind w:left="0" w:leftChars="0"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1）智慧停车的平台等；</w:t>
      </w:r>
    </w:p>
    <w:p w14:paraId="529E9D37">
      <w:pPr>
        <w:keepNext w:val="0"/>
        <w:keepLines w:val="0"/>
        <w:pageBreakBefore w:val="0"/>
        <w:kinsoku/>
        <w:wordWrap w:val="0"/>
        <w:overflowPunct/>
        <w:topLinePunct w:val="0"/>
        <w:autoSpaceDE/>
        <w:autoSpaceDN/>
        <w:bidi w:val="0"/>
        <w:snapToGrid/>
        <w:spacing w:line="360" w:lineRule="auto"/>
        <w:ind w:left="0" w:leftChars="0"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2）运营期内为项目设施的运营而购置和取得的资产、货物、无形资产等财产；</w:t>
      </w:r>
    </w:p>
    <w:p w14:paraId="3FC66EC9">
      <w:pPr>
        <w:keepNext w:val="0"/>
        <w:keepLines w:val="0"/>
        <w:pageBreakBefore w:val="0"/>
        <w:kinsoku/>
        <w:wordWrap w:val="0"/>
        <w:overflowPunct/>
        <w:topLinePunct w:val="0"/>
        <w:autoSpaceDE/>
        <w:autoSpaceDN/>
        <w:bidi w:val="0"/>
        <w:snapToGrid/>
        <w:spacing w:line="360" w:lineRule="auto"/>
        <w:ind w:left="0" w:leftChars="0"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3</w:t>
      </w:r>
      <w:r>
        <w:rPr>
          <w:rFonts w:hint="eastAsia" w:asciiTheme="minorEastAsia" w:hAnsiTheme="minorEastAsia" w:eastAsiaTheme="minorEastAsia" w:cstheme="minorEastAsia"/>
          <w:kern w:val="0"/>
          <w:sz w:val="21"/>
          <w:szCs w:val="21"/>
        </w:rPr>
        <w:t>）运营和维护项目设施所要求的所有知识产权和技术秘密；</w:t>
      </w:r>
    </w:p>
    <w:p w14:paraId="38A6DCFB">
      <w:pPr>
        <w:keepNext w:val="0"/>
        <w:keepLines w:val="0"/>
        <w:pageBreakBefore w:val="0"/>
        <w:kinsoku/>
        <w:wordWrap w:val="0"/>
        <w:overflowPunct/>
        <w:topLinePunct w:val="0"/>
        <w:autoSpaceDE/>
        <w:autoSpaceDN/>
        <w:bidi w:val="0"/>
        <w:snapToGrid/>
        <w:spacing w:line="360" w:lineRule="auto"/>
        <w:ind w:left="0" w:leftChars="0"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4</w:t>
      </w:r>
      <w:r>
        <w:rPr>
          <w:rFonts w:hint="eastAsia" w:asciiTheme="minorEastAsia" w:hAnsiTheme="minorEastAsia" w:eastAsiaTheme="minorEastAsia" w:cstheme="minorEastAsia"/>
          <w:kern w:val="0"/>
          <w:sz w:val="21"/>
          <w:szCs w:val="21"/>
        </w:rPr>
        <w:t>）所有尚未到期的可以转让的保证、保险和其它合同的利益；</w:t>
      </w:r>
    </w:p>
    <w:p w14:paraId="1404AF96">
      <w:pPr>
        <w:keepNext w:val="0"/>
        <w:keepLines w:val="0"/>
        <w:pageBreakBefore w:val="0"/>
        <w:kinsoku/>
        <w:wordWrap w:val="0"/>
        <w:overflowPunct/>
        <w:topLinePunct w:val="0"/>
        <w:autoSpaceDE/>
        <w:autoSpaceDN/>
        <w:bidi w:val="0"/>
        <w:snapToGrid/>
        <w:spacing w:line="360" w:lineRule="auto"/>
        <w:ind w:left="0" w:leftChars="0"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5</w:t>
      </w:r>
      <w:r>
        <w:rPr>
          <w:rFonts w:hint="eastAsia" w:asciiTheme="minorEastAsia" w:hAnsiTheme="minorEastAsia" w:eastAsiaTheme="minorEastAsia" w:cstheme="minorEastAsia"/>
          <w:kern w:val="0"/>
          <w:sz w:val="21"/>
          <w:szCs w:val="21"/>
        </w:rPr>
        <w:t>）实施单位或其指定机构合理要求的其他物品与资料。</w:t>
      </w:r>
    </w:p>
    <w:p w14:paraId="60511B0D">
      <w:pPr>
        <w:keepNext w:val="0"/>
        <w:keepLines w:val="0"/>
        <w:pageBreakBefore w:val="0"/>
        <w:kinsoku/>
        <w:wordWrap w:val="0"/>
        <w:overflowPunct/>
        <w:topLinePunct w:val="0"/>
        <w:autoSpaceDE/>
        <w:autoSpaceDN/>
        <w:bidi w:val="0"/>
        <w:snapToGrid/>
        <w:spacing w:line="360" w:lineRule="auto"/>
        <w:ind w:left="0" w:leftChars="0"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2、运营管理合作方资产实际移交给实施单位或新的合作方前，运营管理合作方应保证正常停车服务的连续性；</w:t>
      </w:r>
    </w:p>
    <w:p w14:paraId="76F01176">
      <w:pPr>
        <w:keepNext w:val="0"/>
        <w:keepLines w:val="0"/>
        <w:pageBreakBefore w:val="0"/>
        <w:kinsoku/>
        <w:wordWrap w:val="0"/>
        <w:overflowPunct/>
        <w:topLinePunct w:val="0"/>
        <w:autoSpaceDE/>
        <w:autoSpaceDN/>
        <w:bidi w:val="0"/>
        <w:snapToGrid/>
        <w:spacing w:line="360" w:lineRule="auto"/>
        <w:ind w:left="0" w:leftChars="0"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3、运营管理合作方应于移交前3个月对智慧停车所有设施按照相关规定进行检测，对存在问题的设备进行修复。</w:t>
      </w:r>
    </w:p>
    <w:p w14:paraId="3BC85001">
      <w:pPr>
        <w:keepNext w:val="0"/>
        <w:keepLines w:val="0"/>
        <w:pageBreakBefore w:val="0"/>
        <w:kinsoku/>
        <w:wordWrap w:val="0"/>
        <w:overflowPunct/>
        <w:topLinePunct w:val="0"/>
        <w:autoSpaceDE/>
        <w:autoSpaceDN/>
        <w:bidi w:val="0"/>
        <w:snapToGrid/>
        <w:spacing w:line="360" w:lineRule="auto"/>
        <w:ind w:left="0" w:leftChars="0"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4、在资产移交前1个月，由实施单位或新的合作方组成资产移交小组，统领资产移交工作；</w:t>
      </w:r>
    </w:p>
    <w:p w14:paraId="4451C374">
      <w:pPr>
        <w:keepNext w:val="0"/>
        <w:keepLines w:val="0"/>
        <w:pageBreakBefore w:val="0"/>
        <w:kinsoku/>
        <w:wordWrap w:val="0"/>
        <w:overflowPunct/>
        <w:topLinePunct w:val="0"/>
        <w:autoSpaceDE/>
        <w:autoSpaceDN/>
        <w:bidi w:val="0"/>
        <w:snapToGrid/>
        <w:spacing w:line="360" w:lineRule="auto"/>
        <w:ind w:left="0" w:leftChars="0"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5运营管理合作方必须向实施单位或新的合作方提供无偿培训，直至熟练掌握并能正常运营为止。</w:t>
      </w:r>
    </w:p>
    <w:p w14:paraId="55C3B7A5">
      <w:pPr>
        <w:pStyle w:val="3"/>
        <w:pageBreakBefore w:val="0"/>
        <w:numPr>
          <w:ilvl w:val="0"/>
          <w:numId w:val="3"/>
        </w:numPr>
        <w:kinsoku/>
        <w:wordWrap w:val="0"/>
        <w:overflowPunct/>
        <w:topLinePunct w:val="0"/>
        <w:autoSpaceDE/>
        <w:autoSpaceDN/>
        <w:bidi w:val="0"/>
        <w:adjustRightInd w:val="0"/>
        <w:snapToGrid/>
        <w:spacing w:before="0" w:after="0"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应当明确的其他事项</w:t>
      </w:r>
    </w:p>
    <w:p w14:paraId="61778F9F">
      <w:pPr>
        <w:keepNext w:val="0"/>
        <w:keepLines w:val="0"/>
        <w:pageBreakBefore w:val="0"/>
        <w:kinsoku/>
        <w:wordWrap w:val="0"/>
        <w:overflowPunct/>
        <w:topLinePunct w:val="0"/>
        <w:autoSpaceDE/>
        <w:autoSpaceDN/>
        <w:bidi w:val="0"/>
        <w:snapToGrid/>
        <w:spacing w:line="360" w:lineRule="auto"/>
        <w:ind w:left="0" w:leftChars="0"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作为市政公用事业行业，停车运营具有一定的垄断性和公益性，因此，作为合作服务的企业，其在提供下列服时必须将公益性放在首位，必须根据地方政府的要求进行下列服务：</w:t>
      </w:r>
    </w:p>
    <w:p w14:paraId="2CC00D88">
      <w:pPr>
        <w:keepNext w:val="0"/>
        <w:keepLines w:val="0"/>
        <w:pageBreakBefore w:val="0"/>
        <w:kinsoku/>
        <w:wordWrap w:val="0"/>
        <w:overflowPunct/>
        <w:topLinePunct w:val="0"/>
        <w:autoSpaceDE/>
        <w:autoSpaceDN/>
        <w:bidi w:val="0"/>
        <w:snapToGrid/>
        <w:spacing w:line="360" w:lineRule="auto"/>
        <w:ind w:left="0" w:leftChars="0"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1、优先为居民用户的提供停车服务，停车服务应以便利性为宗旨；</w:t>
      </w:r>
    </w:p>
    <w:p w14:paraId="78D353C4">
      <w:pPr>
        <w:keepNext w:val="0"/>
        <w:keepLines w:val="0"/>
        <w:pageBreakBefore w:val="0"/>
        <w:kinsoku/>
        <w:wordWrap w:val="0"/>
        <w:overflowPunct/>
        <w:topLinePunct w:val="0"/>
        <w:autoSpaceDE/>
        <w:autoSpaceDN/>
        <w:bidi w:val="0"/>
        <w:snapToGrid/>
        <w:spacing w:line="360" w:lineRule="auto"/>
        <w:ind w:left="0" w:leftChars="0"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2、根据政府规划要求带资建设新的路内停车位、路外公共停车场，甚至是立体车库，彻底解决停车难问题；</w:t>
      </w:r>
    </w:p>
    <w:p w14:paraId="0D86EDAA">
      <w:pPr>
        <w:keepNext w:val="0"/>
        <w:keepLines w:val="0"/>
        <w:pageBreakBefore w:val="0"/>
        <w:kinsoku/>
        <w:wordWrap w:val="0"/>
        <w:overflowPunct/>
        <w:topLinePunct w:val="0"/>
        <w:autoSpaceDE/>
        <w:autoSpaceDN/>
        <w:bidi w:val="0"/>
        <w:snapToGrid/>
        <w:spacing w:line="360" w:lineRule="auto"/>
        <w:ind w:left="0" w:leftChars="0"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3、根据政府要求免征或者对车主作优惠、打折措施，最好可联动周边商家与消费停车挂钩；</w:t>
      </w:r>
    </w:p>
    <w:p w14:paraId="04BA7B1A">
      <w:pPr>
        <w:keepNext w:val="0"/>
        <w:keepLines w:val="0"/>
        <w:pageBreakBefore w:val="0"/>
        <w:kinsoku/>
        <w:wordWrap w:val="0"/>
        <w:overflowPunct/>
        <w:topLinePunct w:val="0"/>
        <w:autoSpaceDE/>
        <w:autoSpaceDN/>
        <w:bidi w:val="0"/>
        <w:snapToGrid/>
        <w:spacing w:line="360" w:lineRule="auto"/>
        <w:ind w:left="0" w:leftChars="0" w:firstLine="420" w:firstLineChars="20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4、政府要求的其它合理公益性服务。</w:t>
      </w:r>
    </w:p>
    <w:p w14:paraId="1EA53589">
      <w:pPr>
        <w:keepNext w:val="0"/>
        <w:keepLines w:val="0"/>
        <w:pageBreakBefore w:val="0"/>
        <w:kinsoku/>
        <w:wordWrap w:val="0"/>
        <w:overflowPunct/>
        <w:topLinePunct w:val="0"/>
        <w:autoSpaceDE/>
        <w:autoSpaceDN/>
        <w:bidi w:val="0"/>
        <w:snapToGrid/>
        <w:spacing w:line="360" w:lineRule="auto"/>
        <w:ind w:left="0" w:leftChars="0" w:firstLine="420" w:firstLineChars="200"/>
        <w:textAlignment w:val="auto"/>
        <w:rPr>
          <w:rFonts w:hint="eastAsia" w:asciiTheme="minorEastAsia" w:hAnsiTheme="minorEastAsia" w:eastAsiaTheme="minorEastAsia" w:cstheme="minorEastAsia"/>
          <w:b/>
          <w:kern w:val="0"/>
          <w:sz w:val="18"/>
          <w:szCs w:val="18"/>
        </w:rPr>
      </w:pPr>
      <w:r>
        <w:rPr>
          <w:rFonts w:hint="eastAsia" w:asciiTheme="minorEastAsia" w:hAnsiTheme="minorEastAsia" w:eastAsiaTheme="minorEastAsia" w:cstheme="minorEastAsia"/>
          <w:kern w:val="0"/>
          <w:sz w:val="21"/>
          <w:szCs w:val="21"/>
        </w:rPr>
        <w:t>5、政府有权要求带资建设、运营管理合作方根据道路使用需求，更换不同类型的智慧停车前端设备实施。</w:t>
      </w:r>
    </w:p>
    <w:p w14:paraId="018275C5">
      <w:pPr>
        <w:pStyle w:val="3"/>
        <w:pageBreakBefore w:val="0"/>
        <w:numPr>
          <w:ilvl w:val="0"/>
          <w:numId w:val="3"/>
        </w:numPr>
        <w:kinsoku/>
        <w:wordWrap w:val="0"/>
        <w:overflowPunct/>
        <w:topLinePunct w:val="0"/>
        <w:autoSpaceDE/>
        <w:autoSpaceDN/>
        <w:bidi w:val="0"/>
        <w:adjustRightInd w:val="0"/>
        <w:snapToGrid/>
        <w:spacing w:before="0" w:after="0"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履约保证金</w:t>
      </w:r>
      <w:r>
        <w:rPr>
          <w:rFonts w:hint="eastAsia" w:asciiTheme="minorEastAsia" w:hAnsiTheme="minorEastAsia" w:eastAsiaTheme="minorEastAsia" w:cstheme="minorEastAsia"/>
          <w:b w:val="0"/>
          <w:bCs w:val="0"/>
          <w:color w:val="FF0000"/>
          <w:sz w:val="24"/>
          <w:szCs w:val="24"/>
          <w:lang w:eastAsia="zh-CN"/>
        </w:rPr>
        <w:t>【</w:t>
      </w:r>
      <w:r>
        <w:rPr>
          <w:rFonts w:hint="eastAsia" w:asciiTheme="minorEastAsia" w:hAnsiTheme="minorEastAsia" w:eastAsiaTheme="minorEastAsia" w:cstheme="minorEastAsia"/>
          <w:b w:val="0"/>
          <w:bCs w:val="0"/>
          <w:color w:val="FF0000"/>
          <w:sz w:val="24"/>
          <w:szCs w:val="24"/>
          <w:lang w:val="en-US" w:eastAsia="zh-CN"/>
        </w:rPr>
        <w:t>仅供参考，允许社会征集时提供优化建议</w:t>
      </w:r>
      <w:r>
        <w:rPr>
          <w:rFonts w:hint="eastAsia" w:asciiTheme="minorEastAsia" w:hAnsiTheme="minorEastAsia" w:eastAsiaTheme="minorEastAsia" w:cstheme="minorEastAsia"/>
          <w:b w:val="0"/>
          <w:bCs w:val="0"/>
          <w:color w:val="FF0000"/>
          <w:sz w:val="24"/>
          <w:szCs w:val="24"/>
          <w:lang w:eastAsia="zh-CN"/>
        </w:rPr>
        <w:t>】</w:t>
      </w:r>
    </w:p>
    <w:p w14:paraId="2F7B0725">
      <w:pPr>
        <w:keepNext w:val="0"/>
        <w:keepLines w:val="0"/>
        <w:pageBreakBefore w:val="0"/>
        <w:kinsoku/>
        <w:wordWrap w:val="0"/>
        <w:overflowPunct/>
        <w:topLinePunct w:val="0"/>
        <w:autoSpaceDE/>
        <w:autoSpaceDN/>
        <w:bidi w:val="0"/>
        <w:snapToGrid/>
        <w:spacing w:line="360" w:lineRule="auto"/>
        <w:ind w:left="0" w:leftChars="0" w:firstLine="422" w:firstLineChars="200"/>
        <w:textAlignment w:val="auto"/>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投标人取得中标资格后，需在签订合同后10个工作日内，向招标人缴纳</w:t>
      </w:r>
      <w:r>
        <w:rPr>
          <w:rFonts w:hint="eastAsia" w:asciiTheme="minorEastAsia" w:hAnsiTheme="minorEastAsia" w:eastAsiaTheme="minorEastAsia" w:cstheme="minorEastAsia"/>
          <w:b/>
          <w:bCs/>
          <w:color w:val="000000"/>
          <w:kern w:val="0"/>
          <w:sz w:val="21"/>
          <w:szCs w:val="21"/>
          <w:u w:val="single"/>
          <w:lang w:val="en-US" w:eastAsia="zh-CN"/>
        </w:rPr>
        <w:t xml:space="preserve">   </w:t>
      </w:r>
      <w:r>
        <w:rPr>
          <w:rFonts w:hint="eastAsia" w:asciiTheme="minorEastAsia" w:hAnsiTheme="minorEastAsia" w:eastAsiaTheme="minorEastAsia" w:cstheme="minorEastAsia"/>
          <w:b/>
          <w:bCs/>
          <w:color w:val="000000"/>
          <w:kern w:val="0"/>
          <w:sz w:val="21"/>
          <w:szCs w:val="21"/>
        </w:rPr>
        <w:t>万元人民币，缴纳形式包含但不限于形式有履约担保金、履约银行保函。</w:t>
      </w:r>
      <w:r>
        <w:rPr>
          <w:rFonts w:hint="eastAsia" w:asciiTheme="minorEastAsia" w:hAnsiTheme="minorEastAsia" w:eastAsiaTheme="minorEastAsia" w:cstheme="minorEastAsia"/>
          <w:b/>
          <w:bCs/>
          <w:color w:val="000000"/>
          <w:kern w:val="0"/>
          <w:sz w:val="21"/>
          <w:szCs w:val="21"/>
          <w:lang w:val="en-US" w:eastAsia="zh-CN"/>
        </w:rPr>
        <w:t>履约完成中标人无违约行为的</w:t>
      </w:r>
      <w:r>
        <w:rPr>
          <w:rFonts w:hint="eastAsia" w:asciiTheme="minorEastAsia" w:hAnsiTheme="minorEastAsia" w:eastAsiaTheme="minorEastAsia" w:cstheme="minorEastAsia"/>
          <w:b/>
          <w:bCs/>
          <w:color w:val="000000"/>
          <w:kern w:val="0"/>
          <w:sz w:val="21"/>
          <w:szCs w:val="21"/>
        </w:rPr>
        <w:t>，招标人无息退还剩余履约保证金。</w:t>
      </w:r>
    </w:p>
    <w:p w14:paraId="7E2A551F">
      <w:pPr>
        <w:keepNext w:val="0"/>
        <w:keepLines w:val="0"/>
        <w:pageBreakBefore w:val="0"/>
        <w:kinsoku/>
        <w:wordWrap w:val="0"/>
        <w:overflowPunct/>
        <w:topLinePunct w:val="0"/>
        <w:autoSpaceDE/>
        <w:autoSpaceDN/>
        <w:bidi w:val="0"/>
        <w:snapToGrid/>
        <w:spacing w:line="360" w:lineRule="auto"/>
        <w:ind w:left="0" w:leftChars="0" w:firstLine="422" w:firstLineChars="200"/>
        <w:textAlignment w:val="auto"/>
        <w:rPr>
          <w:rFonts w:hint="eastAsia" w:asciiTheme="minorEastAsia" w:hAnsiTheme="minorEastAsia" w:eastAsiaTheme="minorEastAsia" w:cstheme="minorEastAsia"/>
          <w:b/>
          <w:bCs/>
          <w:color w:val="000000"/>
          <w:kern w:val="0"/>
          <w:sz w:val="21"/>
          <w:szCs w:val="21"/>
        </w:rPr>
      </w:pPr>
    </w:p>
    <w:p w14:paraId="0EBBA70F">
      <w:pPr>
        <w:keepNext w:val="0"/>
        <w:keepLines w:val="0"/>
        <w:pageBreakBefore w:val="0"/>
        <w:kinsoku/>
        <w:wordWrap w:val="0"/>
        <w:overflowPunct/>
        <w:topLinePunct w:val="0"/>
        <w:autoSpaceDE/>
        <w:autoSpaceDN/>
        <w:bidi w:val="0"/>
        <w:snapToGrid/>
        <w:spacing w:line="360" w:lineRule="auto"/>
        <w:ind w:left="0" w:leftChars="0" w:firstLine="422" w:firstLineChars="200"/>
        <w:textAlignment w:val="auto"/>
        <w:rPr>
          <w:rFonts w:hint="eastAsia" w:asciiTheme="minorEastAsia" w:hAnsiTheme="minorEastAsia" w:eastAsiaTheme="minorEastAsia" w:cstheme="minorEastAsia"/>
          <w:b/>
          <w:bCs/>
          <w:color w:val="000000"/>
          <w:kern w:val="0"/>
          <w:sz w:val="21"/>
          <w:szCs w:val="21"/>
        </w:rPr>
      </w:pPr>
    </w:p>
    <w:p w14:paraId="2A3410F7">
      <w:pPr>
        <w:keepNext w:val="0"/>
        <w:keepLines w:val="0"/>
        <w:pageBreakBefore w:val="0"/>
        <w:kinsoku/>
        <w:wordWrap w:val="0"/>
        <w:overflowPunct/>
        <w:topLinePunct w:val="0"/>
        <w:autoSpaceDE/>
        <w:autoSpaceDN/>
        <w:bidi w:val="0"/>
        <w:snapToGrid/>
        <w:spacing w:line="360" w:lineRule="auto"/>
        <w:ind w:left="0" w:leftChars="0" w:firstLine="422" w:firstLineChars="200"/>
        <w:textAlignment w:val="auto"/>
        <w:rPr>
          <w:rFonts w:hint="eastAsia" w:asciiTheme="minorEastAsia" w:hAnsiTheme="minorEastAsia" w:eastAsiaTheme="minorEastAsia" w:cstheme="minorEastAsia"/>
          <w:b/>
          <w:bCs/>
          <w:color w:val="FF0000"/>
          <w:kern w:val="0"/>
          <w:sz w:val="21"/>
          <w:szCs w:val="21"/>
          <w:lang w:val="en-US" w:eastAsia="zh-CN"/>
        </w:rPr>
      </w:pPr>
      <w:r>
        <w:rPr>
          <w:rFonts w:hint="eastAsia" w:asciiTheme="minorEastAsia" w:hAnsiTheme="minorEastAsia" w:eastAsiaTheme="minorEastAsia" w:cstheme="minorEastAsia"/>
          <w:b/>
          <w:bCs/>
          <w:color w:val="FF0000"/>
          <w:kern w:val="0"/>
          <w:sz w:val="21"/>
          <w:szCs w:val="21"/>
          <w:lang w:val="en-US" w:eastAsia="zh-CN"/>
        </w:rPr>
        <w:t>注：</w:t>
      </w:r>
    </w:p>
    <w:p w14:paraId="160B6384">
      <w:pPr>
        <w:keepNext w:val="0"/>
        <w:keepLines w:val="0"/>
        <w:pageBreakBefore w:val="0"/>
        <w:kinsoku/>
        <w:wordWrap w:val="0"/>
        <w:overflowPunct/>
        <w:topLinePunct w:val="0"/>
        <w:autoSpaceDE/>
        <w:autoSpaceDN/>
        <w:bidi w:val="0"/>
        <w:snapToGrid/>
        <w:spacing w:line="360" w:lineRule="auto"/>
        <w:ind w:left="0" w:leftChars="0" w:firstLine="422" w:firstLineChars="200"/>
        <w:textAlignment w:val="auto"/>
        <w:rPr>
          <w:rFonts w:hint="eastAsia" w:asciiTheme="minorEastAsia" w:hAnsiTheme="minorEastAsia" w:eastAsiaTheme="minorEastAsia" w:cstheme="minorEastAsia"/>
          <w:b/>
          <w:bCs/>
          <w:color w:val="FF0000"/>
          <w:kern w:val="0"/>
          <w:sz w:val="21"/>
          <w:szCs w:val="21"/>
          <w:lang w:val="en-US" w:eastAsia="zh-CN"/>
        </w:rPr>
      </w:pPr>
      <w:r>
        <w:rPr>
          <w:rFonts w:hint="eastAsia" w:asciiTheme="minorEastAsia" w:hAnsiTheme="minorEastAsia" w:eastAsiaTheme="minorEastAsia" w:cstheme="minorEastAsia"/>
          <w:b/>
          <w:bCs/>
          <w:color w:val="FF0000"/>
          <w:kern w:val="0"/>
          <w:sz w:val="21"/>
          <w:szCs w:val="21"/>
          <w:lang w:val="en-US" w:eastAsia="zh-CN"/>
        </w:rPr>
        <w:t>1.递交材料应当写明单位名称、联系人及联系电话并加盖单位公章。</w:t>
      </w:r>
    </w:p>
    <w:p w14:paraId="6ACE1DAB">
      <w:pPr>
        <w:keepNext w:val="0"/>
        <w:keepLines w:val="0"/>
        <w:pageBreakBefore w:val="0"/>
        <w:kinsoku/>
        <w:wordWrap w:val="0"/>
        <w:overflowPunct/>
        <w:topLinePunct w:val="0"/>
        <w:autoSpaceDE/>
        <w:autoSpaceDN/>
        <w:bidi w:val="0"/>
        <w:snapToGrid/>
        <w:spacing w:line="360" w:lineRule="auto"/>
        <w:ind w:left="0" w:leftChars="0" w:firstLine="422" w:firstLineChars="200"/>
        <w:textAlignment w:val="auto"/>
        <w:rPr>
          <w:rFonts w:hint="eastAsia" w:asciiTheme="minorEastAsia" w:hAnsiTheme="minorEastAsia" w:eastAsiaTheme="minorEastAsia" w:cstheme="minorEastAsia"/>
          <w:b/>
          <w:bCs/>
          <w:color w:val="FF0000"/>
          <w:kern w:val="0"/>
          <w:sz w:val="21"/>
          <w:szCs w:val="21"/>
          <w:lang w:val="en-US" w:eastAsia="zh-CN"/>
        </w:rPr>
      </w:pPr>
      <w:r>
        <w:rPr>
          <w:rFonts w:hint="eastAsia" w:asciiTheme="minorEastAsia" w:hAnsiTheme="minorEastAsia" w:eastAsiaTheme="minorEastAsia" w:cstheme="minorEastAsia"/>
          <w:b/>
          <w:bCs/>
          <w:color w:val="FF0000"/>
          <w:kern w:val="0"/>
          <w:sz w:val="21"/>
          <w:szCs w:val="21"/>
          <w:lang w:val="en-US" w:eastAsia="zh-CN"/>
        </w:rPr>
        <w:t>2.递交单位的资料是否采纳均不影响递交单位参与本项目后续招标活动，对所提出的反馈资料不作书面回复。</w:t>
      </w:r>
    </w:p>
    <w:p w14:paraId="75B401AD">
      <w:pPr>
        <w:keepNext w:val="0"/>
        <w:keepLines w:val="0"/>
        <w:pageBreakBefore w:val="0"/>
        <w:kinsoku/>
        <w:wordWrap w:val="0"/>
        <w:overflowPunct/>
        <w:topLinePunct w:val="0"/>
        <w:autoSpaceDE/>
        <w:autoSpaceDN/>
        <w:bidi w:val="0"/>
        <w:snapToGrid/>
        <w:spacing w:line="360" w:lineRule="auto"/>
        <w:ind w:left="0" w:leftChars="0" w:firstLine="422" w:firstLineChars="200"/>
        <w:textAlignment w:val="auto"/>
        <w:rPr>
          <w:rFonts w:hint="eastAsia" w:asciiTheme="minorEastAsia" w:hAnsiTheme="minorEastAsia" w:eastAsiaTheme="minorEastAsia" w:cstheme="minorEastAsia"/>
          <w:b/>
          <w:bCs/>
          <w:color w:val="FF0000"/>
          <w:kern w:val="0"/>
          <w:sz w:val="21"/>
          <w:szCs w:val="21"/>
          <w:lang w:val="en-US" w:eastAsia="zh-CN"/>
        </w:rPr>
      </w:pPr>
      <w:r>
        <w:rPr>
          <w:rFonts w:hint="eastAsia" w:asciiTheme="minorEastAsia" w:hAnsiTheme="minorEastAsia" w:eastAsiaTheme="minorEastAsia" w:cstheme="minorEastAsia"/>
          <w:b/>
          <w:bCs/>
          <w:color w:val="FF0000"/>
          <w:kern w:val="0"/>
          <w:sz w:val="21"/>
          <w:szCs w:val="21"/>
          <w:lang w:val="en-US" w:eastAsia="zh-CN"/>
        </w:rPr>
        <w:t>3.因项目的复杂性及市场了解的局限性，递交单位所提供的需求调查材料仅作为参考使用，无任何针对性，如有不全之处，敬请理解。招标人后续不会就价格及内容等方面的问题与参与调查的递交单位作实质性谈判，相关招标信息以后期正式发布的招标公告为准。</w:t>
      </w:r>
    </w:p>
    <w:sectPr>
      <w:foot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8C5EA">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971214">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A971214">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4D12C7"/>
    <w:multiLevelType w:val="singleLevel"/>
    <w:tmpl w:val="924D12C7"/>
    <w:lvl w:ilvl="0" w:tentative="0">
      <w:start w:val="1"/>
      <w:numFmt w:val="decimal"/>
      <w:suff w:val="nothing"/>
      <w:lvlText w:val="%1、"/>
      <w:lvlJc w:val="left"/>
    </w:lvl>
  </w:abstractNum>
  <w:abstractNum w:abstractNumId="1">
    <w:nsid w:val="ABE89A98"/>
    <w:multiLevelType w:val="singleLevel"/>
    <w:tmpl w:val="ABE89A98"/>
    <w:lvl w:ilvl="0" w:tentative="0">
      <w:start w:val="6"/>
      <w:numFmt w:val="chineseCounting"/>
      <w:suff w:val="nothing"/>
      <w:lvlText w:val="%1、"/>
      <w:lvlJc w:val="left"/>
      <w:rPr>
        <w:rFonts w:hint="eastAsia"/>
      </w:rPr>
    </w:lvl>
  </w:abstractNum>
  <w:abstractNum w:abstractNumId="2">
    <w:nsid w:val="FBE82365"/>
    <w:multiLevelType w:val="singleLevel"/>
    <w:tmpl w:val="FBE82365"/>
    <w:lvl w:ilvl="0" w:tentative="0">
      <w:start w:val="1"/>
      <w:numFmt w:val="decimal"/>
      <w:suff w:val="nothing"/>
      <w:lvlText w:val="%1、"/>
      <w:lvlJc w:val="left"/>
    </w:lvl>
  </w:abstractNum>
  <w:abstractNum w:abstractNumId="3">
    <w:nsid w:val="376439A9"/>
    <w:multiLevelType w:val="singleLevel"/>
    <w:tmpl w:val="376439A9"/>
    <w:lvl w:ilvl="0" w:tentative="0">
      <w:start w:val="1"/>
      <w:numFmt w:val="chineseCountingThousand"/>
      <w:suff w:val="nothing"/>
      <w:lvlText w:val="%1、"/>
      <w:lvlJc w:val="left"/>
      <w:pPr>
        <w:ind w:left="0" w:firstLine="0"/>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6E4A62"/>
    <w:rsid w:val="00FC3E1B"/>
    <w:rsid w:val="01253372"/>
    <w:rsid w:val="01483505"/>
    <w:rsid w:val="01B42948"/>
    <w:rsid w:val="01C34939"/>
    <w:rsid w:val="01D628BE"/>
    <w:rsid w:val="028B18FB"/>
    <w:rsid w:val="03483348"/>
    <w:rsid w:val="03824AAC"/>
    <w:rsid w:val="03BE7AAE"/>
    <w:rsid w:val="03E312C3"/>
    <w:rsid w:val="03EF7C67"/>
    <w:rsid w:val="0607573C"/>
    <w:rsid w:val="06EC66E0"/>
    <w:rsid w:val="073D6B19"/>
    <w:rsid w:val="07E31891"/>
    <w:rsid w:val="08AE6343"/>
    <w:rsid w:val="09167A44"/>
    <w:rsid w:val="093B131A"/>
    <w:rsid w:val="0A1A6C05"/>
    <w:rsid w:val="0A311A63"/>
    <w:rsid w:val="0A5C592B"/>
    <w:rsid w:val="0B0009AC"/>
    <w:rsid w:val="0B043FF8"/>
    <w:rsid w:val="0C1E558E"/>
    <w:rsid w:val="0C474AE5"/>
    <w:rsid w:val="0CD115DA"/>
    <w:rsid w:val="0D95362E"/>
    <w:rsid w:val="0F533AD3"/>
    <w:rsid w:val="100D7DF3"/>
    <w:rsid w:val="11D16BFE"/>
    <w:rsid w:val="13141499"/>
    <w:rsid w:val="134E6759"/>
    <w:rsid w:val="13D17BE4"/>
    <w:rsid w:val="14425B91"/>
    <w:rsid w:val="146B333A"/>
    <w:rsid w:val="14952165"/>
    <w:rsid w:val="15127C5A"/>
    <w:rsid w:val="158C17BA"/>
    <w:rsid w:val="1595620F"/>
    <w:rsid w:val="15995C85"/>
    <w:rsid w:val="15D60C87"/>
    <w:rsid w:val="16050DD0"/>
    <w:rsid w:val="161D2412"/>
    <w:rsid w:val="168D7598"/>
    <w:rsid w:val="16F47617"/>
    <w:rsid w:val="16F94968"/>
    <w:rsid w:val="16FC733D"/>
    <w:rsid w:val="184371A2"/>
    <w:rsid w:val="18673E19"/>
    <w:rsid w:val="189310B2"/>
    <w:rsid w:val="19467ED2"/>
    <w:rsid w:val="1A0A1408"/>
    <w:rsid w:val="1BA07D6D"/>
    <w:rsid w:val="1BA54DB9"/>
    <w:rsid w:val="1C13190D"/>
    <w:rsid w:val="1CE912A0"/>
    <w:rsid w:val="1CEC2B3E"/>
    <w:rsid w:val="1CEE68B6"/>
    <w:rsid w:val="1D69418F"/>
    <w:rsid w:val="1D721295"/>
    <w:rsid w:val="1DB7314C"/>
    <w:rsid w:val="1DD7559C"/>
    <w:rsid w:val="1F08797F"/>
    <w:rsid w:val="201C7BDE"/>
    <w:rsid w:val="21020B82"/>
    <w:rsid w:val="221061B8"/>
    <w:rsid w:val="221F7512"/>
    <w:rsid w:val="232748D0"/>
    <w:rsid w:val="24F42ED8"/>
    <w:rsid w:val="252F3F10"/>
    <w:rsid w:val="25A246E2"/>
    <w:rsid w:val="267A33B7"/>
    <w:rsid w:val="274C6FFB"/>
    <w:rsid w:val="279C7660"/>
    <w:rsid w:val="28D42E04"/>
    <w:rsid w:val="29C0782D"/>
    <w:rsid w:val="2B563FA5"/>
    <w:rsid w:val="2C0F23A5"/>
    <w:rsid w:val="2C6426F1"/>
    <w:rsid w:val="2CB03B88"/>
    <w:rsid w:val="2D4F3FFF"/>
    <w:rsid w:val="2E907F04"/>
    <w:rsid w:val="2EB609A3"/>
    <w:rsid w:val="2F4F1437"/>
    <w:rsid w:val="2F6824F8"/>
    <w:rsid w:val="2F6F3887"/>
    <w:rsid w:val="2F7C41F6"/>
    <w:rsid w:val="2F875074"/>
    <w:rsid w:val="2FD22830"/>
    <w:rsid w:val="303A20E7"/>
    <w:rsid w:val="30744ECD"/>
    <w:rsid w:val="31BB7257"/>
    <w:rsid w:val="32081D71"/>
    <w:rsid w:val="321B4898"/>
    <w:rsid w:val="32326DEE"/>
    <w:rsid w:val="32943604"/>
    <w:rsid w:val="329A50BF"/>
    <w:rsid w:val="32AC66E3"/>
    <w:rsid w:val="32B36180"/>
    <w:rsid w:val="32CE6048"/>
    <w:rsid w:val="33835B53"/>
    <w:rsid w:val="33F97BC3"/>
    <w:rsid w:val="347D1182"/>
    <w:rsid w:val="35066A3B"/>
    <w:rsid w:val="35AB75E3"/>
    <w:rsid w:val="36637EBD"/>
    <w:rsid w:val="36655F74"/>
    <w:rsid w:val="36DA4371"/>
    <w:rsid w:val="374B6987"/>
    <w:rsid w:val="37CA312A"/>
    <w:rsid w:val="38AA5930"/>
    <w:rsid w:val="39E15381"/>
    <w:rsid w:val="3A0379ED"/>
    <w:rsid w:val="3A535EA3"/>
    <w:rsid w:val="3B7566C9"/>
    <w:rsid w:val="3BF375EE"/>
    <w:rsid w:val="3D74475E"/>
    <w:rsid w:val="3D9D5A63"/>
    <w:rsid w:val="3DDB658B"/>
    <w:rsid w:val="3E595E2E"/>
    <w:rsid w:val="3EA572C5"/>
    <w:rsid w:val="3F281CA4"/>
    <w:rsid w:val="3FF83425"/>
    <w:rsid w:val="40821E9E"/>
    <w:rsid w:val="41120516"/>
    <w:rsid w:val="415B010F"/>
    <w:rsid w:val="41870F04"/>
    <w:rsid w:val="42BA233A"/>
    <w:rsid w:val="433C5D1E"/>
    <w:rsid w:val="43F65ECD"/>
    <w:rsid w:val="44020D16"/>
    <w:rsid w:val="45B93656"/>
    <w:rsid w:val="46026DAB"/>
    <w:rsid w:val="46377A12"/>
    <w:rsid w:val="46DF0E9A"/>
    <w:rsid w:val="47486A40"/>
    <w:rsid w:val="47665118"/>
    <w:rsid w:val="47CD5197"/>
    <w:rsid w:val="47D26C51"/>
    <w:rsid w:val="48B16866"/>
    <w:rsid w:val="48C22822"/>
    <w:rsid w:val="48E21116"/>
    <w:rsid w:val="495711BC"/>
    <w:rsid w:val="4ACA3C0F"/>
    <w:rsid w:val="4B58121B"/>
    <w:rsid w:val="4C2D08FA"/>
    <w:rsid w:val="4C373527"/>
    <w:rsid w:val="4C4F0870"/>
    <w:rsid w:val="4C9444D5"/>
    <w:rsid w:val="4CB37C5D"/>
    <w:rsid w:val="4D64659D"/>
    <w:rsid w:val="4D752558"/>
    <w:rsid w:val="4DC8011F"/>
    <w:rsid w:val="4DF3347D"/>
    <w:rsid w:val="4EE259CC"/>
    <w:rsid w:val="4F275AD4"/>
    <w:rsid w:val="4F7F321A"/>
    <w:rsid w:val="4FAD3AB0"/>
    <w:rsid w:val="507A1C34"/>
    <w:rsid w:val="509947B0"/>
    <w:rsid w:val="50CC248F"/>
    <w:rsid w:val="51493AE0"/>
    <w:rsid w:val="51EC090F"/>
    <w:rsid w:val="51EF0175"/>
    <w:rsid w:val="524D13AE"/>
    <w:rsid w:val="524F15CA"/>
    <w:rsid w:val="52BE04FE"/>
    <w:rsid w:val="540463E4"/>
    <w:rsid w:val="54106B37"/>
    <w:rsid w:val="54C33BA9"/>
    <w:rsid w:val="54D538DD"/>
    <w:rsid w:val="54F46459"/>
    <w:rsid w:val="5523289A"/>
    <w:rsid w:val="55EB785C"/>
    <w:rsid w:val="55EE2EA8"/>
    <w:rsid w:val="56DB3939"/>
    <w:rsid w:val="56F40992"/>
    <w:rsid w:val="57144B90"/>
    <w:rsid w:val="573C7C43"/>
    <w:rsid w:val="57BB500C"/>
    <w:rsid w:val="57D32355"/>
    <w:rsid w:val="581338E2"/>
    <w:rsid w:val="58353010"/>
    <w:rsid w:val="58D81BED"/>
    <w:rsid w:val="58EB1921"/>
    <w:rsid w:val="59044790"/>
    <w:rsid w:val="59967ADE"/>
    <w:rsid w:val="59B461B6"/>
    <w:rsid w:val="5A4867D5"/>
    <w:rsid w:val="5A4C63EF"/>
    <w:rsid w:val="5A7871E4"/>
    <w:rsid w:val="5AAE70AA"/>
    <w:rsid w:val="5BC16969"/>
    <w:rsid w:val="5BE54D4D"/>
    <w:rsid w:val="5C5872CD"/>
    <w:rsid w:val="5CF8460C"/>
    <w:rsid w:val="5D700646"/>
    <w:rsid w:val="5DBE13B2"/>
    <w:rsid w:val="5E856373"/>
    <w:rsid w:val="5F1E5A1B"/>
    <w:rsid w:val="5F3D1786"/>
    <w:rsid w:val="5FF27A39"/>
    <w:rsid w:val="60CA62C0"/>
    <w:rsid w:val="61954B1F"/>
    <w:rsid w:val="619F14FA"/>
    <w:rsid w:val="61B825BC"/>
    <w:rsid w:val="6208652A"/>
    <w:rsid w:val="620B6B90"/>
    <w:rsid w:val="626D784A"/>
    <w:rsid w:val="62A3501A"/>
    <w:rsid w:val="62D60F4C"/>
    <w:rsid w:val="62D81168"/>
    <w:rsid w:val="62F92E8C"/>
    <w:rsid w:val="631D6B7A"/>
    <w:rsid w:val="63402869"/>
    <w:rsid w:val="64462101"/>
    <w:rsid w:val="646802C9"/>
    <w:rsid w:val="646A4041"/>
    <w:rsid w:val="64D23995"/>
    <w:rsid w:val="6580691E"/>
    <w:rsid w:val="65956E9C"/>
    <w:rsid w:val="65B249A6"/>
    <w:rsid w:val="65E41BD1"/>
    <w:rsid w:val="66F81DD8"/>
    <w:rsid w:val="682716D1"/>
    <w:rsid w:val="68541290"/>
    <w:rsid w:val="68570D81"/>
    <w:rsid w:val="68790CF7"/>
    <w:rsid w:val="68DB72BC"/>
    <w:rsid w:val="69715E72"/>
    <w:rsid w:val="6A6B0B13"/>
    <w:rsid w:val="6B4930DE"/>
    <w:rsid w:val="6B8D6867"/>
    <w:rsid w:val="6B94269D"/>
    <w:rsid w:val="6C117498"/>
    <w:rsid w:val="6C97174C"/>
    <w:rsid w:val="6CA05C42"/>
    <w:rsid w:val="6CC4450B"/>
    <w:rsid w:val="6D486EEA"/>
    <w:rsid w:val="6EA77C40"/>
    <w:rsid w:val="6F6873CF"/>
    <w:rsid w:val="6F7755A0"/>
    <w:rsid w:val="6F7C7C3D"/>
    <w:rsid w:val="704C0A9F"/>
    <w:rsid w:val="70B30B1E"/>
    <w:rsid w:val="70C3071D"/>
    <w:rsid w:val="70C90342"/>
    <w:rsid w:val="71566079"/>
    <w:rsid w:val="71663DE2"/>
    <w:rsid w:val="71CF1988"/>
    <w:rsid w:val="726245AA"/>
    <w:rsid w:val="72FC7191"/>
    <w:rsid w:val="73634A7D"/>
    <w:rsid w:val="737547B1"/>
    <w:rsid w:val="73AF43FF"/>
    <w:rsid w:val="73E536E4"/>
    <w:rsid w:val="73F25E01"/>
    <w:rsid w:val="757271FA"/>
    <w:rsid w:val="75B43E71"/>
    <w:rsid w:val="75C335B1"/>
    <w:rsid w:val="75D51537"/>
    <w:rsid w:val="76465F91"/>
    <w:rsid w:val="766A7ED1"/>
    <w:rsid w:val="767B0330"/>
    <w:rsid w:val="76EA2DC0"/>
    <w:rsid w:val="76F844DA"/>
    <w:rsid w:val="770C2D36"/>
    <w:rsid w:val="773E351C"/>
    <w:rsid w:val="78162870"/>
    <w:rsid w:val="783E33C3"/>
    <w:rsid w:val="787212BF"/>
    <w:rsid w:val="788E78D6"/>
    <w:rsid w:val="78A33D86"/>
    <w:rsid w:val="78A71A86"/>
    <w:rsid w:val="793C173E"/>
    <w:rsid w:val="79773031"/>
    <w:rsid w:val="798474FC"/>
    <w:rsid w:val="79F93A46"/>
    <w:rsid w:val="7A7430CC"/>
    <w:rsid w:val="7A8D418E"/>
    <w:rsid w:val="7B4C5DF7"/>
    <w:rsid w:val="7B51340D"/>
    <w:rsid w:val="7B851309"/>
    <w:rsid w:val="7C0575D8"/>
    <w:rsid w:val="7C1D7794"/>
    <w:rsid w:val="7C4A67DB"/>
    <w:rsid w:val="7CAC6807"/>
    <w:rsid w:val="7CF76237"/>
    <w:rsid w:val="7D2863F0"/>
    <w:rsid w:val="7D4A236D"/>
    <w:rsid w:val="7D6F3CF1"/>
    <w:rsid w:val="7DBB54B6"/>
    <w:rsid w:val="7DC675B4"/>
    <w:rsid w:val="7DE247F1"/>
    <w:rsid w:val="7E1626EC"/>
    <w:rsid w:val="7E4234E1"/>
    <w:rsid w:val="7E4C610E"/>
    <w:rsid w:val="7E696CC0"/>
    <w:rsid w:val="7EA36676"/>
    <w:rsid w:val="7EBB39C0"/>
    <w:rsid w:val="7F6D27E0"/>
    <w:rsid w:val="7FC701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ahoma" w:hAnsi="Tahoma" w:eastAsia="宋体" w:cs="Times New Roman"/>
      <w:kern w:val="2"/>
      <w:sz w:val="24"/>
      <w:szCs w:val="24"/>
      <w:lang w:val="en-US" w:eastAsia="zh-CN" w:bidi="ar-SA"/>
    </w:rPr>
  </w:style>
  <w:style w:type="paragraph" w:styleId="2">
    <w:name w:val="heading 1"/>
    <w:basedOn w:val="1"/>
    <w:next w:val="1"/>
    <w:qFormat/>
    <w:uiPriority w:val="0"/>
    <w:pPr>
      <w:keepNext/>
      <w:keepLines/>
      <w:spacing w:before="340" w:after="330" w:line="576" w:lineRule="auto"/>
      <w:outlineLvl w:val="0"/>
    </w:pPr>
    <w:rPr>
      <w:kern w:val="44"/>
      <w:sz w:val="44"/>
      <w:szCs w:val="44"/>
    </w:rPr>
  </w:style>
  <w:style w:type="paragraph" w:styleId="3">
    <w:name w:val="heading 2"/>
    <w:basedOn w:val="1"/>
    <w:next w:val="1"/>
    <w:qFormat/>
    <w:uiPriority w:val="0"/>
    <w:pPr>
      <w:keepNext/>
      <w:keepLines/>
      <w:spacing w:before="260" w:after="260" w:line="408" w:lineRule="auto"/>
      <w:outlineLvl w:val="1"/>
    </w:pPr>
    <w:rPr>
      <w:rFonts w:ascii="宋体" w:hAnsi="宋体"/>
      <w:b/>
      <w:bCs/>
      <w:color w:val="000000"/>
      <w:kern w:val="0"/>
      <w:sz w:val="20"/>
      <w:szCs w:val="20"/>
    </w:rPr>
  </w:style>
  <w:style w:type="paragraph" w:styleId="4">
    <w:name w:val="heading 3"/>
    <w:basedOn w:val="1"/>
    <w:next w:val="1"/>
    <w:qFormat/>
    <w:uiPriority w:val="0"/>
    <w:pPr>
      <w:keepNext/>
      <w:keepLines/>
      <w:spacing w:before="260" w:after="260" w:line="413" w:lineRule="auto"/>
      <w:outlineLvl w:val="2"/>
    </w:pPr>
    <w:rPr>
      <w:rFonts w:ascii="Times New Roman" w:hAnsi="Times New Roman" w:eastAsia="黑体"/>
      <w:bCs/>
      <w:sz w:val="30"/>
      <w:szCs w:val="32"/>
    </w:rPr>
  </w:style>
  <w:style w:type="paragraph" w:styleId="5">
    <w:name w:val="heading 4"/>
    <w:basedOn w:val="1"/>
    <w:next w:val="1"/>
    <w:qFormat/>
    <w:uiPriority w:val="0"/>
    <w:pPr>
      <w:keepNext/>
      <w:spacing w:line="360" w:lineRule="auto"/>
      <w:jc w:val="center"/>
      <w:outlineLvl w:val="3"/>
    </w:pPr>
    <w:rPr>
      <w:rFonts w:ascii="Times New Roman" w:hAnsi="Times New Roman"/>
      <w:sz w:val="28"/>
      <w:szCs w:val="20"/>
    </w:rPr>
  </w:style>
  <w:style w:type="paragraph" w:styleId="6">
    <w:name w:val="heading 5"/>
    <w:basedOn w:val="1"/>
    <w:next w:val="1"/>
    <w:qFormat/>
    <w:uiPriority w:val="0"/>
    <w:pPr>
      <w:keepNext/>
      <w:keepLines/>
      <w:spacing w:before="280" w:after="290" w:line="372" w:lineRule="auto"/>
      <w:outlineLvl w:val="4"/>
    </w:pPr>
    <w:rPr>
      <w:rFonts w:ascii="Times New Roman" w:hAnsi="Times New Roman"/>
      <w:b/>
      <w:bCs/>
      <w:szCs w:val="28"/>
    </w:rPr>
  </w:style>
  <w:style w:type="paragraph" w:styleId="7">
    <w:name w:val="heading 6"/>
    <w:basedOn w:val="1"/>
    <w:next w:val="1"/>
    <w:qFormat/>
    <w:uiPriority w:val="0"/>
    <w:pPr>
      <w:keepNext/>
      <w:keepLines/>
      <w:spacing w:before="240" w:after="64" w:line="317" w:lineRule="auto"/>
      <w:outlineLvl w:val="5"/>
    </w:pPr>
    <w:rPr>
      <w:rFonts w:ascii="Arial" w:hAnsi="Arial" w:eastAsia="黑体"/>
      <w:b/>
      <w:bCs/>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style>
  <w:style w:type="paragraph" w:styleId="9">
    <w:name w:val="Body Text"/>
    <w:basedOn w:val="1"/>
    <w:next w:val="1"/>
    <w:qFormat/>
    <w:uiPriority w:val="0"/>
    <w:pPr>
      <w:widowControl/>
      <w:spacing w:before="100" w:beforeAutospacing="1" w:after="100" w:afterAutospacing="1"/>
      <w:jc w:val="left"/>
    </w:pPr>
    <w:rPr>
      <w:rFonts w:ascii="宋体" w:hAnsi="宋体"/>
      <w:kern w:val="0"/>
    </w:rPr>
  </w:style>
  <w:style w:type="paragraph" w:styleId="10">
    <w:name w:val="Body Text Indent"/>
    <w:basedOn w:val="1"/>
    <w:qFormat/>
    <w:uiPriority w:val="0"/>
    <w:pPr>
      <w:widowControl/>
      <w:spacing w:before="100" w:beforeAutospacing="1" w:after="100" w:afterAutospacing="1"/>
      <w:jc w:val="left"/>
    </w:pPr>
    <w:rPr>
      <w:rFonts w:ascii="宋体" w:hAnsi="宋体"/>
      <w:kern w:val="0"/>
    </w:rPr>
  </w:style>
  <w:style w:type="paragraph" w:styleId="11">
    <w:name w:val="Plain Text"/>
    <w:basedOn w:val="1"/>
    <w:next w:val="1"/>
    <w:qFormat/>
    <w:uiPriority w:val="0"/>
    <w:pPr>
      <w:spacing w:line="360" w:lineRule="auto"/>
    </w:pPr>
    <w:rPr>
      <w:rFonts w:ascii="宋体" w:hAnsi="Courier New"/>
      <w:szCs w:val="21"/>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Body Text First Indent 2"/>
    <w:basedOn w:val="10"/>
    <w:qFormat/>
    <w:uiPriority w:val="0"/>
    <w:pPr>
      <w:widowControl w:val="0"/>
      <w:snapToGrid w:val="0"/>
      <w:spacing w:before="0" w:beforeAutospacing="0" w:after="120" w:afterAutospacing="0" w:line="360" w:lineRule="auto"/>
      <w:ind w:left="420" w:firstLine="420" w:firstLineChars="200"/>
      <w:jc w:val="both"/>
    </w:pPr>
    <w:rPr>
      <w:rFonts w:ascii="Tahoma" w:hAnsi="Tahoma"/>
      <w:kern w:val="2"/>
      <w:sz w:val="28"/>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19">
    <w:name w:val="正文正"/>
    <w:basedOn w:val="1"/>
    <w:unhideWhenUsed/>
    <w:qFormat/>
    <w:uiPriority w:val="0"/>
    <w:pPr>
      <w:widowControl/>
      <w:spacing w:line="560" w:lineRule="exact"/>
      <w:ind w:firstLine="561"/>
    </w:pPr>
    <w:rPr>
      <w:rFonts w:ascii="Times New Roman" w:hAnsi="Times New Roman" w:eastAsia="仿宋_GB2312"/>
      <w:sz w:val="28"/>
      <w:szCs w:val="20"/>
    </w:rPr>
  </w:style>
  <w:style w:type="character" w:customStyle="1" w:styleId="20">
    <w:name w:val="font41"/>
    <w:basedOn w:val="17"/>
    <w:qFormat/>
    <w:uiPriority w:val="0"/>
    <w:rPr>
      <w:rFonts w:hint="eastAsia" w:ascii="宋体" w:hAnsi="宋体" w:eastAsia="宋体" w:cs="宋体"/>
      <w:color w:val="FF0000"/>
      <w:sz w:val="24"/>
      <w:szCs w:val="24"/>
      <w:u w:val="none"/>
    </w:rPr>
  </w:style>
  <w:style w:type="paragraph" w:customStyle="1" w:styleId="21">
    <w:name w:val="**正文文本"/>
    <w:basedOn w:val="1"/>
    <w:qFormat/>
    <w:uiPriority w:val="0"/>
    <w:pPr>
      <w:widowControl/>
      <w:snapToGrid w:val="0"/>
      <w:spacing w:line="276" w:lineRule="auto"/>
      <w:ind w:firstLine="480" w:firstLineChars="200"/>
    </w:pPr>
    <w:rPr>
      <w:rFonts w:ascii="仿宋" w:hAnsi="仿宋" w:eastAsia="仿宋"/>
      <w:sz w:val="28"/>
    </w:rPr>
  </w:style>
  <w:style w:type="paragraph" w:customStyle="1" w:styleId="22">
    <w:name w:val="图"/>
    <w:basedOn w:val="1"/>
    <w:qFormat/>
    <w:uiPriority w:val="0"/>
    <w:pPr>
      <w:keepNext/>
      <w:adjustRightInd w:val="0"/>
      <w:spacing w:before="60" w:after="60" w:line="300" w:lineRule="auto"/>
      <w:jc w:val="center"/>
      <w:textAlignment w:val="center"/>
    </w:pPr>
    <w:rPr>
      <w:rFonts w:ascii="Times New Roman" w:hAnsi="Times New Roman"/>
      <w:snapToGrid w:val="0"/>
      <w:spacing w:val="20"/>
      <w:kern w:val="0"/>
      <w:szCs w:val="20"/>
    </w:rPr>
  </w:style>
  <w:style w:type="paragraph" w:customStyle="1" w:styleId="23">
    <w:name w:val="正文（深信服）"/>
    <w:qFormat/>
    <w:uiPriority w:val="0"/>
    <w:pPr>
      <w:adjustRightInd w:val="0"/>
      <w:snapToGrid w:val="0"/>
      <w:spacing w:line="360" w:lineRule="auto"/>
      <w:ind w:firstLine="200" w:firstLineChars="200"/>
      <w:jc w:val="both"/>
    </w:pPr>
    <w:rPr>
      <w:rFonts w:ascii="Times New Roman" w:hAnsi="Times New Roman" w:eastAsia="宋体" w:cs="Times New Roman"/>
      <w:sz w:val="24"/>
      <w:szCs w:val="21"/>
      <w:lang w:val="en-US" w:eastAsia="zh-CN" w:bidi="ar-SA"/>
    </w:rPr>
  </w:style>
  <w:style w:type="character" w:customStyle="1" w:styleId="24">
    <w:name w:val="font81"/>
    <w:qFormat/>
    <w:uiPriority w:val="0"/>
    <w:rPr>
      <w:rFonts w:ascii="微软雅黑" w:hAnsi="微软雅黑" w:eastAsia="微软雅黑" w:cs="微软雅黑"/>
      <w:color w:val="000000"/>
      <w:sz w:val="20"/>
      <w:szCs w:val="20"/>
      <w:u w:val="none"/>
    </w:rPr>
  </w:style>
  <w:style w:type="character" w:customStyle="1" w:styleId="25">
    <w:name w:val="15"/>
    <w:qFormat/>
    <w:uiPriority w:val="0"/>
    <w:rPr>
      <w:rFonts w:hint="eastAsia" w:ascii="宋体" w:hAnsi="宋体" w:eastAsia="宋体"/>
      <w:b/>
      <w:bCs/>
      <w:color w:val="000000"/>
      <w:sz w:val="21"/>
      <w:szCs w:val="21"/>
    </w:rPr>
  </w:style>
  <w:style w:type="paragraph" w:customStyle="1" w:styleId="26">
    <w:name w:val="*正文"/>
    <w:basedOn w:val="1"/>
    <w:qFormat/>
    <w:uiPriority w:val="0"/>
    <w:pPr>
      <w:spacing w:after="120" w:line="360" w:lineRule="auto"/>
      <w:ind w:firstLine="480" w:firstLineChars="200"/>
    </w:pPr>
    <w:rPr>
      <w:rFonts w:ascii="宋体" w:hAnsi="宋体"/>
      <w:kern w:val="0"/>
      <w:szCs w:val="28"/>
    </w:rPr>
  </w:style>
  <w:style w:type="paragraph" w:customStyle="1" w:styleId="27">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1917</Words>
  <Characters>2055</Characters>
  <Lines>0</Lines>
  <Paragraphs>0</Paragraphs>
  <TotalTime>26</TotalTime>
  <ScaleCrop>false</ScaleCrop>
  <LinksUpToDate>false</LinksUpToDate>
  <CharactersWithSpaces>3169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2025-11-19T03:31:00Z</dcterms:created>
  <dc:creator>Administrator</dc:creator>
  <cp:lastModifiedBy>电竞中山桥一霸</cp:lastModifiedBy>
  <dcterms:modified xsi:type="dcterms:W3CDTF">2025-12-05T09:38:44Z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808F5A50339A43AF9DC98BA0F2CEA1B3_13</vt:lpwstr>
  </property>
  <property fmtid="{D5CDD505-2E9C-101B-9397-08002B2CF9AE}" pid="4" name="KSOTemplateDocerSaveRecord">
    <vt:lpwstr>eyJoZGlkIjoiMTIxZWVlNjFhNWVjNjAyMzc1MWZkMDE0M2YwMzAzZTkiLCJ1c2VySWQiOiIzNjM1NDYyNjYifQ==</vt:lpwstr>
  </property>
</Properties>
</file>