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cs="宋体"/>
          <w:b/>
          <w:bCs/>
          <w:color w:val="auto"/>
          <w:sz w:val="32"/>
          <w:szCs w:val="32"/>
        </w:rPr>
      </w:pPr>
      <w:r>
        <w:rPr>
          <w:rFonts w:hint="eastAsia" w:ascii="宋体" w:hAnsi="宋体" w:eastAsia="宋体" w:cs="宋体"/>
          <w:b/>
          <w:bCs/>
          <w:color w:val="auto"/>
          <w:sz w:val="32"/>
          <w:szCs w:val="32"/>
          <w:lang w:eastAsia="zh-CN"/>
        </w:rPr>
        <w:t>韶关市校内课后服务管理平台采购项目</w:t>
      </w:r>
      <w:r>
        <w:rPr>
          <w:rFonts w:hint="eastAsia" w:ascii="宋体" w:hAnsi="宋体" w:eastAsia="宋体" w:cs="宋体"/>
          <w:b/>
          <w:bCs/>
          <w:color w:val="auto"/>
          <w:sz w:val="32"/>
          <w:szCs w:val="32"/>
          <w:lang w:val="en-US" w:eastAsia="zh-CN"/>
        </w:rPr>
        <w:t>采购</w:t>
      </w:r>
      <w:r>
        <w:rPr>
          <w:rFonts w:hint="eastAsia" w:ascii="宋体" w:hAnsi="宋体" w:eastAsia="宋体" w:cs="宋体"/>
          <w:b/>
          <w:bCs/>
          <w:color w:val="auto"/>
          <w:sz w:val="32"/>
          <w:szCs w:val="32"/>
        </w:rPr>
        <w:t>需求</w:t>
      </w:r>
    </w:p>
    <w:p>
      <w:pPr>
        <w:autoSpaceDE w:val="0"/>
        <w:autoSpaceDN w:val="0"/>
        <w:adjustRightInd w:val="0"/>
        <w:spacing w:before="163" w:beforeLines="50" w:after="163" w:afterLines="50"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一、采购项目简况和内容</w:t>
      </w:r>
    </w:p>
    <w:p>
      <w:pPr>
        <w:autoSpaceDE w:val="0"/>
        <w:autoSpaceDN w:val="0"/>
        <w:adjustRightInd w:val="0"/>
        <w:spacing w:line="360" w:lineRule="auto"/>
        <w:ind w:firstLine="210" w:firstLineChars="1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 xml:space="preserve">1、项目名称：韶关市校内课后服务管理平台采购项目 。 </w:t>
      </w:r>
    </w:p>
    <w:p>
      <w:pPr>
        <w:autoSpaceDE w:val="0"/>
        <w:autoSpaceDN w:val="0"/>
        <w:adjustRightInd w:val="0"/>
        <w:spacing w:line="360" w:lineRule="auto"/>
        <w:ind w:firstLine="210" w:firstLineChars="100"/>
        <w:jc w:val="both"/>
        <w:rPr>
          <w:rFonts w:ascii="宋体" w:hAnsi="宋体" w:eastAsia="宋体" w:cs="宋体"/>
          <w:color w:val="auto"/>
          <w:kern w:val="0"/>
          <w:sz w:val="21"/>
          <w:szCs w:val="21"/>
        </w:rPr>
      </w:pPr>
      <w:r>
        <w:rPr>
          <w:rFonts w:hint="eastAsia" w:ascii="宋体" w:hAnsi="宋体" w:eastAsia="宋体" w:cs="宋体"/>
          <w:color w:val="auto"/>
          <w:kern w:val="0"/>
          <w:sz w:val="21"/>
          <w:szCs w:val="21"/>
        </w:rPr>
        <w:t>2、采购项目预算（最高限价，人民币）：资格标，无采购预算。</w:t>
      </w:r>
    </w:p>
    <w:p>
      <w:pPr>
        <w:autoSpaceDE w:val="0"/>
        <w:autoSpaceDN w:val="0"/>
        <w:adjustRightInd w:val="0"/>
        <w:spacing w:line="360" w:lineRule="auto"/>
        <w:ind w:firstLine="210" w:firstLineChars="1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3、服务期限：自合同签订之日起3年，如因国家及省相关政策发生变化，以最新的国家及省相关政策为准并执行。</w:t>
      </w:r>
    </w:p>
    <w:p>
      <w:pPr>
        <w:autoSpaceDE w:val="0"/>
        <w:autoSpaceDN w:val="0"/>
        <w:adjustRightInd w:val="0"/>
        <w:spacing w:line="360" w:lineRule="auto"/>
        <w:ind w:firstLine="210" w:firstLineChars="1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4、服务区域：韶关市管辖区域。</w:t>
      </w:r>
    </w:p>
    <w:p>
      <w:pPr>
        <w:autoSpaceDE w:val="0"/>
        <w:autoSpaceDN w:val="0"/>
        <w:adjustRightInd w:val="0"/>
        <w:spacing w:line="360" w:lineRule="auto"/>
        <w:ind w:firstLine="210" w:firstLineChars="1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5、供应商应对同一个项目的全部服务或货物响应，不允许对项目内部分内容进行响应。</w:t>
      </w:r>
    </w:p>
    <w:p>
      <w:pPr>
        <w:autoSpaceDE w:val="0"/>
        <w:autoSpaceDN w:val="0"/>
        <w:adjustRightInd w:val="0"/>
        <w:spacing w:before="163" w:beforeLines="50" w:after="163" w:afterLines="50"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二、项目基本概况</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为了响应《教育部办公厅关于做好中小学生课</w:t>
      </w:r>
      <w:bookmarkStart w:id="1" w:name="_GoBack"/>
      <w:bookmarkEnd w:id="1"/>
      <w:r>
        <w:rPr>
          <w:rFonts w:hint="eastAsia" w:ascii="宋体" w:hAnsi="宋体" w:eastAsia="宋体" w:cs="宋体"/>
          <w:color w:val="auto"/>
          <w:kern w:val="0"/>
          <w:sz w:val="21"/>
          <w:szCs w:val="21"/>
        </w:rPr>
        <w:t>后服务工作的指导意见》（教基一厅〔2017〕2号）、《广东省教育厅关于做好中小学生校内课后服务工作的指导意见》（粤教基〔2018〕9号）和《韶关市教育局关于做好中小学生校内课后服务工作的指导意见》（韶市教〔2018〕65号）、《广东省教育厅关于进一步做好义务教育校内课后服务工作的通知》（粤教基函〔2021〕17 号）、《韶关市教育局关于进一步加强校内课后服务工作的通知》《中共韶关市委教育工作领导小组办公室印发关于进一步减轻义务教育阶段学生作业负担和校外培训负担的实施方案的通知》《广东省教育厅广东省发展改革委关于进-步规范义务教育阶段校内课后服务有关工作的通知》（粵教基函〔2023〕30号）、《关于印发《韶关市规范引人第三方参与义务教育校内课后服务实施方案》的通知》（韶市教〔2023〕23号）等文件精神及要求，贯彻落实好国家和上级对校内课后服务工作的部署，韶关市教育局结合本市校内课后服务实际情况，为统一监管、统筹兼顾大小学校，引入课后服务管理平台系统，实现对全市课后服务教学数据的采集、统计、分析和数据上报，助力我市教育行政主管部门对校内课后服务工作科学管理与科学决策，实现对全市课后服务的数字化管理。</w:t>
      </w:r>
    </w:p>
    <w:p>
      <w:pPr>
        <w:autoSpaceDE w:val="0"/>
        <w:autoSpaceDN w:val="0"/>
        <w:adjustRightInd w:val="0"/>
        <w:spacing w:before="163" w:beforeLines="50" w:after="163" w:afterLines="50"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三、项目采购内容及要求</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（一）采购项目需求一览表</w:t>
      </w:r>
    </w:p>
    <w:tbl>
      <w:tblPr>
        <w:tblStyle w:val="7"/>
        <w:tblW w:w="947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3017"/>
        <w:gridCol w:w="1753"/>
        <w:gridCol w:w="2771"/>
        <w:gridCol w:w="1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exact"/>
          <w:jc w:val="center"/>
        </w:trPr>
        <w:tc>
          <w:tcPr>
            <w:tcW w:w="836" w:type="dxa"/>
            <w:vAlign w:val="center"/>
          </w:tcPr>
          <w:p>
            <w:pPr>
              <w:autoSpaceDE w:val="0"/>
              <w:autoSpaceDN w:val="0"/>
              <w:adjustRightInd w:val="0"/>
              <w:spacing w:line="360" w:lineRule="auto"/>
              <w:ind w:left="-105" w:leftChars="-50" w:right="-105" w:rightChars="-50"/>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序号</w:t>
            </w:r>
          </w:p>
        </w:tc>
        <w:tc>
          <w:tcPr>
            <w:tcW w:w="3017" w:type="dxa"/>
            <w:vAlign w:val="center"/>
          </w:tcPr>
          <w:p>
            <w:pPr>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项目名称</w:t>
            </w:r>
          </w:p>
        </w:tc>
        <w:tc>
          <w:tcPr>
            <w:tcW w:w="1753" w:type="dxa"/>
            <w:vAlign w:val="center"/>
          </w:tcPr>
          <w:p>
            <w:pPr>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数量（单位）</w:t>
            </w:r>
          </w:p>
        </w:tc>
        <w:tc>
          <w:tcPr>
            <w:tcW w:w="2771" w:type="dxa"/>
            <w:vAlign w:val="center"/>
          </w:tcPr>
          <w:p>
            <w:pPr>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采购预算（人民币）</w:t>
            </w:r>
          </w:p>
        </w:tc>
        <w:tc>
          <w:tcPr>
            <w:tcW w:w="1101" w:type="dxa"/>
            <w:vAlign w:val="center"/>
          </w:tcPr>
          <w:p>
            <w:pPr>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9" w:hRule="exact"/>
          <w:jc w:val="center"/>
        </w:trPr>
        <w:tc>
          <w:tcPr>
            <w:tcW w:w="836"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w:t>
            </w:r>
          </w:p>
        </w:tc>
        <w:tc>
          <w:tcPr>
            <w:tcW w:w="3017"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韶关市校内课后服务管理平台采购项目</w:t>
            </w:r>
          </w:p>
        </w:tc>
        <w:tc>
          <w:tcPr>
            <w:tcW w:w="1753"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1项</w:t>
            </w:r>
          </w:p>
        </w:tc>
        <w:tc>
          <w:tcPr>
            <w:tcW w:w="2771"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资格标，无采购预算</w:t>
            </w:r>
          </w:p>
        </w:tc>
        <w:tc>
          <w:tcPr>
            <w:tcW w:w="1101"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w:t>
            </w:r>
          </w:p>
        </w:tc>
      </w:tr>
    </w:tbl>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（二）标准规范</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课后服务管理平台服务系统需满足的技术规范包括：</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1、GB/T 8567 计算机软件文档编制规范；</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2、GB/T 9385 计算机软件需求规格说明规范；</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3、GB/T 9386 计算机软件测试文档编制规范；</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4、GB/T 15532 计算机软件测试规范；</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5、GB/T 28035 软件系统验收规范；</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6、SJ/T 10367 计算机过程控制软件开发规程；</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7、SJ 20822 信息技术软件维护；</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8、其他计算机软件相关标准等。</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bookmarkStart w:id="0" w:name="_Toc320515056"/>
      <w:r>
        <w:rPr>
          <w:rFonts w:hint="eastAsia" w:ascii="宋体" w:hAnsi="宋体" w:eastAsia="宋体" w:cs="宋体"/>
          <w:b/>
          <w:color w:val="auto"/>
          <w:kern w:val="0"/>
          <w:sz w:val="24"/>
          <w:szCs w:val="24"/>
        </w:rPr>
        <w:t>（三）系统非功能性要求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1、网络管理服务平台要求软件具有高可靠性、高成熟度且易使用、易操作；</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2、运行环境。系统应保证客户端的正常使用，支持所有浏览器登录使用。移动应用子系统支持所有操作系统。</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响应业务需求调整以及其他优化完善工作。要求用户并发业务数据的综合查询时间＜5秒(s)；标准主体应用的报表展现时间＜5秒(s)；标准主体数据分析的时间＜5秒(s)；服务器至少支撑2万用户，并可扩展；系统满足7×24小时的不间断运行。</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4、系统巡检。每季度或重大事件期间对系统进行检查，对系统安全隐患和异常进行处理。</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5、缺陷及应急处理。对系统BUG、安全漏洞、恶意攻击等进行处理，对影响系统性能的问题进行优化，保证系统健康运行。</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6、数据库管理系统日常维护、健康检查。</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7、各类重要数据信息的备份，隐私加密保护。定期对数据进行备份，永不丢失，尤其是数据大量产生时无论是自动备份或是人工备份还是数据云存储要即时备份，备份时不能影响数据库的正常工作，同时要妥善保存好备份文件。</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8、备份数据可恢复。</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9、配合采购人实施数据迁移。</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10、提供必要的数据库补丁升级安装服务、技术支持。</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11、根据用户要求进行应用系统配置变更及发布等工作。</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12、定期进行健康检查。检查的内容包括但不限于以下内容：容错检查，检查并分析系统日志及跟踪文件，发现并排除数据库及应用系统的错误隐患；检查数据库及应用系统的配置健康情况；检查数据库系统是否需要应用最新的补丁集；检查数据库备份的完整性；监控数据库性能、数据库运行状态、运行效率，对数据库出现错误的地方进行修复。</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（四）采购项目技术（服务）要求</w:t>
      </w:r>
    </w:p>
    <w:tbl>
      <w:tblPr>
        <w:tblStyle w:val="7"/>
        <w:tblW w:w="86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1233"/>
        <w:gridCol w:w="2185"/>
        <w:gridCol w:w="5241"/>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b/>
                <w:bCs/>
                <w:color w:val="auto"/>
                <w:kern w:val="0"/>
                <w:sz w:val="21"/>
                <w:szCs w:val="21"/>
              </w:rPr>
              <w:t>使用角色</w:t>
            </w:r>
          </w:p>
        </w:tc>
        <w:tc>
          <w:tcPr>
            <w:tcW w:w="7426" w:type="dxa"/>
            <w:gridSpan w:val="2"/>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b/>
                <w:bCs/>
                <w:color w:val="auto"/>
                <w:kern w:val="0"/>
                <w:sz w:val="21"/>
                <w:szCs w:val="21"/>
              </w:rPr>
              <w:t>功能点需求</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b/>
                <w:bCs/>
                <w:color w:val="auto"/>
                <w:kern w:val="0"/>
                <w:sz w:val="21"/>
                <w:szCs w:val="21"/>
              </w:rPr>
              <w:t>需求模块</w:t>
            </w:r>
          </w:p>
        </w:tc>
        <w:tc>
          <w:tcPr>
            <w:tcW w:w="5241"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b/>
                <w:bCs/>
                <w:color w:val="auto"/>
                <w:kern w:val="0"/>
                <w:sz w:val="21"/>
                <w:szCs w:val="21"/>
              </w:rPr>
              <w:t>需求描述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一、学生家长端</w:t>
            </w: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全国基础教育管理服务平台对接</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b/>
                <w:bCs/>
                <w:color w:val="auto"/>
                <w:sz w:val="21"/>
                <w:szCs w:val="21"/>
                <w:lang w:val="en-US" w:eastAsia="zh-CN" w:bidi="ar-SA"/>
              </w:rPr>
            </w:pPr>
            <w:r>
              <w:rPr>
                <w:rFonts w:hint="eastAsia" w:ascii="宋体" w:hAnsi="宋体" w:eastAsia="宋体" w:cs="宋体"/>
                <w:color w:val="auto"/>
                <w:kern w:val="0"/>
                <w:sz w:val="21"/>
                <w:szCs w:val="21"/>
              </w:rPr>
              <w:t>支持学生家长端整合至国家教育管理信息中心的学有优教APP，能够实现教育数字身份的对接。家长能够通过学有优教APP实现一键登录到家长端。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选课报名</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1.支持课程立即报名、预报名，清晰查看家长选课报名状态；</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2.支持多种不同组合的报名，包括素质课、托管课</w:t>
            </w:r>
            <w:r>
              <w:rPr>
                <w:rFonts w:hint="eastAsia" w:ascii="宋体" w:hAnsi="宋体" w:eastAsia="宋体" w:cs="宋体"/>
                <w:color w:val="auto"/>
                <w:kern w:val="0"/>
                <w:sz w:val="21"/>
                <w:szCs w:val="21"/>
                <w:lang w:eastAsia="zh-CN"/>
              </w:rPr>
              <w:t>、</w:t>
            </w:r>
            <w:r>
              <w:rPr>
                <w:rFonts w:hint="eastAsia" w:ascii="宋体" w:hAnsi="宋体" w:eastAsia="宋体" w:cs="宋体"/>
                <w:color w:val="auto"/>
                <w:kern w:val="0"/>
                <w:sz w:val="21"/>
                <w:szCs w:val="21"/>
              </w:rPr>
              <w:t>餐费等。系统根据学生的年级和班级自动匹配可报名的课后服务项目；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3.提供课程上课时间检测功能，及时识别课程时间冲突，并向家长和学生提供提示，以避免选报课程的上课时间冲突；</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4.支持课程的限额报名，家长可以根据不同规格（如月、半学期、学期）进行报名，以满足不同的时间需求；</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5.支持期末余额与其他支付方式的混合支付，为家长提供更多的支付灵活性和选择。</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在读课程</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1.家长可查询名下孩子的报名课程和相关信息，包括分班信息、分班课程表信息和班主任信息；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2.支持家长进行多种课程操作，包括课程评价、课程缴费、续费和请假等操作。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课堂动态</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1.家长可在移动端查看课堂的教学风采、教学反馈和课堂评价等动态内容；</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2.支持家长在移动端接收教学反馈通知信息，确保家长及时获知孩子在课堂上的表现和教学动态。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学生请假</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家长可为学生登记请假信息，系统能自动创建并记录请假信息，并将其同步到课后服务教师端；系统支持自动生成请假记录，能确保学校有准确的学生请假记录；同时支持生成请假不配餐记录，以反映学生在请假期间不需要餐食服务。</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课程表</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支持家长查询孩子每日课程安排。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课程评价</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支持学生家长对课程做出评价反馈等建议。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家长接退</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支持家长设置孩子课后托管结束后的离校方式（家长接送/自行离校），在托管放学时段家长发起接送请求，家长接送信息推送到课后服务老师端，学生出校后，家长完成学生离校签退。</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智能续费</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支持对不同课程进行多种规格续费，支持批量对多个课程或餐食一键智能续费。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报名记录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完成选课报名后，家长可在移动端查询选课记录。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课程退费</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支持家长报名后可发起退费申请，退费审核通过后支持即时原路退还款项到家长账户；家长可在移动端以及短信实时接收退款成功通知信息。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孩子管理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支持管理家长端账号下所有绑定的孩子信息，家长可增加、编辑、删除孩子信息。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亲友管理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支持管理账户的亲友信息，支持多位家长管理报名的孩子，可以添加亲友，添加后可报名或查看订单详情等。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期末账单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1.支持家长查看系统生成的当前账号下所有孩子的期末账单信息；</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2.支持家长一键确认期末账单，一键智能完成当前账号下的期末账单退款或补缴。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上学期余额</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1.支持家长名下孩子所剩余课次在期末账单确认后自动转入至下学期余额中；</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2.家长可查看该账号所绑定学生的学期余额；</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3.支持家长申请取出学期余额，一旦申请通过，余额将按原路返回至支付账号。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二、教师端</w:t>
            </w: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全国基础教育管理服务平台对接</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支持教师端纳入国家教育管理信息中心旗下学有优教APP，实现教育数字身份对接。教师们可通过学有优教APP实现一键登录到教师端。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教师考勤打卡</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1.支持任课教师进行一键签到，为教师课程出勤考核提供依据；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2.支持教师查看课程签到打卡情况，系统提供按日、周、月的统计功能，支持查看和分析排课课程的课时数和签到数。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学生出勤管理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1.支持任课老师管理学生的出勤状态，包括批量考勤操作，如签到、请假和签退等；</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2.支持查看学生信息，包括学生的考勤记录、家长手机、剩余课时、出勤状态以及学生所属班主任等重要信息；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3.系统支持学生入班和出班等操作。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我的课表</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1.教师可查询自己所带的托管班及其课程信息，包括基础托管和素质课程。支持这些信息以课程表的形式展现；</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2.支持教师按月查看学生和自己的考勤明细，提供考勤管理和记录查看功能。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补卡记录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支持教师回溯历史的考勤补卡记录，使教师能够实时查看和管理考勤补卡历史，确保考勤数据的准确性和可追溯性。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收入确认</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支持教师进行课酬工资单确认，同时提供课酬工资单的详细明细收入。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工作餐预定</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1.支持记录工作餐订单数据；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2.系统支持教师预定工作餐提醒功能；</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3.支持用餐管理选项，付款后，在截止取消用餐时段前可取消用餐。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课堂动态</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1.系统支持教师实时了解每个学生的课后参加情况和当天出勤情况；</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2.支持任课教师根据学生的上课动态进行点评；</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3.支持快捷文案编辑，并允许批量选择学生进行智能评价。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代报名/缴费</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1.支持批量选择学生进行选课报名；</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2.支持选择多种不同组合的报名，包括素质课、托管课、餐费等。系统可根据学生的年级和班级自动匹配适合的课后服务项目；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3.支持提供课程上课时间冲突检测功能，能及时发现冲突课程并给予提示；</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4.支持课程的限额报名，家长可以根据不同规格（如月、半学期、学期）进行报名；</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5.系统可提供灵活的支付选择，支持按每个学生的期末余额与其他支付方式进行混合支付；</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6.支持老师快速搜索需要补缴费用的学生，并进行费用代缴。</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代报名缴费记录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支持教师查看各批次的代报名和代缴费的明细清单数据。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代报名退款记录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1.系统支持教师查看代报名的退款汇总数据，可提供对退款情况的总览；</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2.支持查看各批次报名的退款明细清单数据。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报名邀请</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系统支持一键转发报名邀请海报到微信群，让家长们快捷扫码选课，报名素质课程。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待办事项</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1.系统支持以待办的形式提醒任课老师处理学生缺卡、教师缺卡等待完成的事项；</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2.系统支持老师对待处理的待办事项进行跳转处理，或选择忽略提醒。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上学期余额</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1.支持代报名学生的剩余课次将在期末账单确认后自动转入下一学期余额中；</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2.支持老师查看代报名学生的学期余额；</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3.支持申请取出学生学期余额，一旦申请通过，余额将按原路返回至支付账号。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三、教务（督导）端</w:t>
            </w: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课程安排</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支持按学校和日期查询当天的全部课程，并提供相关的授课老师信息。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考勤统计</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1.支持按学校、周、月概览每个班级的学生考勤情况统计，包括已考勤、缺卡和多人打卡情况，同时提供详细的考勤明细记录；</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2.支持按学校、周、月查询每个老师的考勤情况统计，以及相应的考勤明细数据。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补卡审批</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1.支持查看所有待处理及已处理的补卡审批记录；</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2.支持批量审批待处理的补卡记录。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报名情况</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1.支持按学校查看各班级的学生报名情况，包括报名人数、在读人数以及待续费学生数；</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2.支持设置各班级的班主任老师，以确保每个班级有负责的老师管理学生和课程。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考勤确认单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支持系统后台推送当月的教师工资后，督导可按学校和按月维度查询各教师当月的收入明细数据，以及工资的确认情况。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用餐管理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1.支持督导查看学校每天各班的学生配餐情况，了解学生的餐饮安排；</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2.系统支持督导修改学生的配餐情况。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1.系统支持督导查看各班任课老师和班主任的信息；支持督导移除不参与托管的老师；</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2.系统支持设置班主任，确保每个班级有负责的老师管理学生和课程。支持督导审批新注册老师申请记录，控制教师管理权限。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督办事项</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系统支持按学校和月份维度查看各种待办事项，包括教师缺卡、学生缺卡、教师考勤重复、多个老师同时打卡、学生考勤重复等问题。</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一键催缴</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支持实时了解报名缴费情况，且支持一键催缴功能。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四、学校端</w:t>
            </w: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全国基础教育管理服务平台对接</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系统支持学校端系统能与全国基础教育管理服务平台整合，使用户能够一键登录。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数据概览</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1.支持查看学校的基础信息，包括学生数、教师数和服务机构数；</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2.支持查看课程的基础信息，包括课程总数和不同类型课程数，以及课程参与情况，包括参与学生总人数和参与不同课程学生数；</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3.提供不同类型课程（已开活动课程）的课时占比和课程数占比，支持用户进行课程分析和监控；</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4.支持查看学生和教师考勤的大致情况，监控学校的课程报名情况和学生教师考勤。</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学生信息</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系统支持查看和导出学生的基本信息，包括学生姓名、学号、年级、班级等。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教师信息</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系统支持查看和导出老师的基本信息，包括老师姓名、工号、联系方式等。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机构信息</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系统支持查看和导出学校合作机构的基本信息，包括机构名称、联系信息、合作内容等。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课程中心</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支持查看学校所有的课程详细信息，包括课程名称、课程类型、课程状态、上下架状态、开班数以及报名人数等。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选课管理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支持查看和导出报名课程的学生基本信息，包括报名的课程名称、学生姓名、已经上课数、剩余课程数等。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课程班级</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系统支持查看和导出分班的基本信息，包括分班名称、分班类型、分班状态等。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学生考勤</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1.支持查看和导出学生考勤的详细信息，包括学生的考勤记录、签到情况、请假记录等；</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2.支持查看和导出学校的学生考勤统计数据，并进行数据分析和管理。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教师考勤</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1.支持查看和导出教师考勤的详细信息，包括教师的考勤记录、签到情况、请假记录等；</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2.支持教师考勤的统计和汇总功能，生成汇总报表。</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五、服务机构端</w:t>
            </w: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教育局数据上报对接</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支持报名、排课、课程开展以及其他相关数据与教育部对接。</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课后基础配置</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支持系统内每所学校，独立配置本校托管场地与课时信息，满足不同学校对托管项目规则设置的差异性。</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1.系统支持学校按照其需求管理课程，包括基础托管课程和素质课程。学校可以批量导入和修改课程信息，包括单价、规格、上课日期、时段、报名起止时间、适用年级、限制报名人数、课程介绍上下架等内容；</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2.系统支持自由组合课程，学校可以创建不同的课程组合，如基础托管+素质课程或素质课+素质课程等。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学生餐食商品管理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支持按学校管理学生餐食商品，包括批量导入和修改学生餐食商品信息。每个餐食商品可以设置单价、餐食规格、起止时间、适用年级等详细信息。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教师餐食管理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支持按学校管理教师餐食商品，包括批量导入和修改教师餐食商品信息。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材料管理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支持学校级别的材料商品信息管理。学校可批量导入和修改材料商品信息内容。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父订单管理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父订单包含学生的各类缴费订单，如课程订单、组合课订单、材料费订单和餐食订单等。学校可查询当前学校的所有父订单，查看明细数据，并导出所需信息。</w:t>
            </w:r>
          </w:p>
          <w:p>
            <w:pPr>
              <w:widowControl/>
              <w:autoSpaceDE/>
              <w:autoSpaceDN/>
              <w:adjustRightInd/>
              <w:spacing w:line="360" w:lineRule="auto"/>
              <w:ind w:firstLine="0" w:firstLineChars="0"/>
              <w:jc w:val="both"/>
              <w:rPr>
                <w:rFonts w:ascii="宋体" w:hAnsi="宋体" w:eastAsia="宋体" w:cs="宋体"/>
                <w:color w:val="auto"/>
                <w:sz w:val="21"/>
                <w:szCs w:val="21"/>
                <w:lang w:val="en-US" w:eastAsia="zh-CN" w:bidi="ar-SA"/>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课程订单管理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1.支持查看并导出所有报名订单数据，包括学生信息、报名课程细节以及缴费情况；</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2.支持批量申请报名订单退款、撤销或取消订单；</w:t>
            </w:r>
          </w:p>
          <w:p>
            <w:pPr>
              <w:autoSpaceDE w:val="0"/>
              <w:autoSpaceDN w:val="0"/>
              <w:adjustRightInd w:val="0"/>
              <w:jc w:val="left"/>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3.支持批量更换课程和结转课程。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材料费订单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支持查看所有材料费订单数据，包含学生信息、材料商品信息、缴费信息等，可导出材料商品订单数据。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学生餐食订单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1.支持查看所有学生餐食订单数据，包含学生信息、餐食商品信息、缴费信息等，可导出餐食商品订单数据；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2.支持批量申请订单退款，申请通过后将原路返回至支付账号。</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教师餐食订单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1.支持查看和导出所有教师餐食订单数据，包括订单详情和支付信息；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2.系统支持批量申请退款订单。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教师代报名订单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系统支持查询和导出所有教师代报名订单数据，包括订单详情、学生信息以及课程信息。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预报名订单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1.系统支持查询和导出所有预报名订单数据，包括订单详情、学生信息等；</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2.支持批量设置课程支付起止时间和取消订单操作。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退款管理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1.系统支持学生退款信息的查询和导出，包括订单退款编号、退款课程、总课次、已消耗次数、实际退款次数、退款金额、退款进度等详细信息；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2.提供教师订餐退款数据的查询和导出功能；</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3.具备批量审核学生和教师的退款申请数据的功能。</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期末账单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1.支持提供学生期末账单查询和导出功能，包括学生个人信息、轧差金额、补缴金额、退款金额等详细信息的导出选项；</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2.支持根据学校或家长手机号批量生成期末账单；</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3.支持提供课程类型和餐食类型选择，可根据不同需求生成差异化的期末账单；</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4.支持批量操作功能，包括批量账单推送、批量账单确认、批量账单关闭以及批量账单更新。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分班管理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1.支持按课程、上课时段、班别以及自定义维度进行班级的创建、拆分和合并操作；</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2.提供批量导入创建托管班的功能，一旦托管班级被创建，系统将自动生成排课数据和学生分班信息；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3.支持批量按课程的时间和日期维度自动增加课次，以及批量自动结束课程；</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4.支持根据班别和性别规则进行学生的自动入班报名；</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5.支持批量设置学生的上课区间和上课时间的功能及批量设置学生的入班和出班操作；</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6.支持批量补录考勤的功能，包括签到、请假和去上素质课等内容。</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学生分班查询</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支持搜索学生并查询其分班明细数据。用户可查找特定学生的信息，并支持导出明细数据。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教师排课表</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1.支持按周维度查看教师的课程排课信息数据。用户可查看每位教师的排课情况；</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2.支持检测排课冲突。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学生排课表</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支持按周维度查看学生的课程排课信息数据。用户可查看每位学生的排课情况，同时系统还能支持检测排课冲突。</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学生考勤记录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支持查询和导出学生的考勤明细数据，包括每位学生的签到记录、请假记录等。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学生考勤统计</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支持查询和导出学生的考勤统计数据，进行数据分析。</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教师考勤记录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1.支持查询和导出教师的考勤明细数据，包括每位教师的签到记录、请假记录等；</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2.支持批量搜索教师的补卡记录和删除考勤记录等操作。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教师考勤统计</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1.支持查询和导出教师的考勤统计数据，进行数据分析；</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2.支持按月或学校生成考勤确认单及设置教师的课酬方案和分班课酬梯度等操作。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配餐确认单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1.系统支持有用餐需求学校每天用餐数据的确认，并提前生成用餐数据；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2.系统支持检测配餐是否异常，并提供异常提醒功能；</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3.系统支持查询和导出配餐确认单数据。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学生用餐明细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1.支持查询学生所有的配餐数据；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2.支持按学生排课或指定日期生成餐消记录；</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3.支持批量设置学生的配餐状态，包括配餐、不配餐、删除等操作。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教师用餐明细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1.系统支持查看和导出老师的用餐明细，包括用餐记录和支付信息；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2.支持批量进行用餐明细的修改，包括更改服务商、申请退款、恢复用餐和取消用餐等操作。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学生在读课程</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1.系统支持查看和导出学生在读课程的基本信息，包括累计报名课次、实际报名课次、已上课次、请假不退款课次和可消耗课次等信息；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2.支持用户可通过系统进行提醒缴费、续费、补缴欠费、更新结课状态和修改暂停自动入班等操作。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学生用餐管理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1.系统支持查看和导出学生用餐管理基本信息，包含已报份数、已配餐份数、不配餐份数、剩余可用份数等信息；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2.支持批量设置用餐、结束用餐、欠费需补缴推送等操作。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报名统计</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支持查看和导出特定地区所有学校课程的报名统计数据，包括报名人数、报名人次、总金额以及已退款金额等信息。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报名情况</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支持按学校维度查看和导出各班级的报名信息。（含班主任信息、已报名人数、已报名人次等）</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学生报名汇总</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支持查看和导出学生的报名课程信息。（包含托管课程、素质课程以及课程金额等信息）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教师工资单总览</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1.支持按学校/月份维度查看和导出各学校的教师工资统计数据（如应结算教师人数、无工资单人数、有效工资单数、待审核、已确认待结算、已结算等信息）；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2.支持查看和导出当月的教师工资单明细数据；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教师考勤确认单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1.查看教师当月的考勤情况(出勤天和合计金额等信息)；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2.支持查看和导出老师考勤的明细。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班主任补贴确认单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1.系统支持查看班主任的补贴情况，包括已发放的补贴金额、待发放的补贴金额等信息；</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2.系统支持取消确认单和添加新确认单的操作。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学校考勤确认</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系统支持查看单个学校本月的出勤人数情况。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课程评价</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1.支持查看每个评价的详细信息，包括评价内容、评分、评价时间等；</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2.支持查看所有课程的评价情况，包括好评、中评和差评的数量。</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动态管理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支持按班级、日期、时段等维度查询学生实时动态；可查看参加基础托管、素质课程的学生去向及人数。</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系统支持管理地区内所有学生的信息，包括批量导入学生、批量更新学生的基础信息、以及进行新学年升级和学期学生确认等操作。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系统支持管理地区内所有教师的信息，提供编辑教师基础信息的功能，并支持批量导入老师的操作。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服务商管理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系统支持地区服务商信息的管理，包括添加、修改、删除服务商的操作。</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调停课设置</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系统支持对分班进行停课和调课操作，包括调整停课和调课的范围和时间安排。</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restart"/>
            <w:vAlign w:val="center"/>
          </w:tcPr>
          <w:p>
            <w:pPr>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六、教育局管理端</w:t>
            </w: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全国基础教育管理服务平台对接</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教育局端系统支持与全国基础教育管理服务平台整合，支持用户一键登录。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系统支持查看和导出教育局管理学校的所有课程的基本信息，包括课程名称、课程类型、开课状态等相关数据。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课程订单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系统支持查看和导出教育局管理学校的所有学生报名课程订单信息，包括学生的姓名、课程信息、报名状态等相关数据。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课程表</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1.系统支持以课程表形式查看教育局管理学校的课程安排；</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2.支持按周来查看课程的详细排课信息。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机构管理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对提供课后服务的第三方机构进行管理，可查看所辖区域内第三方机构总体情况，包括机构名称、开设课程、入驻学校、教师人数等，支持查看机构相应的资质信息，并对其审核，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学校管理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支持查看所辖区域内的学校课后服务开展情况，包括课程开设数量、本学期学生参与人数等，支持按学校名称或学校编号进行搜索，同时支持对上述所有数据进行导出。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教师管理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支持查看课后服务教师信息，包含但不限于所属机构、学历、专业、联系方式、所负责的校内课程等信息，同时支持对上述所有数据进行导出。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学生管理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支持查看所属辖区内所有参与课后服务学生信息，包含但不限于学生姓名、家长联系方式、学生所属学校、班级、报读课程等，同时支持对上述所有数据进行导出。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课程管理</w:t>
            </w:r>
          </w:p>
        </w:tc>
        <w:tc>
          <w:tcPr>
            <w:tcW w:w="5241" w:type="dxa"/>
            <w:vAlign w:val="center"/>
          </w:tcPr>
          <w:p>
            <w:pPr>
              <w:widowControl w:val="0"/>
              <w:autoSpaceDE/>
              <w:autoSpaceDN/>
              <w:adjustRightInd/>
              <w:spacing w:line="360" w:lineRule="auto"/>
              <w:ind w:firstLine="0" w:firstLineChars="0"/>
              <w:jc w:val="both"/>
              <w:rPr>
                <w:rFonts w:ascii="宋体" w:hAnsi="宋体" w:eastAsia="宋体" w:cs="宋体"/>
                <w:b/>
                <w:bCs/>
                <w:color w:val="auto"/>
                <w:sz w:val="21"/>
                <w:szCs w:val="21"/>
                <w:lang w:val="en-US" w:eastAsia="zh-CN" w:bidi="ar-SA"/>
              </w:rPr>
            </w:pPr>
            <w:r>
              <w:rPr>
                <w:rFonts w:hint="eastAsia" w:ascii="宋体" w:hAnsi="宋体" w:eastAsia="宋体" w:cs="宋体"/>
                <w:color w:val="auto"/>
                <w:kern w:val="2"/>
                <w:sz w:val="21"/>
                <w:szCs w:val="21"/>
                <w:lang w:val="en-US" w:eastAsia="zh-CN" w:bidi="ar-SA"/>
              </w:rPr>
              <w:t>支持查看所属辖区内所有学校课程开展情况，包括课程名称、课程类型、报名人数、课程单价、上课机构、开课学校等，支持查看任意课程详细信息，包括课程简介、报读学生情况等，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课程订单查看</w:t>
            </w:r>
          </w:p>
        </w:tc>
        <w:tc>
          <w:tcPr>
            <w:tcW w:w="5241" w:type="dxa"/>
            <w:vAlign w:val="center"/>
          </w:tcPr>
          <w:p>
            <w:pPr>
              <w:widowControl w:val="0"/>
              <w:autoSpaceDE/>
              <w:autoSpaceDN/>
              <w:adjustRightInd/>
              <w:spacing w:line="360" w:lineRule="auto"/>
              <w:ind w:firstLine="0" w:firstLineChars="0"/>
              <w:jc w:val="both"/>
              <w:rPr>
                <w:rFonts w:ascii="宋体" w:hAnsi="宋体" w:eastAsia="宋体" w:cs="宋体"/>
                <w:b/>
                <w:bCs/>
                <w:color w:val="auto"/>
                <w:sz w:val="21"/>
                <w:szCs w:val="21"/>
                <w:lang w:val="en-US" w:eastAsia="zh-CN" w:bidi="ar-SA"/>
              </w:rPr>
            </w:pPr>
            <w:r>
              <w:rPr>
                <w:rFonts w:hint="eastAsia" w:ascii="宋体" w:hAnsi="宋体" w:eastAsia="宋体" w:cs="宋体"/>
                <w:color w:val="auto"/>
                <w:kern w:val="2"/>
                <w:sz w:val="21"/>
                <w:szCs w:val="21"/>
                <w:lang w:val="en-US" w:eastAsia="zh-CN" w:bidi="ar-SA"/>
              </w:rPr>
              <w:t>支持查看所辖区域课后服务订单数据，支持按学校名称进行搜索单校查看，同时支持对上述所有数据进行导出。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分班明细</w:t>
            </w:r>
          </w:p>
        </w:tc>
        <w:tc>
          <w:tcPr>
            <w:tcW w:w="5241" w:type="dxa"/>
            <w:vAlign w:val="center"/>
          </w:tcPr>
          <w:p>
            <w:pPr>
              <w:widowControl w:val="0"/>
              <w:autoSpaceDE/>
              <w:autoSpaceDN/>
              <w:adjustRightInd/>
              <w:spacing w:line="360" w:lineRule="auto"/>
              <w:ind w:firstLine="0" w:firstLineChars="0"/>
              <w:jc w:val="both"/>
              <w:rPr>
                <w:rFonts w:ascii="宋体" w:hAnsi="宋体" w:eastAsia="宋体" w:cs="宋体"/>
                <w:b/>
                <w:bCs/>
                <w:color w:val="auto"/>
                <w:sz w:val="21"/>
                <w:szCs w:val="21"/>
                <w:lang w:val="en-US" w:eastAsia="zh-CN" w:bidi="ar-SA"/>
              </w:rPr>
            </w:pPr>
            <w:r>
              <w:rPr>
                <w:rFonts w:hint="eastAsia" w:ascii="宋体" w:hAnsi="宋体" w:eastAsia="宋体" w:cs="宋体"/>
                <w:color w:val="auto"/>
                <w:kern w:val="2"/>
                <w:sz w:val="21"/>
                <w:szCs w:val="21"/>
                <w:lang w:val="en-US" w:eastAsia="zh-CN" w:bidi="ar-SA"/>
              </w:rPr>
              <w:t>支持查看所属辖区内所有学校课后服务分班情况汇总，包括午托班开班数、晚托班开班数以及兴趣班开班数等，支持查看任意学校课后服务分班情况详细情况，包括校内课程和分班明细等。同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分班信息</w:t>
            </w:r>
          </w:p>
        </w:tc>
        <w:tc>
          <w:tcPr>
            <w:tcW w:w="5241" w:type="dxa"/>
            <w:vAlign w:val="center"/>
          </w:tcPr>
          <w:p>
            <w:pPr>
              <w:autoSpaceDE/>
              <w:autoSpaceDN/>
              <w:adjustRightInd/>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支持实时查看所属辖区内所有开展课后服务学校分班信息，该课程类型、已上课次数及总课次、学校名称、学校人数、上课老师、班级状态、以及分班学生具体情况，包括该学生的姓名、家长联系方式、年级、报名状态、上课区间、是否离班等。</w:t>
            </w:r>
          </w:p>
          <w:p>
            <w:pPr>
              <w:autoSpaceDE/>
              <w:autoSpaceDN/>
              <w:adjustRightInd/>
              <w:spacing w:line="360" w:lineRule="auto"/>
              <w:jc w:val="left"/>
              <w:rPr>
                <w:rFonts w:ascii="宋体" w:hAnsi="宋体" w:eastAsia="宋体" w:cs="宋体"/>
                <w:b/>
                <w:bCs/>
                <w:color w:val="auto"/>
                <w:kern w:val="0"/>
                <w:sz w:val="21"/>
                <w:szCs w:val="21"/>
              </w:rPr>
            </w:pPr>
            <w:r>
              <w:rPr>
                <w:rFonts w:hint="eastAsia" w:ascii="宋体" w:hAnsi="宋体" w:eastAsia="宋体" w:cs="宋体"/>
                <w:color w:val="auto"/>
                <w:kern w:val="2"/>
                <w:sz w:val="21"/>
                <w:szCs w:val="21"/>
              </w:rPr>
              <w:t>同时</w:t>
            </w:r>
            <w:r>
              <w:rPr>
                <w:rFonts w:hint="eastAsia" w:ascii="宋体" w:hAnsi="宋体" w:eastAsia="宋体" w:cs="宋体"/>
                <w:color w:val="auto"/>
                <w:kern w:val="0"/>
                <w:sz w:val="21"/>
                <w:szCs w:val="21"/>
              </w:rPr>
              <w:t>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课程表</w:t>
            </w:r>
          </w:p>
        </w:tc>
        <w:tc>
          <w:tcPr>
            <w:tcW w:w="5241" w:type="dxa"/>
            <w:vAlign w:val="center"/>
          </w:tcPr>
          <w:p>
            <w:pPr>
              <w:widowControl w:val="0"/>
              <w:autoSpaceDE/>
              <w:autoSpaceDN/>
              <w:adjustRightInd/>
              <w:spacing w:line="360" w:lineRule="auto"/>
              <w:ind w:firstLine="0" w:firstLineChars="0"/>
              <w:jc w:val="both"/>
              <w:rPr>
                <w:rFonts w:ascii="宋体" w:hAnsi="宋体" w:eastAsia="宋体" w:cs="宋体"/>
                <w:b/>
                <w:bCs/>
                <w:color w:val="auto"/>
                <w:sz w:val="21"/>
                <w:szCs w:val="21"/>
                <w:lang w:val="en-US" w:eastAsia="zh-CN" w:bidi="ar-SA"/>
              </w:rPr>
            </w:pPr>
            <w:r>
              <w:rPr>
                <w:rFonts w:hint="eastAsia" w:ascii="宋体" w:hAnsi="宋体" w:eastAsia="宋体" w:cs="宋体"/>
                <w:color w:val="auto"/>
                <w:sz w:val="21"/>
                <w:szCs w:val="21"/>
                <w:lang w:val="en-US" w:eastAsia="zh-CN" w:bidi="ar-SA"/>
              </w:rPr>
              <w:t>支持按时间、地区、学校、上课状态进行搜索，查看时间段内各学校课后服务排课情况，并支持对上述所有数据进行导出。</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资金概览</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1.系统支持按地区查看各地区的收款金额、退款金额、基础托管、素质课程报名金额的统计数据；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2.支持按学校查看和导出各学校的金额统计数据。</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消课/消餐</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b/>
                <w:bCs/>
                <w:color w:val="auto"/>
                <w:kern w:val="0"/>
                <w:sz w:val="21"/>
                <w:szCs w:val="21"/>
              </w:rPr>
            </w:pPr>
            <w:r>
              <w:rPr>
                <w:rFonts w:hint="eastAsia" w:ascii="宋体" w:hAnsi="宋体" w:eastAsia="宋体" w:cs="宋体"/>
                <w:color w:val="auto"/>
                <w:kern w:val="0"/>
                <w:sz w:val="21"/>
                <w:szCs w:val="21"/>
              </w:rPr>
              <w:t>系统支持查看和导出教育局管理学校所有消课、消餐的合计金额数以及不同类型课程的消课费明细，同时提供每月的消课统计报告。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工资/补贴</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1.系统支持查看和导出教育局管理学校的所有老师工资合计和行政补贴合计数据；</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2.支持提供每月工资和补贴的统计报告。</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收款明细</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支持查看和导出教育局管理的各个学校的收款情况。</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退款记录</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支持查看和导出教育局管理的学校学生的全部退款记录。</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lang w:val="en-US" w:eastAsia="zh-CN"/>
              </w:rPr>
              <w:t>数据</w:t>
            </w:r>
            <w:r>
              <w:rPr>
                <w:rFonts w:hint="eastAsia" w:ascii="宋体" w:hAnsi="宋体" w:eastAsia="宋体" w:cs="宋体"/>
                <w:color w:val="auto"/>
                <w:kern w:val="0"/>
                <w:sz w:val="21"/>
                <w:szCs w:val="21"/>
              </w:rPr>
              <w:t>统计</w:t>
            </w:r>
          </w:p>
        </w:tc>
        <w:tc>
          <w:tcPr>
            <w:tcW w:w="5241" w:type="dxa"/>
            <w:vAlign w:val="center"/>
          </w:tcPr>
          <w:p>
            <w:pPr>
              <w:widowControl/>
              <w:autoSpaceDE w:val="0"/>
              <w:autoSpaceDN w:val="0"/>
              <w:adjustRightInd w:val="0"/>
              <w:spacing w:line="360" w:lineRule="auto"/>
              <w:jc w:val="both"/>
              <w:textAlignment w:val="center"/>
              <w:rPr>
                <w:rFonts w:ascii="Times New Roman" w:hAnsi="Times New Roman" w:eastAsia="宋体" w:cs="Times New Roman"/>
                <w:color w:val="auto"/>
                <w:sz w:val="20"/>
                <w:szCs w:val="20"/>
                <w:lang w:val="en-US" w:eastAsia="zh-CN" w:bidi="ar-SA"/>
              </w:rPr>
            </w:pPr>
            <w:r>
              <w:rPr>
                <w:rFonts w:hint="eastAsia" w:ascii="宋体" w:hAnsi="宋体" w:eastAsia="宋体" w:cs="宋体"/>
                <w:color w:val="auto"/>
                <w:kern w:val="0"/>
                <w:sz w:val="21"/>
                <w:szCs w:val="21"/>
              </w:rPr>
              <w:t>支持按地区级别按日、月、</w:t>
            </w:r>
            <w:r>
              <w:rPr>
                <w:rFonts w:hint="eastAsia" w:ascii="宋体" w:hAnsi="宋体" w:eastAsia="宋体" w:cs="宋体"/>
                <w:color w:val="auto"/>
                <w:kern w:val="0"/>
                <w:sz w:val="21"/>
                <w:szCs w:val="21"/>
                <w:lang w:val="en-US" w:eastAsia="zh-CN"/>
              </w:rPr>
              <w:t>学</w:t>
            </w:r>
            <w:r>
              <w:rPr>
                <w:rFonts w:hint="eastAsia" w:ascii="宋体" w:hAnsi="宋体" w:eastAsia="宋体" w:cs="宋体"/>
                <w:color w:val="auto"/>
                <w:kern w:val="0"/>
                <w:sz w:val="21"/>
                <w:szCs w:val="21"/>
              </w:rPr>
              <w:t>年</w:t>
            </w:r>
            <w:r>
              <w:rPr>
                <w:rFonts w:hint="eastAsia" w:ascii="宋体" w:hAnsi="宋体" w:eastAsia="宋体" w:cs="宋体"/>
                <w:color w:val="auto"/>
                <w:kern w:val="0"/>
                <w:sz w:val="21"/>
                <w:szCs w:val="21"/>
                <w:lang w:val="en-US" w:eastAsia="zh-CN"/>
              </w:rPr>
              <w:t>查看数据</w:t>
            </w:r>
            <w:r>
              <w:rPr>
                <w:rFonts w:hint="eastAsia" w:ascii="宋体" w:hAnsi="宋体" w:eastAsia="宋体" w:cs="宋体"/>
                <w:color w:val="auto"/>
                <w:kern w:val="0"/>
                <w:sz w:val="21"/>
                <w:szCs w:val="21"/>
              </w:rPr>
              <w:t>，包括课程数、参与人数、开课情况查询</w:t>
            </w:r>
            <w:r>
              <w:rPr>
                <w:rFonts w:hint="eastAsia" w:ascii="宋体" w:hAnsi="宋体" w:eastAsia="宋体" w:cs="宋体"/>
                <w:color w:val="auto"/>
                <w:kern w:val="0"/>
                <w:sz w:val="21"/>
                <w:szCs w:val="21"/>
                <w:lang w:eastAsia="zh-CN"/>
              </w:rPr>
              <w:t>等</w:t>
            </w:r>
            <w:r>
              <w:rPr>
                <w:rFonts w:hint="eastAsia" w:ascii="宋体" w:hAnsi="宋体" w:eastAsia="宋体" w:cs="宋体"/>
                <w:color w:val="auto"/>
                <w:kern w:val="0"/>
                <w:sz w:val="21"/>
                <w:szCs w:val="21"/>
              </w:rPr>
              <w:t>。</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课程审核</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1.支持对课程信息进行审核。管理员可以通过此功能对新提交的课程信息进行审核；</w:t>
            </w:r>
          </w:p>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2.支持系统记录每个课程的审核历史，包括审核人员、审核时间以及审核意见等信息。</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课程概览</w:t>
            </w:r>
          </w:p>
        </w:tc>
        <w:tc>
          <w:tcPr>
            <w:tcW w:w="5241" w:type="dxa"/>
            <w:vAlign w:val="center"/>
          </w:tcPr>
          <w:p>
            <w:pPr>
              <w:widowControl/>
              <w:autoSpaceDE w:val="0"/>
              <w:autoSpaceDN w:val="0"/>
              <w:adjustRightInd w:val="0"/>
              <w:spacing w:line="360" w:lineRule="auto"/>
              <w:jc w:val="both"/>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1.支持以可视化方式展示课程数据；</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2.支持提供基础数据分析功能，了解课程的关键指标和趋势；</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3.支持分析课程主题覆盖率；</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4.支持分析托管覆盖人数趋势，跟踪课程的托管覆盖人数随时间的变化情况；</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5.支持分析报名类型的分布情况；</w:t>
            </w:r>
          </w:p>
          <w:p>
            <w:pPr>
              <w:widowControl/>
              <w:autoSpaceDE w:val="0"/>
              <w:autoSpaceDN w:val="0"/>
              <w:adjustRightInd w:val="0"/>
              <w:spacing w:line="360" w:lineRule="auto"/>
              <w:jc w:val="both"/>
              <w:textAlignment w:val="center"/>
              <w:rPr>
                <w:rFonts w:ascii="宋体" w:hAnsi="宋体" w:eastAsia="宋体" w:cs="宋体"/>
                <w:color w:val="auto"/>
                <w:sz w:val="21"/>
                <w:szCs w:val="21"/>
                <w:lang w:val="en-US" w:eastAsia="zh-CN" w:bidi="ar-SA"/>
              </w:rPr>
            </w:pPr>
            <w:r>
              <w:rPr>
                <w:rFonts w:hint="eastAsia" w:ascii="宋体" w:hAnsi="宋体" w:eastAsia="宋体" w:cs="宋体"/>
                <w:color w:val="auto"/>
                <w:kern w:val="0"/>
                <w:sz w:val="21"/>
                <w:szCs w:val="21"/>
              </w:rPr>
              <w:t>6.支持提供托管覆盖率排行榜，列出最受欢迎的托管课程。</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23" w:hRule="atLeast"/>
          <w:jc w:val="center"/>
        </w:trPr>
        <w:tc>
          <w:tcPr>
            <w:tcW w:w="1233"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2185" w:type="dxa"/>
            <w:vAlign w:val="center"/>
          </w:tcPr>
          <w:p>
            <w:pPr>
              <w:widowControl/>
              <w:autoSpaceDE w:val="0"/>
              <w:autoSpaceDN w:val="0"/>
              <w:adjustRightInd w:val="0"/>
              <w:spacing w:line="360" w:lineRule="auto"/>
              <w:jc w:val="center"/>
              <w:textAlignment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数据大屏</w:t>
            </w:r>
          </w:p>
        </w:tc>
        <w:tc>
          <w:tcPr>
            <w:tcW w:w="5241" w:type="dxa"/>
            <w:vAlign w:val="center"/>
          </w:tcPr>
          <w:p>
            <w:pPr>
              <w:widowControl w:val="0"/>
              <w:autoSpaceDE/>
              <w:autoSpaceDN/>
              <w:adjustRightInd/>
              <w:spacing w:line="360" w:lineRule="auto"/>
              <w:ind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1.支持以可视化方式展示课后服务成果数据。包括2D和3D可视化动态图表，能够提供清晰的数据视觉化体验；</w:t>
            </w:r>
          </w:p>
          <w:p>
            <w:pPr>
              <w:widowControl w:val="0"/>
              <w:autoSpaceDE/>
              <w:autoSpaceDN/>
              <w:adjustRightInd/>
              <w:spacing w:line="360" w:lineRule="auto"/>
              <w:ind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2.数据大屏能直观显示所辖区域学生总人数、课后服务参与人数、课后服务参与率等数据；同时需涵盖综合数据分析、各校报名分析、参与师生分析、素质课报名分析、报名分析、热门课程数据分析等功能，深入研究和理解课后服务的各个方面。</w:t>
            </w:r>
          </w:p>
          <w:p>
            <w:pPr>
              <w:widowControl w:val="0"/>
              <w:autoSpaceDE/>
              <w:autoSpaceDN/>
              <w:adjustRightInd/>
              <w:spacing w:line="360" w:lineRule="auto"/>
              <w:ind w:firstLine="0" w:firstLineChars="0"/>
              <w:jc w:val="both"/>
              <w:rPr>
                <w:rFonts w:ascii="宋体" w:hAnsi="宋体" w:eastAsia="宋体" w:cs="宋体"/>
                <w:color w:val="auto"/>
                <w:sz w:val="21"/>
                <w:szCs w:val="21"/>
                <w:lang w:val="en-US" w:eastAsia="zh-CN" w:bidi="ar-SA"/>
              </w:rPr>
            </w:pPr>
            <w:r>
              <w:rPr>
                <w:rFonts w:hint="eastAsia" w:ascii="宋体" w:hAnsi="宋体" w:eastAsia="宋体" w:cs="宋体"/>
                <w:color w:val="auto"/>
                <w:sz w:val="21"/>
                <w:szCs w:val="21"/>
                <w:lang w:val="en-US" w:eastAsia="zh-CN" w:bidi="ar-SA"/>
              </w:rPr>
              <w:t>3.支持数据大屏显示学生报名实时情况、教师签到实时情况、指挥中心实时数据、家长实时反馈等。</w:t>
            </w:r>
          </w:p>
        </w:tc>
      </w:tr>
      <w:bookmarkEnd w:id="0"/>
    </w:tbl>
    <w:p>
      <w:pPr>
        <w:autoSpaceDE w:val="0"/>
        <w:autoSpaceDN w:val="0"/>
        <w:adjustRightInd w:val="0"/>
        <w:spacing w:before="163" w:beforeLines="50" w:after="163" w:afterLines="50"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四、采购项目商务要求</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（一）中标供应商的服务标准：</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1、对课后服务教学数据科学高效采集、统计、分析和数据上报；</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2、系统稳定、清晰易操作；</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3、资金管理规范、安全、透明；</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4、数据保密、双向储存，并及时汇报。</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5、管理人员工作高效、尽责；</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6、协助采购人对机构服务质量进行监管；</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7、突发事件及时妥善处理。</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8、各学校信息保密，不得推送广告及与项目无关的信息。</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lang w:val="zh-CN"/>
        </w:rPr>
        <w:t>（二）</w:t>
      </w:r>
      <w:r>
        <w:rPr>
          <w:rFonts w:hint="eastAsia" w:ascii="宋体" w:hAnsi="宋体" w:eastAsia="宋体" w:cs="宋体"/>
          <w:b/>
          <w:color w:val="auto"/>
          <w:kern w:val="0"/>
          <w:sz w:val="24"/>
          <w:szCs w:val="24"/>
        </w:rPr>
        <w:t>平台上线时间要求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lang w:val="zh-CN"/>
        </w:rPr>
      </w:pPr>
      <w:r>
        <w:rPr>
          <w:rFonts w:hint="eastAsia" w:ascii="宋体" w:hAnsi="宋体" w:eastAsia="宋体" w:cs="宋体"/>
          <w:color w:val="auto"/>
          <w:kern w:val="0"/>
          <w:sz w:val="21"/>
          <w:szCs w:val="21"/>
        </w:rPr>
        <w:t>平台建设期及服务期：合同签订生效后，中标供应商须在2024年春季开学前完成平台建设、调试、上线，</w:t>
      </w:r>
      <w:r>
        <w:rPr>
          <w:rFonts w:hint="eastAsia" w:ascii="宋体" w:hAnsi="宋体" w:eastAsia="宋体" w:cs="宋体"/>
          <w:color w:val="auto"/>
          <w:kern w:val="0"/>
          <w:sz w:val="21"/>
          <w:szCs w:val="21"/>
          <w:lang w:eastAsia="zh-CN"/>
        </w:rPr>
        <w:t>并</w:t>
      </w:r>
      <w:r>
        <w:rPr>
          <w:rFonts w:hint="eastAsia" w:ascii="宋体" w:hAnsi="宋体" w:eastAsia="宋体" w:cs="宋体"/>
          <w:color w:val="auto"/>
          <w:kern w:val="0"/>
          <w:sz w:val="21"/>
          <w:szCs w:val="21"/>
        </w:rPr>
        <w:t>能正式投入使用。如因不可抗力因素（如疫情、政策干预等）需要延期的，则双方另行商议确定。</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lang w:val="zh-CN"/>
        </w:rPr>
        <w:t>（三）</w:t>
      </w:r>
      <w:r>
        <w:rPr>
          <w:rFonts w:hint="eastAsia" w:ascii="宋体" w:hAnsi="宋体" w:eastAsia="宋体" w:cs="宋体"/>
          <w:b/>
          <w:color w:val="auto"/>
          <w:kern w:val="0"/>
          <w:sz w:val="24"/>
          <w:szCs w:val="24"/>
        </w:rPr>
        <w:t>安全及保密要求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中标供应商须与采购人、入驻平台的第三方机构、学校约定保密义务，项目全体服务人员须遵守采购人的各项规章制度（含保密制度）。所接触的韶关市公办幼儿园、小学及初中专有信息仅限于服务人员在本项目中使用，不得向他人泄露，更不得用于演示或宣传。</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2、系统发布前，必须经过安全检测、避免出现安全漏洞和隐患。</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系统在建设过程和运维过程中要求在物理安全、运行安全、信息安全及安全保证技术要求四个方面按三级等保的要求进行建设。并按照《中华人民共和国网络安全法》《中华人民共和国计算机信息系统安全保护条例》和《中华人民共和国计算机软件著作权保护条例》规定开展工作，保障系统安全、稳定、健康运行。</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4、对系统运营过程中出现的突发事件有应急措施。</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lang w:val="zh-CN"/>
        </w:rPr>
        <w:t>（四）</w:t>
      </w:r>
      <w:r>
        <w:rPr>
          <w:rFonts w:hint="eastAsia" w:ascii="宋体" w:hAnsi="宋体" w:eastAsia="宋体" w:cs="宋体"/>
          <w:b/>
          <w:color w:val="auto"/>
          <w:kern w:val="0"/>
          <w:sz w:val="24"/>
          <w:szCs w:val="24"/>
        </w:rPr>
        <w:t>责任厘定重点</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入校服务前，中标供应商须与入校服务机构及学校签订合作协议，协议包含双方提供的服务、服务要求、平台服务费、双方权责、保密条款、违约责任等。责任划分如下：</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（1）学生安全：课后服务期间出现学生安全事件，第三方授课老师为第一责任人，应及时通知所属培训机构和中标供应商、所在学校领导，中标供应商应积极协助处理。</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交易及信息安全：入校服务过程，使用三方监管账户作为收支渠道，确保其过程中的交易信息保密、支付安全；服务机构承担提供资源、内容真实性可用性；所有交易（支付、退款）均须线上进行，服务机构不允许线下收款、退款。</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（3）服务质量：入校服务机构有责任提供符合课后服务的优质课程、师资，如课程质量不达标，按采购人相关制度对课程、机构实行退出机制；中标供应商负责对入校服务机构课堂质量进行日常听评、考核。</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lang w:val="zh-CN"/>
        </w:rPr>
        <w:t>（五）</w:t>
      </w:r>
      <w:r>
        <w:rPr>
          <w:rFonts w:hint="eastAsia" w:ascii="宋体" w:hAnsi="宋体" w:eastAsia="宋体" w:cs="宋体"/>
          <w:b/>
          <w:color w:val="auto"/>
          <w:kern w:val="0"/>
          <w:sz w:val="24"/>
          <w:szCs w:val="24"/>
        </w:rPr>
        <w:t>知识产权要求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供应商必须保证：采购人在使用供应商所提供的软件产品的任何一部分时，免受第三方提出的侵犯其专利权、商标权、版权或其他知识产权的起诉。如发生此类纠纷，由供应商承担一切责任。</w:t>
      </w:r>
      <w:r>
        <w:rPr>
          <w:rFonts w:hint="eastAsia" w:ascii="宋体" w:hAnsi="宋体" w:eastAsia="宋体" w:cs="宋体"/>
          <w:b/>
          <w:bCs/>
          <w:color w:val="auto"/>
          <w:kern w:val="0"/>
          <w:sz w:val="21"/>
          <w:szCs w:val="21"/>
        </w:rPr>
        <w:t>（保证承诺函格式由供应商自拟）</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（六）培训要求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1、中标供应商应针对本系统的最终用户和系统运行维护用户提供分层次培训。需提供灵活多样的培训方式，包括一对一培训、现场培训、集中培训等。</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2、中标供应商应详细制定人员培训方案，培训方案应包括培训目的、培训时间安排、人员层次、人数、次数、培训课程、培训组织方式等。</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3、主要培训内容包括：系统软件的结构、功能、数据结构与数据来源、安装、运行管理与维护、以及使用等。</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4、培训组织要求：对一般用户提供集中培训，培训人数不少于10人次。为采购人提供一对一培训，为管理员提供现场培训，包括详细的技术、运行管理与维护的培训。</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（七）验收标准</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1、满足合同和招标文件中列举的全部要求。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2、实现合同和招标文件中列举的全部功能和非功能要求。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3、达到合同和招标文件中列举的全部指标。</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4、文档齐全，符合合同和招标文件及相关标准要求。</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5、验收项目包括按照合同和招标文件中所标明的软件系统，及相关的技术维护文档、培训教材、使用说明书等。</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rPr>
        <w:t>（八）服务评价</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1、采购人每年对中标供应商进行一次考核，中标供应商若连续三次或累计五次考核得分为60分以下,采购人有权单方面解除或终止合同。</w:t>
      </w:r>
    </w:p>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2、具体服务评价表如下：</w:t>
      </w:r>
    </w:p>
    <w:tbl>
      <w:tblPr>
        <w:tblStyle w:val="7"/>
        <w:tblW w:w="948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9"/>
        <w:gridCol w:w="4223"/>
        <w:gridCol w:w="1470"/>
        <w:gridCol w:w="1125"/>
        <w:gridCol w:w="15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1139" w:type="dxa"/>
            <w:vAlign w:val="center"/>
          </w:tcPr>
          <w:p>
            <w:pPr>
              <w:widowControl/>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评分内容</w:t>
            </w:r>
          </w:p>
        </w:tc>
        <w:tc>
          <w:tcPr>
            <w:tcW w:w="4223" w:type="dxa"/>
            <w:vAlign w:val="center"/>
          </w:tcPr>
          <w:p>
            <w:pPr>
              <w:widowControl/>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评分项目</w:t>
            </w:r>
          </w:p>
        </w:tc>
        <w:tc>
          <w:tcPr>
            <w:tcW w:w="1470" w:type="dxa"/>
            <w:vAlign w:val="center"/>
          </w:tcPr>
          <w:p>
            <w:pPr>
              <w:widowControl/>
              <w:autoSpaceDE w:val="0"/>
              <w:autoSpaceDN w:val="0"/>
              <w:adjustRightInd w:val="0"/>
              <w:spacing w:line="360" w:lineRule="auto"/>
              <w:jc w:val="center"/>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扣减分值/次</w:t>
            </w:r>
          </w:p>
        </w:tc>
        <w:tc>
          <w:tcPr>
            <w:tcW w:w="1125" w:type="dxa"/>
            <w:vAlign w:val="center"/>
          </w:tcPr>
          <w:p>
            <w:pPr>
              <w:widowControl/>
              <w:autoSpaceDE w:val="0"/>
              <w:autoSpaceDN w:val="0"/>
              <w:adjustRightInd w:val="0"/>
              <w:spacing w:line="360" w:lineRule="auto"/>
              <w:jc w:val="left"/>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扣减分数</w:t>
            </w:r>
          </w:p>
        </w:tc>
        <w:tc>
          <w:tcPr>
            <w:tcW w:w="1531" w:type="dxa"/>
            <w:vAlign w:val="center"/>
          </w:tcPr>
          <w:p>
            <w:pPr>
              <w:widowControl/>
              <w:autoSpaceDE w:val="0"/>
              <w:autoSpaceDN w:val="0"/>
              <w:adjustRightInd w:val="0"/>
              <w:spacing w:line="360" w:lineRule="auto"/>
              <w:jc w:val="left"/>
              <w:rPr>
                <w:rFonts w:ascii="宋体" w:hAnsi="宋体" w:eastAsia="宋体" w:cs="宋体"/>
                <w:b/>
                <w:bCs/>
                <w:color w:val="auto"/>
                <w:kern w:val="0"/>
                <w:sz w:val="21"/>
                <w:szCs w:val="21"/>
              </w:rPr>
            </w:pPr>
            <w:r>
              <w:rPr>
                <w:rFonts w:hint="eastAsia" w:ascii="宋体" w:hAnsi="宋体" w:eastAsia="宋体" w:cs="宋体"/>
                <w:b/>
                <w:bCs/>
                <w:color w:val="auto"/>
                <w:kern w:val="0"/>
                <w:sz w:val="21"/>
                <w:szCs w:val="21"/>
              </w:rPr>
              <w:t>对应问题简述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restart"/>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课后服务管理平台</w:t>
            </w: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中标供应商违反安全及保密责任。</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因中标供应商自身原因，导致项目关键产出物不能按双方约定时间交付，延误项目进度。</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5</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中标供应商服务未达到要求，影响用户正常使用，且未在规定的时间内解决的。</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在服务期内，平台上传或导出的数据不完整性、不准确性、不及时性。</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平台服务咨询受理时间低于7*12小时</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中标供应商变更项目内成员，需向采购人和学校报备。</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5</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资金管理不规范，未做好相关结算对账。</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工作态度恶劣，被投诉。</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没有及时传达采购人的工作要求、没有安排好管理人员服务的。</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发现可能危及数据安全的问题，没有及时处理也没有向学校领导及采购人报告的。</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Merge w:val="continue"/>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突发事件处理失当或消极应对。</w:t>
            </w: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10</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39"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4223" w:type="dxa"/>
            <w:vAlign w:val="center"/>
          </w:tcPr>
          <w:p>
            <w:pPr>
              <w:widowControl/>
              <w:autoSpaceDE w:val="0"/>
              <w:autoSpaceDN w:val="0"/>
              <w:adjustRightInd w:val="0"/>
              <w:spacing w:line="360" w:lineRule="auto"/>
              <w:jc w:val="left"/>
              <w:rPr>
                <w:rFonts w:ascii="宋体" w:hAnsi="宋体" w:eastAsia="宋体" w:cs="宋体"/>
                <w:color w:val="auto"/>
                <w:kern w:val="0"/>
                <w:sz w:val="21"/>
                <w:szCs w:val="21"/>
              </w:rPr>
            </w:pPr>
          </w:p>
        </w:tc>
        <w:tc>
          <w:tcPr>
            <w:tcW w:w="1470"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扣减合计</w:t>
            </w:r>
          </w:p>
        </w:tc>
        <w:tc>
          <w:tcPr>
            <w:tcW w:w="1125"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c>
          <w:tcPr>
            <w:tcW w:w="1531" w:type="dxa"/>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488" w:type="dxa"/>
            <w:gridSpan w:val="5"/>
            <w:vAlign w:val="center"/>
          </w:tcPr>
          <w:p>
            <w:pPr>
              <w:widowControl/>
              <w:autoSpaceDE w:val="0"/>
              <w:autoSpaceDN w:val="0"/>
              <w:adjustRightInd w:val="0"/>
              <w:spacing w:line="360" w:lineRule="auto"/>
              <w:jc w:val="center"/>
              <w:rPr>
                <w:rFonts w:ascii="宋体" w:hAnsi="宋体" w:eastAsia="宋体" w:cs="宋体"/>
                <w:color w:val="auto"/>
                <w:kern w:val="0"/>
                <w:sz w:val="21"/>
                <w:szCs w:val="21"/>
              </w:rPr>
            </w:pPr>
            <w:r>
              <w:rPr>
                <w:rFonts w:hint="eastAsia" w:ascii="宋体" w:hAnsi="宋体" w:eastAsia="宋体" w:cs="宋体"/>
                <w:color w:val="auto"/>
                <w:kern w:val="0"/>
                <w:sz w:val="21"/>
                <w:szCs w:val="21"/>
              </w:rPr>
              <w:t>总得分=100-扣减合计</w:t>
            </w:r>
          </w:p>
        </w:tc>
      </w:tr>
    </w:tbl>
    <w:p>
      <w:pPr>
        <w:autoSpaceDE w:val="0"/>
        <w:autoSpaceDN w:val="0"/>
        <w:adjustRightInd w:val="0"/>
        <w:spacing w:line="360" w:lineRule="auto"/>
        <w:ind w:firstLine="420" w:firstLineChars="200"/>
        <w:jc w:val="left"/>
        <w:rPr>
          <w:rFonts w:ascii="宋体" w:hAnsi="宋体" w:eastAsia="宋体" w:cs="宋体"/>
          <w:color w:val="auto"/>
          <w:kern w:val="0"/>
          <w:sz w:val="21"/>
          <w:szCs w:val="21"/>
        </w:rPr>
      </w:pPr>
      <w:r>
        <w:rPr>
          <w:rFonts w:hint="eastAsia" w:ascii="宋体" w:hAnsi="宋体" w:eastAsia="宋体" w:cs="宋体"/>
          <w:color w:val="auto"/>
          <w:kern w:val="0"/>
          <w:sz w:val="21"/>
          <w:szCs w:val="21"/>
        </w:rPr>
        <w:t>3、违约责任</w:t>
      </w:r>
    </w:p>
    <w:p>
      <w:pPr>
        <w:autoSpaceDE w:val="0"/>
        <w:autoSpaceDN w:val="0"/>
        <w:adjustRightInd w:val="0"/>
        <w:spacing w:line="360" w:lineRule="auto"/>
        <w:ind w:firstLine="420" w:firstLineChars="200"/>
        <w:jc w:val="left"/>
        <w:rPr>
          <w:rFonts w:ascii="宋体" w:hAnsi="宋体" w:eastAsia="宋体" w:cs="宋体"/>
          <w:color w:val="auto"/>
          <w:kern w:val="0"/>
          <w:sz w:val="21"/>
          <w:szCs w:val="21"/>
          <w:lang w:val="zh-CN"/>
        </w:rPr>
      </w:pPr>
      <w:r>
        <w:rPr>
          <w:rFonts w:hint="eastAsia" w:ascii="宋体" w:hAnsi="宋体" w:eastAsia="宋体" w:cs="宋体"/>
          <w:color w:val="auto"/>
          <w:kern w:val="0"/>
          <w:sz w:val="21"/>
          <w:szCs w:val="21"/>
        </w:rPr>
        <w:t>服务期间，如中标供应商因工作原因导致出现各种工伤、重大安全事故及相关资料泄密等情况，采购人及学校有权单方面解除或终止合同，中标供应商应按照相应法律承担责任并赔偿因此给采购人造成的一切损失。</w:t>
      </w:r>
    </w:p>
    <w:p>
      <w:pPr>
        <w:tabs>
          <w:tab w:val="left" w:pos="180"/>
          <w:tab w:val="left" w:pos="1620"/>
        </w:tabs>
        <w:autoSpaceDE w:val="0"/>
        <w:autoSpaceDN w:val="0"/>
        <w:adjustRightInd w:val="0"/>
        <w:spacing w:line="360" w:lineRule="auto"/>
        <w:jc w:val="left"/>
        <w:rPr>
          <w:rFonts w:ascii="宋体" w:hAnsi="宋体" w:eastAsia="宋体" w:cs="宋体"/>
          <w:b/>
          <w:color w:val="auto"/>
          <w:kern w:val="0"/>
          <w:sz w:val="24"/>
          <w:szCs w:val="24"/>
        </w:rPr>
      </w:pPr>
      <w:r>
        <w:rPr>
          <w:rFonts w:hint="eastAsia" w:ascii="宋体" w:hAnsi="宋体" w:eastAsia="宋体" w:cs="宋体"/>
          <w:b/>
          <w:color w:val="auto"/>
          <w:kern w:val="0"/>
          <w:sz w:val="24"/>
          <w:szCs w:val="24"/>
          <w:lang w:val="zh-CN"/>
        </w:rPr>
        <w:t>（九）</w:t>
      </w:r>
      <w:r>
        <w:rPr>
          <w:rFonts w:hint="eastAsia" w:ascii="宋体" w:hAnsi="宋体" w:eastAsia="宋体" w:cs="宋体"/>
          <w:b/>
          <w:color w:val="auto"/>
          <w:kern w:val="0"/>
          <w:sz w:val="24"/>
          <w:szCs w:val="24"/>
        </w:rPr>
        <w:t>平台服务费用</w:t>
      </w:r>
    </w:p>
    <w:p>
      <w:pPr>
        <w:autoSpaceDE w:val="0"/>
        <w:autoSpaceDN w:val="0"/>
        <w:adjustRightInd w:val="0"/>
        <w:spacing w:line="360" w:lineRule="auto"/>
        <w:ind w:firstLine="420" w:firstLineChars="200"/>
        <w:jc w:val="left"/>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为保障课后服务管理平台的正常运行，平台的开发成本、运维成本、服务人员成本等费用将由使用该平台的课后服务机构和学校支付，采购人无支付义务。具体费用由中标供应商与使用该平台的课后服务机构及学校自主协商，第三方机构及学校需与中标供应商签订合作协议。中标供应商开具的正式发票（开票的形式及要求以</w:t>
      </w:r>
      <w:r>
        <w:rPr>
          <w:rFonts w:hint="eastAsia" w:ascii="宋体" w:hAnsi="宋体" w:eastAsia="宋体" w:cs="宋体"/>
          <w:color w:val="auto"/>
          <w:kern w:val="0"/>
          <w:sz w:val="21"/>
          <w:szCs w:val="21"/>
          <w:lang w:val="en-US" w:eastAsia="zh-CN"/>
        </w:rPr>
        <w:t>双方签订合作协议</w:t>
      </w:r>
      <w:r>
        <w:rPr>
          <w:rFonts w:hint="eastAsia" w:ascii="宋体" w:hAnsi="宋体" w:eastAsia="宋体" w:cs="宋体"/>
          <w:color w:val="auto"/>
          <w:kern w:val="0"/>
          <w:sz w:val="21"/>
          <w:szCs w:val="21"/>
        </w:rPr>
        <w:t>为准）</w:t>
      </w:r>
      <w:r>
        <w:rPr>
          <w:rFonts w:hint="eastAsia" w:ascii="宋体" w:hAnsi="宋体" w:eastAsia="宋体" w:cs="宋体"/>
          <w:color w:val="auto"/>
          <w:kern w:val="0"/>
          <w:sz w:val="21"/>
          <w:szCs w:val="21"/>
          <w:lang w:eastAsia="zh-CN"/>
        </w:rPr>
        <w:t>。</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6"/>
                          </w:pPr>
                          <w:r>
                            <w:fldChar w:fldCharType="begin"/>
                          </w:r>
                          <w:r>
                            <w:instrText xml:space="preserve"> PAGE  \* MERGEFORMAT </w:instrText>
                          </w:r>
                          <w:r>
                            <w:fldChar w:fldCharType="separate"/>
                          </w:r>
                          <w:r>
                            <w:t>1</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">
              <v:fill on="f" focussize="0,0"/>
              <v:stroke on="f"/>
              <v:imagedata o:title=""/>
              <o:lock v:ext="edit" aspectratio="f"/>
              <v:textbox inset="0mm,0mm,0mm,0mm" style="mso-fit-shape-to-text:t;">
                <w:txbxContent>
                  <w:p>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MzZDEwZTdhMjNiOTUxMzNkMjVkODVmMzA0ZTM0ZmMifQ=="/>
  </w:docVars>
  <w:rsids>
    <w:rsidRoot w:val="00EC43FA"/>
    <w:rsid w:val="000064B0"/>
    <w:rsid w:val="00155C0F"/>
    <w:rsid w:val="00321E0C"/>
    <w:rsid w:val="00606828"/>
    <w:rsid w:val="00C475E0"/>
    <w:rsid w:val="00C6189D"/>
    <w:rsid w:val="00CE74B8"/>
    <w:rsid w:val="00EC43FA"/>
    <w:rsid w:val="00F1181D"/>
    <w:rsid w:val="018B2CA4"/>
    <w:rsid w:val="02044192"/>
    <w:rsid w:val="04BD70EB"/>
    <w:rsid w:val="06374448"/>
    <w:rsid w:val="06EA7DD7"/>
    <w:rsid w:val="0BB7109E"/>
    <w:rsid w:val="0C082ED0"/>
    <w:rsid w:val="0C1E3574"/>
    <w:rsid w:val="148F2059"/>
    <w:rsid w:val="16111E56"/>
    <w:rsid w:val="1ED11214"/>
    <w:rsid w:val="1FF22329"/>
    <w:rsid w:val="21CF291C"/>
    <w:rsid w:val="27683BC2"/>
    <w:rsid w:val="29C56CC2"/>
    <w:rsid w:val="2A061F81"/>
    <w:rsid w:val="2A484107"/>
    <w:rsid w:val="363819F5"/>
    <w:rsid w:val="385E4443"/>
    <w:rsid w:val="3B83667B"/>
    <w:rsid w:val="412D0B81"/>
    <w:rsid w:val="42F07955"/>
    <w:rsid w:val="46597DED"/>
    <w:rsid w:val="496411FC"/>
    <w:rsid w:val="4AE07386"/>
    <w:rsid w:val="51124F26"/>
    <w:rsid w:val="55A751E1"/>
    <w:rsid w:val="56F7060E"/>
    <w:rsid w:val="5CC737D1"/>
    <w:rsid w:val="66CB0BDC"/>
    <w:rsid w:val="6D816E4A"/>
    <w:rsid w:val="6DED022D"/>
    <w:rsid w:val="714275DF"/>
    <w:rsid w:val="729C05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Calibri" w:cs="Times New Roman"/>
      <w:kern w:val="2"/>
      <w:sz w:val="21"/>
      <w:szCs w:val="22"/>
      <w:lang w:val="en-US" w:eastAsia="zh-CN" w:bidi="ar-SA"/>
    </w:rPr>
  </w:style>
  <w:style w:type="paragraph" w:styleId="3">
    <w:name w:val="heading 1"/>
    <w:basedOn w:val="1"/>
    <w:next w:val="1"/>
    <w:qFormat/>
    <w:uiPriority w:val="0"/>
    <w:pPr>
      <w:keepNext/>
      <w:widowControl/>
      <w:jc w:val="left"/>
      <w:outlineLvl w:val="0"/>
    </w:pPr>
    <w:rPr>
      <w:b/>
      <w:bCs/>
      <w:kern w:val="0"/>
      <w:sz w:val="2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Normal Indent"/>
    <w:basedOn w:val="1"/>
    <w:next w:val="1"/>
    <w:qFormat/>
    <w:uiPriority w:val="0"/>
    <w:pPr>
      <w:widowControl/>
      <w:autoSpaceDE/>
      <w:autoSpaceDN/>
      <w:adjustRightInd/>
      <w:ind w:firstLine="420" w:firstLineChars="200"/>
    </w:pPr>
    <w:rPr>
      <w:rFonts w:ascii="Times New Roman"/>
      <w:sz w:val="20"/>
      <w:szCs w:val="20"/>
    </w:rPr>
  </w:style>
  <w:style w:type="paragraph" w:styleId="4">
    <w:name w:val="annotation text"/>
    <w:basedOn w:val="1"/>
    <w:link w:val="14"/>
    <w:qFormat/>
    <w:uiPriority w:val="0"/>
    <w:pPr>
      <w:jc w:val="left"/>
    </w:pPr>
    <w:rPr>
      <w:rFonts w:asciiTheme="minorHAnsi" w:hAnsiTheme="minorHAnsi" w:eastAsiaTheme="minorEastAsia" w:cstheme="minorBidi"/>
      <w:szCs w:val="24"/>
    </w:rPr>
  </w:style>
  <w:style w:type="paragraph" w:styleId="5">
    <w:name w:val="Plain Text"/>
    <w:basedOn w:val="1"/>
    <w:next w:val="1"/>
    <w:qFormat/>
    <w:uiPriority w:val="99"/>
    <w:rPr>
      <w:rFonts w:ascii="宋体" w:hAnsi="Courier New" w:cs="Courier New"/>
      <w:szCs w:val="21"/>
    </w:rPr>
  </w:style>
  <w:style w:type="paragraph" w:styleId="6">
    <w:name w:val="footer"/>
    <w:basedOn w:val="1"/>
    <w:qFormat/>
    <w:uiPriority w:val="0"/>
    <w:pPr>
      <w:tabs>
        <w:tab w:val="center" w:pos="4153"/>
        <w:tab w:val="right" w:pos="8306"/>
      </w:tabs>
      <w:snapToGrid w:val="0"/>
      <w:jc w:val="left"/>
    </w:pPr>
    <w:rPr>
      <w:sz w:val="18"/>
    </w:rPr>
  </w:style>
  <w:style w:type="character" w:styleId="9">
    <w:name w:val="annotation reference"/>
    <w:qFormat/>
    <w:uiPriority w:val="0"/>
    <w:rPr>
      <w:sz w:val="21"/>
      <w:szCs w:val="21"/>
    </w:rPr>
  </w:style>
  <w:style w:type="paragraph" w:customStyle="1" w:styleId="10">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styleId="11">
    <w:name w:val="List Paragraph"/>
    <w:basedOn w:val="1"/>
    <w:qFormat/>
    <w:uiPriority w:val="99"/>
    <w:pPr>
      <w:ind w:firstLine="420" w:firstLineChars="200"/>
    </w:pPr>
    <w:rPr>
      <w:rFonts w:eastAsia="宋体"/>
      <w:szCs w:val="24"/>
    </w:rPr>
  </w:style>
  <w:style w:type="paragraph" w:customStyle="1" w:styleId="12">
    <w:name w:val="表格文字"/>
    <w:basedOn w:val="1"/>
    <w:qFormat/>
    <w:uiPriority w:val="0"/>
    <w:pPr>
      <w:spacing w:before="25" w:after="25" w:line="300" w:lineRule="auto"/>
    </w:pPr>
    <w:rPr>
      <w:rFonts w:ascii="宋体" w:hAnsi="宋体"/>
      <w:spacing w:val="10"/>
      <w:sz w:val="24"/>
    </w:rPr>
  </w:style>
  <w:style w:type="paragraph" w:customStyle="1" w:styleId="13">
    <w:name w:val="Revision"/>
    <w:hidden/>
    <w:unhideWhenUsed/>
    <w:qFormat/>
    <w:uiPriority w:val="99"/>
    <w:rPr>
      <w:rFonts w:ascii="Calibri" w:hAnsi="Calibri" w:eastAsia="Calibri" w:cs="Times New Roman"/>
      <w:kern w:val="2"/>
      <w:sz w:val="21"/>
      <w:szCs w:val="22"/>
      <w:lang w:val="en-US" w:eastAsia="zh-CN" w:bidi="ar-SA"/>
    </w:rPr>
  </w:style>
  <w:style w:type="character" w:customStyle="1" w:styleId="14">
    <w:name w:val="批注文字 字符"/>
    <w:basedOn w:val="8"/>
    <w:link w:val="4"/>
    <w:qFormat/>
    <w:uiPriority w:val="0"/>
    <w:rPr>
      <w:kern w:val="2"/>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2238</Words>
  <Characters>12758</Characters>
  <Lines>106</Lines>
  <Paragraphs>29</Paragraphs>
  <TotalTime>3</TotalTime>
  <ScaleCrop>false</ScaleCrop>
  <LinksUpToDate>false</LinksUpToDate>
  <CharactersWithSpaces>14967</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2023-10-26T01:41:00Z</dcterms:created>
  <dc:creator>Administrator</dc:creator>
  <cp:lastModifiedBy>bangong</cp:lastModifiedBy>
  <dcterms:modified xsi:type="dcterms:W3CDTF">2023-12-19T08:52:42Z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BD1F5A880B104BC39C7D36445404811C</vt:lpwstr>
  </property>
</Properties>
</file>