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3FBBE7">
      <w:pPr>
        <w:jc w:val="center"/>
        <w:rPr>
          <w:rFonts w:hint="eastAsia" w:ascii="方正楷体简体" w:hAnsi="方正楷体简体" w:eastAsia="方正楷体简体" w:cs="方正楷体简体"/>
          <w:b/>
          <w:bCs/>
          <w:i w:val="0"/>
          <w:iCs w:val="0"/>
          <w:caps w:val="0"/>
          <w:color w:val="333333"/>
          <w:spacing w:val="0"/>
          <w:sz w:val="40"/>
          <w:szCs w:val="40"/>
          <w:shd w:val="clear" w:fill="FFFFFF"/>
          <w:lang w:val="en-US" w:eastAsia="zh-CN"/>
        </w:rPr>
      </w:pPr>
    </w:p>
    <w:p w14:paraId="343929FA">
      <w:pPr>
        <w:jc w:val="center"/>
        <w:outlineLvl w:val="0"/>
        <w:rPr>
          <w:rFonts w:hint="eastAsia" w:ascii="方正楷体简体" w:hAnsi="方正楷体简体" w:eastAsia="方正楷体简体" w:cs="方正楷体简体"/>
          <w:b/>
          <w:bCs/>
          <w:i w:val="0"/>
          <w:iCs w:val="0"/>
          <w:caps w:val="0"/>
          <w:color w:val="333333"/>
          <w:spacing w:val="0"/>
          <w:sz w:val="40"/>
          <w:szCs w:val="40"/>
          <w:shd w:val="clear" w:fill="FFFFFF"/>
          <w:lang w:val="en-US" w:eastAsia="zh-CN"/>
        </w:rPr>
      </w:pPr>
      <w:r>
        <w:rPr>
          <w:rFonts w:hint="eastAsia" w:ascii="方正楷体简体" w:hAnsi="方正楷体简体" w:eastAsia="方正楷体简体" w:cs="方正楷体简体"/>
          <w:b/>
          <w:bCs/>
          <w:i w:val="0"/>
          <w:iCs w:val="0"/>
          <w:caps w:val="0"/>
          <w:color w:val="333333"/>
          <w:spacing w:val="0"/>
          <w:sz w:val="40"/>
          <w:szCs w:val="40"/>
          <w:shd w:val="clear" w:fill="FFFFFF"/>
          <w:lang w:val="en-US" w:eastAsia="zh-CN"/>
        </w:rPr>
        <w:t>佛山市医疗保险住院费用DRGs分值付费法(点数法)实施服务项目采购需求说明</w:t>
      </w:r>
    </w:p>
    <w:p w14:paraId="556C5F5B">
      <w:pPr>
        <w:rPr>
          <w:rFonts w:ascii="宋体" w:hAnsi="宋体" w:eastAsia="宋体" w:cs="宋体"/>
          <w:b/>
          <w:bCs/>
          <w:spacing w:val="4"/>
          <w:sz w:val="28"/>
          <w:szCs w:val="28"/>
        </w:rPr>
      </w:pPr>
    </w:p>
    <w:p w14:paraId="31A4BF21">
      <w:pPr>
        <w:rPr>
          <w:rFonts w:ascii="宋体" w:hAnsi="宋体" w:eastAsia="宋体" w:cs="宋体"/>
          <w:b/>
          <w:bCs/>
          <w:spacing w:val="4"/>
          <w:sz w:val="28"/>
          <w:szCs w:val="28"/>
        </w:rPr>
      </w:pPr>
    </w:p>
    <w:p w14:paraId="08E7F981">
      <w:pPr>
        <w:rPr>
          <w:rFonts w:ascii="宋体" w:hAnsi="宋体" w:eastAsia="宋体" w:cs="宋体"/>
          <w:spacing w:val="4"/>
          <w:sz w:val="28"/>
          <w:szCs w:val="28"/>
        </w:rPr>
      </w:pPr>
      <w:r>
        <w:rPr>
          <w:rFonts w:ascii="宋体" w:hAnsi="宋体" w:eastAsia="宋体" w:cs="宋体"/>
          <w:b/>
          <w:bCs/>
          <w:spacing w:val="4"/>
          <w:sz w:val="28"/>
          <w:szCs w:val="28"/>
        </w:rPr>
        <w:t>项目名称：</w:t>
      </w:r>
      <w:r>
        <w:rPr>
          <w:rFonts w:ascii="宋体" w:hAnsi="宋体" w:eastAsia="宋体" w:cs="宋体"/>
          <w:spacing w:val="4"/>
          <w:sz w:val="28"/>
          <w:szCs w:val="28"/>
        </w:rPr>
        <w:t>佛山市医疗保险住院费用</w:t>
      </w:r>
      <w:r>
        <w:rPr>
          <w:rFonts w:ascii="Corbel" w:hAnsi="Corbel" w:eastAsia="Corbel" w:cs="Corbel"/>
          <w:sz w:val="28"/>
          <w:szCs w:val="28"/>
        </w:rPr>
        <w:t>DRGs</w:t>
      </w:r>
      <w:r>
        <w:rPr>
          <w:rFonts w:ascii="宋体" w:hAnsi="宋体" w:eastAsia="宋体" w:cs="宋体"/>
          <w:spacing w:val="4"/>
          <w:sz w:val="28"/>
          <w:szCs w:val="28"/>
        </w:rPr>
        <w:t>分值付费法（点数法）实施服务项目</w:t>
      </w:r>
    </w:p>
    <w:p w14:paraId="0DC5561B">
      <w:pPr>
        <w:rPr>
          <w:rFonts w:ascii="宋体" w:hAnsi="宋体" w:eastAsia="宋体" w:cs="宋体"/>
          <w:spacing w:val="4"/>
          <w:sz w:val="28"/>
          <w:szCs w:val="28"/>
        </w:rPr>
      </w:pPr>
      <w:r>
        <w:rPr>
          <w:rFonts w:ascii="宋体" w:hAnsi="宋体" w:eastAsia="宋体" w:cs="宋体"/>
          <w:b/>
          <w:bCs/>
          <w:spacing w:val="4"/>
          <w:sz w:val="28"/>
          <w:szCs w:val="28"/>
        </w:rPr>
        <w:t>预算金额：</w:t>
      </w:r>
      <w:r>
        <w:rPr>
          <w:rFonts w:hint="eastAsia" w:ascii="宋体" w:hAnsi="宋体" w:eastAsia="宋体" w:cs="宋体"/>
          <w:spacing w:val="4"/>
          <w:sz w:val="28"/>
          <w:szCs w:val="28"/>
          <w:lang w:val="en-US" w:eastAsia="zh-CN"/>
        </w:rPr>
        <w:t>3</w:t>
      </w:r>
      <w:r>
        <w:rPr>
          <w:rFonts w:ascii="宋体" w:hAnsi="宋体" w:eastAsia="宋体" w:cs="宋体"/>
          <w:spacing w:val="4"/>
          <w:sz w:val="28"/>
          <w:szCs w:val="28"/>
        </w:rPr>
        <w:t>,</w:t>
      </w:r>
      <w:r>
        <w:rPr>
          <w:rFonts w:hint="eastAsia" w:ascii="宋体" w:hAnsi="宋体" w:eastAsia="宋体" w:cs="宋体"/>
          <w:spacing w:val="4"/>
          <w:sz w:val="28"/>
          <w:szCs w:val="28"/>
          <w:lang w:val="en-US" w:eastAsia="zh-CN"/>
        </w:rPr>
        <w:t>00</w:t>
      </w:r>
      <w:r>
        <w:rPr>
          <w:rFonts w:ascii="宋体" w:hAnsi="宋体" w:eastAsia="宋体" w:cs="宋体"/>
          <w:spacing w:val="4"/>
          <w:sz w:val="28"/>
          <w:szCs w:val="28"/>
        </w:rPr>
        <w:t>0,000.00元</w:t>
      </w:r>
    </w:p>
    <w:p w14:paraId="32C59D0C">
      <w:pPr>
        <w:rPr>
          <w:rFonts w:hint="default" w:ascii="宋体" w:hAnsi="宋体" w:eastAsia="宋体" w:cs="宋体"/>
          <w:b/>
          <w:bCs/>
          <w:spacing w:val="4"/>
          <w:sz w:val="28"/>
          <w:szCs w:val="28"/>
          <w:lang w:val="en-US" w:eastAsia="zh-CN"/>
        </w:rPr>
      </w:pPr>
      <w:r>
        <w:rPr>
          <w:rFonts w:ascii="宋体" w:hAnsi="宋体" w:eastAsia="宋体" w:cs="宋体"/>
          <w:b/>
          <w:bCs/>
          <w:spacing w:val="4"/>
          <w:sz w:val="28"/>
          <w:szCs w:val="28"/>
        </w:rPr>
        <w:t>合同履行期限：</w:t>
      </w:r>
      <w:bookmarkStart w:id="0" w:name="OLE_LINK1"/>
      <w:r>
        <w:rPr>
          <w:rFonts w:hint="eastAsia" w:ascii="宋体" w:hAnsi="宋体" w:eastAsia="宋体" w:cs="宋体"/>
          <w:b w:val="0"/>
          <w:bCs w:val="0"/>
          <w:spacing w:val="4"/>
          <w:sz w:val="28"/>
          <w:szCs w:val="28"/>
          <w:lang w:eastAsia="zh-CN"/>
        </w:rPr>
        <w:t>一年（服务至</w:t>
      </w:r>
      <w:r>
        <w:rPr>
          <w:rFonts w:hint="eastAsia" w:ascii="宋体" w:hAnsi="宋体" w:eastAsia="宋体" w:cs="宋体"/>
          <w:b w:val="0"/>
          <w:bCs w:val="0"/>
          <w:spacing w:val="4"/>
          <w:sz w:val="28"/>
          <w:szCs w:val="28"/>
          <w:lang w:val="en-US" w:eastAsia="zh-CN"/>
        </w:rPr>
        <w:t>确保按照国家、省、市要求完成2025年度相关数据清算止）</w:t>
      </w:r>
    </w:p>
    <w:bookmarkEnd w:id="0"/>
    <w:p w14:paraId="0C18472C">
      <w:pPr>
        <w:rPr>
          <w:rFonts w:ascii="宋体" w:hAnsi="宋体" w:eastAsia="宋体" w:cs="宋体"/>
          <w:spacing w:val="4"/>
          <w:sz w:val="28"/>
          <w:szCs w:val="28"/>
        </w:rPr>
      </w:pPr>
      <w:r>
        <w:rPr>
          <w:rFonts w:hint="eastAsia" w:ascii="宋体" w:hAnsi="宋体" w:eastAsia="宋体" w:cs="宋体"/>
          <w:spacing w:val="4"/>
          <w:sz w:val="28"/>
          <w:szCs w:val="28"/>
        </w:rPr>
        <w:t>合同分包</w:t>
      </w:r>
      <w:r>
        <w:rPr>
          <w:rFonts w:hint="eastAsia" w:ascii="宋体" w:hAnsi="宋体" w:eastAsia="宋体" w:cs="宋体"/>
          <w:spacing w:val="4"/>
          <w:sz w:val="28"/>
          <w:szCs w:val="28"/>
          <w:lang w:eastAsia="zh-CN"/>
        </w:rPr>
        <w:t>：</w:t>
      </w:r>
      <w:r>
        <w:rPr>
          <w:rFonts w:hint="eastAsia" w:ascii="宋体" w:hAnsi="宋体" w:eastAsia="宋体" w:cs="宋体"/>
          <w:spacing w:val="4"/>
          <w:sz w:val="28"/>
          <w:szCs w:val="28"/>
        </w:rPr>
        <w:t>不允许合同分包</w:t>
      </w:r>
    </w:p>
    <w:p w14:paraId="77D6FF0E">
      <w:pPr>
        <w:numPr>
          <w:ilvl w:val="0"/>
          <w:numId w:val="0"/>
        </w:numPr>
        <w:outlineLvl w:val="0"/>
        <w:rPr>
          <w:rFonts w:hint="eastAsia" w:ascii="宋体" w:hAnsi="宋体" w:eastAsia="宋体" w:cs="宋体"/>
          <w:b/>
          <w:bCs/>
          <w:spacing w:val="4"/>
          <w:sz w:val="28"/>
          <w:szCs w:val="28"/>
          <w:lang w:val="en-US" w:eastAsia="zh-CN"/>
        </w:rPr>
      </w:pPr>
      <w:r>
        <w:rPr>
          <w:rFonts w:hint="eastAsia" w:ascii="宋体" w:hAnsi="宋体" w:eastAsia="宋体" w:cs="宋体"/>
          <w:b/>
          <w:bCs/>
          <w:spacing w:val="4"/>
          <w:kern w:val="2"/>
          <w:sz w:val="28"/>
          <w:szCs w:val="28"/>
          <w:lang w:val="en-US" w:eastAsia="zh-CN" w:bidi="ar-SA"/>
        </w:rPr>
        <w:t>一、</w:t>
      </w:r>
      <w:r>
        <w:rPr>
          <w:rFonts w:hint="eastAsia" w:ascii="宋体" w:hAnsi="宋体" w:eastAsia="宋体" w:cs="宋体"/>
          <w:b/>
          <w:bCs/>
          <w:spacing w:val="4"/>
          <w:sz w:val="28"/>
          <w:szCs w:val="28"/>
          <w:lang w:val="en-US" w:eastAsia="zh-CN"/>
        </w:rPr>
        <w:t>总体要求</w:t>
      </w:r>
    </w:p>
    <w:p w14:paraId="37E0491C">
      <w:pPr>
        <w:keepNext w:val="0"/>
        <w:keepLines w:val="0"/>
        <w:pageBreakBefore w:val="0"/>
        <w:widowControl w:val="0"/>
        <w:kinsoku/>
        <w:wordWrap/>
        <w:overflowPunct/>
        <w:topLinePunct w:val="0"/>
        <w:autoSpaceDE/>
        <w:autoSpaceDN/>
        <w:bidi w:val="0"/>
        <w:adjustRightInd/>
        <w:snapToGrid/>
        <w:spacing w:line="360" w:lineRule="auto"/>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rPr>
        <w:t>《国家医疗保障局关于印发DRG/DIP支付方式改革三年行动计划的通知》</w:t>
      </w:r>
      <w:r>
        <w:rPr>
          <w:rFonts w:hint="eastAsia" w:ascii="宋体" w:hAnsi="宋体" w:eastAsia="宋体" w:cs="宋体"/>
          <w:spacing w:val="4"/>
          <w:sz w:val="28"/>
          <w:szCs w:val="28"/>
          <w:lang w:eastAsia="zh-CN"/>
        </w:rPr>
        <w:t>（</w:t>
      </w:r>
      <w:r>
        <w:rPr>
          <w:rFonts w:hint="eastAsia" w:ascii="宋体" w:hAnsi="宋体" w:eastAsia="宋体" w:cs="宋体"/>
          <w:spacing w:val="4"/>
          <w:sz w:val="28"/>
          <w:szCs w:val="28"/>
        </w:rPr>
        <w:t>医保发〔2021〕48号</w:t>
      </w:r>
      <w:r>
        <w:rPr>
          <w:rFonts w:hint="eastAsia" w:ascii="宋体" w:hAnsi="宋体" w:eastAsia="宋体" w:cs="宋体"/>
          <w:spacing w:val="4"/>
          <w:sz w:val="28"/>
          <w:szCs w:val="28"/>
          <w:lang w:eastAsia="zh-CN"/>
        </w:rPr>
        <w:t>）</w:t>
      </w:r>
      <w:r>
        <w:rPr>
          <w:rFonts w:hint="eastAsia" w:ascii="宋体" w:hAnsi="宋体" w:eastAsia="宋体" w:cs="宋体"/>
          <w:spacing w:val="4"/>
          <w:sz w:val="28"/>
          <w:szCs w:val="28"/>
        </w:rPr>
        <w:t>指出以习近平新时代中国特色社会主义思想为指导，坚持以人民健康为中心，以加快建立管用高效的医保支付机制为目标，分期分批加快推进，从2022到202</w:t>
      </w:r>
      <w:r>
        <w:rPr>
          <w:rFonts w:hint="eastAsia" w:ascii="宋体" w:hAnsi="宋体" w:eastAsia="宋体" w:cs="宋体"/>
          <w:spacing w:val="4"/>
          <w:sz w:val="28"/>
          <w:szCs w:val="28"/>
          <w:lang w:val="en-US" w:eastAsia="zh-CN"/>
        </w:rPr>
        <w:t>4</w:t>
      </w:r>
      <w:r>
        <w:rPr>
          <w:rFonts w:hint="eastAsia" w:ascii="宋体" w:hAnsi="宋体" w:eastAsia="宋体" w:cs="宋体"/>
          <w:spacing w:val="4"/>
          <w:sz w:val="28"/>
          <w:szCs w:val="28"/>
        </w:rPr>
        <w:t>年，全面完成DRG/DIP付费方式改革任务，推动医保高质量发展。到2024年底，全国所有统筹地区全部开展DRG/DIP付费方式改革工作，先期启动试点地区不断巩固改革成果；到2025年底，DRG/DIP支付方式覆盖所有符合条件的开展住院服务的医疗机构，基本实现病种、医保基金全覆盖。完善工作机制，加强基础建设，协同推进医疗机构配套改革，全面完成以DRG/DIP为重点的支付方式改革任务，全面建立全国统一、上下联动、内外协同、标准规范、管用高效的医保支付新机制。</w:t>
      </w:r>
    </w:p>
    <w:p w14:paraId="2F73D657">
      <w:pPr>
        <w:keepNext w:val="0"/>
        <w:keepLines w:val="0"/>
        <w:pageBreakBefore w:val="0"/>
        <w:widowControl w:val="0"/>
        <w:kinsoku/>
        <w:wordWrap/>
        <w:overflowPunct/>
        <w:topLinePunct w:val="0"/>
        <w:autoSpaceDE/>
        <w:autoSpaceDN/>
        <w:bidi w:val="0"/>
        <w:adjustRightInd/>
        <w:snapToGrid/>
        <w:spacing w:line="360" w:lineRule="auto"/>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rPr>
        <w:t>国家医保局印发关于《国家医疗保障局办公室关于做好支付方式管理子系统DRG/DIP功能模块使用衔接工作的通知</w:t>
      </w:r>
      <w:r>
        <w:rPr>
          <w:rFonts w:hint="eastAsia" w:ascii="宋体" w:hAnsi="宋体" w:eastAsia="宋体" w:cs="宋体"/>
          <w:spacing w:val="4"/>
          <w:sz w:val="28"/>
          <w:szCs w:val="28"/>
          <w:lang w:eastAsia="zh-CN"/>
        </w:rPr>
        <w:t>》</w:t>
      </w:r>
      <w:r>
        <w:rPr>
          <w:rFonts w:hint="eastAsia" w:ascii="宋体" w:hAnsi="宋体" w:eastAsia="宋体" w:cs="宋体"/>
          <w:spacing w:val="4"/>
          <w:sz w:val="28"/>
          <w:szCs w:val="28"/>
        </w:rPr>
        <w:t>（医保办函〔2022〕19号）要求加快建立管用高效的医保支付机制，推进DRG/DIP支付方式改革向纵深发展，国家医保局依托全国统一的医保信息平台开发了DRG/DIP功能模块基础版。</w:t>
      </w:r>
    </w:p>
    <w:p w14:paraId="6263E34A">
      <w:pPr>
        <w:keepNext w:val="0"/>
        <w:keepLines w:val="0"/>
        <w:pageBreakBefore w:val="0"/>
        <w:widowControl w:val="0"/>
        <w:kinsoku/>
        <w:wordWrap/>
        <w:overflowPunct/>
        <w:topLinePunct w:val="0"/>
        <w:autoSpaceDE/>
        <w:autoSpaceDN/>
        <w:bidi w:val="0"/>
        <w:adjustRightInd/>
        <w:snapToGrid/>
        <w:spacing w:line="360" w:lineRule="auto"/>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rPr>
        <w:t>2013年国务院办公厅发布《关于政府向社会力量购买服务的指导意见》(国办发〔2013〕96号)，就积极推进政府向社会力量购买服务工作提出了实施意见，要求进一步转变政府职能，创新社会管理，改善公共服务，促进转型升级。</w:t>
      </w:r>
    </w:p>
    <w:p w14:paraId="420EDF08">
      <w:pPr>
        <w:keepNext w:val="0"/>
        <w:keepLines w:val="0"/>
        <w:pageBreakBefore w:val="0"/>
        <w:widowControl w:val="0"/>
        <w:kinsoku/>
        <w:wordWrap/>
        <w:overflowPunct/>
        <w:topLinePunct w:val="0"/>
        <w:autoSpaceDE/>
        <w:autoSpaceDN/>
        <w:bidi w:val="0"/>
        <w:adjustRightInd/>
        <w:snapToGrid/>
        <w:spacing w:line="360" w:lineRule="auto"/>
        <w:ind w:firstLine="576" w:firstLineChars="200"/>
        <w:textAlignment w:val="auto"/>
        <w:rPr>
          <w:rFonts w:hint="eastAsia" w:ascii="宋体" w:hAnsi="宋体" w:eastAsia="宋体" w:cs="宋体"/>
          <w:spacing w:val="4"/>
          <w:sz w:val="28"/>
          <w:szCs w:val="28"/>
          <w:lang w:val="en-US" w:eastAsia="zh-CN"/>
        </w:rPr>
      </w:pPr>
    </w:p>
    <w:p w14:paraId="28AA3293">
      <w:pPr>
        <w:numPr>
          <w:ilvl w:val="0"/>
          <w:numId w:val="0"/>
        </w:numPr>
        <w:outlineLvl w:val="0"/>
        <w:rPr>
          <w:rFonts w:hint="default" w:ascii="宋体" w:hAnsi="宋体" w:eastAsia="宋体" w:cs="宋体"/>
          <w:b/>
          <w:bCs/>
          <w:spacing w:val="4"/>
          <w:sz w:val="28"/>
          <w:szCs w:val="28"/>
          <w:lang w:val="en-US" w:eastAsia="zh-CN"/>
        </w:rPr>
      </w:pPr>
      <w:r>
        <w:rPr>
          <w:rFonts w:hint="eastAsia" w:ascii="宋体" w:hAnsi="宋体" w:eastAsia="宋体" w:cs="宋体"/>
          <w:b/>
          <w:bCs/>
          <w:spacing w:val="4"/>
          <w:kern w:val="2"/>
          <w:sz w:val="28"/>
          <w:szCs w:val="28"/>
          <w:lang w:val="en-US" w:eastAsia="zh-CN" w:bidi="ar-SA"/>
        </w:rPr>
        <w:t>二、</w:t>
      </w:r>
      <w:r>
        <w:rPr>
          <w:rFonts w:hint="eastAsia" w:ascii="宋体" w:hAnsi="宋体" w:eastAsia="宋体" w:cs="宋体"/>
          <w:b/>
          <w:bCs/>
          <w:spacing w:val="4"/>
          <w:sz w:val="28"/>
          <w:szCs w:val="28"/>
          <w:lang w:val="en-US" w:eastAsia="zh-CN"/>
        </w:rPr>
        <w:t>项目概况</w:t>
      </w:r>
    </w:p>
    <w:p w14:paraId="732DA7A0">
      <w:pPr>
        <w:keepNext w:val="0"/>
        <w:keepLines w:val="0"/>
        <w:pageBreakBefore w:val="0"/>
        <w:widowControl w:val="0"/>
        <w:kinsoku/>
        <w:wordWrap/>
        <w:overflowPunct/>
        <w:topLinePunct w:val="0"/>
        <w:autoSpaceDE/>
        <w:autoSpaceDN/>
        <w:bidi w:val="0"/>
        <w:adjustRightInd/>
        <w:snapToGrid/>
        <w:spacing w:line="360" w:lineRule="auto"/>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rPr>
        <w:t>佛山市社会保险基金管理局紧跟国家和省DRG医疗付费改革的步伐，各类标准按照国家文件标准执行。按照“保证质量、控制成本、规范诊疗、提高医务人员积极性”为核心的DRG分值付费管理原则，</w:t>
      </w:r>
      <w:r>
        <w:rPr>
          <w:rFonts w:hint="eastAsia" w:ascii="宋体" w:hAnsi="宋体" w:eastAsia="宋体" w:cs="宋体"/>
          <w:spacing w:val="4"/>
          <w:sz w:val="28"/>
          <w:szCs w:val="28"/>
          <w:lang w:val="en-US" w:eastAsia="zh-CN"/>
        </w:rPr>
        <w:t>逐步</w:t>
      </w:r>
      <w:r>
        <w:rPr>
          <w:rFonts w:hint="eastAsia" w:ascii="宋体" w:hAnsi="宋体" w:eastAsia="宋体" w:cs="宋体"/>
          <w:spacing w:val="4"/>
          <w:sz w:val="28"/>
          <w:szCs w:val="28"/>
          <w:lang w:eastAsia="zh-CN"/>
        </w:rPr>
        <w:t>实现医疗机构的基础编码统一、DRG分组完善、总额确定、基准点数和差异系数测算精准，稳步推进DRG付费工作</w:t>
      </w:r>
      <w:r>
        <w:rPr>
          <w:rFonts w:hint="eastAsia" w:ascii="宋体" w:hAnsi="宋体" w:eastAsia="宋体" w:cs="宋体"/>
          <w:spacing w:val="4"/>
          <w:sz w:val="28"/>
          <w:szCs w:val="28"/>
        </w:rPr>
        <w:t>。全面实现符合</w:t>
      </w:r>
      <w:r>
        <w:rPr>
          <w:rFonts w:hint="eastAsia" w:ascii="宋体" w:hAnsi="宋体" w:eastAsia="宋体" w:cs="宋体"/>
          <w:spacing w:val="4"/>
          <w:sz w:val="28"/>
          <w:szCs w:val="28"/>
          <w:lang w:val="en-US" w:eastAsia="zh-CN"/>
        </w:rPr>
        <w:t>佛山</w:t>
      </w:r>
      <w:r>
        <w:rPr>
          <w:rFonts w:hint="eastAsia" w:ascii="宋体" w:hAnsi="宋体" w:eastAsia="宋体" w:cs="宋体"/>
          <w:spacing w:val="4"/>
          <w:sz w:val="28"/>
          <w:szCs w:val="28"/>
        </w:rPr>
        <w:t>实际和医疗服务特点的医保基金支付体系，建立医保基金审核评估机制，确保医保基金使用安全、高效。</w:t>
      </w:r>
    </w:p>
    <w:p w14:paraId="593D479B">
      <w:pPr>
        <w:keepNext w:val="0"/>
        <w:keepLines w:val="0"/>
        <w:pageBreakBefore w:val="0"/>
        <w:widowControl w:val="0"/>
        <w:kinsoku/>
        <w:wordWrap/>
        <w:overflowPunct/>
        <w:topLinePunct w:val="0"/>
        <w:autoSpaceDE/>
        <w:autoSpaceDN/>
        <w:bidi w:val="0"/>
        <w:adjustRightInd/>
        <w:snapToGrid/>
        <w:spacing w:line="360" w:lineRule="auto"/>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rPr>
        <w:t>DRG点数法支付方式改革工作专业性强，</w:t>
      </w:r>
      <w:r>
        <w:rPr>
          <w:rFonts w:hint="eastAsia" w:ascii="宋体" w:hAnsi="宋体" w:eastAsia="宋体" w:cs="宋体"/>
          <w:spacing w:val="4"/>
          <w:sz w:val="28"/>
          <w:szCs w:val="28"/>
          <w:lang w:val="en-US" w:eastAsia="zh-CN"/>
        </w:rPr>
        <w:t>亟需</w:t>
      </w:r>
      <w:r>
        <w:rPr>
          <w:rFonts w:hint="eastAsia" w:ascii="宋体" w:hAnsi="宋体" w:eastAsia="宋体" w:cs="宋体"/>
          <w:spacing w:val="4"/>
          <w:sz w:val="28"/>
          <w:szCs w:val="28"/>
        </w:rPr>
        <w:t>借助专业实施队伍、配套专家体系和分组系统的支撑，现因医保队伍编制及专业人员力量不足。2018年起，佛山</w:t>
      </w:r>
      <w:r>
        <w:rPr>
          <w:rFonts w:hint="eastAsia" w:ascii="宋体" w:hAnsi="宋体" w:eastAsia="宋体" w:cs="宋体"/>
          <w:spacing w:val="4"/>
          <w:sz w:val="28"/>
          <w:szCs w:val="28"/>
          <w:lang w:val="en-US" w:eastAsia="zh-CN"/>
        </w:rPr>
        <w:t>通过</w:t>
      </w:r>
      <w:r>
        <w:rPr>
          <w:rFonts w:hint="eastAsia" w:ascii="宋体" w:hAnsi="宋体" w:eastAsia="宋体" w:cs="宋体"/>
          <w:spacing w:val="4"/>
          <w:sz w:val="28"/>
          <w:szCs w:val="28"/>
        </w:rPr>
        <w:t>采用以政府购买服务的形式委托第三方建设DRG分值付费平台及提供DRG分值付费法（点数法）实施服务。2019年5月份，佛山市成为广东省唯一的国家疾病诊断相关分组（DRG）付费试点城市。目前，佛山已实行了7个（2018年-2024年）完整年度的DRG实际付费，医保改革工作赢得了医疗机构的广泛认可。故佛山市社会保险基金管理局将继续以政府购买服务的形式委托第三方开展DRG分值付费的医保支付应用。</w:t>
      </w:r>
    </w:p>
    <w:p w14:paraId="7F73E947">
      <w:pPr>
        <w:keepNext w:val="0"/>
        <w:keepLines w:val="0"/>
        <w:pageBreakBefore w:val="0"/>
        <w:widowControl w:val="0"/>
        <w:kinsoku/>
        <w:wordWrap/>
        <w:overflowPunct/>
        <w:topLinePunct w:val="0"/>
        <w:autoSpaceDE/>
        <w:autoSpaceDN/>
        <w:bidi w:val="0"/>
        <w:adjustRightInd/>
        <w:snapToGrid/>
        <w:spacing w:line="360" w:lineRule="auto"/>
        <w:ind w:firstLine="576" w:firstLineChars="200"/>
        <w:textAlignment w:val="auto"/>
        <w:rPr>
          <w:rFonts w:hint="eastAsia" w:ascii="宋体" w:hAnsi="宋体" w:eastAsia="宋体" w:cs="宋体"/>
          <w:spacing w:val="4"/>
          <w:sz w:val="28"/>
          <w:szCs w:val="28"/>
        </w:rPr>
      </w:pPr>
    </w:p>
    <w:p w14:paraId="27DB9FCE">
      <w:pPr>
        <w:numPr>
          <w:ilvl w:val="0"/>
          <w:numId w:val="0"/>
        </w:numPr>
        <w:outlineLvl w:val="0"/>
        <w:rPr>
          <w:rFonts w:hint="eastAsia" w:ascii="宋体" w:hAnsi="宋体" w:eastAsia="宋体" w:cs="宋体"/>
          <w:b/>
          <w:bCs/>
          <w:spacing w:val="4"/>
          <w:sz w:val="28"/>
          <w:szCs w:val="28"/>
          <w:lang w:val="en-US" w:eastAsia="zh-CN"/>
        </w:rPr>
      </w:pPr>
      <w:r>
        <w:rPr>
          <w:rFonts w:hint="eastAsia" w:ascii="宋体" w:hAnsi="宋体" w:eastAsia="宋体" w:cs="宋体"/>
          <w:b/>
          <w:bCs/>
          <w:spacing w:val="4"/>
          <w:kern w:val="2"/>
          <w:sz w:val="28"/>
          <w:szCs w:val="28"/>
          <w:lang w:val="en-US" w:eastAsia="zh-CN" w:bidi="ar-SA"/>
        </w:rPr>
        <w:t>三、</w:t>
      </w:r>
      <w:r>
        <w:rPr>
          <w:rFonts w:hint="eastAsia" w:ascii="宋体" w:hAnsi="宋体" w:eastAsia="宋体" w:cs="宋体"/>
          <w:b/>
          <w:bCs/>
          <w:spacing w:val="4"/>
          <w:sz w:val="28"/>
          <w:szCs w:val="28"/>
          <w:lang w:val="en-US" w:eastAsia="zh-CN"/>
        </w:rPr>
        <w:t>服务目标及原则</w:t>
      </w:r>
    </w:p>
    <w:p w14:paraId="236BDADA">
      <w:pPr>
        <w:outlineLvl w:val="1"/>
        <w:rPr>
          <w:rFonts w:hint="eastAsia" w:ascii="宋体" w:hAnsi="宋体" w:eastAsia="宋体" w:cs="宋体"/>
          <w:b/>
          <w:bCs/>
          <w:spacing w:val="4"/>
          <w:sz w:val="28"/>
          <w:szCs w:val="28"/>
        </w:rPr>
      </w:pPr>
      <w:r>
        <w:rPr>
          <w:rFonts w:hint="eastAsia" w:ascii="宋体" w:hAnsi="宋体" w:eastAsia="宋体" w:cs="宋体"/>
          <w:b/>
          <w:bCs/>
          <w:spacing w:val="4"/>
          <w:sz w:val="28"/>
          <w:szCs w:val="28"/>
        </w:rPr>
        <w:t>1.服务目标</w:t>
      </w:r>
    </w:p>
    <w:p w14:paraId="78A398F9">
      <w:pPr>
        <w:keepNext w:val="0"/>
        <w:keepLines w:val="0"/>
        <w:pageBreakBefore w:val="0"/>
        <w:widowControl w:val="0"/>
        <w:kinsoku/>
        <w:wordWrap/>
        <w:overflowPunct/>
        <w:topLinePunct w:val="0"/>
        <w:autoSpaceDE/>
        <w:autoSpaceDN/>
        <w:bidi w:val="0"/>
        <w:adjustRightInd/>
        <w:snapToGrid/>
        <w:ind w:firstLine="576" w:firstLineChars="200"/>
        <w:textAlignment w:val="auto"/>
        <w:rPr>
          <w:rFonts w:ascii="宋体" w:hAnsi="宋体" w:eastAsia="宋体" w:cs="宋体"/>
          <w:spacing w:val="4"/>
          <w:kern w:val="2"/>
          <w:sz w:val="28"/>
          <w:szCs w:val="28"/>
          <w:lang w:bidi="ar-SA"/>
        </w:rPr>
      </w:pPr>
      <w:r>
        <w:rPr>
          <w:rFonts w:ascii="宋体" w:hAnsi="宋体" w:eastAsia="宋体" w:cs="宋体"/>
          <w:spacing w:val="4"/>
          <w:kern w:val="2"/>
          <w:sz w:val="28"/>
          <w:szCs w:val="28"/>
          <w:lang w:bidi="ar-SA"/>
        </w:rPr>
        <w:t>以构建高效且实用的医疗保险支付机制为宗旨，立足于佛山市2024年支付结算体系，从提升医疗保险基金精细化管理的视角，运用疾病诊断相关分组（DRG）原理，实施基于总额预算控制的DRG付费模式，旨在强化医疗保险基金的管理，提升基金运用的效率。此举旨在促进医疗机构间的合理分工与协作、有序竞争，以及医疗资源的合理配置，改善医疗服务的可及性，更有效地保障参保人员的权益，提高医疗保险基金的使用效率，规范医疗服务行为，控制医疗费用的不合理增长，确保医疗保险基金的安全、可持续运行，持续提高公众的满意度和获得感。</w:t>
      </w:r>
    </w:p>
    <w:p w14:paraId="2E393723">
      <w:pPr>
        <w:keepNext w:val="0"/>
        <w:keepLines w:val="0"/>
        <w:pageBreakBefore w:val="0"/>
        <w:widowControl w:val="0"/>
        <w:kinsoku/>
        <w:wordWrap/>
        <w:overflowPunct/>
        <w:topLinePunct w:val="0"/>
        <w:autoSpaceDE/>
        <w:autoSpaceDN/>
        <w:bidi w:val="0"/>
        <w:adjustRightInd/>
        <w:ind w:firstLine="576" w:firstLineChars="200"/>
        <w:jc w:val="both"/>
        <w:textAlignment w:val="auto"/>
        <w:rPr>
          <w:rFonts w:hint="eastAsia" w:ascii="宋体" w:hAnsi="宋体" w:eastAsia="宋体" w:cs="宋体"/>
          <w:spacing w:val="4"/>
          <w:sz w:val="28"/>
          <w:szCs w:val="28"/>
          <w:lang w:eastAsia="zh-CN"/>
        </w:rPr>
      </w:pPr>
      <w:r>
        <w:rPr>
          <w:rFonts w:ascii="宋体" w:hAnsi="宋体" w:eastAsia="宋体" w:cs="宋体"/>
          <w:spacing w:val="4"/>
          <w:kern w:val="2"/>
          <w:sz w:val="28"/>
          <w:szCs w:val="28"/>
          <w:lang w:bidi="ar-SA"/>
        </w:rPr>
        <w:t>本项目的核心目标是引入专业化的服务，构建一个与基本医疗保险基金现状及未来发展需求相适应的，集整体化、专业化、智能化和精细化于一体的基金支付管理服务体系。</w:t>
      </w:r>
    </w:p>
    <w:p w14:paraId="45EDB33B">
      <w:pPr>
        <w:outlineLvl w:val="1"/>
        <w:rPr>
          <w:rFonts w:hint="eastAsia" w:ascii="宋体" w:hAnsi="宋体" w:eastAsia="宋体" w:cs="宋体"/>
          <w:b/>
          <w:bCs/>
          <w:spacing w:val="4"/>
          <w:sz w:val="28"/>
          <w:szCs w:val="28"/>
        </w:rPr>
      </w:pPr>
      <w:r>
        <w:rPr>
          <w:rFonts w:hint="eastAsia" w:ascii="宋体" w:hAnsi="宋体" w:eastAsia="宋体" w:cs="宋体"/>
          <w:b/>
          <w:bCs/>
          <w:spacing w:val="4"/>
          <w:sz w:val="28"/>
          <w:szCs w:val="28"/>
        </w:rPr>
        <w:t>2.服务原则</w:t>
      </w:r>
    </w:p>
    <w:p w14:paraId="647F6D8B">
      <w:pPr>
        <w:outlineLvl w:val="2"/>
        <w:rPr>
          <w:rFonts w:hint="eastAsia" w:ascii="宋体" w:hAnsi="宋体" w:eastAsia="宋体" w:cs="宋体"/>
          <w:b/>
          <w:bCs/>
          <w:spacing w:val="4"/>
          <w:sz w:val="28"/>
          <w:szCs w:val="28"/>
        </w:rPr>
      </w:pPr>
      <w:r>
        <w:rPr>
          <w:rFonts w:hint="eastAsia" w:ascii="宋体" w:hAnsi="宋体" w:eastAsia="宋体" w:cs="宋体"/>
          <w:b/>
          <w:bCs/>
          <w:spacing w:val="4"/>
          <w:sz w:val="28"/>
          <w:szCs w:val="28"/>
        </w:rPr>
        <w:t>（1）用户主导、科学管理</w:t>
      </w:r>
    </w:p>
    <w:p w14:paraId="6369F1FC">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rPr>
        <w:t>坚持以医保主导为前提，佛山市社会保险基金管理局对本项目服务的监管贯穿于工作的始终。医保相关政策的制定，业务流程的设置等均由佛山市社会保险基金管理局、医保行政部门及上级部门负责。项目相关工作包括服务内容、服务标准、服务方式、执行情况等均接受上级政府相关部门的检查和审计。</w:t>
      </w:r>
    </w:p>
    <w:p w14:paraId="336A08AC">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rPr>
        <w:t>项目必须制定客观、科学的管理规程，严格自律。确保在服务过程所使用的标准、规范，都必须严格执行国家、省、市的相关政策，立足于真实的数据，坚持实事求是，坚持公平、公正、公开的基本原则，服务过程不受任何人为因素干扰。</w:t>
      </w:r>
    </w:p>
    <w:p w14:paraId="3AF31501">
      <w:pPr>
        <w:outlineLvl w:val="2"/>
        <w:rPr>
          <w:rFonts w:hint="eastAsia" w:ascii="宋体" w:hAnsi="宋体" w:eastAsia="宋体" w:cs="宋体"/>
          <w:b/>
          <w:bCs/>
          <w:spacing w:val="4"/>
          <w:sz w:val="28"/>
          <w:szCs w:val="28"/>
        </w:rPr>
      </w:pPr>
      <w:r>
        <w:rPr>
          <w:rFonts w:hint="eastAsia" w:ascii="宋体" w:hAnsi="宋体" w:eastAsia="宋体" w:cs="宋体"/>
          <w:b/>
          <w:bCs/>
          <w:spacing w:val="4"/>
          <w:sz w:val="28"/>
          <w:szCs w:val="28"/>
        </w:rPr>
        <w:t>（2）实用先进、安全可靠</w:t>
      </w:r>
    </w:p>
    <w:p w14:paraId="06F78D93">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rPr>
        <w:t>项目必须坚持实用先进、安全可靠的原则，在部署国家医保局统一的DRG业务系统前提下，结合本地实际情况，明确服务范围及服务内容，在项目服务过程中严格遵守数据保密相关规定，规范化操作，提供安全可靠的DRG专业服务。</w:t>
      </w:r>
    </w:p>
    <w:p w14:paraId="0E3A5BC9">
      <w:pPr>
        <w:outlineLvl w:val="2"/>
        <w:rPr>
          <w:rFonts w:hint="eastAsia" w:ascii="宋体" w:hAnsi="宋体" w:eastAsia="宋体" w:cs="宋体"/>
          <w:b/>
          <w:bCs/>
          <w:spacing w:val="4"/>
          <w:sz w:val="28"/>
          <w:szCs w:val="28"/>
        </w:rPr>
      </w:pPr>
      <w:r>
        <w:rPr>
          <w:rFonts w:hint="eastAsia" w:ascii="宋体" w:hAnsi="宋体" w:eastAsia="宋体" w:cs="宋体"/>
          <w:b/>
          <w:bCs/>
          <w:spacing w:val="4"/>
          <w:sz w:val="28"/>
          <w:szCs w:val="28"/>
        </w:rPr>
        <w:t>（3）遵循标准、规范建设</w:t>
      </w:r>
    </w:p>
    <w:p w14:paraId="611F00AF">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rPr>
        <w:t>为保证整个服务项目的规范性和可管理性，本项目需要建设一套标准规范体系，在服务过程中应严格按照相关标准规范开展工作，要统一遵循国家医疗保障局对于DRG分组及数据方面的标准，以保证本项目服务的规范性和可行性。</w:t>
      </w:r>
    </w:p>
    <w:p w14:paraId="08737949">
      <w:pPr>
        <w:outlineLvl w:val="2"/>
        <w:rPr>
          <w:rFonts w:hint="eastAsia" w:ascii="宋体" w:hAnsi="宋体" w:eastAsia="宋体" w:cs="宋体"/>
          <w:b/>
          <w:bCs/>
          <w:spacing w:val="4"/>
          <w:sz w:val="28"/>
          <w:szCs w:val="28"/>
        </w:rPr>
      </w:pPr>
      <w:r>
        <w:rPr>
          <w:rFonts w:hint="eastAsia" w:ascii="宋体" w:hAnsi="宋体" w:eastAsia="宋体" w:cs="宋体"/>
          <w:b/>
          <w:bCs/>
          <w:spacing w:val="4"/>
          <w:sz w:val="28"/>
          <w:szCs w:val="28"/>
        </w:rPr>
        <w:t>（4）积极主动、高效响应</w:t>
      </w:r>
    </w:p>
    <w:p w14:paraId="64EFAF0A">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rPr>
        <w:t>要求紧密结合佛山市医保支付方式改革工作的需要，提供主动、便捷、高效的服务工作。积极响应佛山市社会保险基金管理局的需求，对其实施的项目提供24小时不间断技术支持服务，提供电话、传真、电子邮件、现场多种方式技术支持服务，全方位及时响应需求。</w:t>
      </w:r>
    </w:p>
    <w:p w14:paraId="5C5C4CEC">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rPr>
      </w:pPr>
    </w:p>
    <w:p w14:paraId="3F13A50F">
      <w:pPr>
        <w:numPr>
          <w:ilvl w:val="0"/>
          <w:numId w:val="0"/>
        </w:numPr>
        <w:outlineLvl w:val="0"/>
        <w:rPr>
          <w:rFonts w:hint="eastAsia" w:ascii="宋体" w:hAnsi="宋体" w:eastAsia="宋体" w:cs="宋体"/>
          <w:b/>
          <w:bCs/>
          <w:spacing w:val="4"/>
          <w:sz w:val="28"/>
          <w:szCs w:val="28"/>
          <w:lang w:val="en-US" w:eastAsia="zh-CN"/>
        </w:rPr>
      </w:pPr>
      <w:r>
        <w:rPr>
          <w:rFonts w:hint="eastAsia" w:ascii="宋体" w:hAnsi="宋体" w:eastAsia="宋体" w:cs="宋体"/>
          <w:b/>
          <w:bCs/>
          <w:spacing w:val="4"/>
          <w:kern w:val="2"/>
          <w:sz w:val="28"/>
          <w:szCs w:val="28"/>
          <w:lang w:val="en-US" w:eastAsia="zh-CN" w:bidi="ar-SA"/>
        </w:rPr>
        <w:t>四、</w:t>
      </w:r>
      <w:r>
        <w:rPr>
          <w:rFonts w:hint="eastAsia" w:ascii="宋体" w:hAnsi="宋体" w:eastAsia="宋体" w:cs="宋体"/>
          <w:b/>
          <w:bCs/>
          <w:spacing w:val="4"/>
          <w:sz w:val="28"/>
          <w:szCs w:val="28"/>
          <w:lang w:val="en-US" w:eastAsia="zh-CN"/>
        </w:rPr>
        <w:t>服务范围</w:t>
      </w:r>
    </w:p>
    <w:p w14:paraId="45F8269D">
      <w:pPr>
        <w:rPr>
          <w:rFonts w:hint="eastAsia" w:ascii="宋体" w:hAnsi="宋体" w:eastAsia="宋体" w:cs="宋体"/>
          <w:spacing w:val="4"/>
          <w:sz w:val="28"/>
          <w:szCs w:val="28"/>
        </w:rPr>
      </w:pPr>
      <w:r>
        <w:rPr>
          <w:rFonts w:hint="eastAsia" w:ascii="宋体" w:hAnsi="宋体" w:eastAsia="宋体" w:cs="宋体"/>
          <w:spacing w:val="4"/>
          <w:sz w:val="28"/>
          <w:szCs w:val="28"/>
        </w:rPr>
        <w:t>项目覆盖范围：佛山市社会保险基金管理局以及辖区内所有提供住院服务的医院。</w:t>
      </w:r>
    </w:p>
    <w:p w14:paraId="0756A787">
      <w:pPr>
        <w:rPr>
          <w:rFonts w:hint="eastAsia" w:ascii="宋体" w:hAnsi="宋体" w:eastAsia="宋体" w:cs="宋体"/>
          <w:spacing w:val="4"/>
          <w:sz w:val="28"/>
          <w:szCs w:val="28"/>
        </w:rPr>
      </w:pPr>
    </w:p>
    <w:p w14:paraId="15BC8B76">
      <w:pPr>
        <w:numPr>
          <w:ilvl w:val="0"/>
          <w:numId w:val="0"/>
        </w:numPr>
        <w:outlineLvl w:val="0"/>
        <w:rPr>
          <w:rFonts w:hint="eastAsia" w:ascii="宋体" w:hAnsi="宋体" w:eastAsia="宋体" w:cs="宋体"/>
          <w:b/>
          <w:bCs/>
          <w:spacing w:val="4"/>
          <w:sz w:val="28"/>
          <w:szCs w:val="28"/>
          <w:lang w:val="en-US" w:eastAsia="zh-CN"/>
        </w:rPr>
      </w:pPr>
      <w:r>
        <w:rPr>
          <w:rFonts w:hint="eastAsia" w:ascii="宋体" w:hAnsi="宋体" w:eastAsia="宋体" w:cs="宋体"/>
          <w:b/>
          <w:bCs/>
          <w:spacing w:val="4"/>
          <w:kern w:val="2"/>
          <w:sz w:val="28"/>
          <w:szCs w:val="28"/>
          <w:lang w:val="en-US" w:eastAsia="zh-CN" w:bidi="ar-SA"/>
        </w:rPr>
        <w:t>五、</w:t>
      </w:r>
      <w:r>
        <w:rPr>
          <w:rFonts w:hint="eastAsia" w:ascii="宋体" w:hAnsi="宋体" w:eastAsia="宋体" w:cs="宋体"/>
          <w:b/>
          <w:bCs/>
          <w:spacing w:val="4"/>
          <w:sz w:val="28"/>
          <w:szCs w:val="28"/>
          <w:lang w:val="en-US" w:eastAsia="zh-CN"/>
        </w:rPr>
        <w:t>服务内容</w:t>
      </w:r>
    </w:p>
    <w:p w14:paraId="171EBD2A">
      <w:pPr>
        <w:ind w:firstLine="0" w:firstLineChars="0"/>
        <w:outlineLvl w:val="1"/>
        <w:rPr>
          <w:rFonts w:hint="eastAsia" w:ascii="宋体" w:hAnsi="宋体" w:eastAsia="宋体" w:cs="宋体"/>
          <w:b/>
          <w:bCs/>
          <w:spacing w:val="4"/>
          <w:sz w:val="28"/>
          <w:szCs w:val="28"/>
        </w:rPr>
      </w:pPr>
      <w:r>
        <w:rPr>
          <w:rFonts w:hint="eastAsia" w:ascii="宋体" w:hAnsi="宋体" w:eastAsia="宋体" w:cs="宋体"/>
          <w:b/>
          <w:bCs/>
          <w:spacing w:val="4"/>
          <w:sz w:val="28"/>
          <w:szCs w:val="28"/>
          <w:lang w:val="en-US" w:eastAsia="zh-CN"/>
        </w:rPr>
        <w:t>（一）</w:t>
      </w:r>
      <w:r>
        <w:rPr>
          <w:rFonts w:hint="eastAsia" w:ascii="宋体" w:hAnsi="宋体" w:eastAsia="宋体" w:cs="宋体"/>
          <w:b/>
          <w:bCs/>
          <w:spacing w:val="4"/>
          <w:sz w:val="28"/>
          <w:szCs w:val="28"/>
        </w:rPr>
        <w:t>医保结算清单质控和评价服务</w:t>
      </w:r>
    </w:p>
    <w:p w14:paraId="2DE4E501">
      <w:pPr>
        <w:keepNext w:val="0"/>
        <w:keepLines w:val="0"/>
        <w:pageBreakBefore w:val="0"/>
        <w:widowControl w:val="0"/>
        <w:kinsoku/>
        <w:wordWrap/>
        <w:overflowPunct/>
        <w:topLinePunct w:val="0"/>
        <w:autoSpaceDE/>
        <w:autoSpaceDN/>
        <w:bidi w:val="0"/>
        <w:adjustRightInd/>
        <w:ind w:firstLine="576" w:firstLineChars="200"/>
        <w:jc w:val="both"/>
        <w:textAlignment w:val="auto"/>
        <w:rPr>
          <w:rFonts w:hint="eastAsia" w:ascii="宋体" w:hAnsi="宋体" w:eastAsia="宋体" w:cs="宋体"/>
          <w:spacing w:val="4"/>
          <w:sz w:val="28"/>
          <w:szCs w:val="28"/>
          <w:highlight w:val="none"/>
          <w:lang w:eastAsia="zh-CN"/>
        </w:rPr>
      </w:pPr>
      <w:r>
        <w:rPr>
          <w:rFonts w:hint="eastAsia" w:ascii="宋体" w:hAnsi="宋体" w:eastAsia="宋体" w:cs="宋体"/>
          <w:spacing w:val="4"/>
          <w:sz w:val="28"/>
          <w:szCs w:val="28"/>
        </w:rPr>
        <w:t>严格按照国家相关规定对上</w:t>
      </w:r>
      <w:r>
        <w:rPr>
          <w:rFonts w:hint="eastAsia" w:ascii="宋体" w:hAnsi="宋体" w:eastAsia="宋体" w:cs="宋体"/>
          <w:spacing w:val="4"/>
          <w:sz w:val="28"/>
          <w:szCs w:val="28"/>
          <w:lang w:val="en-US" w:eastAsia="zh-CN"/>
        </w:rPr>
        <w:t>传医保结算清单等数</w:t>
      </w:r>
      <w:r>
        <w:rPr>
          <w:rFonts w:hint="eastAsia" w:ascii="宋体" w:hAnsi="宋体" w:eastAsia="宋体" w:cs="宋体"/>
          <w:spacing w:val="4"/>
          <w:sz w:val="28"/>
          <w:szCs w:val="28"/>
        </w:rPr>
        <w:t>据的完整性、规范性、合理性进行核验，开展医保结算清单、医保费用明细表等的质量控制工作，</w:t>
      </w:r>
      <w:r>
        <w:rPr>
          <w:rFonts w:ascii="宋体" w:hAnsi="宋体" w:eastAsia="宋体" w:cs="宋体"/>
          <w:spacing w:val="4"/>
          <w:kern w:val="2"/>
          <w:sz w:val="28"/>
          <w:szCs w:val="28"/>
          <w:lang w:bidi="ar-SA"/>
        </w:rPr>
        <w:t>以确保清单数据的全面性、准确性及时效性，从而保障数据质量。</w:t>
      </w:r>
      <w:r>
        <w:rPr>
          <w:rFonts w:hint="eastAsia" w:ascii="宋体" w:hAnsi="宋体" w:eastAsia="宋体" w:cs="宋体"/>
          <w:spacing w:val="4"/>
          <w:kern w:val="2"/>
          <w:sz w:val="28"/>
          <w:szCs w:val="28"/>
          <w:highlight w:val="none"/>
          <w:lang w:val="en-US" w:eastAsia="zh-CN" w:bidi="ar-SA"/>
        </w:rPr>
        <w:t>配合采购人开展</w:t>
      </w:r>
      <w:bookmarkStart w:id="1" w:name="OLE_LINK9"/>
      <w:r>
        <w:rPr>
          <w:rFonts w:hint="eastAsia" w:ascii="宋体" w:hAnsi="宋体" w:eastAsia="宋体" w:cs="宋体"/>
          <w:spacing w:val="4"/>
          <w:kern w:val="2"/>
          <w:sz w:val="28"/>
          <w:szCs w:val="28"/>
          <w:highlight w:val="none"/>
          <w:lang w:val="en-US" w:eastAsia="zh-CN" w:bidi="ar-SA"/>
        </w:rPr>
        <w:t>2.0版</w:t>
      </w:r>
      <w:bookmarkEnd w:id="1"/>
      <w:r>
        <w:rPr>
          <w:rFonts w:hint="eastAsia" w:ascii="宋体" w:hAnsi="宋体" w:eastAsia="宋体" w:cs="宋体"/>
          <w:spacing w:val="4"/>
          <w:kern w:val="2"/>
          <w:sz w:val="28"/>
          <w:szCs w:val="28"/>
          <w:highlight w:val="none"/>
          <w:lang w:val="en-US" w:eastAsia="zh-CN" w:bidi="ar-SA"/>
        </w:rPr>
        <w:t>分组培训解读，重点内容是DRG分组的新变化，入组规则和影响因素，充分体现贴近临床、符合实际的分组调整导向。</w:t>
      </w:r>
    </w:p>
    <w:p w14:paraId="109A331C">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lang w:val="en-US" w:eastAsia="zh-CN"/>
        </w:rPr>
        <w:t>1.</w:t>
      </w:r>
      <w:r>
        <w:rPr>
          <w:rFonts w:hint="eastAsia" w:ascii="宋体" w:hAnsi="宋体" w:eastAsia="宋体" w:cs="宋体"/>
          <w:spacing w:val="4"/>
          <w:sz w:val="28"/>
          <w:szCs w:val="28"/>
        </w:rPr>
        <w:t>每月对各医疗机构上传的医保结算清单数据开展质控，及时</w:t>
      </w:r>
      <w:r>
        <w:rPr>
          <w:rFonts w:hint="eastAsia" w:ascii="宋体" w:hAnsi="宋体" w:eastAsia="宋体" w:cs="宋体"/>
          <w:spacing w:val="4"/>
          <w:sz w:val="28"/>
          <w:szCs w:val="28"/>
          <w:lang w:val="en-US" w:eastAsia="zh-CN"/>
        </w:rPr>
        <w:t>识别</w:t>
      </w:r>
      <w:r>
        <w:rPr>
          <w:rFonts w:hint="eastAsia" w:ascii="宋体" w:hAnsi="宋体" w:eastAsia="宋体" w:cs="宋体"/>
          <w:spacing w:val="4"/>
          <w:sz w:val="28"/>
          <w:szCs w:val="28"/>
        </w:rPr>
        <w:t>结算清单中的错误或不规范之处，确保数据的准确性和完整性</w:t>
      </w:r>
      <w:r>
        <w:rPr>
          <w:rFonts w:hint="eastAsia" w:ascii="宋体" w:hAnsi="宋体" w:eastAsia="宋体" w:cs="宋体"/>
          <w:spacing w:val="4"/>
          <w:sz w:val="28"/>
          <w:szCs w:val="28"/>
          <w:lang w:eastAsia="zh-CN"/>
        </w:rPr>
        <w:t>，</w:t>
      </w:r>
      <w:r>
        <w:rPr>
          <w:rFonts w:hint="eastAsia" w:ascii="宋体" w:hAnsi="宋体" w:eastAsia="宋体" w:cs="宋体"/>
          <w:spacing w:val="4"/>
          <w:sz w:val="28"/>
          <w:szCs w:val="28"/>
        </w:rPr>
        <w:t>从而提高医保结算的效率和质量。</w:t>
      </w:r>
      <w:r>
        <w:rPr>
          <w:rFonts w:hint="eastAsia" w:ascii="宋体" w:hAnsi="宋体" w:eastAsia="宋体" w:cs="宋体"/>
          <w:spacing w:val="4"/>
          <w:sz w:val="28"/>
          <w:szCs w:val="28"/>
          <w:lang w:val="en-US" w:eastAsia="zh-CN"/>
        </w:rPr>
        <w:t>同时，每月</w:t>
      </w:r>
      <w:r>
        <w:rPr>
          <w:rFonts w:hint="eastAsia" w:ascii="宋体" w:hAnsi="宋体" w:eastAsia="宋体" w:cs="宋体"/>
          <w:spacing w:val="4"/>
          <w:sz w:val="28"/>
          <w:szCs w:val="28"/>
        </w:rPr>
        <w:t>对各医疗机构上传的医保结算清单的合理性、完整性、及时性进行评估。</w:t>
      </w:r>
    </w:p>
    <w:p w14:paraId="3E8BB1DB">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lang w:val="en-US" w:eastAsia="zh-CN"/>
        </w:rPr>
        <w:t>2.</w:t>
      </w:r>
      <w:r>
        <w:rPr>
          <w:rFonts w:hint="eastAsia" w:ascii="宋体" w:hAnsi="宋体" w:eastAsia="宋体" w:cs="宋体"/>
          <w:spacing w:val="4"/>
          <w:sz w:val="28"/>
          <w:szCs w:val="28"/>
        </w:rPr>
        <w:t>根据最新的医保政策和结算规则，每季度提供定点医疗机构的医保结算清单</w:t>
      </w:r>
      <w:r>
        <w:rPr>
          <w:rFonts w:hint="eastAsia" w:ascii="宋体" w:hAnsi="宋体" w:eastAsia="宋体" w:cs="宋体"/>
          <w:spacing w:val="4"/>
          <w:sz w:val="28"/>
          <w:szCs w:val="28"/>
          <w:lang w:eastAsia="zh-CN"/>
        </w:rPr>
        <w:t>、</w:t>
      </w:r>
      <w:r>
        <w:rPr>
          <w:rFonts w:hint="eastAsia" w:ascii="宋体" w:hAnsi="宋体" w:eastAsia="宋体" w:cs="宋体"/>
          <w:spacing w:val="4"/>
          <w:sz w:val="28"/>
          <w:szCs w:val="28"/>
        </w:rPr>
        <w:t>病案编码填写标准</w:t>
      </w:r>
      <w:r>
        <w:rPr>
          <w:rFonts w:hint="eastAsia" w:ascii="宋体" w:hAnsi="宋体" w:eastAsia="宋体" w:cs="宋体"/>
          <w:spacing w:val="4"/>
          <w:sz w:val="28"/>
          <w:szCs w:val="28"/>
          <w:lang w:val="en-US" w:eastAsia="zh-CN"/>
        </w:rPr>
        <w:t>指导和</w:t>
      </w:r>
      <w:r>
        <w:rPr>
          <w:rFonts w:hint="eastAsia" w:ascii="宋体" w:hAnsi="宋体" w:eastAsia="宋体" w:cs="宋体"/>
          <w:spacing w:val="4"/>
          <w:sz w:val="28"/>
          <w:szCs w:val="28"/>
        </w:rPr>
        <w:t>培训服务，指导医疗机构按照填写标准上传</w:t>
      </w:r>
      <w:r>
        <w:rPr>
          <w:rFonts w:hint="eastAsia" w:ascii="宋体" w:hAnsi="宋体" w:eastAsia="宋体" w:cs="宋体"/>
          <w:spacing w:val="4"/>
          <w:sz w:val="28"/>
          <w:szCs w:val="28"/>
          <w:lang w:eastAsia="zh-CN"/>
        </w:rPr>
        <w:t>。</w:t>
      </w:r>
      <w:r>
        <w:rPr>
          <w:rFonts w:hint="eastAsia" w:ascii="宋体" w:hAnsi="宋体" w:eastAsia="宋体" w:cs="宋体"/>
          <w:spacing w:val="4"/>
          <w:sz w:val="28"/>
          <w:szCs w:val="28"/>
        </w:rPr>
        <w:t>配合</w:t>
      </w:r>
      <w:r>
        <w:rPr>
          <w:rFonts w:hint="eastAsia" w:ascii="宋体" w:hAnsi="宋体" w:eastAsia="宋体" w:cs="宋体"/>
          <w:spacing w:val="4"/>
          <w:sz w:val="28"/>
          <w:szCs w:val="28"/>
          <w:lang w:val="en-US" w:eastAsia="zh-CN"/>
        </w:rPr>
        <w:t>采购人</w:t>
      </w:r>
      <w:r>
        <w:rPr>
          <w:rFonts w:hint="eastAsia" w:ascii="宋体" w:hAnsi="宋体" w:eastAsia="宋体" w:cs="宋体"/>
          <w:spacing w:val="4"/>
          <w:sz w:val="28"/>
          <w:szCs w:val="28"/>
        </w:rPr>
        <w:t>组织相关专业培训会，指导医疗机构规范</w:t>
      </w:r>
      <w:r>
        <w:rPr>
          <w:rFonts w:hint="eastAsia" w:ascii="宋体" w:hAnsi="宋体" w:eastAsia="宋体" w:cs="宋体"/>
          <w:spacing w:val="4"/>
          <w:sz w:val="28"/>
          <w:szCs w:val="28"/>
          <w:lang w:val="en-US" w:eastAsia="zh-CN"/>
        </w:rPr>
        <w:t>医保结算清单填报</w:t>
      </w:r>
      <w:r>
        <w:rPr>
          <w:rFonts w:hint="eastAsia" w:ascii="宋体" w:hAnsi="宋体" w:eastAsia="宋体" w:cs="宋体"/>
          <w:spacing w:val="4"/>
          <w:sz w:val="28"/>
          <w:szCs w:val="28"/>
        </w:rPr>
        <w:t>行为</w:t>
      </w:r>
      <w:r>
        <w:rPr>
          <w:rFonts w:hint="eastAsia" w:ascii="宋体" w:hAnsi="宋体" w:eastAsia="宋体" w:cs="宋体"/>
          <w:spacing w:val="4"/>
          <w:sz w:val="28"/>
          <w:szCs w:val="28"/>
          <w:lang w:eastAsia="zh-CN"/>
        </w:rPr>
        <w:t>，</w:t>
      </w:r>
      <w:r>
        <w:rPr>
          <w:rFonts w:hint="eastAsia" w:ascii="宋体" w:hAnsi="宋体" w:eastAsia="宋体" w:cs="宋体"/>
          <w:spacing w:val="4"/>
          <w:sz w:val="28"/>
          <w:szCs w:val="28"/>
        </w:rPr>
        <w:t>不断提升医保工作者的业务水平</w:t>
      </w:r>
      <w:r>
        <w:rPr>
          <w:rFonts w:hint="eastAsia" w:ascii="宋体" w:hAnsi="宋体" w:eastAsia="宋体" w:cs="宋体"/>
          <w:spacing w:val="4"/>
          <w:sz w:val="28"/>
          <w:szCs w:val="28"/>
          <w:lang w:eastAsia="zh-CN"/>
        </w:rPr>
        <w:t>，</w:t>
      </w:r>
      <w:r>
        <w:rPr>
          <w:rFonts w:hint="eastAsia" w:ascii="宋体" w:hAnsi="宋体" w:eastAsia="宋体" w:cs="宋体"/>
          <w:spacing w:val="4"/>
          <w:sz w:val="28"/>
          <w:szCs w:val="28"/>
        </w:rPr>
        <w:t>促进医疗机构更好地理解和执行医保结算的相关规定。</w:t>
      </w:r>
    </w:p>
    <w:p w14:paraId="3B639BD0">
      <w:pPr>
        <w:ind w:firstLine="0" w:firstLineChars="0"/>
        <w:outlineLvl w:val="1"/>
        <w:rPr>
          <w:rFonts w:hint="eastAsia" w:ascii="宋体" w:hAnsi="宋体" w:eastAsia="宋体" w:cs="宋体"/>
          <w:b/>
          <w:bCs/>
          <w:spacing w:val="4"/>
          <w:sz w:val="28"/>
          <w:szCs w:val="28"/>
          <w:lang w:val="en-US" w:eastAsia="zh-CN"/>
        </w:rPr>
      </w:pPr>
      <w:r>
        <w:rPr>
          <w:rFonts w:hint="eastAsia" w:ascii="宋体" w:hAnsi="宋体" w:eastAsia="宋体" w:cs="宋体"/>
          <w:b/>
          <w:bCs/>
          <w:spacing w:val="4"/>
          <w:sz w:val="28"/>
          <w:szCs w:val="28"/>
          <w:lang w:eastAsia="zh-CN"/>
        </w:rPr>
        <w:t>（</w:t>
      </w:r>
      <w:r>
        <w:rPr>
          <w:rFonts w:hint="eastAsia" w:ascii="宋体" w:hAnsi="宋体" w:eastAsia="宋体" w:cs="宋体"/>
          <w:b/>
          <w:bCs/>
          <w:spacing w:val="4"/>
          <w:sz w:val="28"/>
          <w:szCs w:val="28"/>
          <w:lang w:val="en-US" w:eastAsia="zh-CN"/>
        </w:rPr>
        <w:t>二）</w:t>
      </w:r>
      <w:r>
        <w:rPr>
          <w:rFonts w:hint="eastAsia" w:ascii="宋体" w:hAnsi="宋体" w:eastAsia="宋体" w:cs="宋体"/>
          <w:b/>
          <w:bCs/>
          <w:spacing w:val="4"/>
          <w:sz w:val="28"/>
          <w:szCs w:val="28"/>
        </w:rPr>
        <w:t>DRG月度分组、审核、结算</w:t>
      </w:r>
      <w:r>
        <w:rPr>
          <w:rFonts w:hint="eastAsia" w:ascii="宋体" w:hAnsi="宋体" w:eastAsia="宋体" w:cs="宋体"/>
          <w:b/>
          <w:bCs/>
          <w:spacing w:val="4"/>
          <w:sz w:val="28"/>
          <w:szCs w:val="28"/>
          <w:lang w:eastAsia="zh-CN"/>
        </w:rPr>
        <w:t>、</w:t>
      </w:r>
      <w:r>
        <w:rPr>
          <w:rFonts w:hint="eastAsia" w:ascii="宋体" w:hAnsi="宋体" w:eastAsia="宋体" w:cs="宋体"/>
          <w:b/>
          <w:bCs/>
          <w:spacing w:val="4"/>
          <w:sz w:val="28"/>
          <w:szCs w:val="28"/>
        </w:rPr>
        <w:t>DRG特例单议</w:t>
      </w:r>
      <w:r>
        <w:rPr>
          <w:rFonts w:hint="eastAsia" w:ascii="宋体" w:hAnsi="宋体" w:eastAsia="宋体" w:cs="宋体"/>
          <w:b/>
          <w:bCs/>
          <w:spacing w:val="4"/>
          <w:sz w:val="28"/>
          <w:szCs w:val="28"/>
          <w:lang w:val="en-US" w:eastAsia="zh-CN"/>
        </w:rPr>
        <w:t>服务</w:t>
      </w:r>
    </w:p>
    <w:p w14:paraId="278C21E9">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lang w:val="en-US" w:eastAsia="zh-CN"/>
        </w:rPr>
        <w:t>1.</w:t>
      </w:r>
      <w:r>
        <w:rPr>
          <w:rFonts w:hint="eastAsia" w:ascii="宋体" w:hAnsi="宋体" w:eastAsia="宋体" w:cs="宋体"/>
          <w:spacing w:val="4"/>
          <w:sz w:val="28"/>
          <w:szCs w:val="28"/>
        </w:rPr>
        <w:t>按照“年度预算、月度结算、定期考核、年终清算”的原则，</w:t>
      </w:r>
      <w:r>
        <w:rPr>
          <w:rFonts w:hint="eastAsia" w:ascii="宋体" w:hAnsi="宋体" w:eastAsia="宋体" w:cs="宋体"/>
          <w:spacing w:val="4"/>
          <w:sz w:val="28"/>
          <w:szCs w:val="28"/>
          <w:lang w:val="en-US" w:eastAsia="zh-CN"/>
        </w:rPr>
        <w:t>提供住院病例分组、公示反馈、反馈结果审核、公示数据等日常服务工作</w:t>
      </w:r>
      <w:r>
        <w:rPr>
          <w:rFonts w:hint="eastAsia" w:ascii="宋体" w:hAnsi="宋体" w:eastAsia="宋体" w:cs="宋体"/>
          <w:spacing w:val="4"/>
          <w:sz w:val="28"/>
          <w:szCs w:val="28"/>
        </w:rPr>
        <w:t>。</w:t>
      </w:r>
      <w:r>
        <w:rPr>
          <w:rFonts w:hint="eastAsia" w:ascii="宋体" w:hAnsi="宋体" w:eastAsia="宋体" w:cs="宋体"/>
          <w:spacing w:val="4"/>
          <w:sz w:val="28"/>
          <w:szCs w:val="28"/>
          <w:highlight w:val="none"/>
          <w:lang w:val="en-US" w:eastAsia="zh-CN"/>
        </w:rPr>
        <w:t>结合佛山实际，配合采购人执行</w:t>
      </w:r>
      <w:r>
        <w:rPr>
          <w:rFonts w:hint="eastAsia" w:ascii="宋体" w:hAnsi="宋体" w:eastAsia="宋体" w:cs="宋体"/>
          <w:spacing w:val="4"/>
          <w:sz w:val="28"/>
          <w:szCs w:val="28"/>
          <w:highlight w:val="none"/>
        </w:rPr>
        <w:t>国家医疗保障局办公室印发</w:t>
      </w:r>
      <w:r>
        <w:rPr>
          <w:rFonts w:hint="eastAsia" w:ascii="宋体" w:hAnsi="宋体" w:eastAsia="宋体" w:cs="宋体"/>
          <w:spacing w:val="4"/>
          <w:sz w:val="28"/>
          <w:szCs w:val="28"/>
          <w:highlight w:val="none"/>
          <w:lang w:val="en-US" w:eastAsia="zh-CN"/>
        </w:rPr>
        <w:t>的</w:t>
      </w:r>
      <w:r>
        <w:rPr>
          <w:rFonts w:hint="eastAsia" w:ascii="宋体" w:hAnsi="宋体" w:eastAsia="宋体" w:cs="宋体"/>
          <w:spacing w:val="4"/>
          <w:sz w:val="28"/>
          <w:szCs w:val="28"/>
          <w:highlight w:val="none"/>
        </w:rPr>
        <w:t>按病组和病种分值付费2.0版分组方案</w:t>
      </w:r>
      <w:r>
        <w:rPr>
          <w:rFonts w:hint="eastAsia" w:ascii="宋体" w:hAnsi="宋体" w:eastAsia="宋体" w:cs="宋体"/>
          <w:spacing w:val="4"/>
          <w:sz w:val="28"/>
          <w:szCs w:val="28"/>
          <w:highlight w:val="none"/>
          <w:lang w:val="en-US" w:eastAsia="zh-CN"/>
        </w:rPr>
        <w:t>下的佛山本地分组方案。</w:t>
      </w:r>
      <w:r>
        <w:rPr>
          <w:rFonts w:hint="eastAsia" w:ascii="宋体" w:hAnsi="宋体" w:eastAsia="宋体" w:cs="宋体"/>
          <w:spacing w:val="4"/>
          <w:sz w:val="28"/>
          <w:szCs w:val="28"/>
          <w:highlight w:val="none"/>
        </w:rPr>
        <w:t>按季度或月及时全面地向</w:t>
      </w:r>
      <w:r>
        <w:rPr>
          <w:rFonts w:hint="eastAsia" w:ascii="宋体" w:hAnsi="宋体" w:eastAsia="宋体" w:cs="宋体"/>
          <w:spacing w:val="4"/>
          <w:sz w:val="28"/>
          <w:szCs w:val="28"/>
          <w:highlight w:val="none"/>
          <w:lang w:val="en-US" w:eastAsia="zh-CN"/>
        </w:rPr>
        <w:t>定点</w:t>
      </w:r>
      <w:r>
        <w:rPr>
          <w:rFonts w:hint="eastAsia" w:ascii="宋体" w:hAnsi="宋体" w:eastAsia="宋体" w:cs="宋体"/>
          <w:spacing w:val="4"/>
          <w:sz w:val="28"/>
          <w:szCs w:val="28"/>
          <w:highlight w:val="none"/>
        </w:rPr>
        <w:t>医疗机构反馈DRG 入组、结算等情况</w:t>
      </w:r>
      <w:r>
        <w:rPr>
          <w:rFonts w:hint="eastAsia" w:ascii="宋体" w:hAnsi="宋体" w:eastAsia="宋体" w:cs="宋体"/>
          <w:spacing w:val="4"/>
          <w:sz w:val="28"/>
          <w:szCs w:val="28"/>
          <w:highlight w:val="none"/>
          <w:lang w:eastAsia="zh-CN"/>
        </w:rPr>
        <w:t>。</w:t>
      </w:r>
    </w:p>
    <w:p w14:paraId="3C90FC7A">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lang w:val="en-US" w:eastAsia="zh-CN"/>
        </w:rPr>
        <w:t>2.</w:t>
      </w:r>
      <w:r>
        <w:rPr>
          <w:rFonts w:hint="eastAsia" w:ascii="宋体" w:hAnsi="宋体" w:eastAsia="宋体" w:cs="宋体"/>
          <w:spacing w:val="4"/>
          <w:sz w:val="28"/>
          <w:szCs w:val="28"/>
        </w:rPr>
        <w:t>充分运用医保结算清单信息，根据DRG付费特点开展审核工作。对审核核查工作中发现的疑点问题，</w:t>
      </w:r>
      <w:r>
        <w:rPr>
          <w:rFonts w:hint="eastAsia" w:ascii="宋体" w:hAnsi="宋体" w:eastAsia="宋体" w:cs="宋体"/>
          <w:spacing w:val="4"/>
          <w:sz w:val="28"/>
          <w:szCs w:val="28"/>
          <w:lang w:val="en-US" w:eastAsia="zh-CN"/>
        </w:rPr>
        <w:t>协助</w:t>
      </w:r>
      <w:r>
        <w:rPr>
          <w:rFonts w:hint="eastAsia" w:ascii="宋体" w:hAnsi="宋体" w:eastAsia="宋体" w:cs="宋体"/>
          <w:spacing w:val="4"/>
          <w:sz w:val="28"/>
          <w:szCs w:val="28"/>
        </w:rPr>
        <w:t>医保经办机构及时反馈至定点医药机构。</w:t>
      </w:r>
    </w:p>
    <w:p w14:paraId="577DA1D4">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lang w:val="en-US" w:eastAsia="zh-CN"/>
        </w:rPr>
      </w:pPr>
      <w:r>
        <w:rPr>
          <w:rFonts w:hint="eastAsia" w:ascii="宋体" w:hAnsi="宋体" w:eastAsia="宋体" w:cs="宋体"/>
          <w:spacing w:val="4"/>
          <w:sz w:val="28"/>
          <w:szCs w:val="28"/>
          <w:lang w:val="en-US" w:eastAsia="zh-CN"/>
        </w:rPr>
        <w:t>3.建立特例单议机制</w:t>
      </w:r>
    </w:p>
    <w:p w14:paraId="336EAD75">
      <w:pPr>
        <w:ind w:firstLine="576" w:firstLineChars="200"/>
        <w:rPr>
          <w:rFonts w:hint="eastAsia"/>
          <w:lang w:val="en-US" w:eastAsia="zh-CN"/>
        </w:rPr>
      </w:pPr>
      <w:r>
        <w:rPr>
          <w:rFonts w:hint="eastAsia" w:ascii="宋体" w:hAnsi="宋体" w:eastAsia="宋体" w:cs="宋体"/>
          <w:spacing w:val="4"/>
          <w:sz w:val="28"/>
          <w:szCs w:val="28"/>
          <w:lang w:val="en-US" w:eastAsia="zh-CN"/>
        </w:rPr>
        <w:t>协助采购人建立特例单议机制，规范特例单议标准、申报程序、审核流程、结算办法，发挥好特例单议作用，解除医疗机构收治复杂危重病人的后顾之忧，确保愿接愿治、能接能治。</w:t>
      </w:r>
    </w:p>
    <w:p w14:paraId="58684607">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default" w:ascii="宋体" w:hAnsi="宋体" w:eastAsia="宋体" w:cs="宋体"/>
          <w:spacing w:val="4"/>
          <w:sz w:val="28"/>
          <w:szCs w:val="28"/>
          <w:lang w:val="en-US" w:eastAsia="zh-CN"/>
        </w:rPr>
      </w:pPr>
      <w:r>
        <w:rPr>
          <w:rFonts w:hint="eastAsia" w:ascii="宋体" w:hAnsi="宋体" w:eastAsia="宋体" w:cs="宋体"/>
          <w:spacing w:val="4"/>
          <w:sz w:val="28"/>
          <w:szCs w:val="28"/>
        </w:rPr>
        <w:t>依据佛山特例单议政策规定</w:t>
      </w:r>
      <w:r>
        <w:rPr>
          <w:rFonts w:hint="eastAsia" w:ascii="宋体" w:hAnsi="宋体" w:eastAsia="宋体" w:cs="宋体"/>
          <w:spacing w:val="4"/>
          <w:sz w:val="28"/>
          <w:szCs w:val="28"/>
          <w:lang w:eastAsia="zh-CN"/>
        </w:rPr>
        <w:t>，</w:t>
      </w:r>
      <w:bookmarkStart w:id="2" w:name="OLE_LINK6"/>
      <w:r>
        <w:rPr>
          <w:rFonts w:hint="eastAsia" w:ascii="宋体" w:hAnsi="宋体" w:eastAsia="宋体" w:cs="宋体"/>
          <w:spacing w:val="4"/>
          <w:sz w:val="28"/>
          <w:szCs w:val="28"/>
          <w:lang w:val="en-US" w:eastAsia="zh-CN"/>
        </w:rPr>
        <w:t>按季度</w:t>
      </w:r>
      <w:bookmarkEnd w:id="2"/>
      <w:r>
        <w:rPr>
          <w:rFonts w:hint="eastAsia" w:ascii="宋体" w:hAnsi="宋体" w:eastAsia="宋体" w:cs="宋体"/>
          <w:spacing w:val="4"/>
          <w:sz w:val="28"/>
          <w:szCs w:val="28"/>
          <w:lang w:val="en-US" w:eastAsia="zh-CN"/>
        </w:rPr>
        <w:t>定期</w:t>
      </w:r>
      <w:r>
        <w:rPr>
          <w:rFonts w:hint="eastAsia" w:ascii="宋体" w:hAnsi="宋体" w:eastAsia="宋体" w:cs="宋体"/>
          <w:spacing w:val="4"/>
          <w:sz w:val="28"/>
          <w:szCs w:val="28"/>
        </w:rPr>
        <w:t>开展特例单议病例申报、专家评审、费用审核工作。通过采取智能规则和专家评审相结合的方式对申报的特例单议病例进行综合评审。每半年对各医疗机构申请特例单议的数量、审核通过的数量等进行</w:t>
      </w:r>
      <w:r>
        <w:rPr>
          <w:rFonts w:hint="eastAsia" w:ascii="宋体" w:hAnsi="宋体" w:eastAsia="宋体" w:cs="宋体"/>
          <w:spacing w:val="4"/>
          <w:sz w:val="28"/>
          <w:szCs w:val="28"/>
          <w:lang w:val="en-US" w:eastAsia="zh-CN"/>
        </w:rPr>
        <w:t>公示</w:t>
      </w:r>
      <w:r>
        <w:rPr>
          <w:rFonts w:hint="eastAsia" w:ascii="宋体" w:hAnsi="宋体" w:eastAsia="宋体" w:cs="宋体"/>
          <w:spacing w:val="4"/>
          <w:sz w:val="28"/>
          <w:szCs w:val="28"/>
        </w:rPr>
        <w:t>并形成机制，</w:t>
      </w:r>
      <w:r>
        <w:rPr>
          <w:rFonts w:hint="eastAsia" w:ascii="宋体" w:hAnsi="宋体" w:eastAsia="宋体" w:cs="宋体"/>
          <w:spacing w:val="4"/>
          <w:sz w:val="28"/>
          <w:szCs w:val="28"/>
          <w:lang w:val="en-US" w:eastAsia="zh-CN"/>
        </w:rPr>
        <w:t>以助于采购方将特例单议结果纳入当年的DRG付费清算体系</w:t>
      </w:r>
      <w:r>
        <w:rPr>
          <w:rFonts w:hint="eastAsia" w:ascii="宋体" w:hAnsi="宋体" w:eastAsia="宋体" w:cs="宋体"/>
          <w:spacing w:val="4"/>
          <w:sz w:val="28"/>
          <w:szCs w:val="28"/>
        </w:rPr>
        <w:t>。</w:t>
      </w:r>
    </w:p>
    <w:p w14:paraId="16E3C1E7">
      <w:pPr>
        <w:ind w:firstLine="0" w:firstLineChars="0"/>
        <w:outlineLvl w:val="1"/>
        <w:rPr>
          <w:rFonts w:hint="eastAsia" w:ascii="宋体" w:hAnsi="宋体" w:eastAsia="宋体" w:cs="宋体"/>
          <w:b/>
          <w:bCs/>
          <w:spacing w:val="4"/>
          <w:sz w:val="28"/>
          <w:szCs w:val="28"/>
          <w:lang w:val="en-US" w:eastAsia="zh-CN"/>
        </w:rPr>
      </w:pPr>
      <w:r>
        <w:rPr>
          <w:rFonts w:hint="eastAsia" w:ascii="宋体" w:hAnsi="宋体" w:eastAsia="宋体" w:cs="宋体"/>
          <w:b/>
          <w:bCs/>
          <w:spacing w:val="4"/>
          <w:sz w:val="28"/>
          <w:szCs w:val="28"/>
          <w:lang w:val="en-US" w:eastAsia="zh-CN"/>
        </w:rPr>
        <w:t>（三）</w:t>
      </w:r>
      <w:r>
        <w:rPr>
          <w:rFonts w:hint="eastAsia" w:ascii="宋体" w:hAnsi="宋体" w:eastAsia="宋体" w:cs="宋体"/>
          <w:b/>
          <w:bCs/>
          <w:spacing w:val="4"/>
          <w:sz w:val="28"/>
          <w:szCs w:val="28"/>
        </w:rPr>
        <w:t>DRG年度考核评价及清算</w:t>
      </w:r>
      <w:r>
        <w:rPr>
          <w:rFonts w:hint="eastAsia" w:ascii="宋体" w:hAnsi="宋体" w:eastAsia="宋体" w:cs="宋体"/>
          <w:b/>
          <w:bCs/>
          <w:spacing w:val="4"/>
          <w:sz w:val="28"/>
          <w:szCs w:val="28"/>
          <w:lang w:val="en-US" w:eastAsia="zh-CN"/>
        </w:rPr>
        <w:t>服务</w:t>
      </w:r>
    </w:p>
    <w:p w14:paraId="68E1D23F">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lang w:val="en-US" w:eastAsia="zh-CN"/>
        </w:rPr>
        <w:t>1.针对</w:t>
      </w:r>
      <w:r>
        <w:rPr>
          <w:rFonts w:hint="eastAsia" w:ascii="宋体" w:hAnsi="宋体" w:eastAsia="宋体" w:cs="宋体"/>
          <w:spacing w:val="4"/>
          <w:sz w:val="28"/>
          <w:szCs w:val="28"/>
        </w:rPr>
        <w:t>结算清单数据上传情况、费用变化情况、基金监管情况等</w:t>
      </w:r>
      <w:r>
        <w:rPr>
          <w:rFonts w:hint="eastAsia" w:ascii="宋体" w:hAnsi="宋体" w:eastAsia="宋体" w:cs="宋体"/>
          <w:spacing w:val="4"/>
          <w:sz w:val="28"/>
          <w:szCs w:val="28"/>
          <w:lang w:val="en-US" w:eastAsia="zh-CN"/>
        </w:rPr>
        <w:t>进行</w:t>
      </w:r>
      <w:r>
        <w:rPr>
          <w:rFonts w:ascii="宋体" w:hAnsi="宋体" w:eastAsia="宋体" w:cs="宋体"/>
          <w:spacing w:val="4"/>
          <w:kern w:val="2"/>
          <w:sz w:val="28"/>
          <w:szCs w:val="28"/>
          <w:lang w:bidi="ar-SA"/>
        </w:rPr>
        <w:t>深入分析</w:t>
      </w:r>
      <w:r>
        <w:rPr>
          <w:rFonts w:hint="eastAsia" w:ascii="宋体" w:hAnsi="宋体" w:eastAsia="宋体" w:cs="宋体"/>
          <w:spacing w:val="4"/>
          <w:sz w:val="28"/>
          <w:szCs w:val="28"/>
          <w:lang w:val="en-US" w:eastAsia="zh-CN"/>
        </w:rPr>
        <w:t>，</w:t>
      </w:r>
      <w:r>
        <w:rPr>
          <w:rFonts w:ascii="宋体" w:hAnsi="宋体" w:eastAsia="宋体" w:cs="宋体"/>
          <w:spacing w:val="4"/>
          <w:kern w:val="2"/>
          <w:sz w:val="28"/>
          <w:szCs w:val="28"/>
          <w:lang w:bidi="ar-SA"/>
        </w:rPr>
        <w:t>采用日常考核与定期考核相结合的方式</w:t>
      </w:r>
      <w:r>
        <w:rPr>
          <w:rFonts w:hint="eastAsia" w:ascii="宋体" w:hAnsi="宋体" w:eastAsia="宋体" w:cs="宋体"/>
          <w:spacing w:val="4"/>
          <w:sz w:val="28"/>
          <w:szCs w:val="28"/>
        </w:rPr>
        <w:t>，</w:t>
      </w:r>
      <w:r>
        <w:rPr>
          <w:rFonts w:hint="eastAsia" w:ascii="宋体" w:hAnsi="宋体" w:eastAsia="宋体" w:cs="宋体"/>
          <w:spacing w:val="4"/>
          <w:sz w:val="28"/>
          <w:szCs w:val="28"/>
          <w:lang w:val="en-US" w:eastAsia="zh-CN"/>
        </w:rPr>
        <w:t>协助采购人将分析结果、医保对定点医疗机构的考核结果</w:t>
      </w:r>
      <w:r>
        <w:rPr>
          <w:rFonts w:ascii="宋体" w:hAnsi="宋体" w:eastAsia="宋体" w:cs="宋体"/>
          <w:spacing w:val="4"/>
          <w:kern w:val="2"/>
          <w:sz w:val="28"/>
          <w:szCs w:val="28"/>
          <w:lang w:bidi="ar-SA"/>
        </w:rPr>
        <w:t>纳入DRG付费年度考核</w:t>
      </w:r>
      <w:r>
        <w:rPr>
          <w:rFonts w:hint="eastAsia" w:ascii="宋体" w:hAnsi="宋体" w:eastAsia="宋体" w:cs="宋体"/>
          <w:spacing w:val="4"/>
          <w:sz w:val="28"/>
          <w:szCs w:val="28"/>
        </w:rPr>
        <w:t>，</w:t>
      </w:r>
      <w:r>
        <w:rPr>
          <w:rFonts w:hint="eastAsia" w:ascii="宋体" w:hAnsi="宋体" w:eastAsia="宋体" w:cs="宋体"/>
          <w:spacing w:val="4"/>
          <w:sz w:val="28"/>
          <w:szCs w:val="28"/>
          <w:lang w:val="en-US" w:eastAsia="zh-CN"/>
        </w:rPr>
        <w:t>并将</w:t>
      </w:r>
      <w:r>
        <w:rPr>
          <w:rFonts w:hint="eastAsia" w:ascii="宋体" w:hAnsi="宋体" w:eastAsia="宋体" w:cs="宋体"/>
          <w:spacing w:val="4"/>
          <w:sz w:val="28"/>
          <w:szCs w:val="28"/>
        </w:rPr>
        <w:t>考核结果与年度清算分担留用比例</w:t>
      </w:r>
      <w:r>
        <w:rPr>
          <w:rFonts w:hint="eastAsia" w:ascii="宋体" w:hAnsi="宋体" w:eastAsia="宋体" w:cs="宋体"/>
          <w:spacing w:val="4"/>
          <w:sz w:val="28"/>
          <w:szCs w:val="28"/>
          <w:lang w:eastAsia="zh-CN"/>
        </w:rPr>
        <w:t>等</w:t>
      </w:r>
      <w:r>
        <w:rPr>
          <w:rFonts w:hint="eastAsia" w:ascii="宋体" w:hAnsi="宋体" w:eastAsia="宋体" w:cs="宋体"/>
          <w:spacing w:val="4"/>
          <w:sz w:val="28"/>
          <w:szCs w:val="28"/>
        </w:rPr>
        <w:t>挂钩</w:t>
      </w:r>
      <w:r>
        <w:rPr>
          <w:rFonts w:hint="eastAsia" w:ascii="宋体" w:hAnsi="宋体" w:eastAsia="宋体" w:cs="宋体"/>
          <w:spacing w:val="4"/>
          <w:sz w:val="28"/>
          <w:szCs w:val="28"/>
          <w:lang w:eastAsia="zh-CN"/>
        </w:rPr>
        <w:t>，</w:t>
      </w:r>
      <w:r>
        <w:rPr>
          <w:rFonts w:hint="eastAsia" w:ascii="宋体" w:hAnsi="宋体" w:eastAsia="宋体" w:cs="宋体"/>
          <w:spacing w:val="4"/>
          <w:sz w:val="28"/>
          <w:szCs w:val="28"/>
          <w:lang w:val="en-US" w:eastAsia="zh-CN"/>
        </w:rPr>
        <w:t>逐步</w:t>
      </w:r>
      <w:r>
        <w:rPr>
          <w:rFonts w:hint="eastAsia" w:ascii="宋体" w:hAnsi="宋体" w:eastAsia="宋体" w:cs="宋体"/>
          <w:spacing w:val="4"/>
          <w:sz w:val="28"/>
          <w:szCs w:val="28"/>
        </w:rPr>
        <w:t>建立</w:t>
      </w:r>
      <w:r>
        <w:rPr>
          <w:rFonts w:hint="eastAsia" w:ascii="宋体" w:hAnsi="宋体" w:eastAsia="宋体" w:cs="宋体"/>
          <w:spacing w:val="4"/>
          <w:sz w:val="28"/>
          <w:szCs w:val="28"/>
          <w:lang w:val="en-US" w:eastAsia="zh-CN"/>
        </w:rPr>
        <w:t>佛山</w:t>
      </w:r>
      <w:r>
        <w:rPr>
          <w:rFonts w:hint="eastAsia" w:ascii="宋体" w:hAnsi="宋体" w:eastAsia="宋体" w:cs="宋体"/>
          <w:spacing w:val="4"/>
          <w:sz w:val="28"/>
          <w:szCs w:val="28"/>
        </w:rPr>
        <w:t>激励约束机制。</w:t>
      </w:r>
    </w:p>
    <w:p w14:paraId="443FB3A1">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lang w:val="en-US" w:eastAsia="zh-CN"/>
        </w:rPr>
        <w:t>2.开展2025</w:t>
      </w:r>
      <w:r>
        <w:rPr>
          <w:rFonts w:hint="eastAsia" w:ascii="宋体" w:hAnsi="宋体" w:eastAsia="宋体" w:cs="宋体"/>
          <w:spacing w:val="4"/>
          <w:sz w:val="28"/>
          <w:szCs w:val="28"/>
        </w:rPr>
        <w:t>年度按疾病诊断相关分组（DRG）付费基金实际使用情况进行清算，</w:t>
      </w:r>
      <w:r>
        <w:rPr>
          <w:rFonts w:ascii="宋体" w:hAnsi="宋体" w:eastAsia="宋体" w:cs="宋体"/>
          <w:spacing w:val="4"/>
          <w:kern w:val="2"/>
          <w:sz w:val="28"/>
          <w:szCs w:val="28"/>
          <w:lang w:bidi="ar-SA"/>
        </w:rPr>
        <w:t>以提高医疗保险基金清算的效率，并加速推进年度基金清算工作，确保在次年</w:t>
      </w:r>
      <w:r>
        <w:rPr>
          <w:rFonts w:hint="eastAsia" w:ascii="宋体" w:hAnsi="宋体" w:eastAsia="宋体" w:cs="宋体"/>
          <w:spacing w:val="4"/>
          <w:kern w:val="2"/>
          <w:sz w:val="28"/>
          <w:szCs w:val="28"/>
          <w:lang w:val="en-US" w:eastAsia="zh-CN" w:bidi="ar-SA"/>
        </w:rPr>
        <w:t>5</w:t>
      </w:r>
      <w:r>
        <w:rPr>
          <w:rFonts w:ascii="宋体" w:hAnsi="宋体" w:eastAsia="宋体" w:cs="宋体"/>
          <w:spacing w:val="4"/>
          <w:kern w:val="2"/>
          <w:sz w:val="28"/>
          <w:szCs w:val="28"/>
          <w:lang w:bidi="ar-SA"/>
        </w:rPr>
        <w:t>月底前全面完成清算任务</w:t>
      </w:r>
      <w:r>
        <w:rPr>
          <w:rFonts w:hint="eastAsia" w:ascii="宋体" w:hAnsi="宋体" w:eastAsia="宋体" w:cs="宋体"/>
          <w:spacing w:val="4"/>
          <w:sz w:val="28"/>
          <w:szCs w:val="28"/>
        </w:rPr>
        <w:t>。</w:t>
      </w:r>
    </w:p>
    <w:p w14:paraId="4DDC5CB6">
      <w:pPr>
        <w:keepNext w:val="0"/>
        <w:keepLines w:val="0"/>
        <w:pageBreakBefore w:val="0"/>
        <w:widowControl w:val="0"/>
        <w:kinsoku/>
        <w:wordWrap/>
        <w:overflowPunct/>
        <w:topLinePunct w:val="0"/>
        <w:autoSpaceDE/>
        <w:autoSpaceDN/>
        <w:bidi w:val="0"/>
        <w:adjustRightInd/>
        <w:snapToGrid/>
        <w:ind w:firstLine="576" w:firstLineChars="200"/>
        <w:jc w:val="both"/>
        <w:textAlignment w:val="auto"/>
        <w:rPr>
          <w:rFonts w:hint="eastAsia" w:ascii="宋体" w:hAnsi="宋体" w:eastAsia="宋体" w:cs="宋体"/>
          <w:spacing w:val="4"/>
          <w:sz w:val="28"/>
          <w:szCs w:val="28"/>
          <w:lang w:val="en-US" w:eastAsia="zh-CN"/>
        </w:rPr>
      </w:pPr>
      <w:r>
        <w:rPr>
          <w:rFonts w:hint="eastAsia" w:ascii="宋体" w:hAnsi="宋体" w:eastAsia="宋体" w:cs="宋体"/>
          <w:spacing w:val="4"/>
          <w:sz w:val="28"/>
          <w:szCs w:val="28"/>
          <w:lang w:val="en-US" w:eastAsia="zh-CN"/>
        </w:rPr>
        <w:t>3.</w:t>
      </w:r>
      <w:r>
        <w:rPr>
          <w:rFonts w:ascii="宋体" w:hAnsi="宋体" w:eastAsia="宋体" w:cs="宋体"/>
          <w:spacing w:val="4"/>
          <w:kern w:val="2"/>
          <w:sz w:val="28"/>
          <w:szCs w:val="28"/>
          <w:lang w:bidi="ar-SA"/>
        </w:rPr>
        <w:t>将省内异地就医住院费用纳入按疾病诊断相关分组（DRG）的付费体系中，依据佛山</w:t>
      </w:r>
      <w:r>
        <w:rPr>
          <w:rFonts w:hint="eastAsia" w:ascii="宋体" w:hAnsi="宋体" w:eastAsia="宋体" w:cs="宋体"/>
          <w:spacing w:val="4"/>
          <w:kern w:val="2"/>
          <w:sz w:val="28"/>
          <w:szCs w:val="28"/>
          <w:lang w:eastAsia="zh-CN" w:bidi="ar-SA"/>
        </w:rPr>
        <w:t>市</w:t>
      </w:r>
      <w:r>
        <w:rPr>
          <w:rFonts w:ascii="宋体" w:hAnsi="宋体" w:eastAsia="宋体" w:cs="宋体"/>
          <w:spacing w:val="4"/>
          <w:kern w:val="2"/>
          <w:sz w:val="28"/>
          <w:szCs w:val="28"/>
          <w:lang w:bidi="ar-SA"/>
        </w:rPr>
        <w:t>的付费方式、标准及管理要求进行统一管理。</w:t>
      </w:r>
    </w:p>
    <w:p w14:paraId="77D93847">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lang w:val="en-US" w:eastAsia="zh-CN"/>
        </w:rPr>
        <w:t>4.</w:t>
      </w:r>
      <w:r>
        <w:rPr>
          <w:rFonts w:hint="eastAsia" w:ascii="宋体" w:hAnsi="宋体" w:eastAsia="宋体" w:cs="宋体"/>
          <w:spacing w:val="4"/>
          <w:sz w:val="28"/>
          <w:szCs w:val="28"/>
        </w:rPr>
        <w:t>为保障DRG付费可持续运行，保证参保人员受益水平，遏制医疗机构选择轻症病人、推诿重症病人或服务不足等可能存在的现象，</w:t>
      </w:r>
      <w:r>
        <w:rPr>
          <w:rFonts w:hint="eastAsia" w:ascii="宋体" w:hAnsi="宋体" w:eastAsia="宋体" w:cs="宋体"/>
          <w:spacing w:val="4"/>
          <w:sz w:val="28"/>
          <w:szCs w:val="28"/>
          <w:lang w:val="en-US" w:eastAsia="zh-CN"/>
        </w:rPr>
        <w:t>配合采购人</w:t>
      </w:r>
      <w:r>
        <w:rPr>
          <w:rFonts w:hint="eastAsia" w:ascii="宋体" w:hAnsi="宋体" w:eastAsia="宋体" w:cs="宋体"/>
          <w:spacing w:val="4"/>
          <w:sz w:val="28"/>
          <w:szCs w:val="28"/>
        </w:rPr>
        <w:t>建立DRG付费考核评价制度。</w:t>
      </w:r>
    </w:p>
    <w:p w14:paraId="70AEDD36">
      <w:pPr>
        <w:numPr>
          <w:ilvl w:val="0"/>
          <w:numId w:val="0"/>
        </w:numPr>
        <w:ind w:firstLine="0" w:firstLineChars="0"/>
        <w:outlineLvl w:val="1"/>
        <w:rPr>
          <w:rFonts w:hint="eastAsia" w:ascii="宋体" w:hAnsi="宋体" w:eastAsia="宋体" w:cs="宋体"/>
          <w:b/>
          <w:bCs/>
          <w:spacing w:val="4"/>
          <w:sz w:val="28"/>
          <w:szCs w:val="28"/>
        </w:rPr>
      </w:pPr>
      <w:r>
        <w:rPr>
          <w:rFonts w:hint="eastAsia" w:ascii="宋体" w:hAnsi="宋体" w:eastAsia="宋体" w:cs="宋体"/>
          <w:b/>
          <w:bCs/>
          <w:spacing w:val="4"/>
          <w:sz w:val="28"/>
          <w:szCs w:val="28"/>
          <w:lang w:eastAsia="zh-CN"/>
        </w:rPr>
        <w:t>（</w:t>
      </w:r>
      <w:r>
        <w:rPr>
          <w:rFonts w:hint="eastAsia" w:ascii="宋体" w:hAnsi="宋体" w:eastAsia="宋体" w:cs="宋体"/>
          <w:b/>
          <w:bCs/>
          <w:spacing w:val="4"/>
          <w:sz w:val="28"/>
          <w:szCs w:val="28"/>
          <w:lang w:val="en-US" w:eastAsia="zh-CN"/>
        </w:rPr>
        <w:t>四）</w:t>
      </w:r>
      <w:r>
        <w:rPr>
          <w:rFonts w:hint="eastAsia" w:ascii="宋体" w:hAnsi="宋体" w:eastAsia="宋体" w:cs="宋体"/>
          <w:b/>
          <w:bCs/>
          <w:spacing w:val="4"/>
          <w:sz w:val="28"/>
          <w:szCs w:val="28"/>
        </w:rPr>
        <w:t>DRG专项数据分析</w:t>
      </w:r>
      <w:r>
        <w:rPr>
          <w:rFonts w:hint="eastAsia" w:ascii="宋体" w:hAnsi="宋体" w:eastAsia="宋体" w:cs="宋体"/>
          <w:b/>
          <w:bCs/>
          <w:spacing w:val="4"/>
          <w:sz w:val="28"/>
          <w:szCs w:val="28"/>
          <w:lang w:val="en-US" w:eastAsia="zh-CN"/>
        </w:rPr>
        <w:t>和</w:t>
      </w:r>
      <w:r>
        <w:rPr>
          <w:rFonts w:hint="eastAsia" w:ascii="宋体" w:hAnsi="宋体" w:eastAsia="宋体" w:cs="宋体"/>
          <w:b/>
          <w:bCs/>
          <w:spacing w:val="4"/>
          <w:sz w:val="28"/>
          <w:szCs w:val="28"/>
        </w:rPr>
        <w:t>DRG监管服务</w:t>
      </w:r>
    </w:p>
    <w:p w14:paraId="017C0078">
      <w:pPr>
        <w:numPr>
          <w:ilvl w:val="0"/>
          <w:numId w:val="0"/>
        </w:numPr>
        <w:ind w:firstLine="576" w:firstLineChars="200"/>
        <w:rPr>
          <w:rFonts w:hint="eastAsia" w:ascii="宋体" w:hAnsi="宋体" w:eastAsia="宋体" w:cs="宋体"/>
          <w:b w:val="0"/>
          <w:bCs w:val="0"/>
          <w:spacing w:val="4"/>
          <w:sz w:val="28"/>
          <w:szCs w:val="28"/>
          <w:lang w:val="en-US" w:eastAsia="zh-CN"/>
        </w:rPr>
      </w:pPr>
      <w:r>
        <w:rPr>
          <w:rFonts w:hint="eastAsia" w:ascii="宋体" w:hAnsi="宋体" w:eastAsia="宋体" w:cs="宋体"/>
          <w:b w:val="0"/>
          <w:bCs w:val="0"/>
          <w:spacing w:val="4"/>
          <w:sz w:val="28"/>
          <w:szCs w:val="28"/>
          <w:lang w:val="en-US" w:eastAsia="zh-CN"/>
        </w:rPr>
        <w:t>1.</w:t>
      </w:r>
      <w:r>
        <w:rPr>
          <w:rFonts w:hint="eastAsia" w:ascii="宋体" w:hAnsi="宋体" w:eastAsia="宋体" w:cs="宋体"/>
          <w:b w:val="0"/>
          <w:bCs w:val="0"/>
          <w:spacing w:val="4"/>
          <w:sz w:val="28"/>
          <w:szCs w:val="28"/>
        </w:rPr>
        <w:t>DRG专项数据分析</w:t>
      </w:r>
      <w:r>
        <w:rPr>
          <w:rFonts w:hint="eastAsia" w:ascii="宋体" w:hAnsi="宋体" w:eastAsia="宋体" w:cs="宋体"/>
          <w:b w:val="0"/>
          <w:bCs w:val="0"/>
          <w:spacing w:val="4"/>
          <w:sz w:val="28"/>
          <w:szCs w:val="28"/>
          <w:lang w:eastAsia="zh-CN"/>
        </w:rPr>
        <w:t>：</w:t>
      </w:r>
      <w:r>
        <w:rPr>
          <w:rFonts w:hint="eastAsia" w:ascii="宋体" w:hAnsi="宋体" w:eastAsia="宋体" w:cs="宋体"/>
          <w:b w:val="0"/>
          <w:bCs w:val="0"/>
          <w:spacing w:val="4"/>
          <w:sz w:val="28"/>
          <w:szCs w:val="28"/>
          <w:lang w:val="en-US" w:eastAsia="zh-CN"/>
        </w:rPr>
        <w:t>协助采购人按照《佛山市DRG支付数据工作组工作规则》的要求开展相关工作，包括但不限于以下内容。</w:t>
      </w:r>
    </w:p>
    <w:p w14:paraId="11DE9D85">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lang w:eastAsia="zh-CN"/>
        </w:rPr>
      </w:pPr>
      <w:r>
        <w:rPr>
          <w:rFonts w:hint="eastAsia" w:ascii="宋体" w:hAnsi="宋体" w:eastAsia="宋体" w:cs="宋体"/>
          <w:spacing w:val="4"/>
          <w:sz w:val="28"/>
          <w:szCs w:val="28"/>
          <w:lang w:eastAsia="zh-CN"/>
        </w:rPr>
        <w:t>（</w:t>
      </w:r>
      <w:r>
        <w:rPr>
          <w:rFonts w:hint="eastAsia" w:ascii="宋体" w:hAnsi="宋体" w:eastAsia="宋体" w:cs="宋体"/>
          <w:spacing w:val="4"/>
          <w:sz w:val="28"/>
          <w:szCs w:val="28"/>
        </w:rPr>
        <w:t>1</w:t>
      </w:r>
      <w:r>
        <w:rPr>
          <w:rFonts w:hint="eastAsia" w:ascii="宋体" w:hAnsi="宋体" w:eastAsia="宋体" w:cs="宋体"/>
          <w:spacing w:val="4"/>
          <w:sz w:val="28"/>
          <w:szCs w:val="28"/>
          <w:lang w:eastAsia="zh-CN"/>
        </w:rPr>
        <w:t>）</w:t>
      </w:r>
      <w:r>
        <w:rPr>
          <w:rFonts w:hint="eastAsia" w:ascii="宋体" w:hAnsi="宋体" w:eastAsia="宋体" w:cs="宋体"/>
          <w:spacing w:val="4"/>
          <w:sz w:val="28"/>
          <w:szCs w:val="28"/>
        </w:rPr>
        <w:t>每月</w:t>
      </w:r>
      <w:r>
        <w:rPr>
          <w:rFonts w:hint="eastAsia" w:ascii="宋体" w:hAnsi="宋体" w:eastAsia="宋体" w:cs="宋体"/>
          <w:spacing w:val="4"/>
          <w:sz w:val="28"/>
          <w:szCs w:val="28"/>
          <w:lang w:val="en-US" w:eastAsia="zh-CN"/>
        </w:rPr>
        <w:t>向</w:t>
      </w:r>
      <w:r>
        <w:rPr>
          <w:rFonts w:hint="eastAsia" w:ascii="宋体" w:hAnsi="宋体" w:eastAsia="宋体" w:cs="宋体"/>
          <w:spacing w:val="4"/>
          <w:sz w:val="28"/>
          <w:szCs w:val="28"/>
        </w:rPr>
        <w:t>定点医疗机构</w:t>
      </w:r>
      <w:r>
        <w:rPr>
          <w:rFonts w:hint="eastAsia" w:ascii="宋体" w:hAnsi="宋体" w:eastAsia="宋体" w:cs="宋体"/>
          <w:spacing w:val="4"/>
          <w:sz w:val="28"/>
          <w:szCs w:val="28"/>
          <w:lang w:val="en-US" w:eastAsia="zh-CN"/>
        </w:rPr>
        <w:t>公示</w:t>
      </w:r>
      <w:r>
        <w:rPr>
          <w:rFonts w:hint="eastAsia" w:ascii="宋体" w:hAnsi="宋体" w:eastAsia="宋体" w:cs="宋体"/>
          <w:spacing w:val="4"/>
          <w:sz w:val="28"/>
          <w:szCs w:val="28"/>
        </w:rPr>
        <w:t>病例入组、月结算情况</w:t>
      </w:r>
      <w:r>
        <w:rPr>
          <w:rFonts w:hint="eastAsia" w:ascii="宋体" w:hAnsi="宋体" w:eastAsia="宋体" w:cs="宋体"/>
          <w:spacing w:val="4"/>
          <w:sz w:val="28"/>
          <w:szCs w:val="28"/>
          <w:lang w:eastAsia="zh-CN"/>
        </w:rPr>
        <w:t>、</w:t>
      </w:r>
      <w:r>
        <w:rPr>
          <w:rFonts w:hint="eastAsia" w:ascii="宋体" w:hAnsi="宋体" w:eastAsia="宋体" w:cs="宋体"/>
          <w:spacing w:val="4"/>
          <w:sz w:val="28"/>
          <w:szCs w:val="28"/>
        </w:rPr>
        <w:t>结算清单上传情况、清单质控情况</w:t>
      </w:r>
      <w:r>
        <w:rPr>
          <w:rFonts w:hint="eastAsia" w:ascii="宋体" w:hAnsi="宋体" w:eastAsia="宋体" w:cs="宋体"/>
          <w:spacing w:val="4"/>
          <w:sz w:val="28"/>
          <w:szCs w:val="28"/>
          <w:lang w:eastAsia="zh-CN"/>
        </w:rPr>
        <w:t>、</w:t>
      </w:r>
      <w:r>
        <w:rPr>
          <w:rFonts w:hint="eastAsia" w:ascii="宋体" w:hAnsi="宋体" w:eastAsia="宋体" w:cs="宋体"/>
          <w:spacing w:val="4"/>
          <w:sz w:val="28"/>
          <w:szCs w:val="28"/>
          <w:highlight w:val="none"/>
        </w:rPr>
        <w:t>服务能力情况</w:t>
      </w:r>
      <w:r>
        <w:rPr>
          <w:rFonts w:hint="eastAsia" w:ascii="宋体" w:hAnsi="宋体" w:eastAsia="宋体" w:cs="宋体"/>
          <w:spacing w:val="4"/>
          <w:sz w:val="28"/>
          <w:szCs w:val="28"/>
          <w:lang w:val="en-US" w:eastAsia="zh-CN"/>
        </w:rPr>
        <w:t>等</w:t>
      </w:r>
      <w:r>
        <w:rPr>
          <w:rFonts w:hint="eastAsia" w:ascii="宋体" w:hAnsi="宋体" w:eastAsia="宋体" w:cs="宋体"/>
          <w:spacing w:val="4"/>
          <w:sz w:val="28"/>
          <w:szCs w:val="28"/>
          <w:lang w:eastAsia="zh-CN"/>
        </w:rPr>
        <w:t>；</w:t>
      </w:r>
      <w:r>
        <w:rPr>
          <w:rFonts w:hint="eastAsia" w:ascii="宋体" w:hAnsi="宋体" w:eastAsia="宋体" w:cs="宋体"/>
          <w:spacing w:val="4"/>
          <w:sz w:val="28"/>
          <w:szCs w:val="28"/>
          <w:lang w:val="en-US" w:eastAsia="zh-CN"/>
        </w:rPr>
        <w:t>并</w:t>
      </w:r>
      <w:r>
        <w:rPr>
          <w:rFonts w:hint="eastAsia" w:ascii="宋体" w:hAnsi="宋体" w:eastAsia="宋体" w:cs="宋体"/>
          <w:spacing w:val="4"/>
          <w:sz w:val="28"/>
          <w:szCs w:val="28"/>
        </w:rPr>
        <w:t>对各定点医疗机构结算的病组，按费用结构列出均费与级别费用比较数据</w:t>
      </w:r>
      <w:r>
        <w:rPr>
          <w:rFonts w:hint="eastAsia" w:ascii="宋体" w:hAnsi="宋体" w:eastAsia="宋体" w:cs="宋体"/>
          <w:spacing w:val="4"/>
          <w:sz w:val="28"/>
          <w:szCs w:val="28"/>
          <w:lang w:eastAsia="zh-CN"/>
        </w:rPr>
        <w:t>。</w:t>
      </w:r>
    </w:p>
    <w:p w14:paraId="479C4D5B">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lang w:eastAsia="zh-CN"/>
        </w:rPr>
        <w:t>（</w:t>
      </w:r>
      <w:r>
        <w:rPr>
          <w:rFonts w:hint="eastAsia" w:ascii="宋体" w:hAnsi="宋体" w:eastAsia="宋体" w:cs="宋体"/>
          <w:spacing w:val="4"/>
          <w:sz w:val="28"/>
          <w:szCs w:val="28"/>
        </w:rPr>
        <w:t>2</w:t>
      </w:r>
      <w:r>
        <w:rPr>
          <w:rFonts w:hint="eastAsia" w:ascii="宋体" w:hAnsi="宋体" w:eastAsia="宋体" w:cs="宋体"/>
          <w:spacing w:val="4"/>
          <w:sz w:val="28"/>
          <w:szCs w:val="28"/>
          <w:lang w:eastAsia="zh-CN"/>
        </w:rPr>
        <w:t>）</w:t>
      </w:r>
      <w:r>
        <w:rPr>
          <w:rFonts w:hint="eastAsia" w:ascii="宋体" w:hAnsi="宋体" w:eastAsia="宋体" w:cs="宋体"/>
          <w:spacing w:val="4"/>
          <w:sz w:val="28"/>
          <w:szCs w:val="28"/>
        </w:rPr>
        <w:t>每季度向定点医疗机构公布医疗总费用</w:t>
      </w:r>
      <w:r>
        <w:rPr>
          <w:rFonts w:hint="eastAsia" w:ascii="宋体" w:hAnsi="宋体" w:eastAsia="宋体" w:cs="宋体"/>
          <w:spacing w:val="4"/>
          <w:sz w:val="28"/>
          <w:szCs w:val="28"/>
          <w:lang w:eastAsia="zh-CN"/>
        </w:rPr>
        <w:t>情况、</w:t>
      </w:r>
      <w:r>
        <w:rPr>
          <w:rFonts w:hint="eastAsia" w:ascii="宋体" w:hAnsi="宋体" w:eastAsia="宋体" w:cs="宋体"/>
          <w:spacing w:val="4"/>
          <w:sz w:val="28"/>
          <w:szCs w:val="28"/>
        </w:rPr>
        <w:t>医保基金使用情况</w:t>
      </w:r>
      <w:r>
        <w:rPr>
          <w:rFonts w:hint="eastAsia" w:ascii="宋体" w:hAnsi="宋体" w:eastAsia="宋体" w:cs="宋体"/>
          <w:spacing w:val="4"/>
          <w:sz w:val="28"/>
          <w:szCs w:val="28"/>
          <w:lang w:eastAsia="zh-CN"/>
        </w:rPr>
        <w:t>、全市预算执行进度情况、</w:t>
      </w:r>
      <w:r>
        <w:rPr>
          <w:rFonts w:hint="eastAsia" w:ascii="宋体" w:hAnsi="宋体" w:eastAsia="宋体" w:cs="宋体"/>
          <w:spacing w:val="4"/>
          <w:sz w:val="28"/>
          <w:szCs w:val="28"/>
        </w:rPr>
        <w:t>结算清单质控情况、质控常见问题</w:t>
      </w:r>
      <w:r>
        <w:rPr>
          <w:rFonts w:hint="eastAsia" w:ascii="宋体" w:hAnsi="宋体" w:eastAsia="宋体" w:cs="宋体"/>
          <w:spacing w:val="4"/>
          <w:sz w:val="28"/>
          <w:szCs w:val="28"/>
          <w:lang w:eastAsia="zh-CN"/>
        </w:rPr>
        <w:t>、</w:t>
      </w:r>
      <w:r>
        <w:rPr>
          <w:rFonts w:hint="eastAsia" w:ascii="宋体" w:hAnsi="宋体" w:eastAsia="宋体" w:cs="宋体"/>
          <w:spacing w:val="4"/>
          <w:sz w:val="28"/>
          <w:szCs w:val="28"/>
        </w:rPr>
        <w:t>机构住院人次、人次人头比、住院率、病例入组率</w:t>
      </w:r>
      <w:r>
        <w:rPr>
          <w:rFonts w:hint="eastAsia" w:ascii="宋体" w:hAnsi="宋体" w:eastAsia="宋体" w:cs="宋体"/>
          <w:spacing w:val="4"/>
          <w:sz w:val="28"/>
          <w:szCs w:val="28"/>
          <w:lang w:eastAsia="zh-CN"/>
        </w:rPr>
        <w:t>、重点病组分析；</w:t>
      </w:r>
      <w:r>
        <w:rPr>
          <w:rFonts w:hint="eastAsia" w:ascii="宋体" w:hAnsi="宋体" w:eastAsia="宋体" w:cs="宋体"/>
          <w:spacing w:val="4"/>
          <w:sz w:val="28"/>
          <w:szCs w:val="28"/>
        </w:rPr>
        <w:t>各定点医疗机构特例单议受理及结算等情况；</w:t>
      </w:r>
      <w:r>
        <w:rPr>
          <w:rFonts w:hint="eastAsia" w:ascii="宋体" w:hAnsi="宋体" w:eastAsia="宋体" w:cs="宋体"/>
          <w:spacing w:val="4"/>
          <w:sz w:val="28"/>
          <w:szCs w:val="28"/>
          <w:lang w:val="en-US" w:eastAsia="zh-CN"/>
        </w:rPr>
        <w:t>每季度开展</w:t>
      </w:r>
      <w:r>
        <w:rPr>
          <w:rFonts w:hint="eastAsia" w:ascii="宋体" w:hAnsi="宋体" w:eastAsia="宋体" w:cs="宋体"/>
          <w:spacing w:val="4"/>
          <w:sz w:val="28"/>
          <w:szCs w:val="28"/>
        </w:rPr>
        <w:t>各定点医疗机构的病组费用结构和服务能力</w:t>
      </w:r>
      <w:r>
        <w:rPr>
          <w:rFonts w:hint="eastAsia" w:ascii="宋体" w:hAnsi="宋体" w:eastAsia="宋体" w:cs="宋体"/>
          <w:spacing w:val="4"/>
          <w:sz w:val="28"/>
          <w:szCs w:val="28"/>
          <w:lang w:val="en-US" w:eastAsia="zh-CN"/>
        </w:rPr>
        <w:t>分析</w:t>
      </w:r>
      <w:r>
        <w:rPr>
          <w:rFonts w:hint="eastAsia" w:ascii="宋体" w:hAnsi="宋体" w:eastAsia="宋体" w:cs="宋体"/>
          <w:spacing w:val="4"/>
          <w:sz w:val="28"/>
          <w:szCs w:val="28"/>
        </w:rPr>
        <w:t>。</w:t>
      </w:r>
    </w:p>
    <w:p w14:paraId="5F4369C5">
      <w:pPr>
        <w:keepNext w:val="0"/>
        <w:keepLines w:val="0"/>
        <w:pageBreakBefore w:val="0"/>
        <w:widowControl w:val="0"/>
        <w:kinsoku/>
        <w:wordWrap/>
        <w:overflowPunct/>
        <w:topLinePunct w:val="0"/>
        <w:autoSpaceDE/>
        <w:autoSpaceDN/>
        <w:bidi w:val="0"/>
        <w:adjustRightInd/>
        <w:snapToGrid/>
        <w:ind w:firstLine="576" w:firstLineChars="200"/>
        <w:jc w:val="both"/>
        <w:textAlignment w:val="auto"/>
        <w:rPr>
          <w:rFonts w:hint="eastAsia" w:ascii="宋体" w:hAnsi="宋体" w:eastAsia="宋体" w:cs="宋体"/>
          <w:spacing w:val="4"/>
          <w:sz w:val="28"/>
          <w:szCs w:val="28"/>
          <w:lang w:eastAsia="zh-CN"/>
        </w:rPr>
      </w:pPr>
      <w:bookmarkStart w:id="3" w:name="OLE_LINK10"/>
      <w:r>
        <w:rPr>
          <w:rFonts w:hint="eastAsia" w:ascii="宋体" w:hAnsi="宋体" w:eastAsia="宋体" w:cs="宋体"/>
          <w:spacing w:val="4"/>
          <w:sz w:val="28"/>
          <w:szCs w:val="28"/>
          <w:lang w:eastAsia="zh-CN"/>
        </w:rPr>
        <w:t>（</w:t>
      </w:r>
      <w:r>
        <w:rPr>
          <w:rFonts w:hint="eastAsia" w:ascii="宋体" w:hAnsi="宋体" w:eastAsia="宋体" w:cs="宋体"/>
          <w:spacing w:val="4"/>
          <w:sz w:val="28"/>
          <w:szCs w:val="28"/>
        </w:rPr>
        <w:t>3</w:t>
      </w:r>
      <w:r>
        <w:rPr>
          <w:rFonts w:hint="eastAsia" w:ascii="宋体" w:hAnsi="宋体" w:eastAsia="宋体" w:cs="宋体"/>
          <w:spacing w:val="4"/>
          <w:sz w:val="28"/>
          <w:szCs w:val="28"/>
          <w:lang w:eastAsia="zh-CN"/>
        </w:rPr>
        <w:t>）</w:t>
      </w:r>
      <w:r>
        <w:rPr>
          <w:rFonts w:ascii="宋体" w:hAnsi="宋体" w:eastAsia="宋体" w:cs="宋体"/>
          <w:spacing w:val="4"/>
          <w:kern w:val="2"/>
          <w:sz w:val="28"/>
          <w:szCs w:val="28"/>
          <w:lang w:bidi="ar-SA"/>
        </w:rPr>
        <w:t>开展佛山市及各级别定点医疗机构的基金支付比例、年度清算情况、医疗服务能力、费用控制、疾病谱变化、病例入组与分布、重点病组、特殊支付方式、典型问题、日常稽核监管中发现的异常数据及问题剖析，以及违约拒付费用等方面的分析，形成年度运行分析报告。</w:t>
      </w:r>
    </w:p>
    <w:bookmarkEnd w:id="3"/>
    <w:p w14:paraId="03674365">
      <w:pPr>
        <w:numPr>
          <w:ilvl w:val="0"/>
          <w:numId w:val="0"/>
        </w:numPr>
        <w:ind w:firstLine="576" w:firstLineChars="200"/>
        <w:rPr>
          <w:rFonts w:hint="default" w:ascii="宋体" w:hAnsi="宋体" w:eastAsia="宋体" w:cs="宋体"/>
          <w:b w:val="0"/>
          <w:bCs w:val="0"/>
          <w:spacing w:val="4"/>
          <w:sz w:val="28"/>
          <w:szCs w:val="28"/>
          <w:lang w:val="en-US" w:eastAsia="zh-CN"/>
        </w:rPr>
      </w:pPr>
      <w:r>
        <w:rPr>
          <w:rFonts w:hint="eastAsia" w:ascii="宋体" w:hAnsi="宋体" w:eastAsia="宋体" w:cs="宋体"/>
          <w:b w:val="0"/>
          <w:bCs w:val="0"/>
          <w:spacing w:val="4"/>
          <w:sz w:val="28"/>
          <w:szCs w:val="28"/>
          <w:lang w:val="en-US" w:eastAsia="zh-CN"/>
        </w:rPr>
        <w:t>2.DRG监管服务</w:t>
      </w:r>
    </w:p>
    <w:p w14:paraId="19CBA899">
      <w:pPr>
        <w:numPr>
          <w:ilvl w:val="0"/>
          <w:numId w:val="0"/>
        </w:numPr>
        <w:ind w:firstLine="576" w:firstLineChars="200"/>
        <w:outlineLvl w:val="2"/>
        <w:rPr>
          <w:rFonts w:hint="eastAsia" w:ascii="宋体" w:hAnsi="宋体" w:eastAsia="宋体" w:cs="宋体"/>
          <w:b w:val="0"/>
          <w:bCs w:val="0"/>
          <w:spacing w:val="4"/>
          <w:sz w:val="28"/>
          <w:szCs w:val="28"/>
          <w:lang w:val="en-US" w:eastAsia="zh-CN"/>
        </w:rPr>
      </w:pPr>
      <w:r>
        <w:rPr>
          <w:rFonts w:hint="eastAsia" w:ascii="宋体" w:hAnsi="宋体" w:eastAsia="宋体" w:cs="宋体"/>
          <w:b w:val="0"/>
          <w:bCs w:val="0"/>
          <w:spacing w:val="4"/>
          <w:sz w:val="28"/>
          <w:szCs w:val="28"/>
          <w:lang w:val="en-US" w:eastAsia="zh-CN"/>
        </w:rPr>
        <w:t>（1）DRG分组事前审核服务</w:t>
      </w:r>
    </w:p>
    <w:p w14:paraId="48ED1C90">
      <w:pPr>
        <w:numPr>
          <w:ilvl w:val="-1"/>
          <w:numId w:val="0"/>
        </w:numPr>
        <w:ind w:left="0" w:leftChars="0" w:firstLine="576" w:firstLineChars="200"/>
        <w:rPr>
          <w:rFonts w:hint="eastAsia" w:ascii="宋体" w:hAnsi="宋体" w:eastAsia="宋体" w:cs="宋体"/>
          <w:spacing w:val="4"/>
          <w:sz w:val="28"/>
          <w:szCs w:val="28"/>
        </w:rPr>
      </w:pPr>
      <w:bookmarkStart w:id="4" w:name="OLE_LINK2"/>
      <w:r>
        <w:rPr>
          <w:rFonts w:ascii="宋体" w:hAnsi="宋体" w:eastAsia="宋体" w:cs="宋体"/>
          <w:spacing w:val="4"/>
          <w:kern w:val="2"/>
          <w:sz w:val="28"/>
          <w:szCs w:val="28"/>
          <w:lang w:bidi="ar-SA"/>
        </w:rPr>
        <w:t>通过佛山医保分值付费平台，对定点医疗机构提交的结算清单及明细数据进行核查，针对主要诊断、手术或相关操作编码填报异常的病例发出提示信息</w:t>
      </w:r>
      <w:r>
        <w:rPr>
          <w:rFonts w:hint="eastAsia" w:ascii="宋体" w:hAnsi="宋体" w:eastAsia="宋体" w:cs="宋体"/>
          <w:spacing w:val="4"/>
          <w:kern w:val="2"/>
          <w:sz w:val="28"/>
          <w:szCs w:val="28"/>
          <w:lang w:eastAsia="zh-CN" w:bidi="ar-SA"/>
        </w:rPr>
        <w:t>，</w:t>
      </w:r>
      <w:r>
        <w:rPr>
          <w:rFonts w:hint="eastAsia" w:ascii="宋体" w:hAnsi="宋体" w:eastAsia="宋体" w:cs="宋体"/>
          <w:spacing w:val="4"/>
          <w:kern w:val="2"/>
          <w:sz w:val="28"/>
          <w:szCs w:val="28"/>
          <w:lang w:val="en-US" w:eastAsia="zh-CN" w:bidi="ar-SA"/>
        </w:rPr>
        <w:t>以助</w:t>
      </w:r>
      <w:r>
        <w:rPr>
          <w:rFonts w:ascii="宋体" w:hAnsi="宋体" w:eastAsia="宋体" w:cs="宋体"/>
          <w:spacing w:val="4"/>
          <w:kern w:val="2"/>
          <w:sz w:val="28"/>
          <w:szCs w:val="28"/>
          <w:lang w:bidi="ar-SA"/>
        </w:rPr>
        <w:t>定点医疗机构及时更正申报数据，以加强DRG分组的事前监管。同时，持续对DRG审核规则进行扩展和完善，优化现有规则的内涵，并结合佛山本地的医保政策及数据进行审核规则的增补。</w:t>
      </w:r>
    </w:p>
    <w:bookmarkEnd w:id="4"/>
    <w:p w14:paraId="5D3C89E6">
      <w:pPr>
        <w:numPr>
          <w:ilvl w:val="-1"/>
          <w:numId w:val="0"/>
        </w:numPr>
        <w:ind w:left="0" w:leftChars="0" w:firstLine="576" w:firstLineChars="200"/>
        <w:outlineLvl w:val="2"/>
        <w:rPr>
          <w:rFonts w:hint="eastAsia" w:ascii="宋体" w:hAnsi="宋体" w:eastAsia="宋体" w:cs="宋体"/>
          <w:spacing w:val="4"/>
          <w:sz w:val="28"/>
          <w:szCs w:val="28"/>
        </w:rPr>
      </w:pPr>
      <w:r>
        <w:rPr>
          <w:rFonts w:hint="eastAsia" w:ascii="宋体" w:hAnsi="宋体" w:eastAsia="宋体" w:cs="宋体"/>
          <w:spacing w:val="4"/>
          <w:sz w:val="28"/>
          <w:szCs w:val="28"/>
          <w:lang w:eastAsia="zh-CN"/>
        </w:rPr>
        <w:t>（</w:t>
      </w:r>
      <w:r>
        <w:rPr>
          <w:rFonts w:hint="eastAsia" w:ascii="宋体" w:hAnsi="宋体" w:eastAsia="宋体" w:cs="宋体"/>
          <w:spacing w:val="4"/>
          <w:sz w:val="28"/>
          <w:szCs w:val="28"/>
          <w:lang w:val="en-US" w:eastAsia="zh-CN"/>
        </w:rPr>
        <w:t>2</w:t>
      </w:r>
      <w:r>
        <w:rPr>
          <w:rFonts w:hint="eastAsia" w:ascii="宋体" w:hAnsi="宋体" w:eastAsia="宋体" w:cs="宋体"/>
          <w:spacing w:val="4"/>
          <w:sz w:val="28"/>
          <w:szCs w:val="28"/>
          <w:lang w:eastAsia="zh-CN"/>
        </w:rPr>
        <w:t>）</w:t>
      </w:r>
      <w:bookmarkStart w:id="5" w:name="OLE_LINK3"/>
      <w:r>
        <w:rPr>
          <w:rFonts w:hint="eastAsia" w:ascii="宋体" w:hAnsi="宋体" w:eastAsia="宋体" w:cs="宋体"/>
          <w:spacing w:val="4"/>
          <w:sz w:val="28"/>
          <w:szCs w:val="28"/>
        </w:rPr>
        <w:t>DRG监管数据分析服务</w:t>
      </w:r>
    </w:p>
    <w:p w14:paraId="7DA31908">
      <w:pPr>
        <w:keepNext w:val="0"/>
        <w:keepLines w:val="0"/>
        <w:pageBreakBefore w:val="0"/>
        <w:widowControl w:val="0"/>
        <w:kinsoku/>
        <w:wordWrap/>
        <w:overflowPunct/>
        <w:topLinePunct w:val="0"/>
        <w:autoSpaceDE/>
        <w:autoSpaceDN/>
        <w:bidi w:val="0"/>
        <w:adjustRightInd/>
        <w:ind w:firstLine="576" w:firstLineChars="200"/>
        <w:jc w:val="both"/>
        <w:textAlignment w:val="auto"/>
        <w:rPr>
          <w:rFonts w:ascii="宋体" w:hAnsi="宋体" w:eastAsia="宋体" w:cs="宋体"/>
          <w:spacing w:val="4"/>
          <w:kern w:val="2"/>
          <w:sz w:val="28"/>
          <w:szCs w:val="28"/>
          <w:lang w:bidi="ar-SA"/>
        </w:rPr>
      </w:pPr>
      <w:r>
        <w:rPr>
          <w:rFonts w:ascii="宋体" w:hAnsi="宋体" w:eastAsia="宋体" w:cs="宋体"/>
          <w:spacing w:val="4"/>
          <w:kern w:val="2"/>
          <w:sz w:val="28"/>
          <w:szCs w:val="28"/>
          <w:lang w:bidi="ar-SA"/>
        </w:rPr>
        <w:t>将异常的医疗行为及关键指标纳入重点监控范围，包括但不限于总费用、平均每次服务费用、平均费用增长率、服务人次增长率、药品费用占比、医用耗材费用占比以及检查检验费用占比等。通过实施DRG付费异常行为监测与警示机制，为医保决策者或管理者调整医保相关政策提供科学依据。</w:t>
      </w:r>
    </w:p>
    <w:p w14:paraId="696341BA">
      <w:pPr>
        <w:keepNext w:val="0"/>
        <w:keepLines w:val="0"/>
        <w:pageBreakBefore w:val="0"/>
        <w:widowControl w:val="0"/>
        <w:kinsoku/>
        <w:wordWrap/>
        <w:overflowPunct/>
        <w:topLinePunct w:val="0"/>
        <w:autoSpaceDE/>
        <w:autoSpaceDN/>
        <w:bidi w:val="0"/>
        <w:adjustRightInd/>
        <w:ind w:firstLine="576" w:firstLineChars="200"/>
        <w:jc w:val="both"/>
        <w:textAlignment w:val="auto"/>
        <w:rPr>
          <w:rFonts w:hint="eastAsia" w:ascii="宋体" w:hAnsi="宋体" w:eastAsia="宋体" w:cs="宋体"/>
          <w:spacing w:val="4"/>
          <w:sz w:val="28"/>
          <w:szCs w:val="28"/>
          <w:lang w:eastAsia="zh-CN"/>
        </w:rPr>
      </w:pPr>
      <w:r>
        <w:rPr>
          <w:rFonts w:ascii="宋体" w:hAnsi="宋体" w:eastAsia="宋体" w:cs="宋体"/>
          <w:spacing w:val="4"/>
          <w:kern w:val="2"/>
          <w:sz w:val="28"/>
          <w:szCs w:val="28"/>
          <w:lang w:bidi="ar-SA"/>
        </w:rPr>
        <w:t>针对医保结算清单信息与费用明细数据进行匹配分析，识别出可疑数据，进而开展DRG专项数据监管分析工作。</w:t>
      </w:r>
      <w:bookmarkEnd w:id="5"/>
    </w:p>
    <w:p w14:paraId="02C14997">
      <w:pPr>
        <w:numPr>
          <w:ilvl w:val="0"/>
          <w:numId w:val="0"/>
        </w:numPr>
        <w:ind w:firstLine="576" w:firstLineChars="200"/>
        <w:outlineLvl w:val="2"/>
        <w:rPr>
          <w:rFonts w:hint="eastAsia" w:ascii="宋体" w:hAnsi="宋体" w:eastAsia="宋体" w:cs="宋体"/>
          <w:spacing w:val="4"/>
          <w:sz w:val="28"/>
          <w:szCs w:val="28"/>
        </w:rPr>
      </w:pPr>
      <w:r>
        <w:rPr>
          <w:rFonts w:hint="eastAsia" w:ascii="宋体" w:hAnsi="宋体" w:eastAsia="宋体" w:cs="宋体"/>
          <w:spacing w:val="4"/>
          <w:sz w:val="28"/>
          <w:szCs w:val="28"/>
          <w:lang w:eastAsia="zh-CN"/>
        </w:rPr>
        <w:t>（</w:t>
      </w:r>
      <w:r>
        <w:rPr>
          <w:rFonts w:hint="eastAsia" w:ascii="宋体" w:hAnsi="宋体" w:eastAsia="宋体" w:cs="宋体"/>
          <w:spacing w:val="4"/>
          <w:sz w:val="28"/>
          <w:szCs w:val="28"/>
          <w:lang w:val="en-US" w:eastAsia="zh-CN"/>
        </w:rPr>
        <w:t>3）</w:t>
      </w:r>
      <w:bookmarkStart w:id="6" w:name="OLE_LINK4"/>
      <w:r>
        <w:rPr>
          <w:rFonts w:hint="eastAsia" w:ascii="宋体" w:hAnsi="宋体" w:eastAsia="宋体" w:cs="宋体"/>
          <w:spacing w:val="4"/>
          <w:sz w:val="28"/>
          <w:szCs w:val="28"/>
        </w:rPr>
        <w:t>DRG结算数据合理性、合规性审核服务</w:t>
      </w:r>
    </w:p>
    <w:p w14:paraId="29267931">
      <w:pPr>
        <w:keepNext w:val="0"/>
        <w:keepLines w:val="0"/>
        <w:pageBreakBefore w:val="0"/>
        <w:widowControl w:val="0"/>
        <w:kinsoku/>
        <w:wordWrap/>
        <w:overflowPunct/>
        <w:topLinePunct w:val="0"/>
        <w:autoSpaceDE/>
        <w:autoSpaceDN/>
        <w:bidi w:val="0"/>
        <w:adjustRightInd/>
        <w:ind w:firstLine="576" w:firstLineChars="200"/>
        <w:jc w:val="both"/>
        <w:textAlignment w:val="auto"/>
        <w:rPr>
          <w:rFonts w:hint="eastAsia" w:ascii="宋体" w:hAnsi="宋体" w:eastAsia="宋体" w:cs="宋体"/>
          <w:spacing w:val="4"/>
          <w:sz w:val="28"/>
          <w:szCs w:val="28"/>
          <w:lang w:eastAsia="zh-CN"/>
        </w:rPr>
      </w:pPr>
      <w:r>
        <w:rPr>
          <w:rFonts w:ascii="宋体" w:hAnsi="宋体" w:eastAsia="宋体" w:cs="宋体"/>
          <w:spacing w:val="4"/>
          <w:kern w:val="2"/>
          <w:sz w:val="28"/>
          <w:szCs w:val="28"/>
          <w:lang w:bidi="ar-SA"/>
        </w:rPr>
        <w:t>对医疗机构</w:t>
      </w:r>
      <w:r>
        <w:rPr>
          <w:rFonts w:hint="eastAsia" w:ascii="宋体" w:hAnsi="宋体" w:eastAsia="宋体" w:cs="宋体"/>
          <w:spacing w:val="4"/>
          <w:kern w:val="2"/>
          <w:sz w:val="28"/>
          <w:szCs w:val="28"/>
          <w:lang w:val="en-US" w:eastAsia="zh-CN" w:bidi="ar-SA"/>
        </w:rPr>
        <w:t>申报</w:t>
      </w:r>
      <w:r>
        <w:rPr>
          <w:rFonts w:ascii="宋体" w:hAnsi="宋体" w:eastAsia="宋体" w:cs="宋体"/>
          <w:spacing w:val="4"/>
          <w:kern w:val="2"/>
          <w:sz w:val="28"/>
          <w:szCs w:val="28"/>
          <w:lang w:bidi="ar-SA"/>
        </w:rPr>
        <w:t>的数据（包括分组反馈数据、特殊病例单独审议等）进行合理性和合规性审查，</w:t>
      </w:r>
      <w:r>
        <w:rPr>
          <w:rFonts w:hint="eastAsia" w:ascii="宋体" w:hAnsi="宋体" w:eastAsia="宋体" w:cs="宋体"/>
          <w:spacing w:val="4"/>
          <w:kern w:val="2"/>
          <w:sz w:val="28"/>
          <w:szCs w:val="28"/>
          <w:lang w:bidi="ar-SA"/>
        </w:rPr>
        <w:t>重点审核申报数据不实、高靠分组、分解住院、服务不足</w:t>
      </w:r>
      <w:r>
        <w:rPr>
          <w:rFonts w:ascii="宋体" w:hAnsi="宋体" w:eastAsia="宋体" w:cs="宋体"/>
          <w:spacing w:val="4"/>
          <w:kern w:val="2"/>
          <w:sz w:val="28"/>
          <w:szCs w:val="28"/>
          <w:lang w:bidi="ar-SA"/>
        </w:rPr>
        <w:t>等问题。利用大数据分析和常规监管手段识别可疑病例，邀请病案编码专家和临床专家对可疑病历进行评审，</w:t>
      </w:r>
      <w:r>
        <w:rPr>
          <w:rFonts w:hint="eastAsia" w:ascii="宋体" w:hAnsi="宋体" w:eastAsia="宋体" w:cs="宋体"/>
          <w:spacing w:val="4"/>
          <w:kern w:val="2"/>
          <w:sz w:val="28"/>
          <w:szCs w:val="28"/>
          <w:lang w:bidi="ar-SA"/>
        </w:rPr>
        <w:t>重点核查高套分组、体检住院、不符合出入院指征、服务不足、分解收费等违规行为</w:t>
      </w:r>
      <w:r>
        <w:rPr>
          <w:rFonts w:ascii="宋体" w:hAnsi="宋体" w:eastAsia="宋体" w:cs="宋体"/>
          <w:spacing w:val="4"/>
          <w:kern w:val="2"/>
          <w:sz w:val="28"/>
          <w:szCs w:val="28"/>
          <w:lang w:bidi="ar-SA"/>
        </w:rPr>
        <w:t>。</w:t>
      </w:r>
    </w:p>
    <w:bookmarkEnd w:id="6"/>
    <w:p w14:paraId="27BA4C4B">
      <w:pPr>
        <w:ind w:firstLine="0" w:firstLineChars="0"/>
        <w:outlineLvl w:val="1"/>
        <w:rPr>
          <w:rFonts w:hint="eastAsia" w:ascii="宋体" w:hAnsi="宋体" w:eastAsia="宋体" w:cs="宋体"/>
          <w:b/>
          <w:bCs/>
          <w:spacing w:val="4"/>
          <w:sz w:val="28"/>
          <w:szCs w:val="28"/>
        </w:rPr>
      </w:pPr>
      <w:r>
        <w:rPr>
          <w:rFonts w:hint="eastAsia" w:ascii="宋体" w:hAnsi="宋体" w:eastAsia="宋体" w:cs="宋体"/>
          <w:b/>
          <w:bCs/>
          <w:spacing w:val="4"/>
          <w:sz w:val="28"/>
          <w:szCs w:val="28"/>
        </w:rPr>
        <w:t>（</w:t>
      </w:r>
      <w:r>
        <w:rPr>
          <w:rFonts w:hint="eastAsia" w:ascii="宋体" w:hAnsi="宋体" w:eastAsia="宋体" w:cs="宋体"/>
          <w:b/>
          <w:bCs/>
          <w:spacing w:val="4"/>
          <w:sz w:val="28"/>
          <w:szCs w:val="28"/>
          <w:lang w:val="en-US" w:eastAsia="zh-CN"/>
        </w:rPr>
        <w:t>五</w:t>
      </w:r>
      <w:r>
        <w:rPr>
          <w:rFonts w:hint="eastAsia" w:ascii="宋体" w:hAnsi="宋体" w:eastAsia="宋体" w:cs="宋体"/>
          <w:b/>
          <w:bCs/>
          <w:spacing w:val="4"/>
          <w:sz w:val="28"/>
          <w:szCs w:val="28"/>
        </w:rPr>
        <w:t>）配合</w:t>
      </w:r>
      <w:r>
        <w:rPr>
          <w:rFonts w:hint="eastAsia" w:ascii="宋体" w:hAnsi="宋体" w:eastAsia="宋体" w:cs="宋体"/>
          <w:b/>
          <w:bCs/>
          <w:spacing w:val="4"/>
          <w:sz w:val="28"/>
          <w:szCs w:val="28"/>
          <w:lang w:val="en-US" w:eastAsia="zh-CN"/>
        </w:rPr>
        <w:t>完善</w:t>
      </w:r>
      <w:r>
        <w:rPr>
          <w:rFonts w:hint="eastAsia" w:ascii="宋体" w:hAnsi="宋体" w:eastAsia="宋体" w:cs="宋体"/>
          <w:b/>
          <w:bCs/>
          <w:spacing w:val="4"/>
          <w:sz w:val="28"/>
          <w:szCs w:val="28"/>
        </w:rPr>
        <w:t>国家平台DRG支付功能模块建设</w:t>
      </w:r>
    </w:p>
    <w:p w14:paraId="1C25A579">
      <w:pPr>
        <w:keepNext w:val="0"/>
        <w:keepLines w:val="0"/>
        <w:pageBreakBefore w:val="0"/>
        <w:widowControl w:val="0"/>
        <w:kinsoku/>
        <w:wordWrap/>
        <w:overflowPunct/>
        <w:topLinePunct w:val="0"/>
        <w:autoSpaceDE/>
        <w:autoSpaceDN/>
        <w:bidi w:val="0"/>
        <w:adjustRightInd/>
        <w:snapToGrid/>
        <w:ind w:firstLine="576" w:firstLineChars="200"/>
        <w:jc w:val="both"/>
        <w:textAlignment w:val="auto"/>
        <w:rPr>
          <w:rFonts w:hint="eastAsia" w:ascii="宋体" w:hAnsi="宋体" w:eastAsia="宋体" w:cs="宋体"/>
          <w:spacing w:val="4"/>
          <w:sz w:val="28"/>
          <w:szCs w:val="28"/>
          <w:highlight w:val="none"/>
          <w:lang w:val="en-US" w:eastAsia="zh-CN"/>
        </w:rPr>
      </w:pPr>
      <w:bookmarkStart w:id="7" w:name="OLE_LINK5"/>
      <w:r>
        <w:rPr>
          <w:rFonts w:hint="eastAsia" w:ascii="宋体" w:hAnsi="宋体" w:eastAsia="宋体" w:cs="宋体"/>
          <w:spacing w:val="4"/>
          <w:sz w:val="28"/>
          <w:szCs w:val="28"/>
        </w:rPr>
        <w:t>1</w:t>
      </w:r>
      <w:r>
        <w:rPr>
          <w:rFonts w:hint="eastAsia" w:ascii="宋体" w:hAnsi="宋体" w:eastAsia="宋体" w:cs="宋体"/>
          <w:spacing w:val="4"/>
          <w:sz w:val="28"/>
          <w:szCs w:val="28"/>
          <w:lang w:val="en-US" w:eastAsia="zh-CN"/>
        </w:rPr>
        <w:t>.</w:t>
      </w:r>
      <w:r>
        <w:rPr>
          <w:rFonts w:hint="eastAsia" w:ascii="宋体" w:hAnsi="宋体" w:eastAsia="宋体" w:cs="宋体"/>
          <w:spacing w:val="4"/>
          <w:sz w:val="28"/>
          <w:szCs w:val="28"/>
          <w:highlight w:val="none"/>
          <w:lang w:val="en-US" w:eastAsia="zh-CN"/>
        </w:rPr>
        <w:t>配合采购人</w:t>
      </w:r>
      <w:r>
        <w:rPr>
          <w:rFonts w:hint="eastAsia" w:ascii="宋体" w:hAnsi="宋体" w:eastAsia="宋体" w:cs="宋体"/>
          <w:spacing w:val="4"/>
          <w:sz w:val="28"/>
          <w:szCs w:val="28"/>
          <w:highlight w:val="none"/>
        </w:rPr>
        <w:t>及时做好医保信息平台支付方式管理子系统DRG/DIP相关功能模块本地参数配置和落地应用，确保</w:t>
      </w:r>
      <w:r>
        <w:rPr>
          <w:rFonts w:hint="eastAsia" w:ascii="宋体" w:hAnsi="宋体" w:eastAsia="宋体" w:cs="宋体"/>
          <w:spacing w:val="4"/>
          <w:sz w:val="28"/>
          <w:szCs w:val="28"/>
          <w:highlight w:val="none"/>
          <w:lang w:eastAsia="zh-CN"/>
        </w:rPr>
        <w:t>2</w:t>
      </w:r>
      <w:r>
        <w:rPr>
          <w:rFonts w:hint="eastAsia" w:ascii="宋体" w:hAnsi="宋体" w:eastAsia="宋体" w:cs="宋体"/>
          <w:spacing w:val="4"/>
          <w:sz w:val="28"/>
          <w:szCs w:val="28"/>
          <w:highlight w:val="none"/>
          <w:lang w:val="en-US" w:eastAsia="zh-CN"/>
        </w:rPr>
        <w:t>.0版</w:t>
      </w:r>
      <w:r>
        <w:rPr>
          <w:rFonts w:hint="eastAsia" w:ascii="宋体" w:hAnsi="宋体" w:eastAsia="宋体" w:cs="宋体"/>
          <w:spacing w:val="4"/>
          <w:sz w:val="28"/>
          <w:szCs w:val="28"/>
          <w:highlight w:val="none"/>
        </w:rPr>
        <w:t>分组嵌入后，能够顺利实现分组、结算、清算等工作，不影响医保业务正常开展。</w:t>
      </w:r>
    </w:p>
    <w:p w14:paraId="3212B08E">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lang w:val="en-US" w:eastAsia="zh-CN"/>
        </w:rPr>
      </w:pPr>
      <w:r>
        <w:rPr>
          <w:rFonts w:hint="eastAsia" w:ascii="宋体" w:hAnsi="宋体" w:eastAsia="宋体" w:cs="宋体"/>
          <w:spacing w:val="4"/>
          <w:sz w:val="28"/>
          <w:szCs w:val="28"/>
        </w:rPr>
        <w:t>2</w:t>
      </w:r>
      <w:r>
        <w:rPr>
          <w:rFonts w:hint="eastAsia" w:ascii="宋体" w:hAnsi="宋体" w:eastAsia="宋体" w:cs="宋体"/>
          <w:spacing w:val="4"/>
          <w:sz w:val="28"/>
          <w:szCs w:val="28"/>
          <w:lang w:val="en-US" w:eastAsia="zh-CN"/>
        </w:rPr>
        <w:t>.</w:t>
      </w:r>
      <w:bookmarkStart w:id="8" w:name="OLE_LINK13"/>
      <w:r>
        <w:rPr>
          <w:rFonts w:ascii="宋体" w:hAnsi="宋体" w:eastAsia="宋体" w:cs="宋体"/>
          <w:spacing w:val="4"/>
          <w:kern w:val="2"/>
          <w:sz w:val="28"/>
          <w:szCs w:val="28"/>
          <w:lang w:bidi="ar-SA"/>
        </w:rPr>
        <w:t>利用国家医保平台，全面执行普通住院与生育住院病例的月度分组、月度分组反馈、年度分组及年度分组反馈任务，最终依托国家医保平台实现普通住院与生育住院病例的年度清算，以及年终清算和分组反馈审核工作。</w:t>
      </w:r>
      <w:bookmarkEnd w:id="8"/>
    </w:p>
    <w:p w14:paraId="2843034E">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lang w:val="en-US" w:eastAsia="zh-CN"/>
        </w:rPr>
        <w:t>3.</w:t>
      </w:r>
      <w:r>
        <w:rPr>
          <w:rFonts w:ascii="宋体" w:hAnsi="宋体" w:eastAsia="宋体" w:cs="宋体"/>
          <w:spacing w:val="4"/>
          <w:kern w:val="2"/>
          <w:sz w:val="28"/>
          <w:szCs w:val="28"/>
          <w:lang w:bidi="ar-SA"/>
        </w:rPr>
        <w:t>利用国家医保平台，</w:t>
      </w:r>
      <w:r>
        <w:rPr>
          <w:rFonts w:hint="eastAsia" w:ascii="宋体" w:hAnsi="宋体" w:eastAsia="宋体" w:cs="宋体"/>
          <w:spacing w:val="4"/>
          <w:kern w:val="2"/>
          <w:sz w:val="28"/>
          <w:szCs w:val="28"/>
          <w:lang w:val="en-US" w:eastAsia="zh-CN" w:bidi="ar-SA"/>
        </w:rPr>
        <w:t>开展</w:t>
      </w:r>
      <w:r>
        <w:rPr>
          <w:rFonts w:hint="eastAsia" w:ascii="宋体" w:hAnsi="宋体" w:eastAsia="宋体" w:cs="宋体"/>
          <w:spacing w:val="4"/>
          <w:sz w:val="28"/>
          <w:szCs w:val="28"/>
        </w:rPr>
        <w:t>特病单议、中医优势病种、特殊病例、重点专科病组申报等特殊需申报的病例完成全流程申报，并将评审结果与年终清算环节相衔接。</w:t>
      </w:r>
    </w:p>
    <w:p w14:paraId="13B7DA27">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lang w:val="en-US" w:eastAsia="zh-CN"/>
        </w:rPr>
        <w:t>4.配合采购人</w:t>
      </w:r>
      <w:r>
        <w:rPr>
          <w:rFonts w:hint="eastAsia" w:ascii="宋体" w:hAnsi="宋体" w:eastAsia="宋体" w:cs="宋体"/>
          <w:spacing w:val="4"/>
          <w:sz w:val="28"/>
          <w:szCs w:val="28"/>
        </w:rPr>
        <w:t>在</w:t>
      </w:r>
      <w:r>
        <w:rPr>
          <w:rFonts w:hint="eastAsia" w:ascii="宋体" w:hAnsi="宋体" w:eastAsia="宋体" w:cs="宋体"/>
          <w:spacing w:val="4"/>
          <w:sz w:val="28"/>
          <w:szCs w:val="28"/>
          <w:lang w:val="en-US" w:eastAsia="zh-CN"/>
        </w:rPr>
        <w:t>国家医保平台实现DRG付费相关</w:t>
      </w:r>
      <w:r>
        <w:rPr>
          <w:rFonts w:hint="eastAsia" w:ascii="宋体" w:hAnsi="宋体" w:eastAsia="宋体" w:cs="宋体"/>
          <w:spacing w:val="4"/>
          <w:sz w:val="28"/>
          <w:szCs w:val="28"/>
        </w:rPr>
        <w:t>数据</w:t>
      </w:r>
      <w:r>
        <w:rPr>
          <w:rFonts w:hint="eastAsia" w:ascii="宋体" w:hAnsi="宋体" w:eastAsia="宋体" w:cs="宋体"/>
          <w:spacing w:val="4"/>
          <w:sz w:val="28"/>
          <w:szCs w:val="28"/>
          <w:lang w:val="en-US" w:eastAsia="zh-CN"/>
        </w:rPr>
        <w:t>公示功能，公示数据涵盖</w:t>
      </w:r>
      <w:r>
        <w:rPr>
          <w:rFonts w:hint="eastAsia" w:ascii="宋体" w:hAnsi="宋体" w:eastAsia="宋体" w:cs="宋体"/>
          <w:spacing w:val="4"/>
          <w:sz w:val="28"/>
          <w:szCs w:val="28"/>
        </w:rPr>
        <w:t>财务分类、月度财务报表、月度考核评分</w:t>
      </w:r>
      <w:r>
        <w:rPr>
          <w:rFonts w:hint="eastAsia" w:ascii="宋体" w:hAnsi="宋体" w:eastAsia="宋体" w:cs="宋体"/>
          <w:spacing w:val="4"/>
          <w:sz w:val="28"/>
          <w:szCs w:val="28"/>
          <w:lang w:eastAsia="zh-CN"/>
        </w:rPr>
        <w:t>、</w:t>
      </w:r>
      <w:r>
        <w:rPr>
          <w:rFonts w:hint="eastAsia" w:ascii="宋体" w:hAnsi="宋体" w:eastAsia="宋体" w:cs="宋体"/>
          <w:spacing w:val="4"/>
          <w:sz w:val="28"/>
          <w:szCs w:val="28"/>
        </w:rPr>
        <w:t>医院系数、病组均费</w:t>
      </w:r>
      <w:r>
        <w:rPr>
          <w:rFonts w:hint="eastAsia" w:ascii="宋体" w:hAnsi="宋体" w:eastAsia="宋体" w:cs="宋体"/>
          <w:spacing w:val="4"/>
          <w:sz w:val="28"/>
          <w:szCs w:val="28"/>
          <w:lang w:eastAsia="zh-CN"/>
        </w:rPr>
        <w:t>、</w:t>
      </w:r>
      <w:r>
        <w:rPr>
          <w:rFonts w:hint="eastAsia" w:ascii="宋体" w:hAnsi="宋体" w:eastAsia="宋体" w:cs="宋体"/>
          <w:spacing w:val="4"/>
          <w:sz w:val="28"/>
          <w:szCs w:val="28"/>
        </w:rPr>
        <w:t>年终清算计算结果、年度清算报表等数据。</w:t>
      </w:r>
    </w:p>
    <w:p w14:paraId="60633F9E">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lang w:val="en-US" w:eastAsia="zh-CN"/>
        </w:rPr>
      </w:pPr>
      <w:r>
        <w:rPr>
          <w:rFonts w:hint="eastAsia" w:ascii="宋体" w:hAnsi="宋体" w:eastAsia="宋体" w:cs="宋体"/>
          <w:spacing w:val="4"/>
          <w:sz w:val="28"/>
          <w:szCs w:val="28"/>
          <w:lang w:val="en-US" w:eastAsia="zh-CN"/>
        </w:rPr>
        <w:t>5.在国家医保平台尚未实现DRG付费结算及经办业务功能的情况下，供应商须配合采购人完善增加国家平台DRG支付功能。同时，须使用原佛山市医保分值付费系统的业务功能辅助完成DRG相关业务工作和验证分组和点数计算结果准确性，确保DRG付费全流程工作的平稳顺利进行。</w:t>
      </w:r>
    </w:p>
    <w:bookmarkEnd w:id="7"/>
    <w:p w14:paraId="14BF836D">
      <w:pPr>
        <w:ind w:firstLine="0" w:firstLineChars="0"/>
        <w:outlineLvl w:val="1"/>
        <w:rPr>
          <w:rFonts w:hint="eastAsia" w:ascii="宋体" w:hAnsi="宋体" w:eastAsia="宋体" w:cs="宋体"/>
          <w:b/>
          <w:bCs/>
          <w:spacing w:val="4"/>
          <w:sz w:val="28"/>
          <w:szCs w:val="28"/>
        </w:rPr>
      </w:pPr>
      <w:r>
        <w:rPr>
          <w:rFonts w:hint="eastAsia" w:ascii="宋体" w:hAnsi="宋体" w:eastAsia="宋体" w:cs="宋体"/>
          <w:b/>
          <w:bCs/>
          <w:spacing w:val="4"/>
          <w:sz w:val="28"/>
          <w:szCs w:val="28"/>
        </w:rPr>
        <w:t>（</w:t>
      </w:r>
      <w:r>
        <w:rPr>
          <w:rFonts w:hint="eastAsia" w:ascii="宋体" w:hAnsi="宋体" w:eastAsia="宋体" w:cs="宋体"/>
          <w:b/>
          <w:bCs/>
          <w:spacing w:val="4"/>
          <w:sz w:val="28"/>
          <w:szCs w:val="28"/>
          <w:lang w:val="en-US" w:eastAsia="zh-CN"/>
        </w:rPr>
        <w:t>六</w:t>
      </w:r>
      <w:r>
        <w:rPr>
          <w:rFonts w:hint="eastAsia" w:ascii="宋体" w:hAnsi="宋体" w:eastAsia="宋体" w:cs="宋体"/>
          <w:b/>
          <w:bCs/>
          <w:spacing w:val="4"/>
          <w:sz w:val="28"/>
          <w:szCs w:val="28"/>
        </w:rPr>
        <w:t>）</w:t>
      </w:r>
      <w:bookmarkStart w:id="9" w:name="OLE_LINK7"/>
      <w:r>
        <w:rPr>
          <w:rFonts w:hint="eastAsia" w:ascii="宋体" w:hAnsi="宋体" w:eastAsia="宋体" w:cs="宋体"/>
          <w:b/>
          <w:bCs/>
          <w:spacing w:val="4"/>
          <w:sz w:val="28"/>
          <w:szCs w:val="28"/>
        </w:rPr>
        <w:t>DRG日常服务及专家支持服务体系</w:t>
      </w:r>
    </w:p>
    <w:p w14:paraId="5332A0E3">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rPr>
        <w:t>组织邀请病案学、疾病分类、医疗质量控制以及医院管理领域</w:t>
      </w:r>
      <w:r>
        <w:rPr>
          <w:rFonts w:hint="eastAsia" w:ascii="宋体" w:hAnsi="宋体" w:eastAsia="宋体" w:cs="宋体"/>
          <w:spacing w:val="4"/>
          <w:sz w:val="28"/>
          <w:szCs w:val="28"/>
          <w:lang w:val="en-US" w:eastAsia="zh-CN"/>
        </w:rPr>
        <w:t>专家</w:t>
      </w:r>
      <w:r>
        <w:rPr>
          <w:rFonts w:hint="eastAsia" w:ascii="宋体" w:hAnsi="宋体" w:eastAsia="宋体" w:cs="宋体"/>
          <w:spacing w:val="4"/>
          <w:sz w:val="28"/>
          <w:szCs w:val="28"/>
        </w:rPr>
        <w:t>来佛山交流研讨、评估、指导工作。</w:t>
      </w:r>
    </w:p>
    <w:p w14:paraId="35D06341">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rPr>
        <w:t>1</w:t>
      </w:r>
      <w:r>
        <w:rPr>
          <w:rFonts w:hint="eastAsia" w:ascii="宋体" w:hAnsi="宋体" w:eastAsia="宋体" w:cs="宋体"/>
          <w:spacing w:val="4"/>
          <w:sz w:val="28"/>
          <w:szCs w:val="28"/>
          <w:lang w:val="en-US" w:eastAsia="zh-CN"/>
        </w:rPr>
        <w:t>.</w:t>
      </w:r>
      <w:r>
        <w:rPr>
          <w:rFonts w:hint="eastAsia" w:ascii="宋体" w:hAnsi="宋体" w:eastAsia="宋体" w:cs="宋体"/>
          <w:spacing w:val="4"/>
          <w:sz w:val="28"/>
          <w:szCs w:val="28"/>
        </w:rPr>
        <w:t>针对疾病诊断分类的内在逻辑、病案质量控制以及病案上传的规范标准，提供专家顾问支持。</w:t>
      </w:r>
    </w:p>
    <w:p w14:paraId="434268F1">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rPr>
        <w:t>2</w:t>
      </w:r>
      <w:r>
        <w:rPr>
          <w:rFonts w:hint="eastAsia" w:ascii="宋体" w:hAnsi="宋体" w:eastAsia="宋体" w:cs="宋体"/>
          <w:spacing w:val="4"/>
          <w:sz w:val="28"/>
          <w:szCs w:val="28"/>
          <w:lang w:val="en-US" w:eastAsia="zh-CN"/>
        </w:rPr>
        <w:t>.</w:t>
      </w:r>
      <w:r>
        <w:rPr>
          <w:rFonts w:hint="eastAsia" w:ascii="宋体" w:hAnsi="宋体" w:eastAsia="宋体" w:cs="宋体"/>
          <w:spacing w:val="4"/>
          <w:sz w:val="28"/>
          <w:szCs w:val="28"/>
        </w:rPr>
        <w:t>对疾病诊断分类和病案筛选规则的专业性和合理性进行深入研讨，并推动其改进。</w:t>
      </w:r>
    </w:p>
    <w:p w14:paraId="0DA976D1">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rPr>
      </w:pPr>
      <w:bookmarkStart w:id="10" w:name="OLE_LINK8"/>
      <w:r>
        <w:rPr>
          <w:rFonts w:hint="eastAsia" w:ascii="宋体" w:hAnsi="宋体" w:eastAsia="宋体" w:cs="宋体"/>
          <w:spacing w:val="4"/>
          <w:sz w:val="28"/>
          <w:szCs w:val="28"/>
        </w:rPr>
        <w:t>3</w:t>
      </w:r>
      <w:r>
        <w:rPr>
          <w:rFonts w:hint="eastAsia" w:ascii="宋体" w:hAnsi="宋体" w:eastAsia="宋体" w:cs="宋体"/>
          <w:spacing w:val="4"/>
          <w:sz w:val="28"/>
          <w:szCs w:val="28"/>
          <w:lang w:val="en-US" w:eastAsia="zh-CN"/>
        </w:rPr>
        <w:t>.配合采购人</w:t>
      </w:r>
      <w:r>
        <w:rPr>
          <w:rFonts w:hint="eastAsia" w:ascii="宋体" w:hAnsi="宋体" w:eastAsia="宋体" w:cs="宋体"/>
          <w:spacing w:val="4"/>
          <w:sz w:val="28"/>
          <w:szCs w:val="28"/>
        </w:rPr>
        <w:t>开展疾病诊断分组案例分析、特殊病例专家审议等会议，协同建立动态的专家协商机制。</w:t>
      </w:r>
    </w:p>
    <w:bookmarkEnd w:id="10"/>
    <w:p w14:paraId="26058E28">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rPr>
        <w:t>4</w:t>
      </w:r>
      <w:r>
        <w:rPr>
          <w:rFonts w:hint="eastAsia" w:ascii="宋体" w:hAnsi="宋体" w:eastAsia="宋体" w:cs="宋体"/>
          <w:spacing w:val="4"/>
          <w:sz w:val="28"/>
          <w:szCs w:val="28"/>
          <w:lang w:val="en-US" w:eastAsia="zh-CN"/>
        </w:rPr>
        <w:t>.</w:t>
      </w:r>
      <w:r>
        <w:rPr>
          <w:rFonts w:hint="eastAsia" w:ascii="宋体" w:hAnsi="宋体" w:eastAsia="宋体" w:cs="宋体"/>
          <w:spacing w:val="4"/>
          <w:sz w:val="28"/>
          <w:szCs w:val="28"/>
        </w:rPr>
        <w:t>为佛山市</w:t>
      </w:r>
      <w:r>
        <w:rPr>
          <w:rFonts w:hint="eastAsia" w:ascii="宋体" w:hAnsi="宋体" w:eastAsia="宋体" w:cs="宋体"/>
          <w:spacing w:val="4"/>
          <w:sz w:val="28"/>
          <w:szCs w:val="28"/>
          <w:lang w:val="en-US" w:eastAsia="zh-CN"/>
        </w:rPr>
        <w:t>DRG</w:t>
      </w:r>
      <w:r>
        <w:rPr>
          <w:rFonts w:hint="eastAsia" w:ascii="宋体" w:hAnsi="宋体" w:eastAsia="宋体" w:cs="宋体"/>
          <w:spacing w:val="4"/>
          <w:sz w:val="28"/>
          <w:szCs w:val="28"/>
        </w:rPr>
        <w:t>相关工作领域的开展，提供专业的各项培训和不定期的行业专家指导评估工作。</w:t>
      </w:r>
    </w:p>
    <w:p w14:paraId="3D57A2B4">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rPr>
        <w:t>5</w:t>
      </w:r>
      <w:r>
        <w:rPr>
          <w:rFonts w:hint="eastAsia" w:ascii="宋体" w:hAnsi="宋体" w:eastAsia="宋体" w:cs="宋体"/>
          <w:spacing w:val="4"/>
          <w:sz w:val="28"/>
          <w:szCs w:val="28"/>
          <w:lang w:val="en-US" w:eastAsia="zh-CN"/>
        </w:rPr>
        <w:t>.</w:t>
      </w:r>
      <w:r>
        <w:rPr>
          <w:rFonts w:hint="eastAsia" w:ascii="宋体" w:hAnsi="宋体" w:eastAsia="宋体" w:cs="宋体"/>
          <w:spacing w:val="4"/>
          <w:sz w:val="28"/>
          <w:szCs w:val="28"/>
        </w:rPr>
        <w:t>为医疗机构对口科室提供5x8小时问题咨询服务。</w:t>
      </w:r>
    </w:p>
    <w:bookmarkEnd w:id="9"/>
    <w:p w14:paraId="6684AE09">
      <w:pPr>
        <w:ind w:firstLine="0" w:firstLineChars="0"/>
        <w:outlineLvl w:val="1"/>
        <w:rPr>
          <w:rFonts w:hint="eastAsia" w:ascii="宋体" w:hAnsi="宋体" w:eastAsia="宋体" w:cs="宋体"/>
          <w:b/>
          <w:bCs/>
          <w:spacing w:val="4"/>
          <w:sz w:val="28"/>
          <w:szCs w:val="28"/>
        </w:rPr>
      </w:pPr>
      <w:r>
        <w:rPr>
          <w:rFonts w:hint="eastAsia" w:ascii="宋体" w:hAnsi="宋体" w:eastAsia="宋体" w:cs="宋体"/>
          <w:b/>
          <w:bCs/>
          <w:spacing w:val="4"/>
          <w:sz w:val="28"/>
          <w:szCs w:val="28"/>
        </w:rPr>
        <w:t>（</w:t>
      </w:r>
      <w:r>
        <w:rPr>
          <w:rFonts w:hint="eastAsia" w:ascii="宋体" w:hAnsi="宋体" w:eastAsia="宋体" w:cs="宋体"/>
          <w:b/>
          <w:bCs/>
          <w:spacing w:val="4"/>
          <w:sz w:val="28"/>
          <w:szCs w:val="28"/>
          <w:lang w:val="en-US" w:eastAsia="zh-CN"/>
        </w:rPr>
        <w:t>七</w:t>
      </w:r>
      <w:r>
        <w:rPr>
          <w:rFonts w:hint="eastAsia" w:ascii="宋体" w:hAnsi="宋体" w:eastAsia="宋体" w:cs="宋体"/>
          <w:b/>
          <w:bCs/>
          <w:spacing w:val="4"/>
          <w:sz w:val="28"/>
          <w:szCs w:val="28"/>
        </w:rPr>
        <w:t>）按照要求，配合完成国家医保局试点城市疾病诊断相关分组（DRG）的有关工作</w:t>
      </w:r>
    </w:p>
    <w:p w14:paraId="40183F13">
      <w:pPr>
        <w:numPr>
          <w:ilvl w:val="-1"/>
          <w:numId w:val="0"/>
        </w:numPr>
        <w:ind w:firstLine="576" w:firstLineChars="200"/>
        <w:rPr>
          <w:rFonts w:hint="eastAsia" w:ascii="宋体" w:hAnsi="宋体" w:eastAsia="宋体" w:cs="宋体"/>
          <w:spacing w:val="4"/>
          <w:sz w:val="28"/>
          <w:szCs w:val="28"/>
          <w:highlight w:val="none"/>
          <w:lang w:val="en-US" w:eastAsia="zh-CN"/>
        </w:rPr>
      </w:pPr>
      <w:r>
        <w:rPr>
          <w:rFonts w:hint="eastAsia" w:ascii="宋体" w:hAnsi="宋体" w:eastAsia="宋体" w:cs="宋体"/>
          <w:spacing w:val="4"/>
          <w:sz w:val="28"/>
          <w:szCs w:val="28"/>
          <w:highlight w:val="none"/>
          <w:lang w:val="en-US" w:eastAsia="zh-CN"/>
        </w:rPr>
        <w:t>1.配合采购人完成佛山</w:t>
      </w:r>
      <w:r>
        <w:rPr>
          <w:rFonts w:hint="eastAsia" w:ascii="宋体" w:hAnsi="宋体" w:eastAsia="宋体" w:cs="宋体"/>
          <w:spacing w:val="4"/>
          <w:sz w:val="28"/>
          <w:szCs w:val="28"/>
          <w:highlight w:val="none"/>
        </w:rPr>
        <w:t>按病组分值付费 2.0 版分组方案</w:t>
      </w:r>
      <w:r>
        <w:rPr>
          <w:rFonts w:hint="eastAsia" w:ascii="宋体" w:hAnsi="宋体" w:eastAsia="宋体" w:cs="宋体"/>
          <w:spacing w:val="4"/>
          <w:sz w:val="28"/>
          <w:szCs w:val="28"/>
          <w:highlight w:val="none"/>
          <w:lang w:val="en-US" w:eastAsia="zh-CN"/>
        </w:rPr>
        <w:t>在佛山切换</w:t>
      </w:r>
      <w:r>
        <w:rPr>
          <w:rFonts w:hint="eastAsia" w:ascii="宋体" w:hAnsi="宋体" w:eastAsia="宋体" w:cs="宋体"/>
          <w:spacing w:val="4"/>
          <w:sz w:val="28"/>
          <w:szCs w:val="28"/>
          <w:highlight w:val="none"/>
        </w:rPr>
        <w:t>工作</w:t>
      </w:r>
      <w:r>
        <w:rPr>
          <w:rFonts w:hint="eastAsia" w:ascii="宋体" w:hAnsi="宋体" w:eastAsia="宋体" w:cs="宋体"/>
          <w:spacing w:val="4"/>
          <w:sz w:val="28"/>
          <w:szCs w:val="28"/>
          <w:highlight w:val="none"/>
          <w:lang w:eastAsia="zh-CN"/>
        </w:rPr>
        <w:t>，</w:t>
      </w:r>
      <w:r>
        <w:rPr>
          <w:rFonts w:hint="eastAsia" w:ascii="宋体" w:hAnsi="宋体" w:eastAsia="宋体" w:cs="宋体"/>
          <w:spacing w:val="4"/>
          <w:sz w:val="28"/>
          <w:szCs w:val="28"/>
          <w:highlight w:val="none"/>
          <w:lang w:val="en-US" w:eastAsia="zh-CN"/>
        </w:rPr>
        <w:t>确保2025年起佛山地区能正式使用2.0分组版本，提供佛山支付方式改革工作的规范性、统一性。</w:t>
      </w:r>
    </w:p>
    <w:p w14:paraId="11278C05">
      <w:pPr>
        <w:keepNext w:val="0"/>
        <w:keepLines w:val="0"/>
        <w:pageBreakBefore w:val="0"/>
        <w:widowControl w:val="0"/>
        <w:numPr>
          <w:ilvl w:val="-1"/>
          <w:numId w:val="0"/>
        </w:numPr>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highlight w:val="none"/>
          <w:lang w:val="en-US" w:eastAsia="zh-CN"/>
        </w:rPr>
      </w:pPr>
      <w:r>
        <w:rPr>
          <w:rFonts w:hint="eastAsia" w:ascii="宋体" w:hAnsi="宋体" w:eastAsia="宋体" w:cs="宋体"/>
          <w:spacing w:val="4"/>
          <w:sz w:val="28"/>
          <w:szCs w:val="28"/>
          <w:highlight w:val="none"/>
          <w:lang w:val="en-US" w:eastAsia="zh-CN"/>
        </w:rPr>
        <w:t>2.协助采购人健全完善关于总额、权重、分值、调节系数等支付核心要素的谈判协商机制。</w:t>
      </w:r>
    </w:p>
    <w:p w14:paraId="31BBBFA2">
      <w:pPr>
        <w:keepNext w:val="0"/>
        <w:keepLines w:val="0"/>
        <w:pageBreakBefore w:val="0"/>
        <w:widowControl w:val="0"/>
        <w:numPr>
          <w:ilvl w:val="-1"/>
          <w:numId w:val="0"/>
        </w:numPr>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lang w:val="en-US" w:eastAsia="zh-CN"/>
        </w:rPr>
      </w:pPr>
      <w:r>
        <w:rPr>
          <w:rFonts w:hint="eastAsia" w:ascii="宋体" w:hAnsi="宋体" w:eastAsia="宋体" w:cs="宋体"/>
          <w:spacing w:val="4"/>
          <w:sz w:val="28"/>
          <w:szCs w:val="28"/>
          <w:lang w:val="en-US" w:eastAsia="zh-CN"/>
        </w:rPr>
        <w:t>3.将异地就医费用纳入 DRG付费管理范畴。</w:t>
      </w:r>
    </w:p>
    <w:p w14:paraId="77816A43">
      <w:pPr>
        <w:keepNext w:val="0"/>
        <w:keepLines w:val="0"/>
        <w:pageBreakBefore w:val="0"/>
        <w:widowControl w:val="0"/>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lang w:val="en-US" w:eastAsia="zh-CN"/>
        </w:rPr>
        <w:t>4.配合采购人完成国家医保局试点城市疾病诊断相关分组（DRG）付费经办工作，</w:t>
      </w:r>
      <w:r>
        <w:rPr>
          <w:rFonts w:ascii="宋体" w:hAnsi="宋体" w:eastAsia="宋体" w:cs="宋体"/>
          <w:spacing w:val="4"/>
          <w:kern w:val="2"/>
          <w:sz w:val="28"/>
          <w:szCs w:val="28"/>
          <w:lang w:bidi="ar-SA"/>
        </w:rPr>
        <w:t>确保</w:t>
      </w:r>
      <w:r>
        <w:rPr>
          <w:rFonts w:hint="eastAsia" w:ascii="宋体" w:hAnsi="宋体" w:eastAsia="宋体" w:cs="宋体"/>
          <w:spacing w:val="4"/>
          <w:kern w:val="2"/>
          <w:sz w:val="28"/>
          <w:szCs w:val="28"/>
          <w:lang w:val="en-US" w:eastAsia="zh-CN" w:bidi="ar-SA"/>
        </w:rPr>
        <w:t>试点经办</w:t>
      </w:r>
      <w:r>
        <w:rPr>
          <w:rFonts w:ascii="宋体" w:hAnsi="宋体" w:eastAsia="宋体" w:cs="宋体"/>
          <w:spacing w:val="4"/>
          <w:kern w:val="2"/>
          <w:sz w:val="28"/>
          <w:szCs w:val="28"/>
          <w:lang w:bidi="ar-SA"/>
        </w:rPr>
        <w:t>过程的全面性和准确性。</w:t>
      </w:r>
    </w:p>
    <w:p w14:paraId="63D9C5A7">
      <w:pPr>
        <w:numPr>
          <w:ilvl w:val="0"/>
          <w:numId w:val="0"/>
        </w:numPr>
        <w:outlineLvl w:val="0"/>
        <w:rPr>
          <w:rFonts w:hint="eastAsia" w:ascii="宋体" w:hAnsi="宋体" w:eastAsia="宋体" w:cs="宋体"/>
          <w:b/>
          <w:bCs/>
          <w:spacing w:val="4"/>
          <w:sz w:val="28"/>
          <w:szCs w:val="28"/>
          <w:lang w:val="en-US" w:eastAsia="zh-CN"/>
        </w:rPr>
      </w:pPr>
      <w:bookmarkStart w:id="12" w:name="_GoBack"/>
      <w:bookmarkEnd w:id="12"/>
      <w:r>
        <w:rPr>
          <w:rFonts w:hint="eastAsia" w:ascii="宋体" w:hAnsi="宋体" w:eastAsia="宋体" w:cs="宋体"/>
          <w:b/>
          <w:bCs/>
          <w:spacing w:val="4"/>
          <w:sz w:val="28"/>
          <w:szCs w:val="28"/>
          <w:lang w:val="en-US" w:eastAsia="zh-CN"/>
        </w:rPr>
        <w:t>六、付款方式</w:t>
      </w:r>
    </w:p>
    <w:p w14:paraId="54E6DAC9">
      <w:pPr>
        <w:rPr>
          <w:rFonts w:hint="eastAsia"/>
          <w:spacing w:val="-1"/>
          <w:sz w:val="28"/>
          <w:szCs w:val="28"/>
        </w:rPr>
      </w:pPr>
      <w:r>
        <w:rPr>
          <w:rFonts w:hint="eastAsia"/>
          <w:spacing w:val="-1"/>
          <w:sz w:val="28"/>
          <w:szCs w:val="28"/>
        </w:rPr>
        <w:t>1期：支付比例30%，本合同签订后，中标人向采购人提供正式发票之日起15个工作日内，采购人向中标人支付第一期费用，合同总额的30%；</w:t>
      </w:r>
    </w:p>
    <w:p w14:paraId="659418D6">
      <w:pPr>
        <w:rPr>
          <w:rFonts w:hint="eastAsia"/>
          <w:spacing w:val="-1"/>
          <w:sz w:val="28"/>
          <w:szCs w:val="28"/>
        </w:rPr>
      </w:pPr>
      <w:r>
        <w:rPr>
          <w:rFonts w:hint="eastAsia"/>
          <w:spacing w:val="-1"/>
          <w:sz w:val="28"/>
          <w:szCs w:val="28"/>
        </w:rPr>
        <w:t>2期：支付比例3</w:t>
      </w:r>
      <w:r>
        <w:rPr>
          <w:rFonts w:hint="eastAsia"/>
          <w:spacing w:val="-1"/>
          <w:sz w:val="28"/>
          <w:szCs w:val="28"/>
          <w:lang w:val="en-US" w:eastAsia="zh-CN"/>
        </w:rPr>
        <w:t>4</w:t>
      </w:r>
      <w:r>
        <w:rPr>
          <w:rFonts w:hint="eastAsia"/>
          <w:spacing w:val="-1"/>
          <w:sz w:val="28"/>
          <w:szCs w:val="28"/>
        </w:rPr>
        <w:t>%，2025年度第三季度第二个月，中标人向采购人提供正式发票之日起15个工作日内，采购人向中标人支付第二期费用，合同总额的3</w:t>
      </w:r>
      <w:r>
        <w:rPr>
          <w:rFonts w:hint="eastAsia"/>
          <w:spacing w:val="-1"/>
          <w:sz w:val="28"/>
          <w:szCs w:val="28"/>
          <w:lang w:val="en-US" w:eastAsia="zh-CN"/>
        </w:rPr>
        <w:t>4</w:t>
      </w:r>
      <w:r>
        <w:rPr>
          <w:rFonts w:hint="eastAsia"/>
          <w:spacing w:val="-1"/>
          <w:sz w:val="28"/>
          <w:szCs w:val="28"/>
        </w:rPr>
        <w:t>%；</w:t>
      </w:r>
    </w:p>
    <w:p w14:paraId="5ADD75C3">
      <w:pPr>
        <w:rPr>
          <w:rFonts w:hint="eastAsia"/>
          <w:spacing w:val="-1"/>
          <w:sz w:val="28"/>
          <w:szCs w:val="28"/>
        </w:rPr>
      </w:pPr>
      <w:r>
        <w:rPr>
          <w:rFonts w:hint="eastAsia"/>
          <w:spacing w:val="-1"/>
          <w:sz w:val="28"/>
          <w:szCs w:val="28"/>
        </w:rPr>
        <w:t>3期：支付比例30%，2025年度第四季度首月，中标人向采购人提供正式发票之日起15个工作日内，采购人向中标人支付第三期费用，合同总额的30%。</w:t>
      </w:r>
    </w:p>
    <w:p w14:paraId="183CB21E">
      <w:pPr>
        <w:rPr>
          <w:rFonts w:hint="eastAsia"/>
          <w:spacing w:val="-1"/>
          <w:sz w:val="28"/>
          <w:szCs w:val="28"/>
        </w:rPr>
      </w:pPr>
      <w:bookmarkStart w:id="11" w:name="OLE_LINK11"/>
      <w:r>
        <w:rPr>
          <w:rFonts w:hint="eastAsia"/>
          <w:spacing w:val="-1"/>
          <w:sz w:val="28"/>
          <w:szCs w:val="28"/>
        </w:rPr>
        <w:t>4期：支付比例</w:t>
      </w:r>
      <w:r>
        <w:rPr>
          <w:rFonts w:hint="eastAsia"/>
          <w:spacing w:val="-1"/>
          <w:sz w:val="28"/>
          <w:szCs w:val="28"/>
          <w:lang w:val="en-US" w:eastAsia="zh-CN"/>
        </w:rPr>
        <w:t>6</w:t>
      </w:r>
      <w:r>
        <w:rPr>
          <w:rFonts w:hint="eastAsia"/>
          <w:spacing w:val="-1"/>
          <w:sz w:val="28"/>
          <w:szCs w:val="28"/>
        </w:rPr>
        <w:t>%，2025年度清算及验收完成后，中标人向采购人提供正式发票之日起15个工作日内，采购人向中标人支付第四期费用，合同总额的</w:t>
      </w:r>
      <w:r>
        <w:rPr>
          <w:rFonts w:hint="eastAsia"/>
          <w:spacing w:val="-1"/>
          <w:sz w:val="28"/>
          <w:szCs w:val="28"/>
          <w:lang w:val="en-US" w:eastAsia="zh-CN"/>
        </w:rPr>
        <w:t>6</w:t>
      </w:r>
      <w:r>
        <w:rPr>
          <w:rFonts w:hint="eastAsia"/>
          <w:spacing w:val="-1"/>
          <w:sz w:val="28"/>
          <w:szCs w:val="28"/>
        </w:rPr>
        <w:t>%</w:t>
      </w:r>
      <w:r>
        <w:rPr>
          <w:rFonts w:hint="eastAsia"/>
          <w:spacing w:val="-1"/>
          <w:sz w:val="28"/>
          <w:szCs w:val="28"/>
          <w:lang w:eastAsia="zh-CN"/>
        </w:rPr>
        <w:t>。</w:t>
      </w:r>
    </w:p>
    <w:bookmarkEnd w:id="11"/>
    <w:p w14:paraId="3E856C2F">
      <w:pPr>
        <w:rPr>
          <w:rFonts w:hint="eastAsia"/>
          <w:spacing w:val="-1"/>
          <w:sz w:val="28"/>
          <w:szCs w:val="28"/>
        </w:rPr>
      </w:pPr>
    </w:p>
    <w:p w14:paraId="2F31F1F4">
      <w:pPr>
        <w:numPr>
          <w:ilvl w:val="0"/>
          <w:numId w:val="0"/>
        </w:numPr>
        <w:outlineLvl w:val="0"/>
        <w:rPr>
          <w:rFonts w:hint="eastAsia" w:ascii="宋体" w:hAnsi="宋体" w:eastAsia="宋体" w:cs="宋体"/>
          <w:b/>
          <w:bCs/>
          <w:spacing w:val="4"/>
          <w:sz w:val="28"/>
          <w:szCs w:val="28"/>
          <w:lang w:val="en-US" w:eastAsia="zh-CN"/>
        </w:rPr>
      </w:pPr>
      <w:r>
        <w:rPr>
          <w:rFonts w:hint="eastAsia" w:ascii="宋体" w:hAnsi="宋体" w:eastAsia="宋体" w:cs="宋体"/>
          <w:b/>
          <w:bCs/>
          <w:spacing w:val="4"/>
          <w:kern w:val="2"/>
          <w:sz w:val="28"/>
          <w:szCs w:val="28"/>
          <w:lang w:val="en-US" w:eastAsia="zh-CN" w:bidi="ar-SA"/>
        </w:rPr>
        <w:t>七、</w:t>
      </w:r>
      <w:r>
        <w:rPr>
          <w:rFonts w:hint="eastAsia" w:ascii="宋体" w:hAnsi="宋体" w:eastAsia="宋体" w:cs="宋体"/>
          <w:b/>
          <w:bCs/>
          <w:spacing w:val="4"/>
          <w:sz w:val="28"/>
          <w:szCs w:val="28"/>
          <w:lang w:val="en-US" w:eastAsia="zh-CN"/>
        </w:rPr>
        <w:t>验收要求</w:t>
      </w:r>
    </w:p>
    <w:p w14:paraId="2D75F768">
      <w:pPr>
        <w:rPr>
          <w:rFonts w:hint="eastAsia"/>
          <w:spacing w:val="-1"/>
          <w:sz w:val="28"/>
          <w:szCs w:val="28"/>
        </w:rPr>
      </w:pPr>
      <w:r>
        <w:rPr>
          <w:rFonts w:hint="eastAsia"/>
          <w:spacing w:val="-1"/>
          <w:sz w:val="28"/>
          <w:szCs w:val="28"/>
          <w:lang w:eastAsia="zh-CN"/>
        </w:rPr>
        <w:t>（</w:t>
      </w:r>
      <w:r>
        <w:rPr>
          <w:rFonts w:hint="eastAsia"/>
          <w:spacing w:val="-1"/>
          <w:sz w:val="28"/>
          <w:szCs w:val="28"/>
          <w:lang w:val="en-US" w:eastAsia="zh-CN"/>
        </w:rPr>
        <w:t>1</w:t>
      </w:r>
      <w:r>
        <w:rPr>
          <w:rFonts w:hint="eastAsia"/>
          <w:spacing w:val="-1"/>
          <w:sz w:val="28"/>
          <w:szCs w:val="28"/>
          <w:lang w:eastAsia="zh-CN"/>
        </w:rPr>
        <w:t>）</w:t>
      </w:r>
      <w:r>
        <w:rPr>
          <w:rFonts w:hint="eastAsia"/>
          <w:spacing w:val="-1"/>
          <w:sz w:val="28"/>
          <w:szCs w:val="28"/>
        </w:rPr>
        <w:t>验收要求按照项目技术服务要求的履约情况，开展项目验收工作，完成</w:t>
      </w:r>
      <w:r>
        <w:rPr>
          <w:rFonts w:hint="eastAsia"/>
          <w:spacing w:val="-1"/>
          <w:sz w:val="28"/>
          <w:szCs w:val="28"/>
          <w:lang w:val="en-US" w:eastAsia="zh-CN"/>
        </w:rPr>
        <w:t>2025</w:t>
      </w:r>
      <w:r>
        <w:rPr>
          <w:rFonts w:hint="eastAsia"/>
          <w:spacing w:val="-1"/>
          <w:sz w:val="28"/>
          <w:szCs w:val="28"/>
        </w:rPr>
        <w:t>年终清算工作开展年度服务内容的验收工作，由佛山社会保险基金管理局组织开展双方共同组织验收小组，依据合同约定对本项目服务进行评价和验收，并由验收小组提交最终的验收报告,当验收小组中双方成员意见不一致时,以采购方的最终意见为准。</w:t>
      </w:r>
    </w:p>
    <w:p w14:paraId="4BDDB92B">
      <w:pPr>
        <w:rPr>
          <w:rFonts w:hint="eastAsia"/>
          <w:spacing w:val="-1"/>
          <w:sz w:val="28"/>
          <w:szCs w:val="28"/>
        </w:rPr>
      </w:pPr>
      <w:r>
        <w:rPr>
          <w:rFonts w:hint="eastAsia"/>
          <w:spacing w:val="-1"/>
          <w:sz w:val="28"/>
          <w:szCs w:val="28"/>
          <w:lang w:eastAsia="zh-CN"/>
        </w:rPr>
        <w:t>（</w:t>
      </w:r>
      <w:r>
        <w:rPr>
          <w:rFonts w:hint="eastAsia"/>
          <w:spacing w:val="-1"/>
          <w:sz w:val="28"/>
          <w:szCs w:val="28"/>
          <w:lang w:val="en-US" w:eastAsia="zh-CN"/>
        </w:rPr>
        <w:t>2</w:t>
      </w:r>
      <w:r>
        <w:rPr>
          <w:rFonts w:hint="eastAsia"/>
          <w:spacing w:val="-1"/>
          <w:sz w:val="28"/>
          <w:szCs w:val="28"/>
          <w:lang w:eastAsia="zh-CN"/>
        </w:rPr>
        <w:t>）</w:t>
      </w:r>
      <w:r>
        <w:rPr>
          <w:rFonts w:hint="eastAsia"/>
          <w:spacing w:val="-1"/>
          <w:sz w:val="28"/>
          <w:szCs w:val="28"/>
        </w:rPr>
        <w:t>验收标准1）符合中华人民共和国国家和履约地相关安全质量标准、行业技术规范标准、环保节能标准；2）符合采购文件和响应承诺中各方共同认可的各项合理要求；3）上述各类标准与法规必须是有关官方机构最新发布的现行标准版本。</w:t>
      </w:r>
    </w:p>
    <w:p w14:paraId="59B3A69E">
      <w:pPr>
        <w:rPr>
          <w:rFonts w:ascii="宋体" w:hAnsi="宋体" w:eastAsia="宋体" w:cs="宋体"/>
          <w:color w:val="auto"/>
          <w:spacing w:val="4"/>
          <w:sz w:val="28"/>
          <w:szCs w:val="28"/>
        </w:rPr>
      </w:pPr>
    </w:p>
    <w:p w14:paraId="5CA1CE87">
      <w:pPr>
        <w:numPr>
          <w:ilvl w:val="0"/>
          <w:numId w:val="0"/>
        </w:numPr>
        <w:outlineLvl w:val="0"/>
        <w:rPr>
          <w:rFonts w:hint="eastAsia" w:ascii="宋体" w:hAnsi="宋体" w:eastAsia="宋体" w:cs="宋体"/>
          <w:b/>
          <w:bCs/>
          <w:color w:val="auto"/>
          <w:spacing w:val="4"/>
          <w:sz w:val="28"/>
          <w:szCs w:val="28"/>
          <w:lang w:val="en-US" w:eastAsia="zh-CN"/>
        </w:rPr>
      </w:pPr>
      <w:r>
        <w:rPr>
          <w:rFonts w:hint="eastAsia" w:ascii="宋体" w:hAnsi="宋体" w:eastAsia="宋体" w:cs="宋体"/>
          <w:b/>
          <w:bCs/>
          <w:color w:val="auto"/>
          <w:spacing w:val="4"/>
          <w:kern w:val="2"/>
          <w:sz w:val="28"/>
          <w:szCs w:val="28"/>
          <w:lang w:val="en-US" w:eastAsia="zh-CN" w:bidi="ar-SA"/>
        </w:rPr>
        <w:t>八、</w:t>
      </w:r>
      <w:r>
        <w:rPr>
          <w:rFonts w:hint="eastAsia" w:ascii="宋体" w:hAnsi="宋体" w:eastAsia="宋体" w:cs="宋体"/>
          <w:b/>
          <w:bCs/>
          <w:color w:val="auto"/>
          <w:spacing w:val="4"/>
          <w:sz w:val="28"/>
          <w:szCs w:val="28"/>
          <w:lang w:val="en-US" w:eastAsia="zh-CN"/>
        </w:rPr>
        <w:t>其他要求</w:t>
      </w:r>
    </w:p>
    <w:p w14:paraId="0B91E87E">
      <w:pPr>
        <w:keepNext w:val="0"/>
        <w:keepLines w:val="0"/>
        <w:pageBreakBefore w:val="0"/>
        <w:widowControl w:val="0"/>
        <w:numPr>
          <w:ilvl w:val="-1"/>
          <w:numId w:val="0"/>
        </w:numPr>
        <w:kinsoku/>
        <w:wordWrap/>
        <w:overflowPunct/>
        <w:topLinePunct w:val="0"/>
        <w:autoSpaceDE/>
        <w:autoSpaceDN/>
        <w:bidi w:val="0"/>
        <w:adjustRightInd/>
        <w:snapToGrid/>
        <w:ind w:firstLine="576" w:firstLineChars="200"/>
        <w:textAlignment w:val="auto"/>
        <w:rPr>
          <w:rFonts w:hint="eastAsia" w:ascii="宋体" w:hAnsi="宋体" w:eastAsia="宋体" w:cs="宋体"/>
          <w:color w:val="auto"/>
          <w:spacing w:val="4"/>
          <w:sz w:val="28"/>
          <w:szCs w:val="28"/>
        </w:rPr>
      </w:pPr>
      <w:r>
        <w:rPr>
          <w:rFonts w:hint="eastAsia" w:ascii="宋体" w:hAnsi="宋体" w:eastAsia="宋体" w:cs="宋体"/>
          <w:color w:val="auto"/>
          <w:spacing w:val="4"/>
          <w:sz w:val="28"/>
          <w:szCs w:val="28"/>
          <w:lang w:val="en-US" w:eastAsia="zh-CN"/>
        </w:rPr>
        <w:t>1.</w:t>
      </w:r>
      <w:r>
        <w:rPr>
          <w:rFonts w:hint="eastAsia" w:ascii="宋体" w:hAnsi="宋体" w:eastAsia="宋体" w:cs="宋体"/>
          <w:color w:val="auto"/>
          <w:spacing w:val="4"/>
          <w:sz w:val="28"/>
          <w:szCs w:val="28"/>
        </w:rPr>
        <w:t>部署要求</w:t>
      </w:r>
      <w:r>
        <w:rPr>
          <w:rFonts w:hint="eastAsia" w:ascii="宋体" w:hAnsi="宋体" w:eastAsia="宋体" w:cs="宋体"/>
          <w:color w:val="auto"/>
          <w:spacing w:val="4"/>
          <w:sz w:val="28"/>
          <w:szCs w:val="28"/>
          <w:lang w:eastAsia="zh-CN"/>
        </w:rPr>
        <w:t>：</w:t>
      </w:r>
      <w:r>
        <w:rPr>
          <w:rFonts w:hint="eastAsia" w:ascii="宋体" w:hAnsi="宋体" w:eastAsia="宋体" w:cs="宋体"/>
          <w:color w:val="auto"/>
          <w:spacing w:val="4"/>
          <w:sz w:val="28"/>
          <w:szCs w:val="28"/>
        </w:rPr>
        <w:t>2018年佛山完成了佛山市医保分值付费系统建设，系统覆盖了病案采集、DRG分组、分组结果公示反馈及审核、DRG付费计算全流程。2024年1月，佛山</w:t>
      </w:r>
      <w:r>
        <w:rPr>
          <w:rFonts w:hint="eastAsia" w:ascii="宋体" w:hAnsi="宋体" w:eastAsia="宋体" w:cs="宋体"/>
          <w:color w:val="auto"/>
          <w:spacing w:val="4"/>
          <w:sz w:val="28"/>
          <w:szCs w:val="28"/>
          <w:lang w:val="en-US" w:eastAsia="zh-CN"/>
        </w:rPr>
        <w:t>逐步</w:t>
      </w:r>
      <w:r>
        <w:rPr>
          <w:rFonts w:hint="eastAsia" w:ascii="宋体" w:hAnsi="宋体" w:eastAsia="宋体" w:cs="宋体"/>
          <w:color w:val="auto"/>
          <w:spacing w:val="4"/>
          <w:sz w:val="28"/>
          <w:szCs w:val="28"/>
        </w:rPr>
        <w:t>启用国家医保平台DRG支付</w:t>
      </w:r>
      <w:r>
        <w:rPr>
          <w:rFonts w:hint="eastAsia" w:ascii="宋体" w:hAnsi="宋体" w:eastAsia="宋体" w:cs="宋体"/>
          <w:color w:val="auto"/>
          <w:spacing w:val="4"/>
          <w:sz w:val="28"/>
          <w:szCs w:val="28"/>
          <w:lang w:val="en-US" w:eastAsia="zh-CN"/>
        </w:rPr>
        <w:t>相应</w:t>
      </w:r>
      <w:r>
        <w:rPr>
          <w:rFonts w:hint="eastAsia" w:ascii="宋体" w:hAnsi="宋体" w:eastAsia="宋体" w:cs="宋体"/>
          <w:color w:val="auto"/>
          <w:spacing w:val="4"/>
          <w:sz w:val="28"/>
          <w:szCs w:val="28"/>
        </w:rPr>
        <w:t>模块，基本医疗保险住院病例采用国家医保平台DRG支付模块开展DRG月结工作。</w:t>
      </w:r>
      <w:r>
        <w:rPr>
          <w:rFonts w:hint="eastAsia" w:ascii="宋体" w:hAnsi="宋体" w:eastAsia="宋体" w:cs="宋体"/>
          <w:color w:val="auto"/>
          <w:spacing w:val="4"/>
          <w:sz w:val="28"/>
          <w:szCs w:val="28"/>
          <w:lang w:val="en-US" w:eastAsia="zh-CN"/>
        </w:rPr>
        <w:t>然而，</w:t>
      </w:r>
      <w:r>
        <w:rPr>
          <w:rFonts w:hint="eastAsia" w:ascii="宋体" w:hAnsi="宋体" w:eastAsia="宋体" w:cs="宋体"/>
          <w:color w:val="auto"/>
          <w:spacing w:val="4"/>
          <w:sz w:val="28"/>
          <w:szCs w:val="28"/>
        </w:rPr>
        <w:t>为保障DRG经办业务的正常运行</w:t>
      </w:r>
      <w:r>
        <w:rPr>
          <w:rFonts w:hint="eastAsia" w:ascii="宋体" w:hAnsi="宋体" w:eastAsia="宋体" w:cs="宋体"/>
          <w:color w:val="auto"/>
          <w:spacing w:val="4"/>
          <w:sz w:val="28"/>
          <w:szCs w:val="28"/>
          <w:lang w:val="en-US" w:eastAsia="zh-CN"/>
        </w:rPr>
        <w:t>、</w:t>
      </w:r>
      <w:r>
        <w:rPr>
          <w:rFonts w:hint="eastAsia" w:ascii="宋体" w:hAnsi="宋体" w:eastAsia="宋体" w:cs="宋体"/>
          <w:color w:val="auto"/>
          <w:spacing w:val="4"/>
          <w:sz w:val="28"/>
          <w:szCs w:val="28"/>
        </w:rPr>
        <w:t>专业服务的一致性</w:t>
      </w:r>
      <w:r>
        <w:rPr>
          <w:rFonts w:hint="eastAsia" w:ascii="宋体" w:hAnsi="宋体" w:eastAsia="宋体" w:cs="宋体"/>
          <w:color w:val="auto"/>
          <w:spacing w:val="4"/>
          <w:sz w:val="28"/>
          <w:szCs w:val="28"/>
          <w:lang w:eastAsia="zh-CN"/>
        </w:rPr>
        <w:t>、</w:t>
      </w:r>
      <w:r>
        <w:rPr>
          <w:rFonts w:hint="eastAsia" w:ascii="宋体" w:hAnsi="宋体" w:eastAsia="宋体" w:cs="宋体"/>
          <w:color w:val="auto"/>
          <w:spacing w:val="4"/>
          <w:sz w:val="28"/>
          <w:szCs w:val="28"/>
        </w:rPr>
        <w:t>项目信息安全和数据安全，</w:t>
      </w:r>
      <w:r>
        <w:rPr>
          <w:rFonts w:hint="eastAsia" w:ascii="宋体" w:hAnsi="宋体" w:eastAsia="宋体" w:cs="宋体"/>
          <w:color w:val="auto"/>
          <w:spacing w:val="4"/>
          <w:sz w:val="28"/>
          <w:szCs w:val="28"/>
          <w:lang w:val="en-US" w:eastAsia="zh-CN"/>
        </w:rPr>
        <w:t>本项目</w:t>
      </w:r>
      <w:r>
        <w:rPr>
          <w:rFonts w:hint="eastAsia" w:ascii="宋体" w:hAnsi="宋体" w:eastAsia="宋体" w:cs="宋体"/>
          <w:color w:val="auto"/>
          <w:spacing w:val="4"/>
          <w:sz w:val="28"/>
          <w:szCs w:val="28"/>
        </w:rPr>
        <w:t>将继续同步使用原佛山市医保分值付费系统的业务功能，确保DRG工作的顺利推进。</w:t>
      </w:r>
    </w:p>
    <w:p w14:paraId="5BF6E0B8">
      <w:pPr>
        <w:keepNext w:val="0"/>
        <w:keepLines w:val="0"/>
        <w:pageBreakBefore w:val="0"/>
        <w:widowControl w:val="0"/>
        <w:numPr>
          <w:ilvl w:val="0"/>
          <w:numId w:val="0"/>
        </w:numPr>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lang w:val="en-US" w:eastAsia="zh-CN"/>
        </w:rPr>
        <w:t>2.</w:t>
      </w:r>
      <w:r>
        <w:rPr>
          <w:rFonts w:hint="eastAsia" w:ascii="宋体" w:hAnsi="宋体" w:eastAsia="宋体" w:cs="宋体"/>
          <w:spacing w:val="4"/>
          <w:sz w:val="28"/>
          <w:szCs w:val="28"/>
        </w:rPr>
        <w:t>服务人力资源要求</w:t>
      </w:r>
      <w:r>
        <w:rPr>
          <w:rFonts w:hint="eastAsia" w:ascii="宋体" w:hAnsi="宋体" w:eastAsia="宋体" w:cs="宋体"/>
          <w:spacing w:val="4"/>
          <w:sz w:val="28"/>
          <w:szCs w:val="28"/>
          <w:lang w:eastAsia="zh-CN"/>
        </w:rPr>
        <w:t>：</w:t>
      </w:r>
      <w:r>
        <w:rPr>
          <w:rFonts w:hint="eastAsia" w:ascii="宋体" w:hAnsi="宋体" w:eastAsia="宋体" w:cs="宋体"/>
          <w:spacing w:val="4"/>
          <w:sz w:val="28"/>
          <w:szCs w:val="28"/>
        </w:rPr>
        <w:t>本项目需组建专业的不少于26人的服务团队，服务团队需要包括医药学、统计学、计算机信息技术等相关人员。为加强和保障项目工作正确有序的推进，需要建立专家支撑服务体系,在各个环节和流程的工作提供领域内的专业和权威性建议及指导。</w:t>
      </w:r>
    </w:p>
    <w:p w14:paraId="650EB60C">
      <w:pPr>
        <w:keepNext w:val="0"/>
        <w:keepLines w:val="0"/>
        <w:pageBreakBefore w:val="0"/>
        <w:widowControl w:val="0"/>
        <w:numPr>
          <w:ilvl w:val="0"/>
          <w:numId w:val="0"/>
        </w:numPr>
        <w:kinsoku/>
        <w:wordWrap/>
        <w:overflowPunct/>
        <w:topLinePunct w:val="0"/>
        <w:autoSpaceDE/>
        <w:autoSpaceDN/>
        <w:bidi w:val="0"/>
        <w:adjustRightInd/>
        <w:snapToGrid/>
        <w:ind w:firstLine="576" w:firstLineChars="200"/>
        <w:textAlignment w:val="auto"/>
        <w:rPr>
          <w:rFonts w:ascii="宋体" w:hAnsi="宋体" w:eastAsia="宋体" w:cs="宋体"/>
          <w:spacing w:val="4"/>
          <w:sz w:val="28"/>
          <w:szCs w:val="28"/>
        </w:rPr>
      </w:pPr>
      <w:r>
        <w:rPr>
          <w:rFonts w:hint="eastAsia" w:ascii="宋体" w:hAnsi="宋体" w:eastAsia="宋体" w:cs="宋体"/>
          <w:spacing w:val="4"/>
          <w:sz w:val="28"/>
          <w:szCs w:val="28"/>
          <w:lang w:val="en-US" w:eastAsia="zh-CN"/>
        </w:rPr>
        <w:t>3.</w:t>
      </w:r>
      <w:r>
        <w:rPr>
          <w:rFonts w:hint="eastAsia" w:ascii="宋体" w:hAnsi="宋体" w:eastAsia="宋体" w:cs="宋体"/>
          <w:spacing w:val="4"/>
          <w:sz w:val="28"/>
          <w:szCs w:val="28"/>
        </w:rPr>
        <w:t>接口要求本项目涉及与国家医疗保障信息平台医保结算系统的数据对接、佛山市医保分值付费系统中系统的对接。在项目成交后，由供应商根据国家医疗保障信息平台的医保结算系统及佛山市医保分值付费系统的数据接口进行改造对接。</w:t>
      </w:r>
    </w:p>
    <w:p w14:paraId="6E0F04C2">
      <w:pPr>
        <w:keepNext w:val="0"/>
        <w:keepLines w:val="0"/>
        <w:pageBreakBefore w:val="0"/>
        <w:widowControl w:val="0"/>
        <w:numPr>
          <w:ilvl w:val="0"/>
          <w:numId w:val="0"/>
        </w:numPr>
        <w:kinsoku/>
        <w:wordWrap/>
        <w:overflowPunct/>
        <w:topLinePunct w:val="0"/>
        <w:autoSpaceDE/>
        <w:autoSpaceDN/>
        <w:bidi w:val="0"/>
        <w:adjustRightInd/>
        <w:snapToGrid/>
        <w:ind w:firstLine="576" w:firstLineChars="200"/>
        <w:textAlignment w:val="auto"/>
        <w:rPr>
          <w:rFonts w:hint="eastAsia" w:ascii="宋体" w:hAnsi="宋体" w:eastAsia="宋体" w:cs="宋体"/>
          <w:spacing w:val="4"/>
          <w:sz w:val="28"/>
          <w:szCs w:val="28"/>
        </w:rPr>
      </w:pPr>
      <w:r>
        <w:rPr>
          <w:rFonts w:hint="eastAsia" w:ascii="宋体" w:hAnsi="宋体" w:eastAsia="宋体" w:cs="宋体"/>
          <w:spacing w:val="4"/>
          <w:sz w:val="28"/>
          <w:szCs w:val="28"/>
          <w:lang w:val="en-US" w:eastAsia="zh-CN"/>
        </w:rPr>
        <w:t>4.</w:t>
      </w:r>
      <w:r>
        <w:rPr>
          <w:rFonts w:hint="eastAsia" w:ascii="宋体" w:hAnsi="宋体" w:eastAsia="宋体" w:cs="宋体"/>
          <w:spacing w:val="4"/>
          <w:sz w:val="28"/>
          <w:szCs w:val="28"/>
        </w:rPr>
        <w:t>其他分析报告、数据分析等份数及要求，共同协商确定。</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方正楷体简体">
    <w:altName w:val="宋体"/>
    <w:panose1 w:val="02000000000000000000"/>
    <w:charset w:val="86"/>
    <w:family w:val="auto"/>
    <w:pitch w:val="default"/>
    <w:sig w:usb0="00000000" w:usb1="00000000" w:usb2="00000012" w:usb3="00000000" w:csb0="00040001" w:csb1="00000000"/>
  </w:font>
  <w:font w:name="Corbel">
    <w:panose1 w:val="020B0503020204020204"/>
    <w:charset w:val="00"/>
    <w:family w:val="auto"/>
    <w:pitch w:val="default"/>
    <w:sig w:usb0="A00002EF" w:usb1="4000A44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5C59F">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EA6734">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EA6734">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F6549C"/>
    <w:rsid w:val="04CB5D07"/>
    <w:rsid w:val="05BA1425"/>
    <w:rsid w:val="07FB25A2"/>
    <w:rsid w:val="0B15043B"/>
    <w:rsid w:val="12A67B2A"/>
    <w:rsid w:val="13A84300"/>
    <w:rsid w:val="144E2F64"/>
    <w:rsid w:val="14610555"/>
    <w:rsid w:val="17893BAF"/>
    <w:rsid w:val="181178D9"/>
    <w:rsid w:val="1A6C5261"/>
    <w:rsid w:val="1B1B5FAA"/>
    <w:rsid w:val="1B287C0A"/>
    <w:rsid w:val="1BBE2D35"/>
    <w:rsid w:val="1C3A401C"/>
    <w:rsid w:val="1CB30F21"/>
    <w:rsid w:val="1EAF2BEF"/>
    <w:rsid w:val="207F0BCF"/>
    <w:rsid w:val="23332C21"/>
    <w:rsid w:val="27F8190E"/>
    <w:rsid w:val="29A60635"/>
    <w:rsid w:val="29E60221"/>
    <w:rsid w:val="2ECB14A8"/>
    <w:rsid w:val="2FA94F4E"/>
    <w:rsid w:val="31410749"/>
    <w:rsid w:val="31B755C1"/>
    <w:rsid w:val="3360631D"/>
    <w:rsid w:val="348B6D54"/>
    <w:rsid w:val="39A12FC4"/>
    <w:rsid w:val="3F8E4FD8"/>
    <w:rsid w:val="40A1623C"/>
    <w:rsid w:val="41250A0B"/>
    <w:rsid w:val="42CD276F"/>
    <w:rsid w:val="442C714B"/>
    <w:rsid w:val="4F38786D"/>
    <w:rsid w:val="50AE3603"/>
    <w:rsid w:val="515A15D6"/>
    <w:rsid w:val="52DA40B6"/>
    <w:rsid w:val="557D664D"/>
    <w:rsid w:val="58E93C9A"/>
    <w:rsid w:val="5A28768D"/>
    <w:rsid w:val="5B8659FC"/>
    <w:rsid w:val="5CA012EA"/>
    <w:rsid w:val="5DCC5A5B"/>
    <w:rsid w:val="60CA4F94"/>
    <w:rsid w:val="65375667"/>
    <w:rsid w:val="67357DB7"/>
    <w:rsid w:val="67F2516F"/>
    <w:rsid w:val="6940017E"/>
    <w:rsid w:val="6A642FDE"/>
    <w:rsid w:val="6D496A5A"/>
    <w:rsid w:val="6E7105A9"/>
    <w:rsid w:val="6E811FDA"/>
    <w:rsid w:val="6EF6549C"/>
    <w:rsid w:val="6F8C0882"/>
    <w:rsid w:val="725011AF"/>
    <w:rsid w:val="77CE5F40"/>
    <w:rsid w:val="7B1A1CB4"/>
    <w:rsid w:val="7BC635A1"/>
    <w:rsid w:val="7D7C4C11"/>
    <w:rsid w:val="7FBE3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4"/>
    <w:next w:val="1"/>
    <w:qFormat/>
    <w:uiPriority w:val="9"/>
    <w:pPr>
      <w:keepNext w:val="0"/>
      <w:keepLines w:val="0"/>
      <w:widowControl w:val="0"/>
      <w:overflowPunct w:val="0"/>
      <w:topLinePunct/>
      <w:spacing w:line="240" w:lineRule="auto"/>
      <w:jc w:val="both"/>
      <w:outlineLvl w:val="0"/>
    </w:pPr>
    <w:rPr>
      <w:rFonts w:ascii="Times New Roman" w:hAnsi="Times New Roman" w:eastAsia="黑体" w:cs="Times New Roman"/>
      <w:kern w:val="2"/>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rPr>
  </w:style>
  <w:style w:type="paragraph" w:styleId="4">
    <w:name w:val="Title"/>
    <w:basedOn w:val="1"/>
    <w:next w:val="1"/>
    <w:qFormat/>
    <w:uiPriority w:val="0"/>
    <w:pPr>
      <w:spacing w:before="240" w:after="60"/>
      <w:jc w:val="center"/>
      <w:outlineLvl w:val="0"/>
    </w:pPr>
    <w:rPr>
      <w:rFonts w:asciiTheme="majorHAnsi" w:hAnsiTheme="majorHAnsi" w:cstheme="majorBidi"/>
      <w:b/>
      <w:bCs/>
      <w:sz w:val="32"/>
      <w:szCs w:val="32"/>
    </w:rPr>
  </w:style>
  <w:style w:type="paragraph" w:styleId="5">
    <w:name w:val="annotation text"/>
    <w:basedOn w:val="1"/>
    <w:qFormat/>
    <w:uiPriority w:val="0"/>
    <w:pPr>
      <w:jc w:val="left"/>
    </w:pPr>
  </w:style>
  <w:style w:type="paragraph" w:styleId="6">
    <w:name w:val="footer"/>
    <w:basedOn w:val="1"/>
    <w:unhideWhenUsed/>
    <w:qFormat/>
    <w:uiPriority w:val="99"/>
    <w:pPr>
      <w:tabs>
        <w:tab w:val="center" w:pos="4153"/>
        <w:tab w:val="right" w:pos="8306"/>
      </w:tabs>
      <w:snapToGrid w:val="0"/>
      <w:spacing w:line="240" w:lineRule="auto"/>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Table Text"/>
    <w:basedOn w:val="1"/>
    <w:semiHidden/>
    <w:qFormat/>
    <w:uiPriority w:val="0"/>
    <w:rPr>
      <w:rFonts w:ascii="宋体" w:hAnsi="宋体" w:eastAsia="宋体" w:cs="宋体"/>
      <w:sz w:val="19"/>
      <w:szCs w:val="19"/>
      <w:lang w:val="en-US" w:eastAsia="en-US" w:bidi="ar-SA"/>
    </w:rPr>
  </w:style>
  <w:style w:type="paragraph" w:customStyle="1" w:styleId="12">
    <w:name w:val="正文缩进t"/>
    <w:basedOn w:val="1"/>
    <w:qFormat/>
    <w:uiPriority w:val="0"/>
    <w:pPr>
      <w:ind w:firstLine="480" w:firstLineChars="200"/>
    </w:pPr>
  </w:style>
  <w:style w:type="paragraph" w:customStyle="1" w:styleId="13">
    <w:name w:val="正文段落缩进t"/>
    <w:basedOn w:val="1"/>
    <w:qFormat/>
    <w:uiPriority w:val="0"/>
    <w:rPr>
      <w:rFonts w:cs="Arial"/>
      <w:shd w:val="clear" w:color="auto" w:fill="FFFFFF"/>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5320</Words>
  <Characters>5591</Characters>
  <Lines>0</Lines>
  <Paragraphs>0</Paragraphs>
  <TotalTime>10</TotalTime>
  <ScaleCrop>false</ScaleCrop>
  <LinksUpToDate>false</LinksUpToDate>
  <CharactersWithSpaces>5595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2025-01-08T09:42:00Z</dcterms:created>
  <dc:creator>玲玲</dc:creator>
  <cp:lastModifiedBy>招标代理</cp:lastModifiedBy>
  <dcterms:modified xsi:type="dcterms:W3CDTF">2025-02-21T06:24:29Z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AD1D606BC98C403B94D818179A036796</vt:lpwstr>
  </property>
  <property fmtid="{D5CDD505-2E9C-101B-9397-08002B2CF9AE}" pid="4" name="KSOTemplateDocerSaveRecord">
    <vt:lpwstr>eyJoZGlkIjoiN2ViMjc2YTQ3NmQwNWM4YTk5Y2U0YjFjYTYyNDBiNzgiLCJ1c2VySWQiOiIxMTQ0NTI4ODI0In0=</vt:lpwstr>
  </property>
</Properties>
</file>