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440201-2026-02131</w:t>
      </w:r>
    </w:p>
    <w:p>
      <w:pPr>
        <w:pStyle w:val="null3"/>
        <w:jc w:val="center"/>
        <w:outlineLvl w:val="3"/>
      </w:pPr>
      <w:r>
        <w:rPr>
          <w:sz w:val="24"/>
          <w:b/>
        </w:rPr>
        <w:t>采购项目编号：</w:t>
      </w:r>
      <w:r>
        <w:rPr>
          <w:sz w:val="24"/>
          <w:b/>
        </w:rPr>
        <w:t>GDYD260297</w:t>
      </w:r>
    </w:p>
    <w:p>
      <w:pPr>
        <w:pStyle w:val="null3"/>
        <w:jc w:val="center"/>
        <w:outlineLvl w:val="3"/>
      </w:pPr>
      <w:r>
        <w:rPr>
          <w:sz w:val="24"/>
          <w:b/>
        </w:rPr>
        <w:t>项目名称：</w:t>
      </w:r>
      <w:r>
        <w:rPr>
          <w:sz w:val="24"/>
          <w:b/>
        </w:rPr>
        <w:t>韶关主城区高质量发展(交通-产业-城镇一体化)研究及实施行动采购服务项目</w:t>
      </w:r>
    </w:p>
    <w:p>
      <w:pPr>
        <w:pStyle w:val="null3"/>
        <w:jc w:val="center"/>
        <w:outlineLvl w:val="3"/>
      </w:pPr>
      <w:r>
        <w:rPr>
          <w:sz w:val="24"/>
          <w:b/>
        </w:rPr>
        <w:t>采购人：</w:t>
      </w:r>
      <w:r>
        <w:rPr>
          <w:sz w:val="24"/>
          <w:b/>
        </w:rPr>
        <w:t>韶关市自然资源局</w:t>
      </w:r>
    </w:p>
    <w:p>
      <w:pPr>
        <w:pStyle w:val="null3"/>
        <w:jc w:val="center"/>
        <w:outlineLvl w:val="3"/>
      </w:pPr>
      <w:r>
        <w:rPr>
          <w:sz w:val="24"/>
          <w:b/>
        </w:rPr>
        <w:t>采购代理机构：</w:t>
      </w:r>
      <w:r>
        <w:rPr>
          <w:sz w:val="24"/>
          <w:b/>
        </w:rPr>
        <w:t>广东远东招标代理有限公司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w:t>
      </w:r>
      <w:r>
        <w:rPr/>
        <w:t>受</w:t>
      </w:r>
      <w:r>
        <w:rPr/>
        <w:t>韶关市自然资源局</w:t>
      </w:r>
      <w:r>
        <w:rPr/>
        <w:t>的委托，采用</w:t>
      </w:r>
      <w:r>
        <w:rPr/>
        <w:t>公开招标</w:t>
      </w:r>
      <w:r>
        <w:rPr/>
        <w:t>方式组织采购</w:t>
      </w:r>
      <w:r>
        <w:rPr/>
        <w:t>韶关主城区高质量发展(交通-产业-城镇一体化)研究及实施行动采购服务项目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韶关主城区高质量发展(交通-产业-城镇一体化)研究及实施行动采购服务项目</w:t>
      </w:r>
    </w:p>
    <w:p>
      <w:pPr>
        <w:pStyle w:val="null3"/>
        <w:ind w:firstLine="480"/>
      </w:pPr>
      <w:r>
        <w:rPr/>
        <w:t>采购计划编号：</w:t>
      </w:r>
      <w:r>
        <w:rPr/>
        <w:t>440201-2026-02131</w:t>
      </w:r>
    </w:p>
    <w:p>
      <w:pPr>
        <w:pStyle w:val="null3"/>
        <w:ind w:firstLine="480"/>
      </w:pPr>
      <w:r>
        <w:rPr/>
        <w:t>采购项目编号：</w:t>
      </w:r>
      <w:r>
        <w:rPr/>
        <w:t>GDYD260297</w:t>
      </w:r>
    </w:p>
    <w:p>
      <w:pPr>
        <w:pStyle w:val="null3"/>
        <w:ind w:firstLine="480"/>
      </w:pPr>
      <w:r>
        <w:rPr/>
        <w:t>采购方式：</w:t>
      </w:r>
      <w:r>
        <w:rPr/>
        <w:t>公开招标</w:t>
      </w:r>
    </w:p>
    <w:p>
      <w:pPr>
        <w:pStyle w:val="null3"/>
        <w:ind w:firstLine="480"/>
      </w:pPr>
      <w:r>
        <w:rPr/>
        <w:t>预算金额：</w:t>
      </w:r>
      <w:r>
        <w:rPr/>
        <w:t>2,490,000.00</w:t>
      </w:r>
      <w:r>
        <w:rPr/>
        <w:t>元</w:t>
      </w:r>
    </w:p>
    <w:p>
      <w:pPr>
        <w:pStyle w:val="null3"/>
        <w:outlineLvl w:val="3"/>
      </w:pPr>
      <w:r>
        <w:rPr>
          <w:sz w:val="24"/>
          <w:b/>
        </w:rPr>
        <w:t>2.项目内容及需求情况（采购项目技术规格、参数及要求）</w:t>
      </w:r>
    </w:p>
    <w:p>
      <w:pPr>
        <w:pStyle w:val="null3"/>
      </w:pPr>
      <w:r>
        <w:rPr/>
        <w:t>采购包1(韶关主城区高质量发展(交通-产业-城镇一体化)研究及实施行动采购服务项目):</w:t>
      </w:r>
    </w:p>
    <w:p>
      <w:pPr>
        <w:pStyle w:val="null3"/>
      </w:pPr>
      <w:r>
        <w:rPr/>
        <w:t>采购包预算金额：2,490,000.00元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韶关主城区高质量发展(交通-产业-城镇一体化)研究及实施行动采购服务项目的采购项目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2,490,000.00</w:t>
            </w:r>
          </w:p>
        </w:tc>
        <w:tc>
          <w:tcPr>
            <w:tcW w:type="dxa" w:w="97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合同履行期限：服务时间：自双方签订合同之日起一年。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2）有依法缴纳税收和社会保障资金的良好记录：投标文件中提供《资格条件承诺函》，（格式详见招标文件“第二章 采购需求”）。</w:t>
      </w:r>
    </w:p>
    <w:p>
      <w:pPr>
        <w:pStyle w:val="null3"/>
      </w:pPr>
      <w:r>
        <w:rPr/>
        <w:t>3）具有良好的商业信誉和健全的财务会计制度：投标文件中提供《资格条件承诺函》，（格式详见招标文件“第二章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采购包1（韶关主城区高质量发展(交通-产业-城镇一体化)研究及实施行动采购服务项目）：</w:t>
      </w:r>
      <w:r>
        <w:rPr/>
        <w:t>本项目不属于专门面向中小企业采购的项目。</w:t>
      </w:r>
    </w:p>
    <w:p>
      <w:pPr>
        <w:pStyle w:val="null3"/>
        <w:outlineLvl w:val="3"/>
      </w:pPr>
      <w:r>
        <w:rPr>
          <w:sz w:val="24"/>
          <w:b/>
        </w:rPr>
        <w:t>3.本项目特定的资格要求：</w:t>
      </w:r>
    </w:p>
    <w:p>
      <w:pPr>
        <w:pStyle w:val="null3"/>
      </w:pPr>
      <w:r>
        <w:rPr/>
        <w:t>采购包1（韶关主城区高质量发展(交通-产业-城镇一体化)研究及实施行动采购服务项目）：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Pr>
        <w:pStyle w:val="null3"/>
      </w:pPr>
      <w:r>
        <w:rPr/>
        <w:t>3)承担本项目涉及国土空间规划中的“规划”编制工作内容的投标人应当具备特定行业法定准入要求，投标人必须具有城乡规划（国土空间规划）编制资质甲级证书。（提供有效的城乡规划编制资质证书复印件）（注：①若独立投标，投标人应具备上述资质；②若联合体投标，多方共同承担“规划”工作，则各方均须具备上述资质；③若联合体投标，其中仅一方承担“规划”工作，则该方须具备上述资质，另一方未承担“规划”工作的无上述资质要求。须在《联合体共同投标协议书》上明确各方承担的工作内容。）</w:t>
      </w:r>
    </w:p>
    <w:p>
      <w:pPr>
        <w:pStyle w:val="null3"/>
      </w:pPr>
      <w:r>
        <w:rPr/>
        <w:t>4)本项目接受联合体投标，联合体以一个投标人的身份共同投标。 ①联合体成员数量不超过2个； ②联合体各方均需满足“1.投标人应具备《中华人民共和国政府采购法》第二十二条规定的条件，提供下列材料”的要求，投标文件中联合体各方分别提供证明材料并分别加盖其单位公章。 ③联合体成员必须各方共同签署《联合体共同投标协议书》明确联合体牵头人和各方权利、义务，且投标时必须提交《联合体共同投标协议书》。 ④联合体各方不得再以自己名义单独或参加其他联合体在本采购项目中投标，否则各相关投标均无效。</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广东远东招标代理有限公司网（http://www.gdydzb.com）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韶关市自然资源局</w:t>
      </w:r>
    </w:p>
    <w:p>
      <w:pPr>
        <w:pStyle w:val="null3"/>
        <w:ind w:firstLine="480"/>
      </w:pPr>
      <w:r>
        <w:rPr/>
        <w:t xml:space="preserve"> 地址：</w:t>
      </w:r>
      <w:r>
        <w:rPr/>
        <w:t>韶关市武江区芙蓉新城韶州大道（滨江路）9号粤港澳大湾区数据应用产业园东北门F栋</w:t>
      </w:r>
    </w:p>
    <w:p>
      <w:pPr>
        <w:pStyle w:val="null3"/>
        <w:ind w:firstLine="480"/>
      </w:pPr>
      <w:r>
        <w:rPr/>
        <w:t xml:space="preserve"> 联系方式：</w:t>
      </w:r>
      <w:r>
        <w:rPr/>
        <w:t>0751-8963334</w:t>
      </w:r>
    </w:p>
    <w:p>
      <w:pPr>
        <w:pStyle w:val="null3"/>
        <w:outlineLvl w:val="3"/>
      </w:pPr>
      <w:r>
        <w:rPr>
          <w:sz w:val="24"/>
          <w:b/>
        </w:rPr>
        <w:t xml:space="preserve"> 2.采购代理机构信息</w:t>
      </w:r>
    </w:p>
    <w:p>
      <w:pPr>
        <w:pStyle w:val="null3"/>
        <w:ind w:firstLine="480"/>
      </w:pPr>
      <w:r>
        <w:rPr/>
        <w:t xml:space="preserve"> 名称：</w:t>
      </w:r>
      <w:r>
        <w:rPr/>
        <w:t>广东远东招标代理有限公司</w:t>
      </w:r>
    </w:p>
    <w:p>
      <w:pPr>
        <w:pStyle w:val="null3"/>
        <w:ind w:firstLine="480"/>
      </w:pPr>
      <w:r>
        <w:rPr/>
        <w:t xml:space="preserve"> 地址：</w:t>
      </w:r>
      <w:r>
        <w:rPr/>
        <w:t>广州市越秀区越华路112号4301房（部位：自编04-1、05A-1单元），韶关市武江区西联镇小阳山沐芙路扬成名门综合楼三楼（韶关分公司）</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雷小姐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w:t>
      </w:r>
      <w:r>
        <w:rPr>
          <w:sz w:val="24"/>
          <w:b/>
        </w:rPr>
        <w:t>）</w:t>
      </w:r>
      <w:r>
        <w:rPr>
          <w:sz w:val="24"/>
          <w:b/>
        </w:rPr>
        <w:t>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3782"/>
        <w:gridCol w:w="603"/>
        <w:gridCol w:w="2011"/>
        <w:gridCol w:w="1910"/>
      </w:tblGrid>
      <w:tr>
        <w:tc>
          <w:tcPr>
            <w:tcW w:type="dxa" w:w="37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r>
              <w:rPr>
                <w:sz w:val="24"/>
                <w:b/>
              </w:rPr>
              <w:t>名称</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20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采购预算金额</w:t>
            </w:r>
          </w:p>
        </w:tc>
        <w:tc>
          <w:tcPr>
            <w:tcW w:type="dxa" w:w="1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最高限价金额</w:t>
            </w:r>
          </w:p>
        </w:tc>
      </w:tr>
      <w:tr>
        <w:tc>
          <w:tcPr>
            <w:tcW w:type="dxa" w:w="3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韶关主城区高质量发展</w:t>
            </w:r>
            <w:r>
              <w:rPr>
                <w:sz w:val="24"/>
              </w:rPr>
              <w:t>(交通-产业-城镇一体化)研究及实施行动采购服务项目</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2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2,490,000.00</w:t>
            </w:r>
            <w:r>
              <w:rPr>
                <w:sz w:val="24"/>
              </w:rPr>
              <w:t>元</w:t>
            </w:r>
          </w:p>
        </w:tc>
        <w:tc>
          <w:tcPr>
            <w:tcW w:type="dxa" w:w="1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2,490,000.00</w:t>
            </w:r>
            <w:r>
              <w:rPr>
                <w:sz w:val="24"/>
              </w:rPr>
              <w:t>元</w:t>
            </w:r>
          </w:p>
        </w:tc>
      </w:tr>
    </w:tbl>
    <w:p>
      <w:pPr>
        <w:pStyle w:val="null3"/>
        <w:jc w:val="left"/>
      </w:pPr>
      <w:r>
        <w:rPr>
          <w:sz w:val="24"/>
          <w:b/>
        </w:rPr>
        <w:t>（</w:t>
      </w:r>
      <w:r>
        <w:rPr>
          <w:sz w:val="24"/>
          <w:b/>
        </w:rPr>
        <w:t>二</w:t>
      </w:r>
      <w:r>
        <w:rPr>
          <w:sz w:val="24"/>
          <w:b/>
        </w:rPr>
        <w:t>）</w:t>
      </w:r>
      <w:r>
        <w:rPr>
          <w:sz w:val="24"/>
          <w:b/>
        </w:rPr>
        <w:t>资格条件承诺函</w:t>
      </w:r>
    </w:p>
    <w:p>
      <w:pPr>
        <w:pStyle w:val="null3"/>
        <w:jc w:val="center"/>
      </w:pPr>
      <w:r>
        <w:rPr>
          <w:sz w:val="24"/>
          <w:b/>
        </w:rPr>
        <w:t>资格条件承诺函</w:t>
      </w:r>
    </w:p>
    <w:p>
      <w:pPr>
        <w:pStyle w:val="null3"/>
        <w:ind w:firstLine="480"/>
        <w:jc w:val="left"/>
      </w:pPr>
      <w:r>
        <w:rPr>
          <w:sz w:val="24"/>
        </w:rPr>
        <w:t>我方</w:t>
      </w:r>
      <w:r>
        <w:rPr>
          <w:sz w:val="24"/>
          <w:u w:val="single"/>
        </w:rPr>
        <w:t xml:space="preserve"> </w:t>
      </w:r>
      <w:r>
        <w:rPr>
          <w:sz w:val="24"/>
          <w:u w:val="single"/>
        </w:rPr>
        <w:t>（供应商名称）</w:t>
      </w:r>
      <w:r>
        <w:rPr>
          <w:sz w:val="24"/>
        </w:rPr>
        <w:t>符合《中华人民共和国政府采购法》第二十二条第一款第（二）项、第（三）项、第（四）项、第（五）项规定条件，具体包括：</w:t>
      </w:r>
    </w:p>
    <w:p>
      <w:pPr>
        <w:pStyle w:val="null3"/>
        <w:ind w:firstLine="480"/>
        <w:jc w:val="left"/>
      </w:pPr>
      <w:r>
        <w:rPr>
          <w:sz w:val="24"/>
        </w:rPr>
        <w:t>1.具有良好的商业信誉和健全的财务会计制度；</w:t>
      </w:r>
    </w:p>
    <w:p>
      <w:pPr>
        <w:pStyle w:val="null3"/>
        <w:ind w:firstLine="480"/>
        <w:jc w:val="left"/>
      </w:pPr>
      <w:r>
        <w:rPr>
          <w:sz w:val="24"/>
        </w:rPr>
        <w:t>2.具有履行合同所必需的设备和专业技术能力；</w:t>
      </w:r>
    </w:p>
    <w:p>
      <w:pPr>
        <w:pStyle w:val="null3"/>
        <w:ind w:firstLine="480"/>
        <w:jc w:val="left"/>
      </w:pPr>
      <w:r>
        <w:rPr>
          <w:sz w:val="24"/>
        </w:rPr>
        <w:t>3.具有依法缴纳税收和社会保障资金的良好记录；</w:t>
      </w:r>
    </w:p>
    <w:p>
      <w:pPr>
        <w:pStyle w:val="null3"/>
        <w:ind w:firstLine="480"/>
        <w:jc w:val="left"/>
      </w:pPr>
      <w:r>
        <w:rPr>
          <w:sz w:val="24"/>
        </w:rPr>
        <w:t>4.参加政府采购活动前三年内，在经营活动中没有重大违法记录。</w:t>
      </w:r>
    </w:p>
    <w:p>
      <w:pPr>
        <w:pStyle w:val="null3"/>
        <w:ind w:firstLine="480"/>
        <w:jc w:val="left"/>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pPr>
      <w:r>
        <w:rPr>
          <w:sz w:val="24"/>
        </w:rPr>
        <w:t>特此</w:t>
      </w:r>
      <w:r>
        <w:rPr>
          <w:sz w:val="24"/>
        </w:rPr>
        <w:t>承诺</w:t>
      </w:r>
      <w:r>
        <w:rPr>
          <w:sz w:val="24"/>
        </w:rPr>
        <w:t>。</w:t>
      </w:r>
    </w:p>
    <w:p>
      <w:pPr>
        <w:pStyle w:val="null3"/>
        <w:jc w:val="right"/>
      </w:pPr>
      <w:r>
        <w:rPr>
          <w:sz w:val="24"/>
        </w:rPr>
        <w:t>供应商名称（公章）</w:t>
      </w:r>
    </w:p>
    <w:p>
      <w:pPr>
        <w:pStyle w:val="null3"/>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采购包1（韶关主城区高质量发展(交通-产业-城镇一体化)研究及实施行动采购服务项目）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服务时间：自双方签订合同之日起一年。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1期：支付比例30%,合同签订后5个工作日内，采购人向中标人支付合同总金额30%作为预付款。</w:t>
            </w:r>
          </w:p>
          <w:p>
            <w:pPr>
              <w:pStyle w:val="null3"/>
            </w:pPr>
            <w:r>
              <w:rPr/>
              <w:t>2期：支付比例40%,中标人按期提交中期成果后且经采购人同意通过之日起10个工作日内支付中标人合同总额的40%。</w:t>
            </w:r>
          </w:p>
          <w:p>
            <w:pPr>
              <w:pStyle w:val="null3"/>
            </w:pPr>
            <w:r>
              <w:rPr/>
              <w:t>3期：支付比例30%,项目通过专家评审并修改完善后提交最终成果，经采购人同意结题并自收到发票后10个工作日内支付中标人合同总额的30%。 注：1.上述每期款项支付前，中标人均应向采购人提供请款申报材料（如需）及相应金额的合法有效的发票，否则，采购人有权拒绝支付相应的款项，并不构成违约。 2.因采购人用的是财政资金，采购人在前款规定的付款时间向政府采购支付部门提出办理财政支付申请手续的时间（不含政府支付部门审核的时间），在前述规定时间内提出办理支付申请手续后，采购人不承担逾期支付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2.履约验收时间：中标人必须在采购人指定时间之前将成果文件提交给采购人。 3.履约验收方式：分阶段验收。 4.验收程序： 4.1 中标人应按规定时间节点要求提交成果文件，采购人对中标人提交的成果文件情况进行审核，中标人开展的相关工作及提交的内容应得到采购人认同，审核通过后方为完成合同内容；对审核不合格的部分，中标人应在采购人规定时间内及时整改完善直至合格，未在规定时间内进行整改并通过审核的，采购人有权单方面解除合同并不予支付款项。 4.2 中标人负责配合完成项目的阶段成果汇报、专题会议汇报、最终成果汇报等工作。 4.3 项目成果以采购人组织审核和确定验收方式。 5.履约验收内容：依据招标文件的服务要求、中标人的投标文件及承诺与本合同约定进行验收。 6.验收标准：审核由采购人组织相关人员依照有关标准、项目及合同要求进行。 7.争议处理：因验收发生争议时，由验收小组报采购人党组会审定。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投标报价包括：履行本合同的一切直接和间接费用，在项目实施所需的资料打印产生的费用，以及实地考察、会务费用、归档等与该项目相关工作产生的费用。</w:t>
            </w:r>
          </w:p>
        </w:tc>
      </w:tr>
      <w:tr>
        <w:tc>
          <w:tcPr>
            <w:tcW w:type="dxa" w:w="2076"/>
          </w:tcPr>
          <w:p/>
        </w:tc>
        <w:tc>
          <w:tcPr>
            <w:tcW w:type="dxa" w:w="2076"/>
          </w:tcPr>
          <w:p>
            <w:pPr>
              <w:pStyle w:val="null3"/>
              <w:jc w:val="center"/>
            </w:pPr>
            <w:r>
              <w:rPr/>
              <w:t>2</w:t>
            </w:r>
          </w:p>
        </w:tc>
        <w:tc>
          <w:tcPr>
            <w:tcW w:type="dxa" w:w="2076"/>
          </w:tcPr>
          <w:p>
            <w:pPr>
              <w:pStyle w:val="null3"/>
              <w:jc w:val="left"/>
            </w:pPr>
            <w:r>
              <w:rPr/>
              <w:t>同类项目</w:t>
            </w:r>
          </w:p>
        </w:tc>
        <w:tc>
          <w:tcPr>
            <w:tcW w:type="dxa" w:w="2076"/>
          </w:tcPr>
          <w:p>
            <w:pPr>
              <w:pStyle w:val="null3"/>
              <w:jc w:val="left"/>
            </w:pPr>
            <w:r>
              <w:rPr/>
              <w:t>投标人应说明与本项目的同类项目经验情况等内容，组织高水平、多专业的技术团队开展技术服务。同类项目指战略性规划项目。</w:t>
            </w:r>
          </w:p>
        </w:tc>
      </w:tr>
      <w:tr>
        <w:tc>
          <w:tcPr>
            <w:tcW w:type="dxa" w:w="2076"/>
          </w:tcPr>
          <w:p/>
        </w:tc>
        <w:tc>
          <w:tcPr>
            <w:tcW w:type="dxa" w:w="2076"/>
          </w:tcPr>
          <w:p>
            <w:pPr>
              <w:pStyle w:val="null3"/>
              <w:jc w:val="center"/>
            </w:pPr>
            <w:r>
              <w:rPr/>
              <w:t>3</w:t>
            </w:r>
          </w:p>
        </w:tc>
        <w:tc>
          <w:tcPr>
            <w:tcW w:type="dxa" w:w="2076"/>
          </w:tcPr>
          <w:p>
            <w:pPr>
              <w:pStyle w:val="null3"/>
              <w:jc w:val="left"/>
            </w:pPr>
            <w:r>
              <w:rPr/>
              <w:t>人员配置</w:t>
            </w:r>
          </w:p>
        </w:tc>
        <w:tc>
          <w:tcPr>
            <w:tcW w:type="dxa" w:w="2076"/>
          </w:tcPr>
          <w:p>
            <w:pPr>
              <w:pStyle w:val="null3"/>
              <w:jc w:val="left"/>
            </w:pPr>
            <w:r>
              <w:rPr/>
              <w:t>1.本项目需配备一名较强的组织和协调能力，具有较高分析解决问题能力的项目负责人，能够统筹项目管理、技术管理。项目负责人具有城市（城乡）规划专业职称。 2.配备具备城市（乡）规划职称、注册城乡规划师证书、城市交通、给水排水相关专业职称人员开展本项目。并提供技术支持工作，能够充分理解项目需求，完成工作任务。 3.项目负责人应是该项目实施全过程的真正组织者和指导者，担负实质性工作，挂名或不担负实质性工作的人不得作为项目负责人参与本项目。关键节点，如专题汇报、技术审查等需项目负责人本人到场。</w:t>
            </w:r>
          </w:p>
        </w:tc>
      </w:tr>
      <w:tr>
        <w:tc>
          <w:tcPr>
            <w:tcW w:type="dxa" w:w="2076"/>
          </w:tcPr>
          <w:p/>
        </w:tc>
        <w:tc>
          <w:tcPr>
            <w:tcW w:type="dxa" w:w="2076"/>
          </w:tcPr>
          <w:p>
            <w:pPr>
              <w:pStyle w:val="null3"/>
              <w:jc w:val="center"/>
            </w:pPr>
            <w:r>
              <w:rPr/>
              <w:t>4</w:t>
            </w:r>
          </w:p>
        </w:tc>
        <w:tc>
          <w:tcPr>
            <w:tcW w:type="dxa" w:w="2076"/>
          </w:tcPr>
          <w:p>
            <w:pPr>
              <w:pStyle w:val="null3"/>
              <w:jc w:val="left"/>
            </w:pPr>
            <w:r>
              <w:rPr/>
              <w:t>管理体系</w:t>
            </w:r>
          </w:p>
        </w:tc>
        <w:tc>
          <w:tcPr>
            <w:tcW w:type="dxa" w:w="2076"/>
          </w:tcPr>
          <w:p>
            <w:pPr>
              <w:pStyle w:val="null3"/>
              <w:jc w:val="left"/>
            </w:pPr>
            <w:r>
              <w:rPr/>
              <w:t>投标人应做好内控管理体系，具备对项目实施过程管控的能力以及管理的规范性，投标人在质量管理体系方面应规范，具备相应的体系认证证书。</w:t>
            </w:r>
          </w:p>
        </w:tc>
      </w:tr>
      <w:tr>
        <w:tc>
          <w:tcPr>
            <w:tcW w:type="dxa" w:w="2076"/>
          </w:tcPr>
          <w:p/>
        </w:tc>
        <w:tc>
          <w:tcPr>
            <w:tcW w:type="dxa" w:w="2076"/>
          </w:tcPr>
          <w:p>
            <w:pPr>
              <w:pStyle w:val="null3"/>
              <w:jc w:val="center"/>
            </w:pPr>
            <w:r>
              <w:rPr/>
              <w:t>5</w:t>
            </w:r>
          </w:p>
        </w:tc>
        <w:tc>
          <w:tcPr>
            <w:tcW w:type="dxa" w:w="2076"/>
          </w:tcPr>
          <w:p>
            <w:pPr>
              <w:pStyle w:val="null3"/>
              <w:jc w:val="left"/>
            </w:pPr>
            <w:r>
              <w:rPr/>
              <w:t>保密要求</w:t>
            </w:r>
          </w:p>
        </w:tc>
        <w:tc>
          <w:tcPr>
            <w:tcW w:type="dxa" w:w="2076"/>
          </w:tcPr>
          <w:p>
            <w:pPr>
              <w:pStyle w:val="null3"/>
              <w:jc w:val="left"/>
            </w:pPr>
            <w:r>
              <w:rPr/>
              <w:t>1.中标人制定安全保障措施、项目保密管理制度，对在工作过程中接触到的采购人的任何资料、文件、数据（无论是书面形式的还是电子版的），以及为采购人服务形成的任何交付物，负有保密的责任。未经采购人书面同意，中标人不得以任何方式向任何第三方提供或透露。 2.中标人不得将涉密资料在计算机互联网、政务网等非涉密网络上传输、登载。 3.中标人发生涉密资料外传、丢失、被盗或者造成泄密事故的，应采取有效措施，及时补救，并及时向采购人报告；否则所造成的后果均由中标人承担。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韶关主城区高质量发展(交通-产业-城镇一体化)研究及实施行动采购服务项目的采购项目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2,490,000.00</w:t>
            </w:r>
          </w:p>
        </w:tc>
        <w:tc>
          <w:tcPr>
            <w:tcW w:type="dxa" w:w="933"/>
          </w:tcPr>
          <w:p>
            <w:pPr>
              <w:pStyle w:val="null3"/>
              <w:jc w:val="right"/>
            </w:pPr>
            <w:r>
              <w:rPr/>
              <w:t>2,490,000.00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韶关主城区高质量发展(交通-产业-城镇一体化)研究及实施行动采购服务项目的采购项目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一、项目背景</w:t>
            </w:r>
          </w:p>
          <w:p>
            <w:pPr>
              <w:pStyle w:val="null3"/>
            </w:pPr>
            <w:r>
              <w:rPr>
                <w:sz w:val="24"/>
              </w:rPr>
              <w:t>“十五五”时期，是我市加快建设具有区域影响力的新韶关的关键时期，面临难得的历史机遇，也面临诸多风险挑战。市委十三届九次全会提出了“一个定位、三大重点、五大导向、六个目标”的战略部署，在这一背景下，需要准确把握新时代新变化新要求，准确把握韶关新发展阶段的历史方位，认真思考和回答在全国全省大局中韶关有什么、能干什么、该干什么，推动主城做大做强，以主城崛起带动全市高质量发展，奋力开创韶关现代化建设新局面，特开展《韶关主城区高质量发展(交通-产业-城镇一体化)研究及实施行动》（以下简称“研究”）服务采购。</w:t>
            </w:r>
          </w:p>
        </w:tc>
      </w:tr>
      <w:tr>
        <w:tc>
          <w:tcPr>
            <w:tcW w:type="dxa" w:w="2076"/>
          </w:tcPr>
          <w:p/>
        </w:tc>
        <w:tc>
          <w:tcPr>
            <w:tcW w:type="dxa" w:w="415"/>
          </w:tcPr>
          <w:p>
            <w:pPr>
              <w:pStyle w:val="null3"/>
            </w:pPr>
            <w:r>
              <w:rPr/>
              <w:t>2</w:t>
            </w:r>
          </w:p>
        </w:tc>
        <w:tc>
          <w:tcPr>
            <w:tcW w:type="dxa" w:w="5814"/>
          </w:tcPr>
          <w:p>
            <w:pPr>
              <w:pStyle w:val="null3"/>
            </w:pPr>
            <w:r>
              <w:rPr>
                <w:sz w:val="24"/>
              </w:rPr>
              <w:t>二、</w:t>
            </w:r>
            <w:r>
              <w:rPr>
                <w:sz w:val="24"/>
              </w:rPr>
              <w:t>工作目标</w:t>
            </w:r>
          </w:p>
          <w:p>
            <w:pPr>
              <w:pStyle w:val="null3"/>
            </w:pPr>
            <w:r>
              <w:rPr>
                <w:sz w:val="24"/>
              </w:rPr>
              <w:t>围绕</w:t>
            </w:r>
            <w:r>
              <w:rPr>
                <w:sz w:val="24"/>
              </w:rPr>
              <w:t>省委、省政府</w:t>
            </w:r>
            <w:r>
              <w:rPr>
                <w:sz w:val="24"/>
              </w:rPr>
              <w:t>建设具有区域影响力的新韶关的总体要求及</w:t>
            </w:r>
            <w:r>
              <w:rPr>
                <w:sz w:val="24"/>
              </w:rPr>
              <w:t>市委、市政府</w:t>
            </w:r>
            <w:r>
              <w:rPr>
                <w:sz w:val="24"/>
              </w:rPr>
              <w:t>做强主城部署，坚持</w:t>
            </w:r>
            <w:r>
              <w:rPr>
                <w:sz w:val="24"/>
              </w:rPr>
              <w:t>“交通-产业-城镇”一体化规划，明确功能定位、优化空间布局、提升空间品质、加强项目统筹和谋划，推动主城布局集中、要素集聚、功能集成，以主城崛起带动全市高质量发展。</w:t>
            </w:r>
          </w:p>
        </w:tc>
      </w:tr>
      <w:tr>
        <w:tc>
          <w:tcPr>
            <w:tcW w:type="dxa" w:w="2076"/>
          </w:tcPr>
          <w:p/>
        </w:tc>
        <w:tc>
          <w:tcPr>
            <w:tcW w:type="dxa" w:w="415"/>
          </w:tcPr>
          <w:p>
            <w:pPr>
              <w:pStyle w:val="null3"/>
            </w:pPr>
            <w:r>
              <w:rPr/>
              <w:t>3</w:t>
            </w:r>
          </w:p>
        </w:tc>
        <w:tc>
          <w:tcPr>
            <w:tcW w:type="dxa" w:w="5814"/>
          </w:tcPr>
          <w:p>
            <w:pPr>
              <w:pStyle w:val="null3"/>
            </w:pPr>
            <w:r>
              <w:rPr>
                <w:sz w:val="24"/>
              </w:rPr>
              <w:t>三、</w:t>
            </w:r>
            <w:r>
              <w:rPr>
                <w:sz w:val="24"/>
              </w:rPr>
              <w:t>工作范围</w:t>
            </w:r>
          </w:p>
          <w:p>
            <w:pPr>
              <w:pStyle w:val="null3"/>
            </w:pPr>
            <w:r>
              <w:rPr>
                <w:sz w:val="24"/>
              </w:rPr>
              <w:t>本次研究范围即国土空间规划划定的韶关中心城区范围，面积约</w:t>
            </w:r>
            <w:r>
              <w:rPr>
                <w:sz w:val="24"/>
              </w:rPr>
              <w:t>1369k㎡。同时，坚持“跳出韶关看韶关”，以粤湘赣三省为研究范围，以全市域作为统筹范围，实现全市发展“一盘棋”。</w:t>
            </w:r>
          </w:p>
        </w:tc>
      </w:tr>
      <w:tr>
        <w:tc>
          <w:tcPr>
            <w:tcW w:type="dxa" w:w="2076"/>
          </w:tcPr>
          <w:p/>
        </w:tc>
        <w:tc>
          <w:tcPr>
            <w:tcW w:type="dxa" w:w="415"/>
          </w:tcPr>
          <w:p>
            <w:pPr>
              <w:pStyle w:val="null3"/>
            </w:pPr>
            <w:r>
              <w:rPr/>
              <w:t>4</w:t>
            </w:r>
          </w:p>
        </w:tc>
        <w:tc>
          <w:tcPr>
            <w:tcW w:type="dxa" w:w="5814"/>
          </w:tcPr>
          <w:p>
            <w:pPr>
              <w:pStyle w:val="null3"/>
            </w:pPr>
            <w:r>
              <w:rPr>
                <w:sz w:val="24"/>
              </w:rPr>
              <w:t>四、</w:t>
            </w:r>
            <w:r>
              <w:rPr>
                <w:sz w:val="24"/>
              </w:rPr>
              <w:t>法律法规和相关规划</w:t>
            </w:r>
          </w:p>
          <w:p>
            <w:pPr>
              <w:pStyle w:val="null3"/>
            </w:pPr>
            <w:r>
              <w:rPr>
                <w:sz w:val="24"/>
              </w:rPr>
              <w:t>1.</w:t>
            </w:r>
            <w:r>
              <w:rPr>
                <w:sz w:val="24"/>
              </w:rPr>
              <w:t>《中华人民共和国城乡规划法》（</w:t>
            </w:r>
            <w:r>
              <w:rPr>
                <w:sz w:val="24"/>
              </w:rPr>
              <w:t>2019）</w:t>
            </w:r>
          </w:p>
          <w:p>
            <w:pPr>
              <w:pStyle w:val="null3"/>
            </w:pPr>
            <w:r>
              <w:rPr>
                <w:sz w:val="24"/>
              </w:rPr>
              <w:t>2.</w:t>
            </w:r>
            <w:r>
              <w:rPr>
                <w:sz w:val="24"/>
              </w:rPr>
              <w:t>《中华人民共和国土地管理法》（</w:t>
            </w:r>
            <w:r>
              <w:rPr>
                <w:sz w:val="24"/>
              </w:rPr>
              <w:t>2019年修订）</w:t>
            </w:r>
          </w:p>
          <w:p>
            <w:pPr>
              <w:pStyle w:val="null3"/>
            </w:pPr>
            <w:r>
              <w:rPr>
                <w:sz w:val="24"/>
              </w:rPr>
              <w:t>3.</w:t>
            </w:r>
            <w:r>
              <w:rPr>
                <w:sz w:val="24"/>
              </w:rPr>
              <w:t>《中华人民共和国环境保护法》（</w:t>
            </w:r>
            <w:r>
              <w:rPr>
                <w:sz w:val="24"/>
              </w:rPr>
              <w:t>2015年）</w:t>
            </w:r>
          </w:p>
          <w:p>
            <w:pPr>
              <w:pStyle w:val="null3"/>
            </w:pPr>
            <w:r>
              <w:rPr>
                <w:sz w:val="24"/>
              </w:rPr>
              <w:t>4.</w:t>
            </w:r>
            <w:r>
              <w:rPr>
                <w:sz w:val="24"/>
              </w:rPr>
              <w:t>《基本农田保护条例》（</w:t>
            </w:r>
            <w:r>
              <w:rPr>
                <w:sz w:val="24"/>
              </w:rPr>
              <w:t>2011年修订）</w:t>
            </w:r>
          </w:p>
          <w:p>
            <w:pPr>
              <w:pStyle w:val="null3"/>
            </w:pPr>
            <w:r>
              <w:rPr>
                <w:sz w:val="24"/>
              </w:rPr>
              <w:t>5.</w:t>
            </w:r>
            <w:r>
              <w:rPr>
                <w:sz w:val="24"/>
              </w:rPr>
              <w:t>《韶关市国土空间总体规划（</w:t>
            </w:r>
            <w:r>
              <w:rPr>
                <w:sz w:val="24"/>
              </w:rPr>
              <w:t>2021—2035年）》</w:t>
            </w:r>
          </w:p>
          <w:p>
            <w:pPr>
              <w:pStyle w:val="null3"/>
            </w:pPr>
            <w:r>
              <w:rPr>
                <w:sz w:val="24"/>
              </w:rPr>
              <w:t>6.</w:t>
            </w:r>
            <w:r>
              <w:rPr>
                <w:sz w:val="24"/>
              </w:rPr>
              <w:t>其他相关规划</w:t>
            </w:r>
          </w:p>
        </w:tc>
      </w:tr>
      <w:tr>
        <w:tc>
          <w:tcPr>
            <w:tcW w:type="dxa" w:w="2076"/>
          </w:tcPr>
          <w:p/>
        </w:tc>
        <w:tc>
          <w:tcPr>
            <w:tcW w:type="dxa" w:w="415"/>
          </w:tcPr>
          <w:p>
            <w:pPr>
              <w:pStyle w:val="null3"/>
            </w:pPr>
            <w:r>
              <w:rPr/>
              <w:t>5</w:t>
            </w:r>
          </w:p>
        </w:tc>
        <w:tc>
          <w:tcPr>
            <w:tcW w:type="dxa" w:w="5814"/>
          </w:tcPr>
          <w:p>
            <w:pPr>
              <w:pStyle w:val="null3"/>
            </w:pPr>
            <w:r>
              <w:rPr>
                <w:sz w:val="24"/>
              </w:rPr>
              <w:t>五、</w:t>
            </w:r>
            <w:r>
              <w:rPr>
                <w:sz w:val="24"/>
              </w:rPr>
              <w:t>工作内容</w:t>
            </w:r>
          </w:p>
          <w:p>
            <w:pPr>
              <w:pStyle w:val="null3"/>
            </w:pPr>
            <w:r>
              <w:rPr>
                <w:sz w:val="24"/>
              </w:rPr>
              <w:t>1.</w:t>
            </w:r>
            <w:r>
              <w:rPr>
                <w:sz w:val="24"/>
              </w:rPr>
              <w:t>全面梳理韶关区位、产业、文化、服务等本底条件，对标</w:t>
            </w:r>
            <w:r>
              <w:rPr>
                <w:sz w:val="24"/>
              </w:rPr>
              <w:t>“具有区域影响力的新韶关”目标要求，明确短板、找准差距。</w:t>
            </w:r>
          </w:p>
          <w:p>
            <w:pPr>
              <w:pStyle w:val="null3"/>
            </w:pPr>
            <w:r>
              <w:rPr>
                <w:sz w:val="24"/>
              </w:rPr>
              <w:t>2.</w:t>
            </w:r>
            <w:r>
              <w:rPr>
                <w:sz w:val="24"/>
              </w:rPr>
              <w:t>立足国家与区域格局，明确城市发展定位、职能分工，紧扣</w:t>
            </w:r>
            <w:r>
              <w:rPr>
                <w:sz w:val="24"/>
              </w:rPr>
              <w:t>“湾区所需、韶关所能”深化区域协同，积极对接和融入粤港澳大湾区。</w:t>
            </w:r>
          </w:p>
          <w:p>
            <w:pPr>
              <w:pStyle w:val="null3"/>
            </w:pPr>
            <w:r>
              <w:rPr>
                <w:sz w:val="24"/>
              </w:rPr>
              <w:t>3.</w:t>
            </w:r>
            <w:r>
              <w:rPr>
                <w:sz w:val="24"/>
              </w:rPr>
              <w:t>统筹市域空间，明确发展主方向、主通道、主平台，强化县（市、区）间产业协同配套，形成各具特色、协调联动的发展局面。</w:t>
            </w:r>
          </w:p>
          <w:p>
            <w:pPr>
              <w:pStyle w:val="null3"/>
            </w:pPr>
            <w:r>
              <w:rPr>
                <w:sz w:val="24"/>
              </w:rPr>
              <w:t>4.</w:t>
            </w:r>
            <w:r>
              <w:rPr>
                <w:sz w:val="24"/>
              </w:rPr>
              <w:t>优化城市空间布局，推动新老城协同、职住平衡，提升枢纽与交通通行效率。畅通城市风道、水道、绿道，打造显山露水透绿的高品质城市空间，建设更加舒适宜居山水城市。</w:t>
            </w:r>
          </w:p>
          <w:p>
            <w:pPr>
              <w:pStyle w:val="null3"/>
            </w:pPr>
            <w:r>
              <w:rPr>
                <w:sz w:val="24"/>
              </w:rPr>
              <w:t>5.</w:t>
            </w:r>
            <w:r>
              <w:rPr>
                <w:sz w:val="24"/>
              </w:rPr>
              <w:t>统筹铁</w:t>
            </w:r>
            <w:r>
              <w:rPr>
                <w:sz w:val="24"/>
              </w:rPr>
              <w:t>路、</w:t>
            </w:r>
            <w:r>
              <w:rPr>
                <w:sz w:val="24"/>
              </w:rPr>
              <w:t>水</w:t>
            </w:r>
            <w:r>
              <w:rPr>
                <w:sz w:val="24"/>
              </w:rPr>
              <w:t>运、</w:t>
            </w:r>
            <w:r>
              <w:rPr>
                <w:sz w:val="24"/>
              </w:rPr>
              <w:t>公</w:t>
            </w:r>
            <w:r>
              <w:rPr>
                <w:sz w:val="24"/>
              </w:rPr>
              <w:t>路、</w:t>
            </w:r>
            <w:r>
              <w:rPr>
                <w:sz w:val="24"/>
              </w:rPr>
              <w:t>空</w:t>
            </w:r>
            <w:r>
              <w:rPr>
                <w:sz w:val="24"/>
              </w:rPr>
              <w:t>运</w:t>
            </w:r>
            <w:r>
              <w:rPr>
                <w:sz w:val="24"/>
              </w:rPr>
              <w:t>构</w:t>
            </w:r>
            <w:r>
              <w:rPr>
                <w:sz w:val="24"/>
              </w:rPr>
              <w:t>建以主城为中枢的现代化多式联运集疏运体系，强化与大湾区及市县交通联动。</w:t>
            </w:r>
          </w:p>
          <w:p>
            <w:pPr>
              <w:pStyle w:val="null3"/>
            </w:pPr>
            <w:r>
              <w:rPr>
                <w:sz w:val="24"/>
              </w:rPr>
              <w:t>6.</w:t>
            </w:r>
            <w:r>
              <w:rPr>
                <w:sz w:val="24"/>
              </w:rPr>
              <w:t>聚焦防洪、内涝等领域完善设施，建设安全韧性城市。</w:t>
            </w:r>
          </w:p>
          <w:p>
            <w:pPr>
              <w:pStyle w:val="null3"/>
            </w:pPr>
            <w:r>
              <w:rPr>
                <w:sz w:val="24"/>
              </w:rPr>
              <w:t>7.</w:t>
            </w:r>
            <w:r>
              <w:rPr>
                <w:sz w:val="24"/>
              </w:rPr>
              <w:t>面向</w:t>
            </w:r>
            <w:r>
              <w:rPr>
                <w:sz w:val="24"/>
              </w:rPr>
              <w:t>“十五五”阶段落地实施要求，形成具有影响力、带动力的重大项目库，明确近期建设的重点空间，为各类专项规划、年度计划与投融资安排提供统筹指引。</w:t>
            </w:r>
          </w:p>
        </w:tc>
      </w:tr>
      <w:tr>
        <w:tc>
          <w:tcPr>
            <w:tcW w:type="dxa" w:w="2076"/>
          </w:tcPr>
          <w:p/>
        </w:tc>
        <w:tc>
          <w:tcPr>
            <w:tcW w:type="dxa" w:w="415"/>
          </w:tcPr>
          <w:p>
            <w:pPr>
              <w:pStyle w:val="null3"/>
            </w:pPr>
            <w:r>
              <w:rPr/>
              <w:t>6</w:t>
            </w:r>
          </w:p>
        </w:tc>
        <w:tc>
          <w:tcPr>
            <w:tcW w:type="dxa" w:w="5814"/>
          </w:tcPr>
          <w:p>
            <w:pPr>
              <w:pStyle w:val="null3"/>
            </w:pPr>
            <w:r>
              <w:rPr>
                <w:sz w:val="24"/>
              </w:rPr>
              <w:t>六、</w:t>
            </w:r>
            <w:r>
              <w:rPr>
                <w:sz w:val="24"/>
              </w:rPr>
              <w:t>成果要求</w:t>
            </w:r>
          </w:p>
          <w:p>
            <w:pPr>
              <w:pStyle w:val="null3"/>
            </w:pPr>
            <w:r>
              <w:rPr>
                <w:sz w:val="24"/>
              </w:rPr>
              <w:t>1.本服务工作要求提供以下成果：研究总报告、图集、项目库。</w:t>
            </w:r>
          </w:p>
          <w:p>
            <w:pPr>
              <w:pStyle w:val="null3"/>
            </w:pPr>
            <w:r>
              <w:rPr>
                <w:sz w:val="24"/>
              </w:rPr>
              <w:t>2.成果格式要求，成果形式包括纸质文件、电子文件两种形式提供，具体要求如下：</w:t>
            </w:r>
          </w:p>
          <w:p>
            <w:pPr>
              <w:pStyle w:val="null3"/>
            </w:pPr>
            <w:r>
              <w:rPr>
                <w:sz w:val="24"/>
              </w:rPr>
              <w:t>（</w:t>
            </w:r>
            <w:r>
              <w:rPr>
                <w:sz w:val="24"/>
              </w:rPr>
              <w:t>1）汇报文件、研究报告规格以A4（210mm×297mm）为主，相关图件和表格规格根据表达需要合理确定，力求清晰、完整，标注齐全、准确，同类图纸规格尽量统一。报告和图表合订为一本完整的书面成果。</w:t>
            </w:r>
          </w:p>
          <w:p>
            <w:pPr>
              <w:pStyle w:val="null3"/>
            </w:pPr>
            <w:r>
              <w:rPr>
                <w:sz w:val="24"/>
              </w:rPr>
              <w:t>（</w:t>
            </w:r>
            <w:r>
              <w:rPr>
                <w:sz w:val="24"/>
              </w:rPr>
              <w:t>2）电子文件以光盘或U盘的形式提供，图形文件按采购人要求格式提供。</w:t>
            </w:r>
          </w:p>
        </w:tc>
      </w:tr>
      <w:tr>
        <w:tc>
          <w:tcPr>
            <w:tcW w:type="dxa" w:w="2076"/>
          </w:tcPr>
          <w:p/>
        </w:tc>
        <w:tc>
          <w:tcPr>
            <w:tcW w:type="dxa" w:w="415"/>
          </w:tcPr>
          <w:p>
            <w:pPr>
              <w:pStyle w:val="null3"/>
            </w:pPr>
            <w:r>
              <w:rPr/>
              <w:t>7</w:t>
            </w:r>
          </w:p>
        </w:tc>
        <w:tc>
          <w:tcPr>
            <w:tcW w:type="dxa" w:w="5814"/>
          </w:tcPr>
          <w:p>
            <w:pPr>
              <w:pStyle w:val="null3"/>
            </w:pPr>
            <w:r>
              <w:rPr>
                <w:sz w:val="24"/>
              </w:rPr>
              <w:t>七、进度要求</w:t>
            </w:r>
          </w:p>
          <w:p>
            <w:pPr>
              <w:pStyle w:val="null3"/>
            </w:pPr>
            <w:r>
              <w:rPr>
                <w:sz w:val="24"/>
              </w:rPr>
              <w:t>1.总体分为以下四个阶段：</w:t>
            </w:r>
          </w:p>
          <w:p>
            <w:pPr>
              <w:pStyle w:val="null3"/>
            </w:pPr>
            <w:r>
              <w:rPr>
                <w:sz w:val="24"/>
              </w:rPr>
              <w:t>（</w:t>
            </w:r>
            <w:r>
              <w:rPr>
                <w:sz w:val="24"/>
              </w:rPr>
              <w:t>1）现状评估阶段：制定调研计划，开展现场踏勘、资料收集、部门及企业座谈等相关工作，完成问题分析和诉求梳理，全面分析韶关市及其周边发展现状，形成整体工作框架，明确工作重点。</w:t>
            </w:r>
          </w:p>
          <w:p>
            <w:pPr>
              <w:pStyle w:val="null3"/>
            </w:pPr>
            <w:r>
              <w:rPr>
                <w:sz w:val="24"/>
              </w:rPr>
              <w:t>（</w:t>
            </w:r>
            <w:r>
              <w:rPr>
                <w:sz w:val="24"/>
              </w:rPr>
              <w:t>2）战略研究阶段：开展区域格局及市域空间分析，明确发展主方向、主通道、主平台等发展战略，确定初步方案，进行初步成果汇报。</w:t>
            </w:r>
          </w:p>
          <w:p>
            <w:pPr>
              <w:pStyle w:val="null3"/>
            </w:pPr>
            <w:r>
              <w:rPr>
                <w:sz w:val="24"/>
              </w:rPr>
              <w:t>（</w:t>
            </w:r>
            <w:r>
              <w:rPr>
                <w:sz w:val="24"/>
              </w:rPr>
              <w:t>3）成果形成阶段：优化完善空间方案，细化城市空间布局、产业项目、生态空间、公共服务、重大基础设施等布局，完善支撑配套策略，优化形成中期成果，并征求相关部门及专家意见。</w:t>
            </w:r>
          </w:p>
          <w:p>
            <w:pPr>
              <w:pStyle w:val="null3"/>
            </w:pPr>
            <w:r>
              <w:rPr>
                <w:sz w:val="24"/>
              </w:rPr>
              <w:t>（</w:t>
            </w:r>
            <w:r>
              <w:rPr>
                <w:sz w:val="24"/>
              </w:rPr>
              <w:t>4）成果验收阶段</w:t>
            </w:r>
            <w:r>
              <w:rPr>
                <w:sz w:val="24"/>
              </w:rPr>
              <w:t>：</w:t>
            </w:r>
            <w:r>
              <w:rPr>
                <w:sz w:val="24"/>
              </w:rPr>
              <w:t>根据各阶段相关意见，修改完善形成成果，按程序提交成果进行审查验收。</w:t>
            </w:r>
          </w:p>
          <w:p>
            <w:pPr>
              <w:pStyle w:val="null3"/>
            </w:pPr>
            <w:r>
              <w:rPr>
                <w:sz w:val="24"/>
              </w:rPr>
              <w:t>2.最终项目成果已完成提交但合同履行期限未结束的，若有发生国家、广东省相关政策变动调整的情况，中标人仍需及时对已完成的项目研究成果进行更新、修改、完善并提交采购人使用。</w:t>
            </w:r>
          </w:p>
          <w:p>
            <w:pPr>
              <w:pStyle w:val="null3"/>
            </w:pPr>
            <w:r>
              <w:rPr>
                <w:sz w:val="24"/>
              </w:rPr>
              <w:t>3.投标人需为本项目做好进度保障安排，包含完成本项目服务内容和各项工作进度安排以及针对不同服务内容从人员保障、设备设施保障、投入资源保障、紧急事件应急预案等方面制定的针对性计划安排方案。</w:t>
            </w:r>
          </w:p>
        </w:tc>
      </w:tr>
      <w:tr>
        <w:tc>
          <w:tcPr>
            <w:tcW w:type="dxa" w:w="2076"/>
          </w:tcPr>
          <w:p/>
        </w:tc>
        <w:tc>
          <w:tcPr>
            <w:tcW w:type="dxa" w:w="415"/>
          </w:tcPr>
          <w:p>
            <w:pPr>
              <w:pStyle w:val="null3"/>
            </w:pPr>
            <w:r>
              <w:rPr/>
              <w:t>8</w:t>
            </w:r>
          </w:p>
        </w:tc>
        <w:tc>
          <w:tcPr>
            <w:tcW w:type="dxa" w:w="5814"/>
          </w:tcPr>
          <w:p>
            <w:pPr>
              <w:pStyle w:val="null3"/>
            </w:pPr>
            <w:r>
              <w:rPr>
                <w:sz w:val="24"/>
              </w:rPr>
              <w:t>八、质量保障措施</w:t>
            </w:r>
          </w:p>
          <w:p>
            <w:pPr>
              <w:pStyle w:val="null3"/>
            </w:pPr>
            <w:r>
              <w:rPr>
                <w:sz w:val="24"/>
              </w:rPr>
              <w:t>本项目要求制定一套项目实施质量保证方案，确保项目成果具有足够的质量水平：</w:t>
            </w:r>
          </w:p>
          <w:p>
            <w:pPr>
              <w:pStyle w:val="null3"/>
            </w:pPr>
            <w:r>
              <w:rPr>
                <w:sz w:val="24"/>
              </w:rPr>
              <w:t>1.建立完善项目工作制度，健全质量管理体系，建立质量管理目标，严格按照要求管理各个工作环节；</w:t>
            </w:r>
          </w:p>
          <w:p>
            <w:pPr>
              <w:pStyle w:val="null3"/>
            </w:pPr>
            <w:r>
              <w:rPr>
                <w:sz w:val="24"/>
              </w:rPr>
              <w:t>2.建立质量保障组织架构，质量管理团队进行质量把控；</w:t>
            </w:r>
          </w:p>
          <w:p>
            <w:pPr>
              <w:pStyle w:val="null3"/>
            </w:pPr>
            <w:r>
              <w:rPr>
                <w:sz w:val="24"/>
              </w:rPr>
              <w:t>3.建立质量控制措施，对影响关键质量的环节及阶段工作成果进行及时有效</w:t>
            </w:r>
            <w:r>
              <w:rPr>
                <w:sz w:val="24"/>
              </w:rPr>
              <w:t>的</w:t>
            </w:r>
            <w:r>
              <w:rPr>
                <w:sz w:val="24"/>
              </w:rPr>
              <w:t>检查；</w:t>
            </w:r>
          </w:p>
          <w:p>
            <w:pPr>
              <w:pStyle w:val="null3"/>
            </w:pPr>
            <w:r>
              <w:rPr>
                <w:sz w:val="24"/>
              </w:rPr>
              <w:t>4.投标人需具备较为完善的质量管理制度为本项目的质量和履约提供制度保障，以保证项目质量和服务目标。针对本项目整体工作，需有明确的数据质量管理目标，需提供可行的质量管理方案，建立完整的质量保证体系，形成对应的质量保证机制，并提出具体的质量保证措施，确保项目成果达到相关技术标准要求。明确项目团队人员的职责，遵守法律法规。落实服务期间安全应急方案的制定及组织工作，包括可能出现的紧急事故类型、原因和对应的处理方案、发生紧急情况后的人员安排、职责分工方案（包含应急处置领导小组组织架构及工作职责）</w:t>
            </w:r>
            <w:r>
              <w:rPr>
                <w:sz w:val="24"/>
              </w:rPr>
              <w:t>。</w:t>
            </w:r>
          </w:p>
        </w:tc>
      </w:tr>
      <w:tr>
        <w:tc>
          <w:tcPr>
            <w:tcW w:type="dxa" w:w="2076"/>
          </w:tcPr>
          <w:p/>
        </w:tc>
        <w:tc>
          <w:tcPr>
            <w:tcW w:type="dxa" w:w="415"/>
          </w:tcPr>
          <w:p>
            <w:pPr>
              <w:pStyle w:val="null3"/>
            </w:pPr>
            <w:r>
              <w:rPr/>
              <w:t>9</w:t>
            </w:r>
          </w:p>
        </w:tc>
        <w:tc>
          <w:tcPr>
            <w:tcW w:type="dxa" w:w="5814"/>
          </w:tcPr>
          <w:p>
            <w:pPr>
              <w:pStyle w:val="null3"/>
            </w:pPr>
            <w:r>
              <w:rPr>
                <w:sz w:val="24"/>
              </w:rPr>
              <w:t>九、其他要求</w:t>
            </w:r>
          </w:p>
          <w:p>
            <w:pPr>
              <w:pStyle w:val="null3"/>
            </w:pPr>
            <w:r>
              <w:rPr>
                <w:sz w:val="24"/>
              </w:rPr>
              <w:t>1.对项目的熟悉和了解程度：投标人需结合本项目2.技术标准与要求“一、项目背景”“二、工作目标”“三、工作范围”“五、工作内容”内容，提供针对本项目对项目的熟悉和了解程度的阐述说明，内容包括采购需求的理解、工作目的，目标及工作内容。对采购需求的理解全面且思路清晰，工作目的明确、工作目标精准，工作内容理解得当，具有针对性。</w:t>
            </w:r>
          </w:p>
          <w:p>
            <w:pPr>
              <w:pStyle w:val="null3"/>
            </w:pPr>
            <w:r>
              <w:rPr>
                <w:sz w:val="24"/>
              </w:rPr>
              <w:t>2.相关工作基础掌握情况：投标人需结合本项目2.技术标准与要求“二、工作目标”“三、工作范围”“四、法律法规和相关规划”“五、工作内容”，提供针对本项目相关工作基础掌握情况，内容包括区域和城市发展现状、相关基础资料、同类项目运作。对区域和城市发展现状情况了解、相关基础资料的掌握充分，有保障；对同类课题、项目运作熟悉，确保项目的顺利实施和高质量完成。</w:t>
            </w:r>
          </w:p>
          <w:p>
            <w:pPr>
              <w:pStyle w:val="null3"/>
            </w:pPr>
            <w:r>
              <w:rPr>
                <w:sz w:val="24"/>
              </w:rPr>
              <w:t>3.项目总体实施方案：投标人需结合本项目2.技术标准与要求，提供针对本项目总体实施方案，内容包括项目技术路线、总体目标、重点任务、工作方案。总体实施方案全面，项目技术路线准确到位，总体目标明确，重点任务明确，工作方案可操作性高。</w:t>
            </w:r>
          </w:p>
          <w:p>
            <w:pPr>
              <w:pStyle w:val="null3"/>
            </w:pPr>
            <w:r>
              <w:rPr>
                <w:sz w:val="24"/>
              </w:rPr>
              <w:t>4.项目重点难点分析及合理化建议：投标人需结合本项目2.技术标准与要求“二、工作目标”“三、工作范围”“五、工作内容”，提供针对本项目重点难点分析及合理化建议，内容包括重点难点分析，合理化建议。重难点分析深入，对整个项目的重点难点把握准确到位，提出的建议科学合理，可行性高。</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由中标供应商向采购代理机构一次性支付，按照国家计委颁布的《招标代理服务收费管理暂行办法》（计价格[2002]1980号）和国家发改委办公厅颁布的《国家发改委办公厅关于招标代理服务收费有关问题的通知》（发改办价格[2003]857号）、根据国家发展和改革委员会《关于进一步放开建设项目专业服务价格的通知》（发改价格[2015]299号）的规定招标收取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w:t>
      </w:r>
      <w:r>
        <w:rPr/>
        <w:t>代收。具体操作要求详见</w:t>
      </w:r>
      <w:r>
        <w:rPr/>
        <w:t>广东远东招标代理有限公司</w:t>
      </w:r>
      <w:r>
        <w:rPr/>
        <w:t>有关指引，递交事宜请自行咨询</w:t>
      </w:r>
      <w:r>
        <w:rPr/>
        <w:t>广东远东招标代理有限公司</w:t>
      </w:r>
      <w:r>
        <w:rPr/>
        <w:t>；请各投标人在投标文件递交截止时间前按须知前附表规定的金额递交至</w:t>
      </w:r>
      <w:r>
        <w:rPr/>
        <w:t>广东远东招标代理有限公司</w:t>
      </w:r>
      <w:r>
        <w:rPr/>
        <w:t>，到账情况以开标时</w:t>
      </w:r>
      <w:r>
        <w:rPr/>
        <w:t>广东远东招标代理有限公司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广东远东招标代理有限公司网（http://www.gdydzb.com）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广东远东招标代理有限公司网（http://www.gdydzb.com）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雷小姐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韶关主城区高质量发展(交通-产业-城镇一体化)研究及实施行动采购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w:t>
      </w:r>
      <w:r>
        <w:rPr/>
        <w:t>统一对外发布。</w:t>
      </w:r>
    </w:p>
    <w:p>
      <w:pPr>
        <w:pStyle w:val="null3"/>
        <w:ind w:firstLine="480"/>
      </w:pPr>
      <w:r>
        <w:rPr/>
        <w:t>（2）对</w:t>
      </w:r>
      <w:r>
        <w:rPr/>
        <w:t>广东远东招标代理有限公司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采购包1（韶关主城区高质量发展(交通-产业-城镇一体化)研究及实施行动采购服务项目）：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6%</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采购包1（韶关主城区高质量发展(交通-产业-城镇一体化)研究及实施行动采购服务项目）：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承担本项目涉及国土空间规划中的“规划”编制工作内容的投标人应当具备特定行业法定准入要求，投标人必须具有城乡规划（国土空间规划）编制资质甲级证书。（提供有效的城乡规划编制资质证书复印件）（注：①若独立投标，投标人应具备上述资质；②若联合体投标，多方共同承担“规划”工作，则各方均须具备上述资质；③若联合体投标，其中仅一方承担“规划”工作，则该方须具备上述资质，另一方未承担“规划”工作的无上述资质要求。须在《联合体共同投标协议书》上明确各方承担的工作内容。）</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本项目接受联合体投标，联合体以一个投标人的身份共同投标。 ①联合体成员数量不超过2个； ②联合体各方均需满足“1.投标人应具备《中华人民共和国政府采购法》第二十二条规定的条件，提供下列材料”的要求，投标文件中联合体各方分别提供证明材料并分别加盖其单位公章。 ③联合体成员必须各方共同签署《联合体共同投标协议书》明确联合体牵头人和各方权利、义务，且投标时必须提交《联合体共同投标协议书》。 ④联合体各方不得再以自己名义单独或参加其他联合体在本采购项目中投标，否则各相关投标均无效。</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采购包1（韶关主城区高质量发展(交通-产业-城镇一体化)研究及实施行动采购服务项目）：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总金额是固定价且是唯一的，未超过采购预算或最高限价；②对标的没有报价漏项；③投标文件未出现选择性报价或有附加条件报价的情形；④无出现异常低价投标（响应）的情形或未被评审委员会作为无效投标（响应）处理。（注：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并随供应商提供的相关书面说明及证明材料，以及评审委员会有关互联网浏览、查询历史一并归档。）</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其他无效响应情况</w:t>
            </w:r>
          </w:p>
        </w:tc>
        <w:tc>
          <w:tcPr>
            <w:tcW w:type="dxa" w:w="4238"/>
          </w:tcPr>
          <w:p>
            <w:pPr>
              <w:pStyle w:val="null3"/>
            </w:pPr>
            <w:r>
              <w:rPr/>
              <w:t>①投标文件没有招标文件中规定的其他无效响应条款的；②投标文件无采购人不能接受的附加条件的。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采购包1(韶关主城区高质量发展(交通-产业-城镇一体化)研究及实施行动采购服务项目):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对项目的熟悉和了解程度 (8.0分)</w:t>
            </w:r>
          </w:p>
        </w:tc>
        <w:tc>
          <w:tcPr>
            <w:tcW w:type="dxa" w:w="5076"/>
          </w:tcPr>
          <w:p>
            <w:pPr>
              <w:pStyle w:val="null3"/>
              <w:jc w:val="left"/>
            </w:pPr>
            <w:r>
              <w:rPr/>
              <w:t>根据投标人针对2.技术标准与要求“一、项目背景”“二、工作目标”“三、工作范围”“五、工作内容”提供的“对项目的理解”（内容包括①采购需求的理解、工作目的，②目标及工作内容）进行评审： 1.采购需求的理解全面且思路清晰，工作目的明确、工作目标精准，工作内容理解得当，具有针对性的，得8分； 2.采购需求的理解较全面且思路基本清晰，工作目的基本明确、工作目标较为精准，工作内容理解较为得当，基本具有针对性的，得5分； 3.采购需求的理解思路不够清晰，工作目的不够明确、工作目标不够精准，工作内容理解不够得当，不够具有针对性的，得2分； 4.未提供方案不得分。</w:t>
            </w:r>
          </w:p>
        </w:tc>
      </w:tr>
      <w:tr>
        <w:tc>
          <w:tcPr>
            <w:tcW w:type="dxa" w:w="922"/>
            <w:gridSpan w:val="2"/>
            <w:vMerge/>
          </w:tcPr>
          <w:p/>
        </w:tc>
        <w:tc>
          <w:tcPr>
            <w:tcW w:type="dxa" w:w="2307"/>
          </w:tcPr>
          <w:p>
            <w:pPr>
              <w:pStyle w:val="null3"/>
              <w:jc w:val="left"/>
            </w:pPr>
            <w:r>
              <w:rPr/>
              <w:t>相关工作基础掌握情况 (10.0分)</w:t>
            </w:r>
          </w:p>
        </w:tc>
        <w:tc>
          <w:tcPr>
            <w:tcW w:type="dxa" w:w="5076"/>
          </w:tcPr>
          <w:p>
            <w:pPr>
              <w:pStyle w:val="null3"/>
              <w:jc w:val="left"/>
            </w:pPr>
            <w:r>
              <w:rPr/>
              <w:t>根据投标人针对2.技术标准与要求“二、工作目标”“三、工作范围”“四、法律法规和相关规划”“五、工作内容”提供的“相关工作基础掌握情况”（内容包括①区域和城市发展现状，②相关基础资料，③同类项目运作）进行评审： 1.对区域和城市发展现状情况了解、相关基础资料掌握充分，有保障；对同类课题、项目运作熟悉，得10分； 2.对区域和城市发展现状情况基本了解、相关基础资料的掌握基本充分，基本有保障；对同类课题、项目运作基本熟悉，得7分； 3.对区域和城市发展现状情况不够了解、相关基础资料的掌握不够充分，不够有保障；对同类课题、项目运作不够熟悉，得4分； 4.对区域和城市发展现状情况不了解、相关基础资料的掌握不充分，没有保障；对同类课题、项目运作不熟悉，得1分； 5.未提供方案不得分。</w:t>
            </w:r>
          </w:p>
        </w:tc>
      </w:tr>
      <w:tr>
        <w:tc>
          <w:tcPr>
            <w:tcW w:type="dxa" w:w="922"/>
            <w:gridSpan w:val="2"/>
            <w:vMerge/>
          </w:tcPr>
          <w:p/>
        </w:tc>
        <w:tc>
          <w:tcPr>
            <w:tcW w:type="dxa" w:w="2307"/>
          </w:tcPr>
          <w:p>
            <w:pPr>
              <w:pStyle w:val="null3"/>
              <w:jc w:val="left"/>
            </w:pPr>
            <w:r>
              <w:rPr/>
              <w:t>项目总体实施方案 (15.0分)</w:t>
            </w:r>
          </w:p>
        </w:tc>
        <w:tc>
          <w:tcPr>
            <w:tcW w:type="dxa" w:w="5076"/>
          </w:tcPr>
          <w:p>
            <w:pPr>
              <w:pStyle w:val="null3"/>
              <w:jc w:val="left"/>
            </w:pPr>
            <w:r>
              <w:rPr/>
              <w:t>根据投标人针对2.技术标准与要求”提供的“项目总体实施方案”（内容包括①项目技术路线，②总体目标，③重点任务，④工作方案）进行评审： 1.总体实施方案全面，项目技术路线准确到位，总体目标明确，重点任务明确，工作方案可操作性高，得15分； 2.总体实施方案较全面，项目技术路线较为准确，总体目标较为明确，重点任务较为明确，工作方案具有可操作性，得10分； 3.总体实施方案基本合理，项目技术路线一般，总体目标基本明确，重点任务基本明确，工作方案具有一定的可操作性，得5分； 4.总体实施方案不够全面，总体目标不够明确，重点任务不够明确，工作方案不够具有可操作性，得1分； 5.未提供方案不得分。</w:t>
            </w:r>
          </w:p>
        </w:tc>
      </w:tr>
      <w:tr>
        <w:tc>
          <w:tcPr>
            <w:tcW w:type="dxa" w:w="922"/>
            <w:gridSpan w:val="2"/>
            <w:vMerge/>
          </w:tcPr>
          <w:p/>
        </w:tc>
        <w:tc>
          <w:tcPr>
            <w:tcW w:type="dxa" w:w="2307"/>
          </w:tcPr>
          <w:p>
            <w:pPr>
              <w:pStyle w:val="null3"/>
              <w:jc w:val="left"/>
            </w:pPr>
            <w:r>
              <w:rPr/>
              <w:t>项目重点难点分析及合理化建议 (10.0分)</w:t>
            </w:r>
          </w:p>
        </w:tc>
        <w:tc>
          <w:tcPr>
            <w:tcW w:type="dxa" w:w="5076"/>
          </w:tcPr>
          <w:p>
            <w:pPr>
              <w:pStyle w:val="null3"/>
              <w:jc w:val="left"/>
            </w:pPr>
            <w:r>
              <w:rPr/>
              <w:t>根据投标人针对2.技术标准与要求“二、工作目标”“三、工作范围”“五、工作内容”提供的“项目重点难点分析及合理化建议 ”（内容包括①重点难点分析，②合理化建议）进行评审： 1.重难点分析深入，对整个项目的重点难点把握准确到位，提出的建议科学合理，可行性高，得10分； 2.重难点分析较为深入，对整个项目的重点难点把握较准确到位，提出的建议科学较合理，具有可行性，得7分； 3.重难点分析基本合理，对整个项目的重点难点把握基本到位，提出的建议基本科学合理，可行性一般，得4分； 4.重难点分析不够准确，对整个项目的重点难点把握不够到位，提出的建议不够合理，可行性不高，得1分； 5.未提供方案不得分。</w:t>
            </w:r>
          </w:p>
        </w:tc>
      </w:tr>
      <w:tr>
        <w:tc>
          <w:tcPr>
            <w:tcW w:type="dxa" w:w="922"/>
            <w:gridSpan w:val="2"/>
            <w:vMerge/>
          </w:tcPr>
          <w:p/>
        </w:tc>
        <w:tc>
          <w:tcPr>
            <w:tcW w:type="dxa" w:w="2307"/>
          </w:tcPr>
          <w:p>
            <w:pPr>
              <w:pStyle w:val="null3"/>
              <w:jc w:val="left"/>
            </w:pPr>
            <w:r>
              <w:rPr/>
              <w:t>工期、进度计划 (6.0分)</w:t>
            </w:r>
          </w:p>
        </w:tc>
        <w:tc>
          <w:tcPr>
            <w:tcW w:type="dxa" w:w="5076"/>
          </w:tcPr>
          <w:p>
            <w:pPr>
              <w:pStyle w:val="null3"/>
              <w:jc w:val="left"/>
            </w:pPr>
            <w:r>
              <w:rPr/>
              <w:t>根据投标人针对2.技术标准与要求“七、进度要求”提供的“工期、进度计划”（内容包括①工作计划，②工作时间安排，③成果交付时间）进行评审： 1.工作计划详细、完整，工作时间科学合理且可行性高，能按时交付成果的，得6分； 2.工作计划基本详细、基本完整，工作时间科学基本合理且基本可行，基本能按时交付成果的，得3分； 3.工作计划不够详细、不够完整，工作时间科学不够合理且不够可行，不能按时交付成果的，得1分； 4.未提供方案不得分。</w:t>
            </w:r>
          </w:p>
        </w:tc>
      </w:tr>
      <w:tr>
        <w:tc>
          <w:tcPr>
            <w:tcW w:type="dxa" w:w="922"/>
            <w:gridSpan w:val="2"/>
            <w:vMerge/>
          </w:tcPr>
          <w:p/>
        </w:tc>
        <w:tc>
          <w:tcPr>
            <w:tcW w:type="dxa" w:w="2307"/>
          </w:tcPr>
          <w:p>
            <w:pPr>
              <w:pStyle w:val="null3"/>
              <w:jc w:val="left"/>
            </w:pPr>
            <w:r>
              <w:rPr/>
              <w:t>质量和技术保障措施、后期服务 (6.0分)</w:t>
            </w:r>
          </w:p>
        </w:tc>
        <w:tc>
          <w:tcPr>
            <w:tcW w:type="dxa" w:w="5076"/>
          </w:tcPr>
          <w:p>
            <w:pPr>
              <w:pStyle w:val="null3"/>
              <w:jc w:val="left"/>
            </w:pPr>
            <w:r>
              <w:rPr/>
              <w:t>根据投标人针对2.技术标准与要求“八、质量保障措施”提供的“质量和技术保障措施、后期服务”（内容包括①质量保障措施，②进度保障措施，③服务承诺，④对本区域长期跟踪研究服务的能力）进行评审： 1.保障措施内容全面、可行，进度保障措施科学合理，具有对本区域长期跟踪研究服务的能力，得6分； 2.保障措施内容较可行，进度保障措施基本合理，对本区域长期跟踪研究服务的能力一般，得3分； 3.保障措施内容不够全面，进度保障措施不够合理，不具有对本区域长期跟踪研究服务的能力，得1分； 4.未提供方案不得分。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项目负责人情况 (5.0分)</w:t>
            </w:r>
          </w:p>
        </w:tc>
        <w:tc>
          <w:tcPr>
            <w:tcW w:type="dxa" w:w="5076"/>
          </w:tcPr>
          <w:p>
            <w:pPr>
              <w:pStyle w:val="null3"/>
              <w:jc w:val="left"/>
            </w:pPr>
            <w:r>
              <w:rPr/>
              <w:t>项目负责人（限1人）：同时具有城市（城乡）规划专业正高级职称和注册城乡规划师证书得5分；同时具有城市（城乡）规划专业高级职称和注册城乡规划师证书得3分；同时具有城市（乡）规划中级工程师职称和注册城乡规划师证书得1分。 注：1.同时提供上述人员相关证书扫描件及在近6个月内（含投标截止时间当月）任意一个月在投标人单位购买的社会保险并加盖投标人公章作证明材料，否则不得分； 2.联合体投标的，上述所有评审内容依据联合体牵头方提供有效文件作为评审依据。</w:t>
            </w:r>
          </w:p>
        </w:tc>
      </w:tr>
      <w:tr>
        <w:tc>
          <w:tcPr>
            <w:tcW w:type="dxa" w:w="922"/>
            <w:gridSpan w:val="2"/>
            <w:vMerge/>
          </w:tcPr>
          <w:p/>
        </w:tc>
        <w:tc>
          <w:tcPr>
            <w:tcW w:type="dxa" w:w="2307"/>
          </w:tcPr>
          <w:p>
            <w:pPr>
              <w:pStyle w:val="null3"/>
              <w:jc w:val="left"/>
            </w:pPr>
            <w:r>
              <w:rPr/>
              <w:t>项目团队人员情况 (12.0分)</w:t>
            </w:r>
          </w:p>
        </w:tc>
        <w:tc>
          <w:tcPr>
            <w:tcW w:type="dxa" w:w="5076"/>
          </w:tcPr>
          <w:p>
            <w:pPr>
              <w:pStyle w:val="null3"/>
              <w:jc w:val="left"/>
            </w:pPr>
            <w:r>
              <w:rPr/>
              <w:t>拟派项目专业技术人员（项目负责人除外）： 1.项目团队成员同时具备城市（乡）规划高级或以上工程师职称和注册城乡规划师证书的，每提供1人得3分，同时具备城市（乡）规划中级工程师职称和注册城乡规划师证书的，每提供1人得1分，本小项最高得6分； 2.项目团队成员具备城市交通相关专业高级或以上工程师职称的3分，具备城市交通相关专业中级工程师职称的，得1分，本小项最高得3分； 3.项目团队成员具备给水排水相关专业高级或以上工程师职称的3分，具备给水排水相关专业中级工程师职称的，得1分，本小项最高得3分。 注：（1）本项合计最高得12分；同一人具有多项证书的不累计得分。同类证书的按最高级别计分；（2）同时提供上述人员相关证书扫描件及在近6个月内（含投标截止时间当月）任意一个月在投标人单位购买的社会保险并加盖投标人公章作证明材料，否则不得分； （3）联合体投标的，上述所有评审内容依据联合体牵头方提供有效文件作为评审依据。</w:t>
            </w:r>
          </w:p>
        </w:tc>
      </w:tr>
      <w:tr>
        <w:tc>
          <w:tcPr>
            <w:tcW w:type="dxa" w:w="922"/>
            <w:gridSpan w:val="2"/>
            <w:vMerge/>
          </w:tcPr>
          <w:p/>
        </w:tc>
        <w:tc>
          <w:tcPr>
            <w:tcW w:type="dxa" w:w="2307"/>
          </w:tcPr>
          <w:p>
            <w:pPr>
              <w:pStyle w:val="null3"/>
              <w:jc w:val="left"/>
            </w:pPr>
            <w:r>
              <w:rPr/>
              <w:t>同类项目业绩 (12.0分)</w:t>
            </w:r>
          </w:p>
        </w:tc>
        <w:tc>
          <w:tcPr>
            <w:tcW w:type="dxa" w:w="5076"/>
          </w:tcPr>
          <w:p>
            <w:pPr>
              <w:pStyle w:val="null3"/>
              <w:jc w:val="left"/>
            </w:pPr>
            <w:r>
              <w:rPr/>
              <w:t>2021年1月1日至今（以合同签订时间为准）投标人承接过战略性规划项目，每提供1项得3分，本小项最高12分。 注：1.提供项目合同关键页（合同封面及签字盖章页）加盖投标人公章，不提供不得分； 2.联合体投标的，上述所有评审内容依据联合体牵头方提供有效文件作为评审依据。</w:t>
            </w:r>
          </w:p>
        </w:tc>
      </w:tr>
      <w:tr>
        <w:tc>
          <w:tcPr>
            <w:tcW w:type="dxa" w:w="922"/>
            <w:gridSpan w:val="2"/>
            <w:vMerge/>
          </w:tcPr>
          <w:p/>
        </w:tc>
        <w:tc>
          <w:tcPr>
            <w:tcW w:type="dxa" w:w="2307"/>
          </w:tcPr>
          <w:p>
            <w:pPr>
              <w:pStyle w:val="null3"/>
              <w:jc w:val="left"/>
            </w:pPr>
            <w:r>
              <w:rPr/>
              <w:t>管理体系认证 (1.0分)</w:t>
            </w:r>
          </w:p>
        </w:tc>
        <w:tc>
          <w:tcPr>
            <w:tcW w:type="dxa" w:w="5076"/>
          </w:tcPr>
          <w:p>
            <w:pPr>
              <w:pStyle w:val="null3"/>
              <w:jc w:val="left"/>
            </w:pPr>
            <w:r>
              <w:rPr/>
              <w:t>投标人具备有效期内质量管理体系认证证书的，得1分。 注：（1）提供通过认证或在有效期内的：①组成联合体的，则联合体任何一方具有均可、②认证证书复印件、③在国家认监委网站（网址：http://www.cnca.gov.cn/ ） 对证书的信息查询截图作为评审依据（以网站公布为准，供应商可通过网站首页中“互联网+服务—查询服务—认证结果”进行查询），已失效或撤销的不得分，公开信息中无法查询或与公开信息不一致的（如暂停的），供应商必须提供发证机构出具的证明函，否则不得分。（2）如因成立时间不满足认证时间要求且办理认证所需要合理时间不足导致未能获得认证证书的，供应商提供说明文件明确以上事项，说明合理且属实的，可对应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 号）文件要求，本项目采取“评审扣分”诚信管理运用措施，即投标供应商该项目评审因素得分=诚信记录得分×5%。 注：1.在评审活动开始前，由采购代理机构通过广东政府采购网“其他监管检查公告”栏和韶关市财政局政务信息公开网站“政府采购”栏查询投标（响应）供应商诚信状况（即有效期内的诚信记录得分），提供给评审委员会，由评审委员会根据采购文件的规定进行评审。 2.首次参加韶关市政府采购活动的供应商诚信管理基础得分为100 分，在广东政府采购网“其他监管检查公告”栏和韶关市财政局政务信息公开网站“政府采购”栏查询不到相关供应商扣分记录的，视为该供应商年度诚信记录得分为100 分。 3.两个以上的自然人、法人或者其他组织组成一个联合体，以一个供应商的身份共同参加政府采购活动的，应当对所有联合体成员进行诚信记录查询，诚信记录得分以联合体成员的诚信记录平均得分参与评审。</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4"/>
          <w:b/>
        </w:rPr>
        <w:t>注：本合同仅为合同的参考文本，合同签订双方可根据项目的具体要求进行修订，但不得偏离实质性条款。</w:t>
      </w:r>
    </w:p>
    <w:p>
      <w:pPr>
        <w:pStyle w:val="null3"/>
        <w:ind w:firstLine="482"/>
        <w:jc w:val="both"/>
      </w:pPr>
      <w:r>
        <w:rPr>
          <w:sz w:val="24"/>
          <w:b/>
        </w:rPr>
        <w:t>甲方：</w:t>
      </w:r>
      <w:r>
        <w:rPr>
          <w:sz w:val="24"/>
          <w:b/>
          <w:u w:val="single"/>
        </w:rPr>
        <w:t xml:space="preserve">                           </w:t>
      </w:r>
    </w:p>
    <w:p>
      <w:pPr>
        <w:pStyle w:val="null3"/>
        <w:ind w:firstLine="482"/>
        <w:jc w:val="both"/>
      </w:pPr>
      <w:r>
        <w:rPr>
          <w:sz w:val="24"/>
          <w:b/>
        </w:rPr>
        <w:t>乙方：</w:t>
      </w:r>
      <w:r>
        <w:rPr>
          <w:sz w:val="24"/>
          <w:b/>
          <w:u w:val="single"/>
        </w:rPr>
        <w:t xml:space="preserve">                           </w:t>
      </w:r>
      <w:r>
        <w:rPr>
          <w:sz w:val="24"/>
        </w:rPr>
        <w:t xml:space="preserve">   </w:t>
      </w:r>
    </w:p>
    <w:p>
      <w:pPr>
        <w:pStyle w:val="null3"/>
        <w:ind w:firstLine="470"/>
        <w:jc w:val="both"/>
      </w:pPr>
      <w:r>
        <w:rPr>
          <w:sz w:val="24"/>
        </w:rPr>
        <w:t>根据</w:t>
      </w:r>
      <w:r>
        <w:rPr>
          <w:sz w:val="24"/>
          <w:b/>
          <w:u w:val="single"/>
        </w:rPr>
        <w:t xml:space="preserve">                         </w:t>
      </w:r>
      <w:r>
        <w:rPr>
          <w:sz w:val="24"/>
        </w:rPr>
        <w:t xml:space="preserve"> 采购结果，按照《中华人民共和国政府采购法》和《中华人民共和国民法典</w:t>
      </w:r>
      <w:r>
        <w:rPr>
          <w:sz w:val="24"/>
        </w:rPr>
        <w:t>（合同编）</w:t>
      </w:r>
      <w:r>
        <w:rPr>
          <w:sz w:val="24"/>
        </w:rPr>
        <w:t>》的规定，经双方协商，本着平等互利和诚实信用的原则，一致同意签订本合同如下。</w:t>
      </w:r>
    </w:p>
    <w:p>
      <w:pPr>
        <w:pStyle w:val="null3"/>
        <w:jc w:val="both"/>
      </w:pPr>
      <w:r>
        <w:rPr>
          <w:sz w:val="24"/>
          <w:b/>
        </w:rPr>
        <w:t>一、合同金额</w:t>
      </w:r>
      <w:r>
        <w:rPr>
          <w:sz w:val="24"/>
        </w:rPr>
        <w:t>：</w:t>
      </w:r>
      <w:r>
        <w:rPr>
          <w:sz w:val="24"/>
          <w:u w:val="single"/>
        </w:rPr>
        <w:t xml:space="preserve">                   </w:t>
      </w:r>
      <w:r>
        <w:rPr>
          <w:sz w:val="24"/>
        </w:rPr>
        <w:t>元，大写金额：</w:t>
      </w:r>
      <w:r>
        <w:rPr>
          <w:sz w:val="24"/>
          <w:u w:val="single"/>
        </w:rPr>
        <w:t xml:space="preserve">                   </w:t>
      </w:r>
      <w:r>
        <w:rPr>
          <w:sz w:val="24"/>
        </w:rPr>
        <w:t>。</w:t>
      </w:r>
    </w:p>
    <w:p>
      <w:pPr>
        <w:pStyle w:val="null3"/>
        <w:ind w:firstLine="470"/>
        <w:jc w:val="both"/>
      </w:pPr>
      <w:r>
        <w:rPr>
          <w:sz w:val="24"/>
        </w:rPr>
        <w:t>注：合同价包括一切直接和间接费用，在项目实施所需的资料打印产生的费用，以及实地考察、会务费用、归档等与该项目相关工作产生的费用。</w:t>
      </w:r>
    </w:p>
    <w:p>
      <w:pPr>
        <w:pStyle w:val="null3"/>
        <w:jc w:val="both"/>
      </w:pPr>
      <w:r>
        <w:rPr>
          <w:sz w:val="24"/>
          <w:b/>
        </w:rPr>
        <w:t>二、服务时间：</w:t>
      </w:r>
      <w:r>
        <w:rPr>
          <w:sz w:val="24"/>
        </w:rPr>
        <w:t>自双方签订合同之日起一年。</w:t>
      </w:r>
    </w:p>
    <w:p>
      <w:pPr>
        <w:pStyle w:val="null3"/>
        <w:jc w:val="both"/>
      </w:pPr>
      <w:r>
        <w:rPr>
          <w:sz w:val="24"/>
          <w:b/>
        </w:rPr>
        <w:t>三、服务地点</w:t>
      </w:r>
      <w:r>
        <w:rPr>
          <w:sz w:val="24"/>
        </w:rPr>
        <w:t>：甲方指定地点</w:t>
      </w:r>
    </w:p>
    <w:p>
      <w:pPr>
        <w:pStyle w:val="null3"/>
        <w:jc w:val="both"/>
      </w:pPr>
      <w:r>
        <w:rPr>
          <w:sz w:val="24"/>
          <w:b/>
        </w:rPr>
        <w:t>四、工作范围</w:t>
      </w:r>
    </w:p>
    <w:p>
      <w:pPr>
        <w:pStyle w:val="null3"/>
        <w:ind w:firstLine="480"/>
        <w:jc w:val="both"/>
      </w:pPr>
      <w:r>
        <w:rPr>
          <w:sz w:val="24"/>
        </w:rPr>
        <w:t>本次研究范围即国土空间规划划定的韶关中心城区范围，面积约1369k㎡。同时，坚持“跳出韶关看韶关”，以粤湘赣三省为研究范围，以全市域作为统筹范围，实现全市发展“一盘棋”。</w:t>
      </w:r>
    </w:p>
    <w:p>
      <w:pPr>
        <w:pStyle w:val="null3"/>
      </w:pPr>
      <w:r>
        <w:rPr>
          <w:sz w:val="24"/>
          <w:b/>
        </w:rPr>
        <w:t>五、法律法规和相关规划</w:t>
      </w:r>
    </w:p>
    <w:p>
      <w:pPr>
        <w:pStyle w:val="null3"/>
        <w:ind w:firstLine="480"/>
        <w:jc w:val="both"/>
      </w:pPr>
      <w:r>
        <w:rPr>
          <w:sz w:val="24"/>
        </w:rPr>
        <w:t>1.《中华人民共和国城乡规划法》（2019）</w:t>
      </w:r>
    </w:p>
    <w:p>
      <w:pPr>
        <w:pStyle w:val="null3"/>
        <w:ind w:firstLine="480"/>
        <w:jc w:val="both"/>
      </w:pPr>
      <w:r>
        <w:rPr>
          <w:sz w:val="24"/>
        </w:rPr>
        <w:t>2.《中华人民共和国土地管理法》（2019年修订）</w:t>
      </w:r>
    </w:p>
    <w:p>
      <w:pPr>
        <w:pStyle w:val="null3"/>
        <w:ind w:firstLine="480"/>
        <w:jc w:val="both"/>
      </w:pPr>
      <w:r>
        <w:rPr>
          <w:sz w:val="24"/>
        </w:rPr>
        <w:t>3.《中华人民共和国环境保护法》（2015年）</w:t>
      </w:r>
    </w:p>
    <w:p>
      <w:pPr>
        <w:pStyle w:val="null3"/>
        <w:ind w:firstLine="480"/>
        <w:jc w:val="both"/>
      </w:pPr>
      <w:r>
        <w:rPr>
          <w:sz w:val="24"/>
        </w:rPr>
        <w:t>4.《基本农田保护条例》（2011年修订）</w:t>
      </w:r>
    </w:p>
    <w:p>
      <w:pPr>
        <w:pStyle w:val="null3"/>
        <w:ind w:firstLine="480"/>
        <w:jc w:val="both"/>
      </w:pPr>
      <w:r>
        <w:rPr>
          <w:sz w:val="24"/>
        </w:rPr>
        <w:t>5.《韶关市国土空间总体规划（2021—2035年）》</w:t>
      </w:r>
    </w:p>
    <w:p>
      <w:pPr>
        <w:pStyle w:val="null3"/>
        <w:ind w:firstLine="480"/>
        <w:jc w:val="both"/>
      </w:pPr>
      <w:r>
        <w:rPr>
          <w:sz w:val="24"/>
        </w:rPr>
        <w:t>6.其他相关规划</w:t>
      </w:r>
    </w:p>
    <w:p>
      <w:pPr>
        <w:pStyle w:val="null3"/>
      </w:pPr>
      <w:r>
        <w:rPr>
          <w:sz w:val="24"/>
          <w:b/>
        </w:rPr>
        <w:t>六、工作内容</w:t>
      </w:r>
    </w:p>
    <w:p>
      <w:pPr>
        <w:pStyle w:val="null3"/>
        <w:ind w:firstLine="480"/>
        <w:jc w:val="both"/>
      </w:pPr>
      <w:r>
        <w:rPr>
          <w:sz w:val="24"/>
        </w:rPr>
        <w:t>1.全面梳理韶关区位、产业、文化、服务等本底条件，对标“具有区域影响力的新韶关”目标要求，明确短板、找准差距。</w:t>
      </w:r>
    </w:p>
    <w:p>
      <w:pPr>
        <w:pStyle w:val="null3"/>
        <w:ind w:firstLine="480"/>
        <w:jc w:val="both"/>
      </w:pPr>
      <w:r>
        <w:rPr>
          <w:sz w:val="24"/>
        </w:rPr>
        <w:t>2.立足国家与区域格局，明确城市发展定位、职能分工，紧扣“湾区所需、韶关所能”深化区域协同，积极对接和融入粤港澳大湾区。</w:t>
      </w:r>
    </w:p>
    <w:p>
      <w:pPr>
        <w:pStyle w:val="null3"/>
        <w:ind w:firstLine="480"/>
        <w:jc w:val="both"/>
      </w:pPr>
      <w:r>
        <w:rPr>
          <w:sz w:val="24"/>
        </w:rPr>
        <w:t>3.统筹市域空间，明确发展主方向、主通道、主平台，强化县（市、区）间产业协同配套，形成各具特色、协调联动的发展局面。</w:t>
      </w:r>
    </w:p>
    <w:p>
      <w:pPr>
        <w:pStyle w:val="null3"/>
        <w:ind w:firstLine="480"/>
        <w:jc w:val="both"/>
      </w:pPr>
      <w:r>
        <w:rPr>
          <w:sz w:val="24"/>
        </w:rPr>
        <w:t>4.优化城市空间布局，推动新老城协同、职住平衡，提升枢纽与交通通行效率。畅通城市风道、水道、绿道，打造显山露水透绿的高品质城市空间，建设更加舒适宜居山水城市。</w:t>
      </w:r>
    </w:p>
    <w:p>
      <w:pPr>
        <w:pStyle w:val="null3"/>
        <w:ind w:firstLine="480"/>
        <w:jc w:val="both"/>
      </w:pPr>
      <w:r>
        <w:rPr>
          <w:sz w:val="24"/>
        </w:rPr>
        <w:t>5.统筹铁水公空构建以主城为中枢的现代化多式联运集疏运体系，强化与大湾区及市县交通联动。</w:t>
      </w:r>
    </w:p>
    <w:p>
      <w:pPr>
        <w:pStyle w:val="null3"/>
        <w:ind w:firstLine="480"/>
        <w:jc w:val="both"/>
      </w:pPr>
      <w:r>
        <w:rPr>
          <w:sz w:val="24"/>
        </w:rPr>
        <w:t>6.聚焦防洪、内涝等领域完善设施，建设安全韧性城市。</w:t>
      </w:r>
    </w:p>
    <w:p>
      <w:pPr>
        <w:pStyle w:val="null3"/>
        <w:ind w:firstLine="480"/>
        <w:jc w:val="both"/>
      </w:pPr>
      <w:r>
        <w:rPr>
          <w:sz w:val="24"/>
        </w:rPr>
        <w:t>7.面向“十五五”阶段落地实施要求，形成具有影响力、带动力的重大项目库，明确近期建设的重点空间，为各类专项规划、年度计划与投融资安排提供统筹指引。</w:t>
      </w:r>
    </w:p>
    <w:p>
      <w:pPr>
        <w:pStyle w:val="null3"/>
      </w:pPr>
      <w:r>
        <w:rPr>
          <w:sz w:val="24"/>
          <w:b/>
        </w:rPr>
        <w:t>七、成果要求</w:t>
      </w:r>
    </w:p>
    <w:p>
      <w:pPr>
        <w:pStyle w:val="null3"/>
        <w:ind w:firstLine="480"/>
        <w:jc w:val="both"/>
      </w:pPr>
      <w:r>
        <w:rPr>
          <w:sz w:val="24"/>
        </w:rPr>
        <w:t>1.本服务工作要求提供以下成果：研究总报告、图集、项目库。</w:t>
      </w:r>
    </w:p>
    <w:p>
      <w:pPr>
        <w:pStyle w:val="null3"/>
        <w:ind w:firstLine="480"/>
        <w:jc w:val="both"/>
      </w:pPr>
      <w:r>
        <w:rPr>
          <w:sz w:val="24"/>
        </w:rPr>
        <w:t>2.成果格式要求，成果形式包括纸质文件、电子文件两种形式提供，具体要求如下：</w:t>
      </w:r>
    </w:p>
    <w:p>
      <w:pPr>
        <w:pStyle w:val="null3"/>
        <w:ind w:firstLine="480"/>
        <w:jc w:val="both"/>
      </w:pPr>
      <w:r>
        <w:rPr>
          <w:sz w:val="24"/>
        </w:rPr>
        <w:t>（1）汇报文件、研究报告规格以A4（210mm×297mm）为主，相关图件和表格规格根据表达需要合理确定，力求清晰、完整，标注齐全、准确，同类图纸规格尽量统一。报告和图表合订为一本完整的书面成果。</w:t>
      </w:r>
    </w:p>
    <w:p>
      <w:pPr>
        <w:pStyle w:val="null3"/>
        <w:ind w:firstLine="480"/>
        <w:jc w:val="both"/>
      </w:pPr>
      <w:r>
        <w:rPr>
          <w:sz w:val="24"/>
        </w:rPr>
        <w:t>（2）电子文件以光盘或U盘的形式提供，图形文件按甲方要求格式提供。</w:t>
      </w:r>
    </w:p>
    <w:p>
      <w:pPr>
        <w:pStyle w:val="null3"/>
      </w:pPr>
      <w:r>
        <w:rPr>
          <w:sz w:val="24"/>
          <w:b/>
        </w:rPr>
        <w:t>八、进度要求</w:t>
      </w:r>
    </w:p>
    <w:p>
      <w:pPr>
        <w:pStyle w:val="null3"/>
        <w:ind w:firstLine="480"/>
        <w:jc w:val="both"/>
      </w:pPr>
      <w:r>
        <w:rPr>
          <w:sz w:val="24"/>
        </w:rPr>
        <w:t>1.总体分为以下四个阶段：</w:t>
      </w:r>
    </w:p>
    <w:p>
      <w:pPr>
        <w:pStyle w:val="null3"/>
        <w:ind w:firstLine="480"/>
        <w:jc w:val="both"/>
      </w:pPr>
      <w:r>
        <w:rPr>
          <w:sz w:val="24"/>
        </w:rPr>
        <w:t>（1）现状评估阶段：制定调研计划，开展现场踏勘、资料收集、部门及企业座谈等相关工作，完成问题分析和诉求梳理，全面分析韶关市及其周边发展现状，形成整体工作框架，明确工作重点。</w:t>
      </w:r>
    </w:p>
    <w:p>
      <w:pPr>
        <w:pStyle w:val="null3"/>
        <w:ind w:firstLine="480"/>
        <w:jc w:val="both"/>
      </w:pPr>
      <w:r>
        <w:rPr>
          <w:sz w:val="24"/>
        </w:rPr>
        <w:t>（2）战略研究阶段：开展区域格局及市域空间分析，明确发展主方向、主通道、主平台等发展战略，确定初步方案，进行初步成果汇报。</w:t>
      </w:r>
    </w:p>
    <w:p>
      <w:pPr>
        <w:pStyle w:val="null3"/>
        <w:ind w:firstLine="480"/>
        <w:jc w:val="both"/>
      </w:pPr>
      <w:r>
        <w:rPr>
          <w:sz w:val="24"/>
        </w:rPr>
        <w:t>（3）成果形成阶段：优化完善空间方案，细化城市空间布局、产业项目、生态空间、公共服务、重大基础设施等布局，完善支撑配套策略，优化形成中期成果，并征求相关部门及专家意见。</w:t>
      </w:r>
    </w:p>
    <w:p>
      <w:pPr>
        <w:pStyle w:val="null3"/>
        <w:ind w:firstLine="480"/>
        <w:jc w:val="both"/>
      </w:pPr>
      <w:r>
        <w:rPr>
          <w:sz w:val="24"/>
        </w:rPr>
        <w:t>（4）成果验收阶段：根据各阶段相关意见，修改完善形成成果，按程序提交成果进行审查验收。</w:t>
      </w:r>
    </w:p>
    <w:p>
      <w:pPr>
        <w:pStyle w:val="null3"/>
        <w:ind w:firstLine="480"/>
        <w:jc w:val="both"/>
      </w:pPr>
      <w:r>
        <w:rPr>
          <w:sz w:val="24"/>
        </w:rPr>
        <w:t>2.最终项目成果已完成提交但合同履行期限未结束的，若有发生国家、广东省相关政策变动调整的情况，乙方仍需及时对已完成的项目研究成果进行更新、修改、完善并提交甲方使用。</w:t>
      </w:r>
    </w:p>
    <w:p>
      <w:pPr>
        <w:pStyle w:val="null3"/>
        <w:ind w:firstLine="480"/>
        <w:jc w:val="both"/>
      </w:pPr>
      <w:r>
        <w:rPr>
          <w:sz w:val="24"/>
        </w:rPr>
        <w:t>3.乙方需为本项目做好进度保障安排，包含完成本项目服务内容和各项工作进度安排以及针对不同服务内容从人员保障、设备设施保障、投入资源保障、紧急事件应急预案等方面制定的针对性计划安排方案。</w:t>
      </w:r>
    </w:p>
    <w:p>
      <w:pPr>
        <w:pStyle w:val="null3"/>
      </w:pPr>
      <w:r>
        <w:rPr>
          <w:sz w:val="24"/>
          <w:b/>
        </w:rPr>
        <w:t>九、保密要求</w:t>
      </w:r>
    </w:p>
    <w:p>
      <w:pPr>
        <w:pStyle w:val="null3"/>
        <w:ind w:firstLine="480"/>
      </w:pPr>
      <w:r>
        <w:rPr>
          <w:sz w:val="24"/>
        </w:rPr>
        <w:t>1.乙方制定安全保障措施、项目保密管理制度，对在工作过程中接触到的甲方的任何资料、文件、数据（无论是书面形式的还是电子版的），以及为甲方服务形成的任何交付物，负有保密的责任。未经甲方书面同意，乙方不得以任何方式向任何第三方提供或透露。</w:t>
      </w:r>
    </w:p>
    <w:p>
      <w:pPr>
        <w:pStyle w:val="null3"/>
        <w:ind w:firstLine="480"/>
        <w:jc w:val="both"/>
      </w:pPr>
      <w:r>
        <w:rPr>
          <w:sz w:val="24"/>
        </w:rPr>
        <w:t>2.乙方不得将涉密资料在计算机互联网、政务网等非涉密网络上传输、登载。</w:t>
      </w:r>
    </w:p>
    <w:p>
      <w:pPr>
        <w:pStyle w:val="null3"/>
        <w:ind w:firstLine="480"/>
        <w:jc w:val="both"/>
      </w:pPr>
      <w:r>
        <w:rPr>
          <w:sz w:val="24"/>
        </w:rPr>
        <w:t>3.乙方发生涉密资料外传、丢失、被盗或者造成泄密事故的，应采取有效措施，及时补救，并及时向甲方报告；否则所造成的后果均由乙方承担。</w:t>
      </w:r>
    </w:p>
    <w:p>
      <w:pPr>
        <w:pStyle w:val="null3"/>
      </w:pPr>
      <w:r>
        <w:rPr>
          <w:sz w:val="24"/>
          <w:b/>
        </w:rPr>
        <w:t>十、验收要求</w:t>
      </w:r>
    </w:p>
    <w:p>
      <w:pPr>
        <w:pStyle w:val="null3"/>
        <w:ind w:firstLine="480"/>
        <w:jc w:val="both"/>
      </w:pPr>
      <w:r>
        <w:rPr>
          <w:sz w:val="24"/>
        </w:rPr>
        <w:t>1.履约验收主体：甲方。</w:t>
      </w:r>
    </w:p>
    <w:p>
      <w:pPr>
        <w:pStyle w:val="null3"/>
        <w:ind w:firstLine="480"/>
        <w:jc w:val="both"/>
      </w:pPr>
      <w:r>
        <w:rPr>
          <w:sz w:val="24"/>
        </w:rPr>
        <w:t>2.履约验收时间：乙方必须在甲方指定时间之前将成果文件提交给甲方。</w:t>
      </w:r>
    </w:p>
    <w:p>
      <w:pPr>
        <w:pStyle w:val="null3"/>
        <w:ind w:firstLine="480"/>
        <w:jc w:val="both"/>
      </w:pPr>
      <w:r>
        <w:rPr>
          <w:sz w:val="24"/>
        </w:rPr>
        <w:t>3.履约验收方式：分阶段验收。</w:t>
      </w:r>
    </w:p>
    <w:p>
      <w:pPr>
        <w:pStyle w:val="null3"/>
        <w:ind w:firstLine="480"/>
        <w:jc w:val="both"/>
      </w:pPr>
      <w:r>
        <w:rPr>
          <w:sz w:val="24"/>
        </w:rPr>
        <w:t>4.验收程序：</w:t>
      </w:r>
    </w:p>
    <w:p>
      <w:pPr>
        <w:pStyle w:val="null3"/>
        <w:ind w:firstLine="480"/>
        <w:jc w:val="both"/>
      </w:pPr>
      <w:r>
        <w:rPr>
          <w:sz w:val="24"/>
        </w:rPr>
        <w:t>4.1 乙方应按规定时间节点要求提交成果文件，甲方对乙方提交的成果文件情况进行审核，乙方开展的相关工作及提交的内容应得到甲方认同，审核通过后方为完成合同内容；对审核不合格的部分，乙方应在甲方规定时间内及时整改完善直至合格，未在规定时间内进行整改并通过审核的，甲方有权单方面解除合同并不予支付款项。</w:t>
      </w:r>
    </w:p>
    <w:p>
      <w:pPr>
        <w:pStyle w:val="null3"/>
        <w:ind w:firstLine="480"/>
        <w:jc w:val="both"/>
      </w:pPr>
      <w:r>
        <w:rPr>
          <w:sz w:val="24"/>
        </w:rPr>
        <w:t>4.2 乙方负责配合完成项目的阶段成果汇报、专题会议汇报、最终成果汇报等工作。</w:t>
      </w:r>
    </w:p>
    <w:p>
      <w:pPr>
        <w:pStyle w:val="null3"/>
        <w:ind w:firstLine="480"/>
        <w:jc w:val="both"/>
      </w:pPr>
      <w:r>
        <w:rPr>
          <w:sz w:val="24"/>
        </w:rPr>
        <w:t>4.3 项目成果以甲方组织审核和确定验收方式。</w:t>
      </w:r>
    </w:p>
    <w:p>
      <w:pPr>
        <w:pStyle w:val="null3"/>
        <w:ind w:firstLine="480"/>
        <w:jc w:val="both"/>
      </w:pPr>
      <w:r>
        <w:rPr>
          <w:sz w:val="24"/>
        </w:rPr>
        <w:t>5.履约验收内容：依据招标文件的服务要求、乙方的投标文件及承诺与本合同约定进行验收。</w:t>
      </w:r>
    </w:p>
    <w:p>
      <w:pPr>
        <w:pStyle w:val="null3"/>
        <w:ind w:firstLine="480"/>
        <w:jc w:val="both"/>
      </w:pPr>
      <w:r>
        <w:rPr>
          <w:sz w:val="24"/>
        </w:rPr>
        <w:t>6.验收标准：审核由甲方组织相关人员依照有关标准、项目及合同要求进行。</w:t>
      </w:r>
    </w:p>
    <w:p>
      <w:pPr>
        <w:pStyle w:val="null3"/>
        <w:ind w:firstLine="480"/>
        <w:jc w:val="both"/>
      </w:pPr>
      <w:r>
        <w:rPr>
          <w:sz w:val="24"/>
        </w:rPr>
        <w:t>7.争议处理：因验收发生争议时，由验收小组报甲方党组会审定。</w:t>
      </w:r>
    </w:p>
    <w:p>
      <w:pPr>
        <w:pStyle w:val="null3"/>
      </w:pPr>
      <w:r>
        <w:rPr>
          <w:sz w:val="24"/>
          <w:b/>
        </w:rPr>
        <w:t>十一、付款方式</w:t>
      </w:r>
    </w:p>
    <w:p>
      <w:pPr>
        <w:pStyle w:val="null3"/>
        <w:ind w:firstLine="480"/>
        <w:jc w:val="both"/>
      </w:pPr>
      <w:r>
        <w:rPr>
          <w:sz w:val="24"/>
        </w:rPr>
        <w:t>第1期：支付比例30%,合同签订后5个工作日内，甲方向乙方支付合同总金额30%作为预付款。</w:t>
      </w:r>
    </w:p>
    <w:p>
      <w:pPr>
        <w:pStyle w:val="null3"/>
        <w:ind w:firstLine="480"/>
        <w:jc w:val="both"/>
      </w:pPr>
      <w:r>
        <w:rPr>
          <w:sz w:val="24"/>
        </w:rPr>
        <w:t>第2期：支付比例40%,乙方按期提交中期成果后且经甲方同意通过之日起10个工作日内支付乙方合同总额的40%。</w:t>
      </w:r>
    </w:p>
    <w:p>
      <w:pPr>
        <w:pStyle w:val="null3"/>
        <w:ind w:firstLine="480"/>
        <w:jc w:val="both"/>
      </w:pPr>
      <w:r>
        <w:rPr>
          <w:sz w:val="24"/>
        </w:rPr>
        <w:t>第3期：支付比例30%,项目通过专家评审并修改完善后提交最终成果，经甲方同意结题并自收到发票后10个工作日内支付乙方合同总额的30%。</w:t>
      </w:r>
    </w:p>
    <w:p>
      <w:pPr>
        <w:pStyle w:val="null3"/>
        <w:ind w:firstLine="480"/>
        <w:jc w:val="both"/>
      </w:pPr>
      <w:r>
        <w:rPr>
          <w:sz w:val="24"/>
        </w:rPr>
        <w:t>注：1.上述每期款项支付前，乙方均应向甲方提供请款申报材料（如需）及相应金额的合法有效的发票，否则，甲方有权拒绝支付相应的款项，并不构成违约。</w:t>
      </w:r>
    </w:p>
    <w:p>
      <w:pPr>
        <w:pStyle w:val="null3"/>
        <w:spacing w:before="45" w:after="45"/>
        <w:ind w:firstLine="960"/>
        <w:jc w:val="both"/>
      </w:pPr>
      <w:r>
        <w:rPr>
          <w:sz w:val="24"/>
        </w:rPr>
        <w:t xml:space="preserve">2.因甲方用的是财政资金，甲方在前款规定的付款时间向政府采购支付部门提出办理财政支付申请手续的时间（不含政府支付部门审核的时间），在前述规定时间内提出办理支付申请手续后，甲方不承担逾期支付的违约责任。 </w:t>
      </w:r>
    </w:p>
    <w:p>
      <w:pPr>
        <w:pStyle w:val="null3"/>
      </w:pPr>
      <w:r>
        <w:rPr>
          <w:sz w:val="24"/>
          <w:b/>
        </w:rPr>
        <w:t>十二、违约责任及损失赔偿</w:t>
      </w:r>
    </w:p>
    <w:p>
      <w:pPr>
        <w:pStyle w:val="null3"/>
        <w:ind w:firstLine="480"/>
        <w:jc w:val="both"/>
      </w:pPr>
      <w:r>
        <w:rPr>
          <w:sz w:val="24"/>
        </w:rPr>
        <w:t>1.乙方未能按本采购文件要求的时间提供服务的，从逾期之日起，每日按成交金额的</w:t>
      </w:r>
      <w:r>
        <w:rPr>
          <w:sz w:val="24"/>
          <w:u w:val="single"/>
        </w:rPr>
        <w:t xml:space="preserve">    </w:t>
      </w:r>
      <w:r>
        <w:rPr>
          <w:sz w:val="24"/>
        </w:rPr>
        <w:t>‰向甲方支付违约金；逾期半月以上的，甲方有权终止合同，由此对甲方造成的由乙方承担。</w:t>
      </w:r>
    </w:p>
    <w:p>
      <w:pPr>
        <w:pStyle w:val="null3"/>
        <w:ind w:firstLine="480"/>
        <w:jc w:val="both"/>
      </w:pPr>
      <w:r>
        <w:rPr>
          <w:sz w:val="24"/>
        </w:rPr>
        <w:t>2.甲方无正当理由拒绝接受服务的，甲方向乙方赔付成交金额的</w:t>
      </w:r>
      <w:r>
        <w:rPr>
          <w:sz w:val="24"/>
          <w:u w:val="single"/>
        </w:rPr>
        <w:t xml:space="preserve">    </w:t>
      </w:r>
      <w:r>
        <w:rPr>
          <w:sz w:val="24"/>
        </w:rPr>
        <w:t>%作为违约金；甲方到期拒付合同款项的，则每日按逾期金额的</w:t>
      </w:r>
      <w:r>
        <w:rPr>
          <w:sz w:val="24"/>
          <w:u w:val="single"/>
        </w:rPr>
        <w:t xml:space="preserve">    </w:t>
      </w:r>
      <w:r>
        <w:rPr>
          <w:sz w:val="24"/>
        </w:rPr>
        <w:t>‰向乙方支付违约金。</w:t>
      </w:r>
    </w:p>
    <w:p>
      <w:pPr>
        <w:pStyle w:val="null3"/>
        <w:ind w:firstLine="480"/>
        <w:jc w:val="both"/>
      </w:pPr>
      <w:r>
        <w:rPr>
          <w:sz w:val="24"/>
        </w:rPr>
        <w:t>3.乙方在进行本项目的服务过程中，应严格恪守保密原则，如发现商业泄密，甲方将扣除乙方成交金额的</w:t>
      </w:r>
      <w:r>
        <w:rPr>
          <w:sz w:val="24"/>
          <w:u w:val="single"/>
        </w:rPr>
        <w:t xml:space="preserve">    </w:t>
      </w:r>
      <w:r>
        <w:rPr>
          <w:sz w:val="24"/>
        </w:rPr>
        <w:t>%作为违约金，同时追究其法律责任。</w:t>
      </w:r>
    </w:p>
    <w:p>
      <w:pPr>
        <w:pStyle w:val="null3"/>
      </w:pPr>
      <w:r>
        <w:rPr>
          <w:sz w:val="24"/>
          <w:b/>
        </w:rPr>
        <w:t>十三、争议的解决</w:t>
      </w:r>
    </w:p>
    <w:p>
      <w:pPr>
        <w:pStyle w:val="null3"/>
        <w:ind w:left="210" w:firstLine="480"/>
        <w:jc w:val="both"/>
      </w:pPr>
      <w:r>
        <w:rPr>
          <w:sz w:val="24"/>
        </w:rPr>
        <w:t>合同执行过程中发生的任何争议，如双方不能通过友好协商解决，均同意提交甲方所在地人民法院诉讼。</w:t>
      </w:r>
    </w:p>
    <w:p>
      <w:pPr>
        <w:pStyle w:val="null3"/>
      </w:pPr>
      <w:r>
        <w:rPr>
          <w:sz w:val="24"/>
          <w:b/>
        </w:rPr>
        <w:t>十四、不可抗力</w:t>
      </w:r>
    </w:p>
    <w:p>
      <w:pPr>
        <w:pStyle w:val="null3"/>
        <w:ind w:left="210" w:firstLine="48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pPr>
      <w:r>
        <w:rPr>
          <w:sz w:val="24"/>
          <w:b/>
        </w:rPr>
        <w:t>十五、税费</w:t>
      </w:r>
    </w:p>
    <w:p>
      <w:pPr>
        <w:pStyle w:val="null3"/>
        <w:ind w:firstLine="420"/>
        <w:jc w:val="both"/>
      </w:pPr>
      <w:r>
        <w:rPr>
          <w:sz w:val="24"/>
        </w:rPr>
        <w:t>在中国境内、外发生的与本合同执行有关的一切税费均由乙方负担。</w:t>
      </w:r>
    </w:p>
    <w:p>
      <w:pPr>
        <w:pStyle w:val="null3"/>
      </w:pPr>
      <w:r>
        <w:rPr>
          <w:sz w:val="24"/>
          <w:b/>
        </w:rPr>
        <w:t>十六、其他</w:t>
      </w:r>
    </w:p>
    <w:p>
      <w:pPr>
        <w:pStyle w:val="null3"/>
        <w:ind w:firstLine="480"/>
        <w:jc w:val="both"/>
      </w:pPr>
      <w:r>
        <w:rPr>
          <w:sz w:val="24"/>
        </w:rPr>
        <w:t>1.本合同所有附件、采购文件、投标文件、中标通知书均为本合同的有效组成部分，与本合同具有同等法律效力。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pPr>
      <w:r>
        <w:rPr>
          <w:sz w:val="24"/>
          <w:b/>
        </w:rPr>
        <w:t>十七、合同生效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2.本合同一式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份，均具有同等法律效力。</w:t>
      </w:r>
    </w:p>
    <w:p>
      <w:pPr>
        <w:pStyle w:val="null3"/>
        <w:jc w:val="both"/>
      </w:pPr>
      <w:r>
        <w:rPr>
          <w:sz w:val="24"/>
        </w:rPr>
        <w:t xml:space="preserve">  </w:t>
      </w:r>
    </w:p>
    <w:p>
      <w:pPr>
        <w:pStyle w:val="null3"/>
        <w:ind w:firstLine="480"/>
      </w:pPr>
      <w:r>
        <w:rPr>
          <w:sz w:val="24"/>
        </w:rPr>
        <w:t>甲方（公章）：                 乙方（公章）：</w:t>
      </w:r>
    </w:p>
    <w:p>
      <w:pPr>
        <w:pStyle w:val="null3"/>
        <w:ind w:firstLine="480"/>
      </w:pPr>
      <w:r>
        <w:rPr>
          <w:sz w:val="24"/>
        </w:rPr>
        <w:t>签约人（签字）：             签约人（签字）：</w:t>
      </w:r>
    </w:p>
    <w:p>
      <w:pPr>
        <w:pStyle w:val="null3"/>
        <w:ind w:firstLine="480"/>
        <w:jc w:val="both"/>
      </w:pPr>
      <w:r>
        <w:rPr>
          <w:sz w:val="24"/>
        </w:rPr>
        <w:t xml:space="preserve">地址：                              地址：                          </w:t>
      </w:r>
    </w:p>
    <w:p>
      <w:pPr>
        <w:pStyle w:val="null3"/>
        <w:ind w:firstLine="480"/>
        <w:jc w:val="both"/>
      </w:pPr>
      <w:r>
        <w:rPr>
          <w:sz w:val="24"/>
        </w:rPr>
        <w:t xml:space="preserve">联系人：                           联系人：                        </w:t>
      </w:r>
    </w:p>
    <w:p>
      <w:pPr>
        <w:pStyle w:val="null3"/>
        <w:ind w:firstLine="480"/>
        <w:jc w:val="both"/>
      </w:pPr>
      <w:r>
        <w:rPr>
          <w:sz w:val="24"/>
        </w:rPr>
        <w:t xml:space="preserve">电话：                              电话：                          </w:t>
      </w:r>
    </w:p>
    <w:p>
      <w:pPr>
        <w:pStyle w:val="null3"/>
        <w:ind w:firstLine="480"/>
        <w:jc w:val="both"/>
      </w:pPr>
      <w:r>
        <w:rPr>
          <w:sz w:val="24"/>
        </w:rPr>
        <w:t xml:space="preserve">传真：                              传真：                          </w:t>
      </w:r>
    </w:p>
    <w:p>
      <w:pPr>
        <w:pStyle w:val="null3"/>
        <w:ind w:firstLine="480"/>
        <w:jc w:val="both"/>
      </w:pPr>
      <w:r>
        <w:rPr>
          <w:sz w:val="24"/>
        </w:rPr>
        <w:t xml:space="preserve">邮编：                              邮编：                          </w:t>
      </w:r>
    </w:p>
    <w:p>
      <w:pPr>
        <w:pStyle w:val="null3"/>
        <w:ind w:firstLine="480"/>
      </w:pPr>
      <w:r>
        <w:rPr>
          <w:sz w:val="24"/>
        </w:rPr>
        <w:t xml:space="preserve">日期：      年    月    日      日期：      年    月    日   </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440201-2026-02131</w:t>
      </w:r>
    </w:p>
    <w:p>
      <w:pPr>
        <w:pStyle w:val="null3"/>
        <w:jc w:val="center"/>
        <w:outlineLvl w:val="3"/>
      </w:pPr>
      <w:r>
        <w:rPr>
          <w:sz w:val="24"/>
          <w:b/>
        </w:rPr>
        <w:t>采购项目编号：</w:t>
      </w:r>
      <w:r>
        <w:rPr>
          <w:sz w:val="24"/>
          <w:b/>
        </w:rPr>
        <w:t>GDYD260297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广东远东招标代理有限公司</w:t>
      </w:r>
    </w:p>
    <w:p>
      <w:pPr>
        <w:pStyle w:val="null3"/>
        <w:ind w:firstLine="480"/>
      </w:pPr>
      <w:r>
        <w:rPr/>
        <w:t xml:space="preserve"> 你方组织的</w:t>
      </w:r>
      <w:r>
        <w:rPr>
          <w:u w:val="single"/>
        </w:rPr>
        <w:t>“</w:t>
      </w:r>
      <w:r>
        <w:rPr>
          <w:u w:val="single"/>
        </w:rPr>
        <w:t>韶关主城区高质量发展(交通-产业-城镇一体化)研究及实施行动采购服务项目</w:t>
      </w:r>
      <w:r>
        <w:rPr>
          <w:u w:val="single"/>
        </w:rPr>
        <w:t>”</w:t>
      </w:r>
      <w:r>
        <w:rPr/>
        <w:t>项目的招标[采购项目编号为：</w:t>
      </w:r>
      <w:r>
        <w:rPr>
          <w:u w:val="single"/>
        </w:rPr>
        <w:t>GDYD260297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韶关主城区高质量发展(交通-产业-城镇一体化)研究及实施行动采购服务项目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韶关主城区高质量发展(交通-产业-城镇一体化)研究及实施行动采购服务项目</w:t>
      </w:r>
      <w:r>
        <w:rPr/>
        <w:t>”项目采购[采购项目编号为</w:t>
      </w:r>
      <w:r>
        <w:rPr/>
        <w:t>GDYD260297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广东远东招标代理有限公司</w:t>
      </w:r>
    </w:p>
    <w:p>
      <w:pPr>
        <w:pStyle w:val="null3"/>
        <w:ind w:firstLine="480"/>
      </w:pPr>
      <w:r>
        <w:rPr/>
        <w:t xml:space="preserve"> 如果我方在贵采购代理机构组织的</w:t>
      </w:r>
      <w:r>
        <w:rPr/>
        <w:t>韶关主城区高质量发展(交通-产业-城镇一体化)研究及实施行动采购服务项目</w:t>
      </w:r>
      <w:r>
        <w:rPr/>
        <w:t>招标中获中标（采购项目编号：</w:t>
      </w:r>
      <w:r>
        <w:rPr/>
        <w:t>GDYD260297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w:t>
      </w:r>
    </w:p>
    <w:p>
      <w:pPr>
        <w:pStyle w:val="null3"/>
        <w:ind w:firstLine="480"/>
      </w:pPr>
      <w:r>
        <w:rPr/>
        <w:t>我单位已登记并准备参与“</w:t>
      </w:r>
      <w:r>
        <w:rPr/>
        <w:t>韶关主城区高质量发展(交通-产业-城镇一体化)研究及实施行动采购服务项目</w:t>
      </w:r>
      <w:r>
        <w:rPr/>
        <w:t>”项目（采购项目编号：</w:t>
      </w:r>
      <w:r>
        <w:rPr/>
        <w:t>GDYD260297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