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440201-2024-03745</w:t>
      </w:r>
    </w:p>
    <w:p>
      <w:pPr>
        <w:pStyle w:val="null3"/>
        <w:jc w:val="center"/>
        <w:outlineLvl w:val="3"/>
      </w:pPr>
      <w:r>
        <w:rPr>
          <w:sz w:val="24"/>
          <w:b/>
        </w:rPr>
        <w:t>采购项目编号：</w:t>
      </w:r>
      <w:r>
        <w:rPr>
          <w:sz w:val="24"/>
          <w:b/>
        </w:rPr>
        <w:t>GDYD241113</w:t>
      </w:r>
    </w:p>
    <w:p>
      <w:pPr>
        <w:pStyle w:val="null3"/>
        <w:jc w:val="center"/>
        <w:outlineLvl w:val="3"/>
      </w:pPr>
      <w:r>
        <w:rPr>
          <w:sz w:val="24"/>
          <w:b/>
        </w:rPr>
        <w:t>项目名称：</w:t>
      </w:r>
      <w:r>
        <w:rPr>
          <w:sz w:val="24"/>
          <w:b/>
        </w:rPr>
        <w:t>韶关市公安局2024年高速公路服务区出入卡口补点建设项目</w:t>
      </w:r>
    </w:p>
    <w:p>
      <w:pPr>
        <w:pStyle w:val="null3"/>
        <w:jc w:val="center"/>
        <w:outlineLvl w:val="3"/>
      </w:pPr>
      <w:r>
        <w:rPr>
          <w:sz w:val="24"/>
          <w:b/>
        </w:rPr>
        <w:t>采购人：</w:t>
      </w:r>
      <w:r>
        <w:rPr>
          <w:sz w:val="24"/>
          <w:b/>
        </w:rPr>
        <w:t>韶关市公安局</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韶关市公安局</w:t>
      </w:r>
      <w:r>
        <w:rPr/>
        <w:t>的委托，采用</w:t>
      </w:r>
      <w:r>
        <w:rPr/>
        <w:t>公开招标</w:t>
      </w:r>
      <w:r>
        <w:rPr/>
        <w:t>方式组织采购</w:t>
      </w:r>
      <w:r>
        <w:rPr/>
        <w:t>韶关市公安局2024年高速公路服务区出入卡口补点建设项目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韶关市公安局2024年高速公路服务区出入卡口补点建设项目</w:t>
      </w:r>
    </w:p>
    <w:p>
      <w:pPr>
        <w:pStyle w:val="null3"/>
        <w:ind w:firstLine="480"/>
      </w:pPr>
      <w:r>
        <w:rPr/>
        <w:t>采购计划编号：</w:t>
      </w:r>
      <w:r>
        <w:rPr/>
        <w:t>440201-2024-03745</w:t>
      </w:r>
    </w:p>
    <w:p>
      <w:pPr>
        <w:pStyle w:val="null3"/>
        <w:ind w:firstLine="480"/>
      </w:pPr>
      <w:r>
        <w:rPr/>
        <w:t>采购项目编号：</w:t>
      </w:r>
      <w:r>
        <w:rPr/>
        <w:t>GDYD241113</w:t>
      </w:r>
    </w:p>
    <w:p>
      <w:pPr>
        <w:pStyle w:val="null3"/>
        <w:ind w:firstLine="480"/>
      </w:pPr>
      <w:r>
        <w:rPr/>
        <w:t>采购方式：</w:t>
      </w:r>
      <w:r>
        <w:rPr/>
        <w:t>公开招标</w:t>
      </w:r>
    </w:p>
    <w:p>
      <w:pPr>
        <w:pStyle w:val="null3"/>
        <w:ind w:firstLine="480"/>
      </w:pPr>
      <w:r>
        <w:rPr/>
        <w:t>预算金额：</w:t>
      </w:r>
      <w:r>
        <w:rPr/>
        <w:t>3,078,358.62</w:t>
      </w:r>
      <w:r>
        <w:rPr/>
        <w:t>元</w:t>
      </w:r>
    </w:p>
    <w:p>
      <w:pPr>
        <w:pStyle w:val="null3"/>
        <w:outlineLvl w:val="3"/>
      </w:pPr>
      <w:r>
        <w:rPr>
          <w:sz w:val="24"/>
          <w:b/>
        </w:rPr>
        <w:t>2.项目内容及需求情况（采购项目技术规格、参数及要求）</w:t>
      </w:r>
    </w:p>
    <w:p>
      <w:pPr>
        <w:pStyle w:val="null3"/>
      </w:pPr>
      <w:r>
        <w:rPr/>
        <w:t>采购包1(韶关市公安局2024年高速公路服务区出入卡口补点建设项目):</w:t>
      </w:r>
    </w:p>
    <w:p>
      <w:pPr>
        <w:pStyle w:val="null3"/>
      </w:pPr>
      <w:r>
        <w:rPr/>
        <w:t>采购包预算金额：3,078,358.62元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安全、检查、监视、报警设备</w:t>
            </w:r>
          </w:p>
        </w:tc>
        <w:tc>
          <w:tcPr>
            <w:tcW w:type="dxa" w:w="2136"/>
          </w:tcPr>
          <w:p>
            <w:pPr>
              <w:pStyle w:val="null3"/>
            </w:pPr>
            <w:r>
              <w:rPr/>
              <w:t>韶关市公安局2024年高速公路服务区出入卡口补点建设项目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合同履行期限：自合同签订之日起60个日历日内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采购包1（韶关市公安局2024年高速公路服务区出入卡口补点建设项目）：</w:t>
      </w:r>
      <w:r>
        <w:rPr/>
        <w:t>本项目不属于专门面向中小企业采购</w:t>
      </w:r>
    </w:p>
    <w:p>
      <w:pPr>
        <w:pStyle w:val="null3"/>
        <w:outlineLvl w:val="3"/>
      </w:pPr>
      <w:r>
        <w:rPr>
          <w:sz w:val="24"/>
          <w:b/>
        </w:rPr>
        <w:t>3.本项目特定的资格要求：</w:t>
      </w:r>
    </w:p>
    <w:p>
      <w:pPr>
        <w:pStyle w:val="null3"/>
      </w:pPr>
      <w:r>
        <w:rPr/>
        <w:t>采购包1（韶关市公安局2024年高速公路服务区出入卡口补点建设项目）：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韶关市公安局</w:t>
      </w:r>
    </w:p>
    <w:p>
      <w:pPr>
        <w:pStyle w:val="null3"/>
        <w:ind w:firstLine="480"/>
      </w:pPr>
      <w:r>
        <w:rPr/>
        <w:t xml:space="preserve"> 地址：</w:t>
      </w:r>
      <w:r>
        <w:rPr/>
        <w:t>韶关市武江区梅关路10号</w:t>
      </w:r>
    </w:p>
    <w:p>
      <w:pPr>
        <w:pStyle w:val="null3"/>
        <w:ind w:firstLine="480"/>
      </w:pPr>
      <w:r>
        <w:rPr/>
        <w:t xml:space="preserve"> 联系方式：</w:t>
      </w:r>
      <w:r>
        <w:rPr/>
        <w:t>0751-8468054</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广东省广州市越秀区越秀北路222号608-612室，韶关市武江区西联镇小阳山沐芙路扬成名门综合楼三楼(韶关分公司)</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3474"/>
        <w:gridCol w:w="931"/>
        <w:gridCol w:w="1996"/>
        <w:gridCol w:w="1876"/>
      </w:tblGrid>
      <w:tr>
        <w:tc>
          <w:tcPr>
            <w:tcW w:type="dxa" w:w="3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采购项目名称</w:t>
            </w:r>
          </w:p>
        </w:tc>
        <w:tc>
          <w:tcPr>
            <w:tcW w:type="dxa" w:w="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shd w:fill="FFFFFF" w:val="clear"/>
              </w:rPr>
              <w:t>数量</w:t>
            </w:r>
          </w:p>
        </w:tc>
        <w:tc>
          <w:tcPr>
            <w:tcW w:type="dxa" w:w="1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4"/>
                <w:b/>
                <w:shd w:fill="FFFFFF" w:val="clear"/>
              </w:rPr>
              <w:t>主要技术规格</w:t>
            </w:r>
          </w:p>
        </w:tc>
        <w:tc>
          <w:tcPr>
            <w:tcW w:type="dxa" w:w="1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15"/>
              <w:jc w:val="center"/>
            </w:pPr>
            <w:r>
              <w:rPr>
                <w:sz w:val="24"/>
                <w:b/>
                <w:shd w:fill="FFFFFF" w:val="clear"/>
              </w:rPr>
              <w:t>预算金额（元）</w:t>
            </w:r>
          </w:p>
        </w:tc>
      </w:tr>
      <w:tr>
        <w:tc>
          <w:tcPr>
            <w:tcW w:type="dxa" w:w="3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shd w:fill="FFFFFF" w:val="clear"/>
              </w:rPr>
              <w:t>韶关市公安局</w:t>
            </w:r>
            <w:r>
              <w:rPr>
                <w:sz w:val="24"/>
                <w:shd w:fill="FFFFFF" w:val="clear"/>
              </w:rPr>
              <w:t>2024年高速公路服务区出入卡口补点建设项目</w:t>
            </w:r>
          </w:p>
        </w:tc>
        <w:tc>
          <w:tcPr>
            <w:tcW w:type="dxa" w:w="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shd w:fill="FFFFFF" w:val="clear"/>
              </w:rPr>
              <w:t>1批</w:t>
            </w:r>
          </w:p>
        </w:tc>
        <w:tc>
          <w:tcPr>
            <w:tcW w:type="dxa" w:w="1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shd w:fill="FFFFFF" w:val="clear"/>
              </w:rPr>
              <w:t>详见本部分</w:t>
            </w:r>
            <w:r>
              <w:rPr>
                <w:sz w:val="24"/>
                <w:shd w:fill="FFFFFF" w:val="clear"/>
              </w:rPr>
              <w:t>“2.技术标准与要求”</w:t>
            </w:r>
          </w:p>
        </w:tc>
        <w:tc>
          <w:tcPr>
            <w:tcW w:type="dxa" w:w="1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4"/>
                <w:shd w:fill="FFFFFF" w:val="clear"/>
              </w:rPr>
              <w:t>3,</w:t>
            </w:r>
            <w:r>
              <w:rPr>
                <w:sz w:val="24"/>
                <w:shd w:fill="FFFFFF" w:val="clear"/>
              </w:rPr>
              <w:t>07</w:t>
            </w:r>
            <w:r>
              <w:rPr>
                <w:sz w:val="24"/>
                <w:shd w:fill="FFFFFF" w:val="clear"/>
              </w:rPr>
              <w:t>8,358.62元</w:t>
            </w:r>
          </w:p>
        </w:tc>
      </w:tr>
    </w:tbl>
    <w:p>
      <w:pPr>
        <w:pStyle w:val="null3"/>
        <w:numPr>
          <w:ilvl w:val="0"/>
          <w:numId w:val="1"/>
        </w:numPr>
        <w:jc w:val="both"/>
      </w:pPr>
      <w:r>
        <w:rPr>
          <w:sz w:val="24"/>
          <w:b/>
        </w:rPr>
        <w:t>建设点位情况</w:t>
      </w:r>
    </w:p>
    <w:tbl>
      <w:tblPr>
        <w:tblW w:w="0" w:type="auto"/>
        <w:tblBorders>
          <w:top w:val="none" w:color="000000" w:sz="4"/>
          <w:left w:val="none" w:color="000000" w:sz="4"/>
          <w:bottom w:val="none" w:color="000000" w:sz="4"/>
          <w:right w:val="none" w:color="000000" w:sz="4"/>
          <w:insideH w:val="none"/>
          <w:insideV w:val="none"/>
        </w:tblBorders>
      </w:tblPr>
      <w:tblGrid>
        <w:gridCol w:w="795"/>
        <w:gridCol w:w="2567"/>
        <w:gridCol w:w="1360"/>
        <w:gridCol w:w="1822"/>
        <w:gridCol w:w="1733"/>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业主单位</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高速路段</w:t>
            </w:r>
          </w:p>
        </w:tc>
        <w:tc>
          <w:tcPr>
            <w:tcW w:type="dxa" w:w="1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服务区</w:t>
            </w:r>
          </w:p>
        </w:tc>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卡口数量</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武深高速（仁新段）</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京港澳高速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广东省路桥建设发展有限公司广韶分公司</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广东省南粤交通韶赣高速公路管理中心</w:t>
            </w:r>
          </w:p>
        </w:tc>
        <w:tc>
          <w:tcPr>
            <w:tcW w:type="dxa" w:w="1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韶赣高速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广东省南韶交通韶赣高速公路管理中心</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广东省乐广高速公路有限公司</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乐广高速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汕昆高速（连英段）</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汕昆高速龙连段</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韶新高速公路公司</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韶新高速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bl>
    <w:p>
      <w:pPr>
        <w:pStyle w:val="null3"/>
        <w:jc w:val="both"/>
      </w:pPr>
      <w:r>
        <w:rPr>
          <w:sz w:val="24"/>
          <w:b/>
        </w:rPr>
        <w:t>（三）核心产品一览表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640"/>
        <w:gridCol w:w="3853"/>
        <w:gridCol w:w="2799"/>
      </w:tblGrid>
      <w:tr>
        <w:tc>
          <w:tcPr>
            <w:tcW w:type="dxa" w:w="1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3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是否核心产品</w:t>
            </w:r>
          </w:p>
        </w:tc>
      </w:tr>
      <w:tr>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卡口抓拍单元</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w:t>
            </w:r>
          </w:p>
        </w:tc>
      </w:tr>
      <w:tr>
        <w:tc>
          <w:tcPr>
            <w:tcW w:type="dxa" w:w="1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3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全景球型摄像机</w:t>
            </w:r>
          </w:p>
        </w:tc>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是</w:t>
            </w:r>
          </w:p>
        </w:tc>
      </w:tr>
    </w:tbl>
    <w:p>
      <w:pPr>
        <w:pStyle w:val="null3"/>
        <w:jc w:val="left"/>
      </w:pPr>
      <w:r>
        <w:rPr>
          <w:sz w:val="24"/>
          <w:b/>
        </w:rPr>
        <w:t>（四）资格条件承诺函</w:t>
      </w:r>
    </w:p>
    <w:p>
      <w:pPr>
        <w:pStyle w:val="null3"/>
        <w:jc w:val="center"/>
      </w:pPr>
      <w:r>
        <w:rPr>
          <w:sz w:val="24"/>
          <w:b/>
        </w:rPr>
        <w:t>资格条件承诺函</w:t>
      </w:r>
    </w:p>
    <w:p>
      <w:pPr>
        <w:pStyle w:val="null3"/>
        <w:ind w:firstLine="480"/>
      </w:pPr>
      <w:r>
        <w:rPr>
          <w:sz w:val="24"/>
        </w:rPr>
        <w:t>我方</w:t>
      </w:r>
      <w:r>
        <w:rPr>
          <w:sz w:val="24"/>
          <w:u w:val="single"/>
        </w:rPr>
        <w:t xml:space="preserve"> </w:t>
      </w:r>
      <w:r>
        <w:rPr>
          <w:sz w:val="24"/>
          <w:u w:val="single"/>
        </w:rPr>
        <w:t>（供应商名称）</w:t>
      </w:r>
      <w:r>
        <w:rPr>
          <w:sz w:val="24"/>
        </w:rPr>
        <w:t>符合《中华人民共和国政府采购法》第二十二条第一款第（二）项、</w:t>
      </w:r>
      <w:r>
        <w:rPr>
          <w:sz w:val="24"/>
        </w:rPr>
        <w:t>第（三）项、第（四）项、第（五）项规定条件，具体包括：</w:t>
      </w:r>
    </w:p>
    <w:p>
      <w:pPr>
        <w:pStyle w:val="null3"/>
        <w:ind w:firstLine="480"/>
      </w:pPr>
      <w:r>
        <w:rPr>
          <w:sz w:val="24"/>
        </w:rPr>
        <w:t>1.具有良好的商业信誉和健全的财务会计制度；</w:t>
      </w:r>
    </w:p>
    <w:p>
      <w:pPr>
        <w:pStyle w:val="null3"/>
        <w:ind w:firstLine="480"/>
      </w:pPr>
      <w:r>
        <w:rPr>
          <w:sz w:val="24"/>
        </w:rPr>
        <w:t>2.具有履行合同所必需的设备和专业技术能力；</w:t>
      </w:r>
    </w:p>
    <w:p>
      <w:pPr>
        <w:pStyle w:val="null3"/>
        <w:ind w:firstLine="480"/>
      </w:pPr>
      <w:r>
        <w:rPr>
          <w:sz w:val="24"/>
        </w:rPr>
        <w:t>3.具有依法缴纳税收和社会保障资金的良好记录；</w:t>
      </w:r>
    </w:p>
    <w:p>
      <w:pPr>
        <w:pStyle w:val="null3"/>
        <w:ind w:firstLine="480"/>
      </w:pPr>
      <w:r>
        <w:rPr>
          <w:sz w:val="24"/>
        </w:rPr>
        <w:t>4.参加政府采购活动前三年内，在经营活动中没有重大违法记录。</w:t>
      </w:r>
    </w:p>
    <w:p>
      <w:pPr>
        <w:pStyle w:val="null3"/>
        <w:ind w:firstLine="480"/>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p>
    <w:p>
      <w:pPr>
        <w:pStyle w:val="null3"/>
        <w:jc w:val="center"/>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采购包1（韶关市公安局2024年高速公路服务区出入卡口补点建设项目）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自合同签订之日起60个日历日内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1期：支付比例30%,合同签订后，中标供应商提交请款申请文件和有效发票后10个工作日内，采购人预付合同总额的30%作为预付款项；</w:t>
            </w:r>
          </w:p>
          <w:p>
            <w:pPr>
              <w:pStyle w:val="null3"/>
            </w:pPr>
            <w:r>
              <w:rPr/>
              <w:t>2期：支付比例50%,中标供应商收到采购人送货或安装通知，采购人的全部货物到货且安装完成，中标供应商提交货物交付凭证、请款申请文件和有效发票后10个工作日内，采购人向中标供应商支付合同总额的50%；</w:t>
            </w:r>
          </w:p>
          <w:p>
            <w:pPr>
              <w:pStyle w:val="null3"/>
            </w:pPr>
            <w:r>
              <w:rPr/>
              <w:t>3期：支付比例20%,货物验收合格，中标供应商提交验收报告、请款申请文件和有效发票后10个工作日内，采购人向中标供应商支付合同总额的20%。 备注：本项目的每笔款项以人民币方式支付，中标供应商凭以下资料办理支付手续：（1）合同；（2） 验收合格报告（加盖采购人公章，预付款除外）；（3）中标供应商开具的正式发票；（4）因采购人使用的是财政资金，采购人在前款规定的付款时间为向政府采购支付部门提出办理财政支付申请手续的时间（不含政府财政支付部门审核的时间），在规定时间内提出支付申请手续后即视为采购人已经按期支付；（5）项目发生合同融资（指引详见《韶关市财政局 韶关市金融工作局 中国人民银行韶关市中心支行关于开展市级政府采购合同融资工作的通知》（韶财采购〔2021〕2号）、《广东省财政厅 中共广东省委金融委员会办公室 中国人民银行广东省分行关于进一步推广政府采购金融服务助力中小企业发展的通知》（粤财采购〔2024〕10号）），采购人应当将合同款项支付到合同约定收款账户。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通过边界接入平台安全测评后，采购人应在收到中标供应商项目验收申请之日起7日内按照合同约定组织验收。中标供应商需为验收提供必需的一切条件及相关费用，并提供本项目的相关文档和验收所需资料，积极配合采购人完成验收工作。 2、交付验收：在设备安装调试完毕、初步验收合格后5个工作日内，中标供应商以采购人的名义作为终端客户，负责办理所有产品设备(包括保修卡)的一切保修注册备案手续，然后由双方或法定专业质检部门共同验收并出具验收确认书，验收交付前的保管安全责任由中标供应商负责，采购人为此可无偿提供必要的临时仓储场所。 3、项目验收依次序对照执行标准为： （1）符合中华人民共和国国家和履约地相关安全质量标准、行业技术规范标准、环保节能标准； （2）符合采购文件和响应承诺中各方共同认可的合理最佳配置、参数规格及各项要求； （3）符合产品来源国官方颁布的最新标准； （4）双方约定的其他验收标准。 4、产品均为原厂制造的全新合格产品，且有合法透明的来源渠道，整机无污染、无侵权行为、表面无划损、无任何缺陷隐患，可依常规合法安全使用。 5、包装标准为原厂制造商未启封全新包装，序列号、包装箱号与出厂批号一致，并可追索查阅。 6、验收内容。按照合同规定的技术、服务、安全标准组织对中标供应商履约情况进行验收，并出具验收报告。验收报告应当包括每一项技术、服务、安全标准的履约情况。 7、验收结果。以书面形式作出结论性意见（验收报告），由验收小组成员签字及供应商授权代表签字盖章后，报告采购人。分段、分项或分期验收的，应当根据采购合同和项目特点进行分段验收并出具分段验收意见。</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投标报价</w:t>
            </w:r>
          </w:p>
        </w:tc>
        <w:tc>
          <w:tcPr>
            <w:tcW w:type="dxa" w:w="2076"/>
          </w:tcPr>
          <w:p>
            <w:pPr>
              <w:pStyle w:val="null3"/>
              <w:jc w:val="left"/>
            </w:pPr>
            <w:r>
              <w:rPr/>
              <w:t>1、报价中包含货物及零配件的运输费、装卸费、保险费、安装费、调试费、材料费、技术服务费、材料检测费、培训费、保修费、税费、合理利润、风险费用及合同签订过程中可预见和不可预见费用。 2、投标人必须自行考虑本项目在实施期间的一切可能产生的费用。在合同执行过程中，采购人将不再另行支付与本项目相关的任何费用（非本项目要求的其它内容除外）。</w:t>
            </w:r>
          </w:p>
        </w:tc>
      </w:tr>
      <w:tr>
        <w:tc>
          <w:tcPr>
            <w:tcW w:type="dxa" w:w="2076"/>
          </w:tcPr>
          <w:p/>
        </w:tc>
        <w:tc>
          <w:tcPr>
            <w:tcW w:type="dxa" w:w="2076"/>
          </w:tcPr>
          <w:p>
            <w:pPr>
              <w:pStyle w:val="null3"/>
              <w:jc w:val="center"/>
            </w:pPr>
            <w:r>
              <w:rPr/>
              <w:t>2</w:t>
            </w:r>
          </w:p>
        </w:tc>
        <w:tc>
          <w:tcPr>
            <w:tcW w:type="dxa" w:w="2076"/>
          </w:tcPr>
          <w:p>
            <w:pPr>
              <w:pStyle w:val="null3"/>
              <w:jc w:val="left"/>
            </w:pPr>
            <w:r>
              <w:rPr/>
              <w:t>强制节能产品要求</w:t>
            </w:r>
          </w:p>
        </w:tc>
        <w:tc>
          <w:tcPr>
            <w:tcW w:type="dxa" w:w="2076"/>
          </w:tcPr>
          <w:p>
            <w:pPr>
              <w:pStyle w:val="null3"/>
              <w:jc w:val="left"/>
            </w:pPr>
            <w:r>
              <w:rPr/>
              <w:t>投标（响应）方案中所提供的产品属于节能产品政府采购品目清单范围内强制采购的，须提供依据国家确定的认证机构出具的、处于有效期之内的节能产品认证证书。</w:t>
            </w:r>
          </w:p>
        </w:tc>
      </w:tr>
      <w:tr>
        <w:tc>
          <w:tcPr>
            <w:tcW w:type="dxa" w:w="2076"/>
          </w:tcPr>
          <w:p/>
        </w:tc>
        <w:tc>
          <w:tcPr>
            <w:tcW w:type="dxa" w:w="2076"/>
          </w:tcPr>
          <w:p>
            <w:pPr>
              <w:pStyle w:val="null3"/>
              <w:jc w:val="center"/>
            </w:pPr>
            <w:r>
              <w:rPr/>
              <w:t>3</w:t>
            </w:r>
          </w:p>
        </w:tc>
        <w:tc>
          <w:tcPr>
            <w:tcW w:type="dxa" w:w="2076"/>
          </w:tcPr>
          <w:p>
            <w:pPr>
              <w:pStyle w:val="null3"/>
              <w:jc w:val="left"/>
            </w:pPr>
            <w:r>
              <w:rPr/>
              <w:t>节能产品、环境标志产品要求</w:t>
            </w:r>
          </w:p>
        </w:tc>
        <w:tc>
          <w:tcPr>
            <w:tcW w:type="dxa" w:w="2076"/>
          </w:tcPr>
          <w:p>
            <w:pPr>
              <w:pStyle w:val="null3"/>
              <w:jc w:val="left"/>
            </w:pPr>
            <w:r>
              <w:rPr/>
              <w:t>投标（响应）方案中所提供的产品属于节能产品、环境标志产品品目清单范围内优先采购的，需提供依据国家确定的认证机构出具的、处于有效期之内的节能产品、环境标志产品认证证书。</w:t>
            </w:r>
          </w:p>
        </w:tc>
      </w:tr>
      <w:tr>
        <w:tc>
          <w:tcPr>
            <w:tcW w:type="dxa" w:w="2076"/>
          </w:tcPr>
          <w:p/>
        </w:tc>
        <w:tc>
          <w:tcPr>
            <w:tcW w:type="dxa" w:w="2076"/>
          </w:tcPr>
          <w:p>
            <w:pPr>
              <w:pStyle w:val="null3"/>
              <w:jc w:val="center"/>
            </w:pPr>
            <w:r>
              <w:rPr/>
              <w:t>4</w:t>
            </w:r>
          </w:p>
        </w:tc>
        <w:tc>
          <w:tcPr>
            <w:tcW w:type="dxa" w:w="2076"/>
          </w:tcPr>
          <w:p>
            <w:pPr>
              <w:pStyle w:val="null3"/>
              <w:jc w:val="left"/>
            </w:pPr>
            <w:r>
              <w:rPr/>
              <w:t>包装、运输</w:t>
            </w:r>
          </w:p>
        </w:tc>
        <w:tc>
          <w:tcPr>
            <w:tcW w:type="dxa" w:w="2076"/>
          </w:tcPr>
          <w:p>
            <w:pPr>
              <w:pStyle w:val="null3"/>
              <w:jc w:val="left"/>
            </w:pPr>
            <w:r>
              <w:rPr/>
              <w:t>1、中标供应商所供货物必须为制造商原厂包装，包装质量符合国家相关标准。货物要求有包装材料保护运至现场，因包装不良造成的损失由中标供应商负责。 2、中标供应商负责将货物、材料送到安装地点过程中的全部运输，包括但不限于货物、材料的装卸车现场的搬运。 3、各种设备，必须提供装箱清单，按装箱清单验收货物。</w:t>
            </w:r>
          </w:p>
        </w:tc>
      </w:tr>
      <w:tr>
        <w:tc>
          <w:tcPr>
            <w:tcW w:type="dxa" w:w="2076"/>
          </w:tcPr>
          <w:p/>
        </w:tc>
        <w:tc>
          <w:tcPr>
            <w:tcW w:type="dxa" w:w="2076"/>
          </w:tcPr>
          <w:p>
            <w:pPr>
              <w:pStyle w:val="null3"/>
              <w:jc w:val="center"/>
            </w:pPr>
            <w:r>
              <w:rPr/>
              <w:t>5</w:t>
            </w:r>
          </w:p>
        </w:tc>
        <w:tc>
          <w:tcPr>
            <w:tcW w:type="dxa" w:w="2076"/>
          </w:tcPr>
          <w:p>
            <w:pPr>
              <w:pStyle w:val="null3"/>
              <w:jc w:val="left"/>
            </w:pPr>
            <w:r>
              <w:rPr/>
              <w:t>安装调试</w:t>
            </w:r>
          </w:p>
        </w:tc>
        <w:tc>
          <w:tcPr>
            <w:tcW w:type="dxa" w:w="2076"/>
          </w:tcPr>
          <w:p>
            <w:pPr>
              <w:pStyle w:val="null3"/>
              <w:jc w:val="left"/>
            </w:pPr>
            <w:r>
              <w:rPr/>
              <w:t>1、中标供应商负责到采购人指定的安装地点进行安装调试。 2、中标供应商必须提供设备安装、集成及调测服务，并确保调试完成后，设备能够正常运行，达到采购人可正常使用状态。 3、安装所需工具设施物料由中标供应商自备、自费运到现场，完工后自费搬走。 4、设备、材料的拆箱、安装、通电、调试等工作由中标供应商负责，但若采购人有特定要求需要参与的，则须在采购人指定人员的参与下进行。 5、中标供应商必须充分考虑现场的安装难度及安全性，需按照高速公路运营方的安全防护要求进行，做好施工现场的安全防护、文明施工工作。安装过程中发生的一切责任及费用由中标供应商负责，如对其他物品或结构造成损坏必须照价赔偿。</w:t>
            </w:r>
          </w:p>
        </w:tc>
      </w:tr>
      <w:tr>
        <w:tc>
          <w:tcPr>
            <w:tcW w:type="dxa" w:w="2076"/>
          </w:tcP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1、质量保证期为1年（简称“质保期”），质保期内中标供应商对所供货物实行包修、包换、包退、包维护保养，期满后可同时提供终身有偿维修保养服务。质保期内采购人对中标（成交）供应商享有追索权。 2、质保期内，如设备或零部件非人为因素出现故障而造成短期停用时，则质保期和免费维修期相应顺延。如货物因自身故障致停用时间累计超过1天时，则质保期在状态恢复正常时归零重新计算或对故障设备予以重新更换。</w:t>
            </w:r>
          </w:p>
        </w:tc>
      </w:tr>
      <w:tr>
        <w:tc>
          <w:tcPr>
            <w:tcW w:type="dxa" w:w="2076"/>
          </w:tcPr>
          <w:p/>
        </w:tc>
        <w:tc>
          <w:tcPr>
            <w:tcW w:type="dxa" w:w="2076"/>
          </w:tcPr>
          <w:p>
            <w:pPr>
              <w:pStyle w:val="null3"/>
              <w:jc w:val="center"/>
            </w:pPr>
            <w:r>
              <w:rPr/>
              <w:t>7</w:t>
            </w:r>
          </w:p>
        </w:tc>
        <w:tc>
          <w:tcPr>
            <w:tcW w:type="dxa" w:w="2076"/>
          </w:tcPr>
          <w:p>
            <w:pPr>
              <w:pStyle w:val="null3"/>
              <w:jc w:val="left"/>
            </w:pPr>
            <w:r>
              <w:rPr/>
              <w:t>售后及应急服务要求</w:t>
            </w:r>
          </w:p>
        </w:tc>
        <w:tc>
          <w:tcPr>
            <w:tcW w:type="dxa" w:w="2076"/>
          </w:tcPr>
          <w:p>
            <w:pPr>
              <w:pStyle w:val="null3"/>
              <w:jc w:val="left"/>
            </w:pPr>
            <w:r>
              <w:rPr/>
              <w:t>1、设备出现不能明确的故障时，中标供应商接采购人通知后1小时内响应，4小时内有明确的解决方案。若故障不能通过电话解决的，在24小时内有专人到达现场处理。 2、中标供应商负责向采购人提供现场安全操作及必要的维护保养培训。 3、中标供应商设有长期稳定可靠的售后服务机构，并提供常设服务专线和长期的免费技术支持。 4、若主要设备的故障在24小时内仍未处理完毕，中标供应商必须免费提供不低于设备规格型号档次的设备予采购人临时使用或采取应急措施解决，不得影响采购人的正常工作业务，设备维修完毕正常运作后，中标供应商须填写维修报告（包括故障原因、处理情况及用户意见等）报采购人备案，其中产生的费用均由中标供应商承担。</w:t>
            </w:r>
          </w:p>
        </w:tc>
      </w:tr>
      <w:tr>
        <w:tc>
          <w:tcPr>
            <w:tcW w:type="dxa" w:w="2076"/>
          </w:tcPr>
          <w:p/>
        </w:tc>
        <w:tc>
          <w:tcPr>
            <w:tcW w:type="dxa" w:w="2076"/>
          </w:tcPr>
          <w:p>
            <w:pPr>
              <w:pStyle w:val="null3"/>
              <w:jc w:val="center"/>
            </w:pPr>
            <w:r>
              <w:rPr/>
              <w:t>8</w:t>
            </w:r>
          </w:p>
        </w:tc>
        <w:tc>
          <w:tcPr>
            <w:tcW w:type="dxa" w:w="2076"/>
          </w:tcPr>
          <w:p>
            <w:pPr>
              <w:pStyle w:val="null3"/>
              <w:jc w:val="left"/>
            </w:pPr>
            <w:r>
              <w:rPr/>
              <w:t>知识产权要求</w:t>
            </w:r>
          </w:p>
        </w:tc>
        <w:tc>
          <w:tcPr>
            <w:tcW w:type="dxa" w:w="2076"/>
          </w:tcPr>
          <w:p>
            <w:pPr>
              <w:pStyle w:val="null3"/>
              <w:jc w:val="left"/>
            </w:pPr>
            <w:r>
              <w:rPr/>
              <w:t>中标供应商必须保证，采购人在中华人民共和国境内使用投标货物、资料、技术、服务或其任何一部分时，享有不受限制的无偿使用权，不会产生因第三方提出侵犯其专利权、商标权或其它知识产权而引起的法律或经济纠纷。如中标供应商不拥有相应的知识产权，则在投标报价中必须包括合法获取该知识产权的一切相关费用。否则，中标供应商须承担由此而引起的一切责任和费用。</w:t>
            </w:r>
          </w:p>
        </w:tc>
      </w:tr>
      <w:tr>
        <w:tc>
          <w:tcPr>
            <w:tcW w:type="dxa" w:w="2076"/>
          </w:tcPr>
          <w:p/>
        </w:tc>
        <w:tc>
          <w:tcPr>
            <w:tcW w:type="dxa" w:w="2076"/>
          </w:tcPr>
          <w:p>
            <w:pPr>
              <w:pStyle w:val="null3"/>
              <w:jc w:val="center"/>
            </w:pPr>
            <w:r>
              <w:rPr/>
              <w:t>9</w:t>
            </w:r>
          </w:p>
        </w:tc>
        <w:tc>
          <w:tcPr>
            <w:tcW w:type="dxa" w:w="2076"/>
          </w:tcPr>
          <w:p>
            <w:pPr>
              <w:pStyle w:val="null3"/>
              <w:jc w:val="left"/>
            </w:pPr>
            <w:r>
              <w:rPr/>
              <w:t>保密要求</w:t>
            </w:r>
          </w:p>
        </w:tc>
        <w:tc>
          <w:tcPr>
            <w:tcW w:type="dxa" w:w="2076"/>
          </w:tcPr>
          <w:p>
            <w:pPr>
              <w:pStyle w:val="null3"/>
              <w:jc w:val="left"/>
            </w:pPr>
            <w:r>
              <w:rPr/>
              <w:t>1、中标供应商按照采购人要求采取严格的保密措施，严格限定中标供应商内部知悉人员的范围，确保采购人保密信息不泄漏。 2、本项目所称的采购人保密信息是指涉及采购人的所有未正式公开的信息、资料和物品。 3、中标供应商应与本项目有关人员签订保密承诺书，定期组织人员开展保密教育培训。同时加强项目有关人员的保密安全管理，定期开展岗位保密审查，及时掌握其现实表现和思想动态，定期向采购人汇报执行情况，并接受采购人监督，相关记录材料向采购人备案。 4、中标供应商需配合采购人对项目有关人员进行安全审查，未通过审查的人员，不得参与相关工作。 5、采购人有权对中标供应商的保密条件进行严格审查，确保其能够进行有效的保密安全管理，中标供应商应积极配合。</w:t>
            </w:r>
          </w:p>
        </w:tc>
      </w:tr>
      <w:tr>
        <w:tc>
          <w:tcPr>
            <w:tcW w:type="dxa" w:w="2076"/>
          </w:tcPr>
          <w:p/>
        </w:tc>
        <w:tc>
          <w:tcPr>
            <w:tcW w:type="dxa" w:w="2076"/>
          </w:tcPr>
          <w:p>
            <w:pPr>
              <w:pStyle w:val="null3"/>
              <w:jc w:val="center"/>
            </w:pPr>
            <w:r>
              <w:rPr/>
              <w:t>10</w:t>
            </w:r>
          </w:p>
        </w:tc>
        <w:tc>
          <w:tcPr>
            <w:tcW w:type="dxa" w:w="2076"/>
          </w:tcPr>
          <w:p>
            <w:pPr>
              <w:pStyle w:val="null3"/>
              <w:jc w:val="left"/>
            </w:pPr>
            <w:r>
              <w:rPr/>
              <w:t>人员配置和管理要求</w:t>
            </w:r>
          </w:p>
        </w:tc>
        <w:tc>
          <w:tcPr>
            <w:tcW w:type="dxa" w:w="2076"/>
          </w:tcPr>
          <w:p>
            <w:pPr>
              <w:pStyle w:val="null3"/>
              <w:jc w:val="left"/>
            </w:pPr>
            <w:r>
              <w:rPr/>
              <w:t>1、为确保项目实施效果，中标供应商应保证服务团队的稳定性，提供符合采购人需求的服务团队，对采购人提出不满足岗位要求的团队成员，中标供应商应及时进行调整更换，直至达到岗位要求； 2、中标供应商如需调整或更换团队成员，应提前1个月书面通知和征求采购人意见及建议，在采购人同意的情况下进行适当调整和更换，更换成员不得低于采购文件、投标（响应）文件和合同约定的服务要求。 3、项目经理需具备信息系统项目管理、网络规划、安防系统管理等相关能力。 4、技术团队人员具备智能建筑弱电工程师、网络工程师、信息系统管理工程师、安全防范系统安装维护员、电工等相关人员； ★5、中标供应商的高空作业人员必须具备高空(高处)作业证(提供承诺函)。</w:t>
            </w:r>
          </w:p>
        </w:tc>
      </w:tr>
      <w:tr>
        <w:tc>
          <w:tcPr>
            <w:tcW w:type="dxa" w:w="2076"/>
          </w:tcPr>
          <w:p/>
        </w:tc>
        <w:tc>
          <w:tcPr>
            <w:tcW w:type="dxa" w:w="2076"/>
          </w:tcPr>
          <w:p>
            <w:pPr>
              <w:pStyle w:val="null3"/>
              <w:jc w:val="center"/>
            </w:pPr>
            <w:r>
              <w:rPr/>
              <w:t>11</w:t>
            </w:r>
          </w:p>
        </w:tc>
        <w:tc>
          <w:tcPr>
            <w:tcW w:type="dxa" w:w="2076"/>
          </w:tcPr>
          <w:p>
            <w:pPr>
              <w:pStyle w:val="null3"/>
              <w:jc w:val="left"/>
            </w:pPr>
            <w:r>
              <w:rPr/>
              <w:t>培训要求</w:t>
            </w:r>
          </w:p>
        </w:tc>
        <w:tc>
          <w:tcPr>
            <w:tcW w:type="dxa" w:w="2076"/>
          </w:tcPr>
          <w:p>
            <w:pPr>
              <w:pStyle w:val="null3"/>
              <w:jc w:val="left"/>
            </w:pPr>
            <w:r>
              <w:rPr/>
              <w:t>中标供应商需免费提供现场培训课程及相关技术资料。培训内容应包括技术原理、操作、日常基本维护与保养，使参加培训的人员能独立使用，能独立处理常见性故障以及进行日常的维护保养。</w:t>
            </w:r>
          </w:p>
        </w:tc>
      </w:tr>
      <w:tr>
        <w:tc>
          <w:tcPr>
            <w:tcW w:type="dxa" w:w="2076"/>
          </w:tcPr>
          <w:p/>
        </w:tc>
        <w:tc>
          <w:tcPr>
            <w:tcW w:type="dxa" w:w="2076"/>
          </w:tcPr>
          <w:p>
            <w:pPr>
              <w:pStyle w:val="null3"/>
              <w:jc w:val="center"/>
            </w:pPr>
            <w:r>
              <w:rPr/>
              <w:t>12</w:t>
            </w:r>
          </w:p>
        </w:tc>
        <w:tc>
          <w:tcPr>
            <w:tcW w:type="dxa" w:w="2076"/>
          </w:tcPr>
          <w:p>
            <w:pPr>
              <w:pStyle w:val="null3"/>
              <w:jc w:val="left"/>
            </w:pPr>
            <w:r>
              <w:rPr/>
              <w:t>其他服务要求</w:t>
            </w:r>
          </w:p>
        </w:tc>
        <w:tc>
          <w:tcPr>
            <w:tcW w:type="dxa" w:w="2076"/>
          </w:tcPr>
          <w:p>
            <w:pPr>
              <w:pStyle w:val="null3"/>
              <w:jc w:val="left"/>
            </w:pPr>
            <w:r>
              <w:rPr/>
              <w:t>1、具备本项目的承接能力，有类似项目服务经验； 2、管理体系：中标供应商要做好质量管理保证、环境管理影响、售后服务等内控管理，以确保项目在服务品质等方面管理的规范性。 3、具备优秀技术服务水平，本项目需求理解准确，对系统结构及功能制定相应措施。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安全、检查、监视、报警设备</w:t>
            </w:r>
          </w:p>
        </w:tc>
        <w:tc>
          <w:tcPr>
            <w:tcW w:type="dxa" w:w="831"/>
          </w:tcPr>
          <w:p>
            <w:pPr>
              <w:pStyle w:val="null3"/>
              <w:jc w:val="left"/>
            </w:pPr>
            <w:r>
              <w:rPr/>
              <w:t>韶关市公安局2024年高速公路服务区出入卡口补点建设项目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3,078,358.62</w:t>
            </w:r>
          </w:p>
        </w:tc>
        <w:tc>
          <w:tcPr>
            <w:tcW w:type="dxa" w:w="831"/>
          </w:tcPr>
          <w:p>
            <w:pPr>
              <w:pStyle w:val="null3"/>
              <w:jc w:val="right"/>
            </w:pPr>
            <w:r>
              <w:rPr/>
              <w:t>3,078,358.62</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韶关市公安局2024年高速公路服务区出入卡口补点建设项目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一、采购项目清单</w:t>
            </w:r>
          </w:p>
          <w:tbl>
            <w:tblPr>
              <w:tblInd w:type="dxa" w:w="120"/>
              <w:tblBorders>
                <w:top w:val="none" w:color="000000" w:sz="4"/>
                <w:left w:val="none" w:color="000000" w:sz="4"/>
                <w:bottom w:val="none" w:color="000000" w:sz="4"/>
                <w:right w:val="none" w:color="000000" w:sz="4"/>
                <w:insideH w:val="none"/>
                <w:insideV w:val="none"/>
              </w:tblBorders>
            </w:tblPr>
            <w:tblGrid>
              <w:gridCol w:w="512"/>
              <w:gridCol w:w="1014"/>
              <w:gridCol w:w="2905"/>
              <w:gridCol w:w="566"/>
              <w:gridCol w:w="576"/>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设备名称</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w:t>
                  </w:r>
                  <w:r>
                    <w:rPr>
                      <w:sz w:val="24"/>
                      <w:b/>
                    </w:rPr>
                    <w:t>要求</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一、</w:t>
                  </w:r>
                  <w:r>
                    <w:rPr>
                      <w:sz w:val="24"/>
                      <w:b/>
                    </w:rPr>
                    <w:t>借用服务区现有杆件卡口点位建设</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1.1前端设备</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卡口抓拍单元</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像素：</w:t>
                  </w:r>
                  <w:r>
                    <w:rPr>
                      <w:sz w:val="24"/>
                    </w:rPr>
                    <w:t>≥900万像素，分辨率：≥4096（H）×2160（V），帧率：≥25fps，支持机动车、非机动车、行人抓拍；支持超速、压线、逆行、禁止大货车等违法行为检测抓拍；支持车牌识别、车型识别、车身颜色识别、车辆品牌等特征检测。</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多合一补光灯</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最佳拍摄距离：</w:t>
                  </w:r>
                  <w:r>
                    <w:rPr>
                      <w:sz w:val="24"/>
                    </w:rPr>
                    <w:t>18～28m，闪光寿命：1000万次以上，白天和夜晚用光转换（白光和红外），可看清前排司乘人员面部特征，支持连闪，闪间隔≤</w:t>
                  </w:r>
                  <w:r>
                    <w:rPr>
                      <w:sz w:val="24"/>
                    </w:rPr>
                    <w:t>70</w:t>
                  </w:r>
                  <w:r>
                    <w:rPr>
                      <w:sz w:val="24"/>
                    </w:rPr>
                    <w:t>ms。</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全景球型摄像机</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传感器：</w:t>
                  </w:r>
                  <w:r>
                    <w:rPr>
                      <w:sz w:val="24"/>
                    </w:rPr>
                    <w:t>≥</w:t>
                  </w:r>
                  <w:r>
                    <w:rPr>
                      <w:sz w:val="24"/>
                    </w:rPr>
                    <w:t>1/</w:t>
                  </w:r>
                  <w:r>
                    <w:rPr>
                      <w:sz w:val="24"/>
                    </w:rPr>
                    <w:t>2</w:t>
                  </w:r>
                  <w:r>
                    <w:rPr>
                      <w:sz w:val="24"/>
                    </w:rPr>
                    <w:t>.8英寸CMOS；≥400万像素 ；≥23倍光学变倍；最大分辨率 ≥2560×1440；电子快门 1/1s～1/30000s；最低照度 彩色：0</w:t>
                  </w:r>
                  <w:r>
                    <w:rPr>
                      <w:sz w:val="24"/>
                    </w:rPr>
                    <w:t>.00</w:t>
                  </w:r>
                  <w:r>
                    <w:rPr>
                      <w:sz w:val="24"/>
                    </w:rPr>
                    <w:t>5lux@F1.6 黑白：0</w:t>
                  </w:r>
                  <w:r>
                    <w:rPr>
                      <w:sz w:val="24"/>
                    </w:rPr>
                    <w:t>.000</w:t>
                  </w:r>
                  <w:r>
                    <w:rPr>
                      <w:sz w:val="24"/>
                    </w:rPr>
                    <w:t>5lux@F1.6 （红外灯开启）；最大补光距离≥2</w:t>
                  </w:r>
                  <w:r>
                    <w:rPr>
                      <w:sz w:val="24"/>
                    </w:rPr>
                    <w:t>0</w:t>
                  </w:r>
                  <w:r>
                    <w:rPr>
                      <w:sz w:val="24"/>
                    </w:rPr>
                    <w:t>0m（红外）。</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前端管理终端</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嵌入式操作系统，至少内置</w:t>
                  </w:r>
                  <w:r>
                    <w:rPr>
                      <w:sz w:val="24"/>
                    </w:rPr>
                    <w:t>1块2T硬盘；标配双网卡，至少具备8个100M以太网接口及2个1000M以太网接口、2个1000M SFP光纤接口。</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挂杆标志牌</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尺寸</w:t>
                  </w:r>
                  <w:r>
                    <w:rPr>
                      <w:sz w:val="24"/>
                    </w:rPr>
                    <w:t>800mm宽×1000mm长（±1%）。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抱杆设备箱</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室外设备箱，具有防雨、防尘、防高温等功能</w:t>
                  </w:r>
                  <w:r>
                    <w:rPr>
                      <w:sz w:val="24"/>
                    </w:rPr>
                    <w:t>,500×600×300mm（±1%）。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网线</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超五类非屏蔽双绞线。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杆上电源线</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RVV3×1.5。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主电路</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主电源线，</w:t>
                  </w:r>
                  <w:r>
                    <w:rPr>
                      <w:sz w:val="24"/>
                    </w:rPr>
                    <w:t>YJV-22-3×4mm²。</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2,706</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电表</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单相</w:t>
                  </w:r>
                  <w:r>
                    <w:rPr>
                      <w:sz w:val="24"/>
                    </w:rPr>
                    <w:t>40A电表，额定电压220V 50HZ，极限工作温度-10～55°c，导轨式安装。</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PVC管</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Φ32。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2,668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辅材配件</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包含水晶头、胶布、直通、弯头、固定件、五金配件、扎带、标识等。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1.2链路租赁及电费</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电费</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按年计费，设备用电，一年。</w:t>
                  </w:r>
                  <w:r>
                    <w:rPr>
                      <w:sz w:val="24"/>
                    </w:rPr>
                    <w:t>每套卡口抓拍设备功耗估算一年约</w:t>
                  </w:r>
                  <w:r>
                    <w:rPr>
                      <w:sz w:val="24"/>
                    </w:rPr>
                    <w:t>1200度电。</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传输网络</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单路</w:t>
                  </w:r>
                  <w:r>
                    <w:rPr>
                      <w:sz w:val="24"/>
                    </w:rPr>
                    <w:t>传输网络</w:t>
                  </w:r>
                  <w:r>
                    <w:rPr>
                      <w:sz w:val="24"/>
                    </w:rPr>
                    <w:t>带宽不低于</w:t>
                  </w:r>
                  <w:r>
                    <w:rPr>
                      <w:sz w:val="24"/>
                    </w:rPr>
                    <w:t>500M</w:t>
                  </w:r>
                  <w:r>
                    <w:rPr>
                      <w:sz w:val="24"/>
                    </w:rPr>
                    <w:t>，</w:t>
                  </w:r>
                  <w:r>
                    <w:rPr>
                      <w:sz w:val="24"/>
                    </w:rPr>
                    <w:t>租期</w:t>
                  </w:r>
                  <w:r>
                    <w:rPr>
                      <w:sz w:val="24"/>
                    </w:rPr>
                    <w:t>一年。</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1.3施工及安装调试</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施工</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主电路开挖</w:t>
                  </w:r>
                  <w:r>
                    <w:rPr>
                      <w:sz w:val="24"/>
                    </w:rPr>
                    <w:t>。</w:t>
                  </w:r>
                  <w:r>
                    <w:rPr>
                      <w:sz w:val="24"/>
                    </w:rPr>
                    <w:t>取电布线混凝土路面开挖、恢复，</w:t>
                  </w:r>
                  <w:r>
                    <w:rPr>
                      <w:sz w:val="24"/>
                    </w:rPr>
                    <w:t>0.4×0.7m，含手井</w:t>
                  </w:r>
                  <w:r>
                    <w:rPr>
                      <w:sz w:val="24"/>
                    </w:rPr>
                    <w:t>；</w:t>
                  </w:r>
                  <w:r>
                    <w:rPr>
                      <w:sz w:val="24"/>
                    </w:rPr>
                    <w:t>28台班高车安装设备；</w:t>
                  </w:r>
                  <w:r>
                    <w:rPr>
                      <w:sz w:val="24"/>
                    </w:rPr>
                    <w:t>高速施工围蔽</w:t>
                  </w:r>
                  <w:r>
                    <w:rPr>
                      <w:sz w:val="24"/>
                    </w:rPr>
                    <w:t>28个点位</w:t>
                  </w:r>
                  <w:r>
                    <w:rPr>
                      <w:sz w:val="24"/>
                    </w:rPr>
                    <w:t>。按水码围蔽计算，围蔽天数每个点位为</w:t>
                  </w:r>
                  <w:r>
                    <w:rPr>
                      <w:sz w:val="24"/>
                    </w:rPr>
                    <w:t>15天</w:t>
                  </w:r>
                  <w:r>
                    <w:rPr>
                      <w:sz w:val="24"/>
                    </w:rPr>
                    <w:t>。</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2,638</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二、新建杆件卡口点位建设</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2.1前端设备</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卡口抓拍单元</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像素：</w:t>
                  </w:r>
                  <w:r>
                    <w:rPr>
                      <w:sz w:val="24"/>
                    </w:rPr>
                    <w:t>≥900万像素，分辨率：≥4096（H）×2160（V），帧率：≥25fps</w:t>
                  </w:r>
                  <w:r>
                    <w:rPr>
                      <w:sz w:val="24"/>
                    </w:rPr>
                    <w:t>；</w:t>
                  </w:r>
                </w:p>
                <w:p>
                  <w:pPr>
                    <w:pStyle w:val="null3"/>
                    <w:jc w:val="left"/>
                  </w:pPr>
                  <w:r>
                    <w:rPr>
                      <w:sz w:val="24"/>
                    </w:rPr>
                    <w:t>支持机动车、非机动车、行人抓拍；支持超速、压线、逆行、禁止大货车等违法行为检测抓拍；支持车牌识别、车型识别、车身颜色识别、车辆品牌等特征检测。</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多合一补光灯</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最佳拍摄距离：</w:t>
                  </w:r>
                  <w:r>
                    <w:rPr>
                      <w:sz w:val="24"/>
                    </w:rPr>
                    <w:t>18～28m，闪光寿命：1000万次以上，白天和夜晚用光转换（白光和红外），可看清前排司乘人员面部特征，支持连闪，闪间隔≤</w:t>
                  </w:r>
                  <w:r>
                    <w:rPr>
                      <w:sz w:val="24"/>
                    </w:rPr>
                    <w:t>70</w:t>
                  </w:r>
                  <w:r>
                    <w:rPr>
                      <w:sz w:val="24"/>
                    </w:rPr>
                    <w:t>ms。</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全景球型摄像机</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传感器：</w:t>
                  </w:r>
                  <w:r>
                    <w:rPr>
                      <w:sz w:val="24"/>
                    </w:rPr>
                    <w:t>≥</w:t>
                  </w:r>
                  <w:r>
                    <w:rPr>
                      <w:sz w:val="24"/>
                    </w:rPr>
                    <w:t>1/</w:t>
                  </w:r>
                  <w:r>
                    <w:rPr>
                      <w:sz w:val="24"/>
                    </w:rPr>
                    <w:t>2</w:t>
                  </w:r>
                  <w:r>
                    <w:rPr>
                      <w:sz w:val="24"/>
                    </w:rPr>
                    <w:t>.8英寸CMOS；≥400万像素 ；≥23倍光学变倍；最大分辨率 ≥2560×1440；电子快门 1/1s～1/30000s；最低照度 彩色：0</w:t>
                  </w:r>
                  <w:r>
                    <w:rPr>
                      <w:sz w:val="24"/>
                    </w:rPr>
                    <w:t>.00</w:t>
                  </w:r>
                  <w:r>
                    <w:rPr>
                      <w:sz w:val="24"/>
                    </w:rPr>
                    <w:t>5lux@F1.6 黑白：0</w:t>
                  </w:r>
                  <w:r>
                    <w:rPr>
                      <w:sz w:val="24"/>
                    </w:rPr>
                    <w:t>.000</w:t>
                  </w:r>
                  <w:r>
                    <w:rPr>
                      <w:sz w:val="24"/>
                    </w:rPr>
                    <w:t>5lux@F1.6 （红外灯开启）；最大补光距离≥2</w:t>
                  </w:r>
                  <w:r>
                    <w:rPr>
                      <w:sz w:val="24"/>
                    </w:rPr>
                    <w:t>0</w:t>
                  </w:r>
                  <w:r>
                    <w:rPr>
                      <w:sz w:val="24"/>
                    </w:rPr>
                    <w:t>0m（红外）。</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前端管理终端</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标配双网卡，至少具备</w:t>
                  </w:r>
                  <w:r>
                    <w:rPr>
                      <w:sz w:val="24"/>
                    </w:rPr>
                    <w:t>8个100M以太网接口及2个1000M以太网接口、2个1000M SFP光纤接口。</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杆件（含地笼及运输）</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L型杆件，八角，上口径220mm（±1%），下口径280mm（±1%），高6.8m，（±1%）横臂5m（±1%），壁厚6mm（±1%）,地笼8根标准22mm钢筋。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挂杆标志牌</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标志牌</w:t>
                  </w:r>
                  <w:r>
                    <w:rPr>
                      <w:sz w:val="24"/>
                    </w:rPr>
                    <w:t>800mm宽×1000mm长（±1%）。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抱杆设备箱</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室外设备箱，具有防雨、防尘、防高温等功能</w:t>
                  </w:r>
                  <w:r>
                    <w:rPr>
                      <w:sz w:val="24"/>
                    </w:rPr>
                    <w:t>,内含双路220V电源防雷，双路10A空气开关一个，3芯插座一个，抱杆安装；</w:t>
                  </w:r>
                  <w:r>
                    <w:rPr>
                      <w:sz w:val="24"/>
                    </w:rPr>
                    <w:t>尺寸</w:t>
                  </w:r>
                  <w:r>
                    <w:rPr>
                      <w:sz w:val="24"/>
                    </w:rPr>
                    <w:t>500×600×300mm（±1%）。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网线</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超五类非屏蔽双绞线。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杆上电源线</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RVV3×1.5。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主电路</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主电源线，</w:t>
                  </w:r>
                  <w:r>
                    <w:rPr>
                      <w:sz w:val="24"/>
                    </w:rPr>
                    <w:t>YJV-22-3×4mm²。</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1,944</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电表</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单相</w:t>
                  </w:r>
                  <w:r>
                    <w:rPr>
                      <w:sz w:val="24"/>
                    </w:rPr>
                    <w:t>40A电表，额定电压220V 50HZ，极限工作温度-10～55°c，导轨式安装。</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个</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PVC管</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Φ32。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1,918</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防雷接地</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10</w:t>
                  </w:r>
                  <w:r>
                    <w:rPr>
                      <w:sz w:val="24"/>
                    </w:rPr>
                    <w:t>Ω</w:t>
                  </w:r>
                  <w:r>
                    <w:rPr>
                      <w:sz w:val="24"/>
                    </w:rPr>
                    <w:t>以下。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辅材配件</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包含水晶头、胶布、直通、弯头、固定件、五金配件、扎带、标识等。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2.2链路租赁及电费</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电费</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按年计费，设备用电，一年。</w:t>
                  </w:r>
                  <w:r>
                    <w:rPr>
                      <w:sz w:val="24"/>
                    </w:rPr>
                    <w:t>每套卡口抓拍设备功耗估算一年约</w:t>
                  </w:r>
                  <w:r>
                    <w:rPr>
                      <w:sz w:val="24"/>
                    </w:rPr>
                    <w:t>1200度电。</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传输网络</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单路</w:t>
                  </w:r>
                  <w:r>
                    <w:rPr>
                      <w:sz w:val="24"/>
                    </w:rPr>
                    <w:t>传输网络</w:t>
                  </w:r>
                  <w:r>
                    <w:rPr>
                      <w:sz w:val="24"/>
                    </w:rPr>
                    <w:t>带宽不低于</w:t>
                  </w:r>
                  <w:r>
                    <w:rPr>
                      <w:sz w:val="24"/>
                    </w:rPr>
                    <w:t>500M</w:t>
                  </w:r>
                  <w:r>
                    <w:rPr>
                      <w:sz w:val="24"/>
                    </w:rPr>
                    <w:t>，</w:t>
                  </w:r>
                  <w:r>
                    <w:rPr>
                      <w:sz w:val="24"/>
                    </w:rPr>
                    <w:t>租期</w:t>
                  </w:r>
                  <w:r>
                    <w:rPr>
                      <w:sz w:val="24"/>
                    </w:rPr>
                    <w:t>一年</w:t>
                  </w:r>
                  <w:r>
                    <w:rPr>
                      <w:sz w:val="24"/>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2.3施工及安装调试</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施工</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主电路开挖</w:t>
                  </w:r>
                  <w:r>
                    <w:rPr>
                      <w:sz w:val="24"/>
                    </w:rPr>
                    <w:t>.</w:t>
                  </w:r>
                  <w:r>
                    <w:rPr>
                      <w:sz w:val="24"/>
                    </w:rPr>
                    <w:t>取电布线开挖、恢复，</w:t>
                  </w:r>
                  <w:r>
                    <w:rPr>
                      <w:sz w:val="24"/>
                    </w:rPr>
                    <w:t>0.4×0.7m（±1%），含手井</w:t>
                  </w:r>
                  <w:r>
                    <w:rPr>
                      <w:sz w:val="24"/>
                    </w:rPr>
                    <w:t>；</w:t>
                  </w:r>
                  <w:r>
                    <w:rPr>
                      <w:sz w:val="24"/>
                    </w:rPr>
                    <w:t>20台班高车安装设备；吊车20台班吊车安装设备；</w:t>
                  </w:r>
                  <w:r>
                    <w:rPr>
                      <w:sz w:val="24"/>
                    </w:rPr>
                    <w:t>高速施工围蔽</w:t>
                  </w:r>
                  <w:r>
                    <w:rPr>
                      <w:sz w:val="24"/>
                    </w:rPr>
                    <w:t>20个点位</w:t>
                  </w:r>
                  <w:r>
                    <w:rPr>
                      <w:sz w:val="24"/>
                    </w:rPr>
                    <w:t>，</w:t>
                  </w:r>
                  <w:r>
                    <w:rPr>
                      <w:sz w:val="24"/>
                    </w:rPr>
                    <w:t>按水码围蔽计算，围蔽天数每个点位为</w:t>
                  </w:r>
                  <w:r>
                    <w:rPr>
                      <w:sz w:val="24"/>
                    </w:rPr>
                    <w:t>15天</w:t>
                  </w:r>
                  <w:r>
                    <w:rPr>
                      <w:sz w:val="24"/>
                    </w:rPr>
                    <w:t>；</w:t>
                  </w:r>
                  <w:r>
                    <w:rPr>
                      <w:sz w:val="24"/>
                    </w:rPr>
                    <w:t>基础坑开挖及水泥浇灌，装卸及运走土石方</w:t>
                  </w:r>
                  <w:r>
                    <w:rPr>
                      <w:sz w:val="24"/>
                    </w:rPr>
                    <w:t>。</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1,896</w:t>
                  </w:r>
                </w:p>
              </w:tc>
            </w:tr>
            <w:tr>
              <w:tc>
                <w:tcPr>
                  <w:tcW w:type="dxa" w:w="557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三、公安网存储及平台扩容</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存储云</w:t>
                  </w:r>
                  <w:r>
                    <w:rPr>
                      <w:sz w:val="24"/>
                    </w:rPr>
                    <w:t>节</w:t>
                  </w:r>
                  <w:r>
                    <w:rPr>
                      <w:sz w:val="24"/>
                    </w:rPr>
                    <w:t>点系统</w:t>
                  </w:r>
                </w:p>
              </w:tc>
              <w:tc>
                <w:tcPr>
                  <w:tcW w:type="dxa" w:w="29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标准</w:t>
                  </w:r>
                  <w:r>
                    <w:rPr>
                      <w:sz w:val="24"/>
                    </w:rPr>
                    <w:t>8U机架式48盘位；双路64位多核处理器；标配32GB缓存（可扩展256G）；至少48块8T企业级SATA磁盘；至少6个千兆网口；冗余电源；支持网络RAID；内置2块固态图片加速盘。</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台</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云存储管理软件扩容</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视频云存储软件</w:t>
                  </w:r>
                  <w:r>
                    <w:rPr>
                      <w:sz w:val="24"/>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接入授权扩容</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公安视频图像信息应用平台</w:t>
                  </w:r>
                  <w:r>
                    <w:rPr>
                      <w:sz w:val="24"/>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大数据服务扩容</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大数据</w:t>
                  </w:r>
                  <w:r>
                    <w:rPr>
                      <w:sz w:val="24"/>
                    </w:rPr>
                    <w:t>平台</w:t>
                  </w:r>
                  <w:r>
                    <w:rPr>
                      <w:sz w:val="24"/>
                    </w:rPr>
                    <w:t>服务扩容</w:t>
                  </w:r>
                  <w:r>
                    <w:rPr>
                      <w:sz w:val="24"/>
                    </w:rPr>
                    <w:t>接入授权。</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卡口车辆图片识别算法</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算法</w:t>
                  </w:r>
                  <w:r>
                    <w:rPr>
                      <w:sz w:val="24"/>
                    </w:rPr>
                    <w:t>1：100万张/天；算法2：100万张/天；</w:t>
                  </w:r>
                  <w:r>
                    <w:rPr>
                      <w:sz w:val="24"/>
                    </w:rPr>
                    <w:t>要求与原算法兼容。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w:t>
                  </w:r>
                  <w:r>
                    <w:rPr>
                      <w:sz w:val="24"/>
                    </w:rPr>
                    <w:t>/张</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200万</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GPU</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显存</w:t>
                  </w:r>
                  <w:r>
                    <w:rPr>
                      <w:sz w:val="24"/>
                    </w:rPr>
                    <w:t>≥</w:t>
                  </w:r>
                  <w:r>
                    <w:rPr>
                      <w:sz w:val="24"/>
                    </w:rPr>
                    <w:t>16G，GDDR6；位宽</w:t>
                  </w:r>
                  <w:r>
                    <w:rPr>
                      <w:sz w:val="24"/>
                    </w:rPr>
                    <w:t>≥</w:t>
                  </w:r>
                  <w:r>
                    <w:rPr>
                      <w:sz w:val="24"/>
                    </w:rPr>
                    <w:t>256bit；</w:t>
                  </w:r>
                </w:p>
                <w:p>
                  <w:pPr>
                    <w:pStyle w:val="null3"/>
                    <w:jc w:val="left"/>
                  </w:pPr>
                  <w:r>
                    <w:rPr>
                      <w:sz w:val="24"/>
                    </w:rPr>
                    <w:t>带宽</w:t>
                  </w:r>
                  <w:r>
                    <w:rPr>
                      <w:sz w:val="24"/>
                    </w:rPr>
                    <w:t>≥</w:t>
                  </w:r>
                  <w:r>
                    <w:rPr>
                      <w:sz w:val="24"/>
                    </w:rPr>
                    <w:t>320GB/秒。</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容器云管理平台扩容</w:t>
                  </w:r>
                </w:p>
              </w:tc>
              <w:tc>
                <w:tcPr>
                  <w:tcW w:type="dxa" w:w="29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在原有容器云管理平台扩容一张</w:t>
                  </w:r>
                  <w:r>
                    <w:rPr>
                      <w:sz w:val="24"/>
                    </w:rPr>
                    <w:t>GPU授权</w:t>
                  </w:r>
                  <w:r>
                    <w:rPr>
                      <w:sz w:val="24"/>
                    </w:rPr>
                    <w:t>。</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张</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二、采购项目详细技术参数及要求</w:t>
            </w:r>
          </w:p>
          <w:p>
            <w:pPr>
              <w:pStyle w:val="null3"/>
              <w:jc w:val="both"/>
            </w:pPr>
            <w:r>
              <w:rPr>
                <w:sz w:val="24"/>
                <w:b/>
              </w:rPr>
              <w:t>1、卡口抓拍单元</w:t>
            </w:r>
          </w:p>
          <w:p>
            <w:pPr>
              <w:pStyle w:val="null3"/>
              <w:jc w:val="both"/>
            </w:pPr>
            <w:r>
              <w:rPr>
                <w:sz w:val="24"/>
              </w:rPr>
              <w:t>1.1 整体组成包含高清智能摄像机、高清镜头、单元防护罩、内置LED补光灯、相机内置网络防雷器、电源适配器等；镜头规格：≥50mm；</w:t>
            </w:r>
          </w:p>
          <w:p>
            <w:pPr>
              <w:pStyle w:val="null3"/>
              <w:jc w:val="both"/>
            </w:pPr>
            <w:r>
              <w:rPr>
                <w:sz w:val="24"/>
              </w:rPr>
              <w:t>▲</w:t>
            </w:r>
            <w:r>
              <w:rPr>
                <w:sz w:val="24"/>
              </w:rPr>
              <w:t>1.2 具有独立三角分光棱镜分光结构装置，分别接收可见光和红外光。同时预览两路传感器视频，对其中一路传感器进行外部遮挡，该路传感器的预览发生对应的遮挡变化，另外一路正常。 黑暗环境下，打开红外爆闪灯进行抓拍，红外路图片爆闪补光光斑明显，可见光路无变化，融合图片具有爆闪补光效果；关闭红外爆闪灯进行抓拍，红外路图片无补光光斑，融合图无爆闪补光效果</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w:t>
            </w:r>
            <w:r>
              <w:rPr>
                <w:sz w:val="24"/>
              </w:rPr>
              <w:t>1.3 抓拍支持输出三张</w:t>
            </w:r>
            <w:r>
              <w:rPr>
                <w:sz w:val="24"/>
              </w:rPr>
              <w:t>或以上</w:t>
            </w:r>
            <w:r>
              <w:rPr>
                <w:sz w:val="24"/>
              </w:rPr>
              <w:t>同时刻同目标图片，包括可见光路图片（全彩），红外路图片（黑白）和融合图片（全彩），三张图片抓拍时间为同一时刻，抓拍运动目标，三张图片中目标位置相同无位移。</w:t>
            </w:r>
            <w:r>
              <w:rPr>
                <w:sz w:val="24"/>
              </w:rPr>
              <w:t>同时预览两路传感器视频，设备场景中放置红外</w:t>
            </w:r>
            <w:r>
              <w:rPr>
                <w:sz w:val="24"/>
              </w:rPr>
              <w:t>LED常亮灯，朝向摄像机镜头，可见光路视频图像中补光灯灯珠完全无光，同时红外路视频图像补光灯可清晰看到灯珠亮光</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1.4 具有融合技术，设备可以采集黑白图像和彩色图像并融合显示，全天候输出彩色图像</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1.5 支持闯禁行记录功能，可对5种普通车型（包括但不限于大货车、中货车、小货车、皮卡车、大客车）及9种特种车型（包括但不限于危化品车辆、普通罐车、渣土车、混凝土搅拌车、工程车、粉粒物料运输车、吸污车、环卫车、冷链车）进行检测、抓拍记录、识别及图片存储</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1.6 目标跟踪功能检查 ：支持检测并跟踪指定区域内不少于240个目标；</w:t>
            </w:r>
          </w:p>
          <w:p>
            <w:pPr>
              <w:pStyle w:val="null3"/>
              <w:jc w:val="both"/>
            </w:pPr>
            <w:r>
              <w:rPr>
                <w:sz w:val="24"/>
              </w:rPr>
              <w:t>1.7 支持识别不少于 39 种车身颜色，包括但不限于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sz w:val="24"/>
              </w:rPr>
              <w:t>1.8 在天气晴朗无雾，车辆无遮挡，号牌无污损白天环境光照度不低于200l</w:t>
            </w:r>
            <w:r>
              <w:rPr>
                <w:sz w:val="24"/>
              </w:rPr>
              <w:t>u</w:t>
            </w:r>
            <w:r>
              <w:rPr>
                <w:sz w:val="24"/>
              </w:rPr>
              <w:t>x，夜晚辅助光照度不高于30l</w:t>
            </w:r>
            <w:r>
              <w:rPr>
                <w:sz w:val="24"/>
              </w:rPr>
              <w:t>u</w:t>
            </w:r>
            <w:r>
              <w:rPr>
                <w:sz w:val="24"/>
              </w:rPr>
              <w:t>x的情况下进行测试；白天车牌号识别准确率≥99%，晚上车牌号识别准确率≥99%；白天车身颜色识别准确率≥98%，晚上车身颜色识别准确率≥98%；白天车辆类型识别准确率≥99%，晚上车辆类型识别准确率≥99%</w:t>
            </w:r>
            <w:r>
              <w:rPr>
                <w:sz w:val="24"/>
              </w:rPr>
              <w:t>。</w:t>
            </w:r>
          </w:p>
          <w:p>
            <w:pPr>
              <w:pStyle w:val="null3"/>
              <w:jc w:val="both"/>
            </w:pPr>
            <w:r>
              <w:rPr>
                <w:sz w:val="24"/>
              </w:rPr>
              <w:t>1.9 支持识别车标类型≥460种；在天气晴朗无雾，车辆无遮挡，白天环境光照度不低于200l</w:t>
            </w:r>
            <w:r>
              <w:rPr>
                <w:sz w:val="24"/>
              </w:rPr>
              <w:t>u</w:t>
            </w:r>
            <w:r>
              <w:rPr>
                <w:sz w:val="24"/>
              </w:rPr>
              <w:t>x，夜晚辅助光照度不高于30l</w:t>
            </w:r>
            <w:r>
              <w:rPr>
                <w:sz w:val="24"/>
              </w:rPr>
              <w:t>u</w:t>
            </w:r>
            <w:r>
              <w:rPr>
                <w:sz w:val="24"/>
              </w:rPr>
              <w:t>x的情况下进行测试；白天车标识别准确率≥99%；晚上车标识别准确率≥99%。</w:t>
            </w:r>
          </w:p>
          <w:p>
            <w:pPr>
              <w:pStyle w:val="null3"/>
              <w:jc w:val="both"/>
            </w:pPr>
            <w:r>
              <w:rPr>
                <w:sz w:val="24"/>
                <w:b/>
              </w:rPr>
              <w:t>2、多合一补光灯</w:t>
            </w:r>
          </w:p>
          <w:p>
            <w:pPr>
              <w:pStyle w:val="null3"/>
              <w:jc w:val="both"/>
            </w:pPr>
            <w:r>
              <w:rPr>
                <w:sz w:val="24"/>
              </w:rPr>
              <w:t>▲</w:t>
            </w:r>
            <w:r>
              <w:rPr>
                <w:sz w:val="24"/>
              </w:rPr>
              <w:t xml:space="preserve">2.1 </w:t>
            </w:r>
            <w:r>
              <w:rPr>
                <w:sz w:val="24"/>
              </w:rPr>
              <w:t>最佳拍摄距离：</w:t>
            </w:r>
            <w:r>
              <w:rPr>
                <w:sz w:val="24"/>
              </w:rPr>
              <w:t>18～28m，闪光寿命：1000万次以上，白天和夜晚用光转换（白光和红外），可看清前排司乘人员面部特征</w:t>
            </w:r>
            <w:r>
              <w:rPr>
                <w:sz w:val="24"/>
              </w:rPr>
              <w:t>；</w:t>
            </w:r>
          </w:p>
          <w:p>
            <w:pPr>
              <w:pStyle w:val="null3"/>
              <w:jc w:val="both"/>
            </w:pPr>
            <w:r>
              <w:rPr>
                <w:sz w:val="24"/>
              </w:rPr>
              <w:t xml:space="preserve">2.2 </w:t>
            </w:r>
            <w:r>
              <w:rPr>
                <w:sz w:val="24"/>
              </w:rPr>
              <w:t>支持连闪，闪间隔</w:t>
            </w:r>
            <w:r>
              <w:rPr>
                <w:sz w:val="24"/>
              </w:rPr>
              <w:t>≤70ms。</w:t>
            </w:r>
          </w:p>
          <w:p>
            <w:pPr>
              <w:pStyle w:val="null3"/>
              <w:jc w:val="both"/>
            </w:pPr>
            <w:r>
              <w:rPr>
                <w:sz w:val="24"/>
                <w:b/>
              </w:rPr>
              <w:t>3、</w:t>
            </w:r>
            <w:r>
              <w:rPr>
                <w:sz w:val="24"/>
                <w:b/>
              </w:rPr>
              <w:t>全景球型摄像机</w:t>
            </w:r>
          </w:p>
          <w:p>
            <w:pPr>
              <w:pStyle w:val="null3"/>
              <w:jc w:val="both"/>
            </w:pPr>
            <w:r>
              <w:rPr>
                <w:sz w:val="24"/>
              </w:rPr>
              <w:t>▲3</w:t>
            </w:r>
            <w:r>
              <w:rPr>
                <w:sz w:val="24"/>
              </w:rPr>
              <w:t>.1 传感器类型：≥1/2.8＂CMOS；最低照度：彩色：≤0</w:t>
            </w:r>
            <w:r>
              <w:rPr>
                <w:sz w:val="24"/>
              </w:rPr>
              <w:t>.00</w:t>
            </w:r>
            <w:r>
              <w:rPr>
                <w:sz w:val="24"/>
              </w:rPr>
              <w:t>5Lux ，黑白：≤0</w:t>
            </w:r>
            <w:r>
              <w:rPr>
                <w:sz w:val="24"/>
              </w:rPr>
              <w:t>.0005</w:t>
            </w:r>
            <w:r>
              <w:rPr>
                <w:sz w:val="24"/>
              </w:rPr>
              <w:t>Lux；焦距：4.8 mm～110 mm，≥23倍光学变倍；分辨率：≥2560 × 1440；补光灯距离：红外：150 m，白光：100 m；</w:t>
            </w:r>
          </w:p>
          <w:p>
            <w:pPr>
              <w:pStyle w:val="null3"/>
              <w:jc w:val="both"/>
            </w:pPr>
            <w:r>
              <w:rPr>
                <w:sz w:val="24"/>
              </w:rPr>
              <w:t xml:space="preserve">3.2 </w:t>
            </w:r>
            <w:r>
              <w:rPr>
                <w:sz w:val="24"/>
              </w:rPr>
              <w:t>水平范围：水平</w:t>
            </w:r>
            <w:r>
              <w:rPr>
                <w:sz w:val="24"/>
              </w:rPr>
              <w:t>360°，垂直范围：-15°～90°（自动翻转）；</w:t>
            </w:r>
          </w:p>
          <w:p>
            <w:pPr>
              <w:pStyle w:val="null3"/>
              <w:jc w:val="both"/>
            </w:pPr>
            <w:r>
              <w:rPr>
                <w:sz w:val="24"/>
              </w:rPr>
              <w:t>3</w:t>
            </w:r>
            <w:r>
              <w:rPr>
                <w:sz w:val="24"/>
              </w:rPr>
              <w:t>.</w:t>
            </w:r>
            <w:r>
              <w:rPr>
                <w:sz w:val="24"/>
              </w:rPr>
              <w:t>3</w:t>
            </w:r>
            <w:r>
              <w:rPr>
                <w:sz w:val="24"/>
              </w:rPr>
              <w:t xml:space="preserve"> </w:t>
            </w:r>
            <w:r>
              <w:rPr>
                <w:sz w:val="24"/>
              </w:rPr>
              <w:t>设备开启智能补光模式时：当检测区域的行人或车辆触发区域入侵或越界侦测报警后，设备可自动关闭红外补光灯、开启白光灯，持续</w:t>
            </w:r>
            <w:r>
              <w:rPr>
                <w:sz w:val="24"/>
              </w:rPr>
              <w:t>4min，在白光灯开启时间内如样机持续报警，白光补光常亮状态保持至最后一个报警触发开始的4min后结束，白光补光灯开启期间设备可输出彩色图像</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4</w:t>
            </w:r>
            <w:r>
              <w:rPr>
                <w:sz w:val="24"/>
                <w:b/>
              </w:rPr>
              <w:t>、前端管理终端</w:t>
            </w:r>
          </w:p>
          <w:p>
            <w:pPr>
              <w:pStyle w:val="null3"/>
              <w:jc w:val="both"/>
            </w:pPr>
            <w:r>
              <w:rPr>
                <w:sz w:val="24"/>
              </w:rPr>
              <w:t>4</w:t>
            </w:r>
            <w:r>
              <w:rPr>
                <w:sz w:val="24"/>
              </w:rPr>
              <w:t>.1 嵌入式操作系统，至少内置1块2T硬盘；100M以太网接口≥8个，1000M以太网接口≥2个、1000MSFP光纤接口≥2个；</w:t>
            </w:r>
          </w:p>
          <w:p>
            <w:pPr>
              <w:pStyle w:val="null3"/>
              <w:jc w:val="both"/>
            </w:pPr>
            <w:r>
              <w:rPr>
                <w:sz w:val="24"/>
              </w:rPr>
              <w:t>4</w:t>
            </w:r>
            <w:r>
              <w:rPr>
                <w:sz w:val="24"/>
              </w:rPr>
              <w:t>.2 至少支持12个IP摄像机（单路码率10M）的过车记录存储、图片存储、视频存储、数据上传、视频流转发；</w:t>
            </w:r>
          </w:p>
          <w:p>
            <w:pPr>
              <w:pStyle w:val="null3"/>
              <w:jc w:val="both"/>
            </w:pPr>
            <w:r>
              <w:rPr>
                <w:sz w:val="24"/>
              </w:rPr>
              <w:t>▲4</w:t>
            </w:r>
            <w:r>
              <w:rPr>
                <w:sz w:val="24"/>
              </w:rPr>
              <w:t>.3 可设置图片的存储空间，在规定的空间内自动循环覆盖，剩余空间为录像存储空间；</w:t>
            </w:r>
          </w:p>
          <w:p>
            <w:pPr>
              <w:pStyle w:val="null3"/>
              <w:jc w:val="both"/>
            </w:pPr>
            <w:r>
              <w:rPr>
                <w:sz w:val="24"/>
              </w:rPr>
              <w:t>4</w:t>
            </w:r>
            <w:r>
              <w:rPr>
                <w:sz w:val="24"/>
              </w:rPr>
              <w:t>.4 对于在记录过程中出现的系统死机或意外故障，设备能够在规定的时间内自动恢复其正常工作状态并使故障前的信息不丢失</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4</w:t>
            </w:r>
            <w:r>
              <w:rPr>
                <w:sz w:val="24"/>
              </w:rPr>
              <w:t>.5 设备内的录像、图片文件无法直接删除或者修改，只能通过循环覆盖和硬盘格式化操作。</w:t>
            </w:r>
          </w:p>
          <w:p>
            <w:pPr>
              <w:pStyle w:val="null3"/>
              <w:jc w:val="both"/>
            </w:pPr>
            <w:r>
              <w:rPr>
                <w:sz w:val="24"/>
                <w:b/>
              </w:rPr>
              <w:t>5</w:t>
            </w:r>
            <w:r>
              <w:rPr>
                <w:sz w:val="24"/>
                <w:b/>
              </w:rPr>
              <w:t>、</w:t>
            </w:r>
            <w:r>
              <w:rPr>
                <w:sz w:val="24"/>
                <w:b/>
              </w:rPr>
              <w:t>挂杆标志牌</w:t>
            </w:r>
          </w:p>
          <w:p>
            <w:pPr>
              <w:pStyle w:val="null3"/>
              <w:jc w:val="both"/>
            </w:pPr>
            <w:r>
              <w:rPr>
                <w:sz w:val="24"/>
              </w:rPr>
              <w:t>5.1</w:t>
            </w:r>
            <w:r>
              <w:rPr>
                <w:sz w:val="21"/>
              </w:rPr>
              <w:t xml:space="preserve"> </w:t>
            </w:r>
            <w:r>
              <w:rPr>
                <w:sz w:val="24"/>
              </w:rPr>
              <w:t>标志牌</w:t>
            </w:r>
            <w:r>
              <w:rPr>
                <w:sz w:val="24"/>
              </w:rPr>
              <w:t>800mm宽×1000mm长（±1%）。</w:t>
            </w:r>
          </w:p>
          <w:p>
            <w:pPr>
              <w:pStyle w:val="null3"/>
              <w:jc w:val="both"/>
            </w:pPr>
            <w:r>
              <w:rPr>
                <w:sz w:val="24"/>
                <w:b/>
              </w:rPr>
              <w:t>6、</w:t>
            </w:r>
            <w:r>
              <w:rPr>
                <w:sz w:val="24"/>
                <w:b/>
              </w:rPr>
              <w:t>抱杆设备箱</w:t>
            </w:r>
          </w:p>
          <w:p>
            <w:pPr>
              <w:pStyle w:val="null3"/>
              <w:jc w:val="both"/>
            </w:pPr>
            <w:r>
              <w:rPr>
                <w:sz w:val="24"/>
              </w:rPr>
              <w:t>6.1</w:t>
            </w:r>
            <w:r>
              <w:rPr>
                <w:sz w:val="24"/>
              </w:rPr>
              <w:t>室外设备箱，具有防雨、防尘、防高温等功能</w:t>
            </w:r>
            <w:r>
              <w:rPr>
                <w:sz w:val="24"/>
              </w:rPr>
              <w:t>,500×600×300mm（±1%）。</w:t>
            </w:r>
          </w:p>
          <w:p>
            <w:pPr>
              <w:pStyle w:val="null3"/>
              <w:jc w:val="both"/>
            </w:pPr>
            <w:r>
              <w:rPr>
                <w:sz w:val="24"/>
                <w:b/>
              </w:rPr>
              <w:t>7、网线</w:t>
            </w:r>
          </w:p>
          <w:p>
            <w:pPr>
              <w:pStyle w:val="null3"/>
              <w:jc w:val="both"/>
            </w:pPr>
            <w:r>
              <w:rPr>
                <w:sz w:val="24"/>
              </w:rPr>
              <w:t xml:space="preserve">7.1 </w:t>
            </w:r>
            <w:r>
              <w:rPr>
                <w:sz w:val="24"/>
              </w:rPr>
              <w:t>超五类非屏蔽双绞线。</w:t>
            </w:r>
          </w:p>
          <w:p>
            <w:pPr>
              <w:pStyle w:val="null3"/>
              <w:jc w:val="both"/>
            </w:pPr>
            <w:r>
              <w:rPr>
                <w:sz w:val="24"/>
                <w:b/>
              </w:rPr>
              <w:t>8、</w:t>
            </w:r>
            <w:r>
              <w:rPr>
                <w:sz w:val="24"/>
                <w:b/>
              </w:rPr>
              <w:t>杆上电源线</w:t>
            </w:r>
          </w:p>
          <w:p>
            <w:pPr>
              <w:pStyle w:val="null3"/>
              <w:jc w:val="both"/>
            </w:pPr>
            <w:r>
              <w:rPr>
                <w:sz w:val="24"/>
              </w:rPr>
              <w:t xml:space="preserve">8.1 </w:t>
            </w:r>
            <w:r>
              <w:rPr>
                <w:sz w:val="24"/>
              </w:rPr>
              <w:t>RVV3×1.5。</w:t>
            </w:r>
          </w:p>
          <w:p>
            <w:pPr>
              <w:pStyle w:val="null3"/>
              <w:jc w:val="both"/>
            </w:pPr>
            <w:r>
              <w:rPr>
                <w:sz w:val="24"/>
                <w:b/>
              </w:rPr>
              <w:t>9、主电路</w:t>
            </w:r>
          </w:p>
          <w:p>
            <w:pPr>
              <w:pStyle w:val="null3"/>
              <w:jc w:val="both"/>
            </w:pPr>
            <w:r>
              <w:rPr>
                <w:sz w:val="24"/>
              </w:rPr>
              <w:t xml:space="preserve">9.1 </w:t>
            </w:r>
            <w:r>
              <w:rPr>
                <w:sz w:val="24"/>
              </w:rPr>
              <w:t>主电源线，</w:t>
            </w:r>
            <w:r>
              <w:rPr>
                <w:sz w:val="24"/>
              </w:rPr>
              <w:t>YJV-22-3×4mm²。</w:t>
            </w:r>
          </w:p>
          <w:p>
            <w:pPr>
              <w:pStyle w:val="null3"/>
              <w:jc w:val="both"/>
            </w:pPr>
            <w:r>
              <w:rPr>
                <w:sz w:val="24"/>
                <w:b/>
              </w:rPr>
              <w:t>10、</w:t>
            </w:r>
            <w:r>
              <w:rPr>
                <w:sz w:val="24"/>
                <w:b/>
              </w:rPr>
              <w:t>电表</w:t>
            </w:r>
          </w:p>
          <w:p>
            <w:pPr>
              <w:pStyle w:val="null3"/>
              <w:jc w:val="both"/>
            </w:pPr>
            <w:r>
              <w:rPr>
                <w:sz w:val="24"/>
              </w:rPr>
              <w:t>10.1</w:t>
            </w:r>
            <w:r>
              <w:rPr>
                <w:sz w:val="24"/>
              </w:rPr>
              <w:t>单相</w:t>
            </w:r>
            <w:r>
              <w:rPr>
                <w:sz w:val="24"/>
              </w:rPr>
              <w:t>40A电表，额定电压220V 50HZ，极限工作温度-10～55°c，导轨式安装。</w:t>
            </w:r>
          </w:p>
          <w:p>
            <w:pPr>
              <w:pStyle w:val="null3"/>
              <w:jc w:val="both"/>
            </w:pPr>
            <w:r>
              <w:rPr>
                <w:sz w:val="24"/>
                <w:b/>
              </w:rPr>
              <w:t>11、</w:t>
            </w:r>
            <w:r>
              <w:rPr>
                <w:sz w:val="24"/>
                <w:b/>
              </w:rPr>
              <w:t>PVC管</w:t>
            </w:r>
          </w:p>
          <w:p>
            <w:pPr>
              <w:pStyle w:val="null3"/>
              <w:jc w:val="both"/>
            </w:pPr>
            <w:r>
              <w:rPr>
                <w:sz w:val="24"/>
              </w:rPr>
              <w:t xml:space="preserve">11.1 </w:t>
            </w:r>
            <w:r>
              <w:rPr>
                <w:sz w:val="24"/>
              </w:rPr>
              <w:t>Φ32。</w:t>
            </w:r>
          </w:p>
          <w:p>
            <w:pPr>
              <w:pStyle w:val="null3"/>
              <w:jc w:val="both"/>
            </w:pPr>
            <w:r>
              <w:rPr>
                <w:sz w:val="24"/>
                <w:b/>
              </w:rPr>
              <w:t>12、辅材配件</w:t>
            </w:r>
          </w:p>
          <w:p>
            <w:pPr>
              <w:pStyle w:val="null3"/>
              <w:jc w:val="both"/>
            </w:pPr>
            <w:r>
              <w:rPr>
                <w:sz w:val="24"/>
              </w:rPr>
              <w:t>12.1</w:t>
            </w:r>
            <w:r>
              <w:rPr>
                <w:sz w:val="24"/>
              </w:rPr>
              <w:t>包含水晶头、胶布、直通、弯头、固定件、五金配件、扎带、标识等。</w:t>
            </w:r>
          </w:p>
          <w:p>
            <w:pPr>
              <w:pStyle w:val="null3"/>
              <w:jc w:val="both"/>
            </w:pPr>
            <w:r>
              <w:rPr>
                <w:sz w:val="24"/>
                <w:b/>
              </w:rPr>
              <w:t>13、电费</w:t>
            </w:r>
          </w:p>
          <w:p>
            <w:pPr>
              <w:pStyle w:val="null3"/>
              <w:jc w:val="both"/>
            </w:pPr>
            <w:r>
              <w:rPr>
                <w:sz w:val="24"/>
              </w:rPr>
              <w:t>13.1</w:t>
            </w:r>
            <w:r>
              <w:rPr>
                <w:sz w:val="24"/>
              </w:rPr>
              <w:t>按年计费，设备用电，一年。</w:t>
            </w:r>
            <w:r>
              <w:rPr>
                <w:sz w:val="24"/>
              </w:rPr>
              <w:t>每套卡口抓拍设备功耗估算一年约</w:t>
            </w:r>
            <w:r>
              <w:rPr>
                <w:sz w:val="24"/>
              </w:rPr>
              <w:t>1200度电。</w:t>
            </w:r>
          </w:p>
          <w:p>
            <w:pPr>
              <w:pStyle w:val="null3"/>
              <w:jc w:val="both"/>
            </w:pPr>
            <w:r>
              <w:rPr>
                <w:sz w:val="24"/>
                <w:b/>
              </w:rPr>
              <w:t>14、传输网络</w:t>
            </w:r>
          </w:p>
          <w:p>
            <w:pPr>
              <w:pStyle w:val="null3"/>
              <w:jc w:val="both"/>
            </w:pPr>
            <w:r>
              <w:rPr>
                <w:sz w:val="24"/>
              </w:rPr>
              <w:t>14.1</w:t>
            </w:r>
            <w:r>
              <w:rPr>
                <w:sz w:val="24"/>
              </w:rPr>
              <w:t>单路</w:t>
            </w:r>
            <w:r>
              <w:rPr>
                <w:sz w:val="24"/>
              </w:rPr>
              <w:t>传输网络</w:t>
            </w:r>
            <w:r>
              <w:rPr>
                <w:sz w:val="24"/>
              </w:rPr>
              <w:t>带宽不低于</w:t>
            </w:r>
            <w:r>
              <w:rPr>
                <w:sz w:val="24"/>
              </w:rPr>
              <w:t>500M</w:t>
            </w:r>
            <w:r>
              <w:rPr>
                <w:sz w:val="24"/>
              </w:rPr>
              <w:t>，</w:t>
            </w:r>
            <w:r>
              <w:rPr>
                <w:sz w:val="24"/>
              </w:rPr>
              <w:t>租期</w:t>
            </w:r>
            <w:r>
              <w:rPr>
                <w:sz w:val="24"/>
              </w:rPr>
              <w:t>一年</w:t>
            </w:r>
            <w:r>
              <w:rPr>
                <w:sz w:val="24"/>
              </w:rPr>
              <w:t>（</w:t>
            </w:r>
            <w:r>
              <w:rPr>
                <w:sz w:val="24"/>
              </w:rPr>
              <w:t>计算周期从交付验收起算）</w:t>
            </w:r>
            <w:r>
              <w:rPr>
                <w:sz w:val="24"/>
              </w:rPr>
              <w:t>。</w:t>
            </w:r>
          </w:p>
          <w:p>
            <w:pPr>
              <w:pStyle w:val="null3"/>
              <w:jc w:val="left"/>
            </w:pPr>
            <w:r>
              <w:rPr>
                <w:sz w:val="24"/>
                <w:b/>
              </w:rPr>
              <w:t>15、施工</w:t>
            </w:r>
          </w:p>
          <w:p>
            <w:pPr>
              <w:pStyle w:val="null3"/>
              <w:jc w:val="left"/>
            </w:pPr>
            <w:r>
              <w:rPr>
                <w:sz w:val="24"/>
              </w:rPr>
              <w:t xml:space="preserve">15.1 </w:t>
            </w:r>
            <w:r>
              <w:rPr>
                <w:sz w:val="24"/>
              </w:rPr>
              <w:t>取电布线混凝土路面开挖、恢复，</w:t>
            </w:r>
            <w:r>
              <w:rPr>
                <w:sz w:val="24"/>
              </w:rPr>
              <w:t>0.4×0.7m，含手井</w:t>
            </w:r>
            <w:r>
              <w:rPr>
                <w:sz w:val="24"/>
              </w:rPr>
              <w:t>；</w:t>
            </w:r>
            <w:r>
              <w:rPr>
                <w:sz w:val="24"/>
              </w:rPr>
              <w:t>28台班高车安装设备；</w:t>
            </w:r>
            <w:r>
              <w:rPr>
                <w:sz w:val="24"/>
              </w:rPr>
              <w:t>高速施工围蔽</w:t>
            </w:r>
            <w:r>
              <w:rPr>
                <w:sz w:val="24"/>
              </w:rPr>
              <w:t>28个点位</w:t>
            </w:r>
            <w:r>
              <w:rPr>
                <w:sz w:val="24"/>
              </w:rPr>
              <w:t>。按水码围蔽计算，围蔽天数每个点位为</w:t>
            </w:r>
            <w:r>
              <w:rPr>
                <w:sz w:val="24"/>
              </w:rPr>
              <w:t>15天</w:t>
            </w:r>
            <w:r>
              <w:rPr>
                <w:sz w:val="24"/>
              </w:rPr>
              <w:t>。</w:t>
            </w:r>
          </w:p>
          <w:p>
            <w:pPr>
              <w:pStyle w:val="null3"/>
              <w:jc w:val="both"/>
            </w:pPr>
            <w:r>
              <w:rPr>
                <w:sz w:val="24"/>
                <w:b/>
              </w:rPr>
              <w:t>16、</w:t>
            </w:r>
            <w:r>
              <w:rPr>
                <w:sz w:val="24"/>
                <w:b/>
              </w:rPr>
              <w:t>卡口抓拍单元</w:t>
            </w:r>
          </w:p>
          <w:p>
            <w:pPr>
              <w:pStyle w:val="null3"/>
              <w:jc w:val="both"/>
            </w:pPr>
            <w:r>
              <w:rPr>
                <w:sz w:val="24"/>
              </w:rPr>
              <w:t>16.1</w:t>
            </w:r>
            <w:r>
              <w:rPr>
                <w:sz w:val="21"/>
              </w:rPr>
              <w:t xml:space="preserve"> </w:t>
            </w:r>
            <w:r>
              <w:rPr>
                <w:sz w:val="24"/>
              </w:rPr>
              <w:t>整体组成包含高清智能摄像机、高清镜头、单元防护罩、内置</w:t>
            </w:r>
            <w:r>
              <w:rPr>
                <w:sz w:val="24"/>
              </w:rPr>
              <w:t>LED补光灯、相机内置网络防雷器、电源适配器等；镜头规格：≥50mm；</w:t>
            </w:r>
          </w:p>
          <w:p>
            <w:pPr>
              <w:pStyle w:val="null3"/>
              <w:jc w:val="both"/>
            </w:pPr>
            <w:r>
              <w:rPr>
                <w:sz w:val="24"/>
              </w:rPr>
              <w:t>16</w:t>
            </w:r>
            <w:r>
              <w:rPr>
                <w:sz w:val="24"/>
              </w:rPr>
              <w:t>.2 具有独立三角分光棱镜分光结构装置，分别接收可见光和红外光。同时预览两路传感器视频，对其中一路传感器进行外部遮挡，该路传感器的预览发生对应的遮挡变化，另外一路正常。 黑暗环境下，打开红外爆闪灯进行抓拍，红外路图片爆闪补光光斑明显，可见光路无变化，融合图片具有爆闪补光效果；关闭红外爆闪灯进行抓拍，红外路图片无补光光斑，融合图无爆闪补光效果</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16</w:t>
            </w:r>
            <w:r>
              <w:rPr>
                <w:sz w:val="24"/>
              </w:rPr>
              <w:t>.3 抓拍支持输出三张</w:t>
            </w:r>
            <w:r>
              <w:rPr>
                <w:sz w:val="24"/>
              </w:rPr>
              <w:t>或以上</w:t>
            </w:r>
            <w:r>
              <w:rPr>
                <w:sz w:val="24"/>
              </w:rPr>
              <w:t>同时刻同目标图片，包括可见光路图片（全彩），红外路图片（黑白）和融合图片（全彩），三张图片抓拍时间为同一时刻，抓拍运动目标，三张图片中目标位置相同无位移。</w:t>
            </w:r>
            <w:r>
              <w:rPr>
                <w:sz w:val="24"/>
              </w:rPr>
              <w:t>同时预览两路传感器视频，设备场景中放置红外</w:t>
            </w:r>
            <w:r>
              <w:rPr>
                <w:sz w:val="24"/>
              </w:rPr>
              <w:t>LED常亮灯，朝向摄像机镜头，可见光路视频图像中补光灯灯珠完全无光，同时红外路视频图像补光灯可清晰看到灯珠亮光</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▲16</w:t>
            </w:r>
            <w:r>
              <w:rPr>
                <w:sz w:val="24"/>
              </w:rPr>
              <w:t>.4 具有融合技术，设备可以采集黑白图像和彩色图像并融合显示，全天候输出彩色图像</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16</w:t>
            </w:r>
            <w:r>
              <w:rPr>
                <w:sz w:val="24"/>
              </w:rPr>
              <w:t>.5 支持闯禁行记录功能，可对5种普通车型（包括但不限于大货车、中货车、小货车、皮卡车、大客车）及9种特种车型（包括但不限于危化品车辆、普通罐车、渣土车、混凝土搅拌车、工程车、粉粒物料运输车、吸污车、环卫车、冷链车）进行检测、抓拍记录、识别及图片存储</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16</w:t>
            </w:r>
            <w:r>
              <w:rPr>
                <w:sz w:val="24"/>
              </w:rPr>
              <w:t>.6 目标跟踪功能检查 ：支持检测并跟踪指定区域内不少于240个目标；</w:t>
            </w:r>
          </w:p>
          <w:p>
            <w:pPr>
              <w:pStyle w:val="null3"/>
              <w:jc w:val="both"/>
            </w:pPr>
            <w:r>
              <w:rPr>
                <w:sz w:val="24"/>
              </w:rPr>
              <w:t>16</w:t>
            </w:r>
            <w:r>
              <w:rPr>
                <w:sz w:val="24"/>
              </w:rPr>
              <w:t>.7 支持识别不少于 39 种车身颜色，包括但不限于白、黑、红、黄、灰、蓝、绿、粉、紫、暗紫、棕、栗色、银灰、暗灰、白烟、深橙、浅玫瑰、番茄红、橄榄、金、暗橄榄、黄绿、绿黄、森林绿、海洋绿、深天蓝、青、深蓝、深红、深绿、深黄、深粉、深紫、深棕、深青、橙、深金、粉红、其他。 支持识别车身副颜色；</w:t>
            </w:r>
          </w:p>
          <w:p>
            <w:pPr>
              <w:pStyle w:val="null3"/>
              <w:jc w:val="both"/>
            </w:pPr>
            <w:r>
              <w:rPr>
                <w:sz w:val="24"/>
              </w:rPr>
              <w:t>16</w:t>
            </w:r>
            <w:r>
              <w:rPr>
                <w:sz w:val="24"/>
              </w:rPr>
              <w:t>.8 在天气晴朗无雾，车辆无遮挡，号牌无污损白天环境光照度不低于200l</w:t>
            </w:r>
            <w:r>
              <w:rPr>
                <w:sz w:val="24"/>
              </w:rPr>
              <w:t>u</w:t>
            </w:r>
            <w:r>
              <w:rPr>
                <w:sz w:val="24"/>
              </w:rPr>
              <w:t>x，夜晚辅助光照度不高于30l</w:t>
            </w:r>
            <w:r>
              <w:rPr>
                <w:sz w:val="24"/>
              </w:rPr>
              <w:t>u</w:t>
            </w:r>
            <w:r>
              <w:rPr>
                <w:sz w:val="24"/>
              </w:rPr>
              <w:t>x的情况下进行测试；白天车牌号识别准确率≥99%，晚上车牌号识别准确率≥99%；白天车身颜色识别准确率≥98%，晚上车身颜色识别准确率≥98%；白天车辆类型识别准确率≥99%，晚上车辆类型识别准确率≥99%</w:t>
            </w:r>
            <w:r>
              <w:rPr>
                <w:sz w:val="24"/>
              </w:rPr>
              <w:t>。</w:t>
            </w:r>
          </w:p>
          <w:p>
            <w:pPr>
              <w:pStyle w:val="null3"/>
              <w:jc w:val="both"/>
            </w:pPr>
            <w:r>
              <w:rPr>
                <w:sz w:val="24"/>
              </w:rPr>
              <w:t>16</w:t>
            </w:r>
            <w:r>
              <w:rPr>
                <w:sz w:val="24"/>
              </w:rPr>
              <w:t>.9 支持识别车标类型≥460种；在天气晴朗无雾，车辆无遮挡，白天环境光照度不低于200l</w:t>
            </w:r>
            <w:r>
              <w:rPr>
                <w:sz w:val="24"/>
              </w:rPr>
              <w:t>u</w:t>
            </w:r>
            <w:r>
              <w:rPr>
                <w:sz w:val="24"/>
              </w:rPr>
              <w:t>x，夜晚辅助光照度不高于30l</w:t>
            </w:r>
            <w:r>
              <w:rPr>
                <w:sz w:val="24"/>
              </w:rPr>
              <w:t>u</w:t>
            </w:r>
            <w:r>
              <w:rPr>
                <w:sz w:val="24"/>
              </w:rPr>
              <w:t>x的情况下进行测试；白天车标识别准确率≥99%；晚上车标识别准确率≥99%。</w:t>
            </w:r>
          </w:p>
          <w:p>
            <w:pPr>
              <w:pStyle w:val="null3"/>
              <w:jc w:val="both"/>
            </w:pPr>
            <w:r>
              <w:rPr>
                <w:sz w:val="24"/>
                <w:b/>
              </w:rPr>
              <w:t>17、</w:t>
            </w:r>
            <w:r>
              <w:rPr>
                <w:sz w:val="24"/>
                <w:b/>
              </w:rPr>
              <w:t>多合一补光灯</w:t>
            </w:r>
          </w:p>
          <w:p>
            <w:pPr>
              <w:pStyle w:val="null3"/>
              <w:jc w:val="both"/>
            </w:pPr>
            <w:r>
              <w:rPr>
                <w:sz w:val="24"/>
              </w:rPr>
              <w:t xml:space="preserve">17.1 </w:t>
            </w:r>
            <w:r>
              <w:rPr>
                <w:sz w:val="24"/>
              </w:rPr>
              <w:t>最佳拍摄距离：</w:t>
            </w:r>
            <w:r>
              <w:rPr>
                <w:sz w:val="24"/>
              </w:rPr>
              <w:t>18～28m，闪光寿命：1000万次以上，白天和夜晚用光转换（白光和红外），可看清前排司乘人员面部特征</w:t>
            </w:r>
            <w:r>
              <w:rPr>
                <w:sz w:val="24"/>
              </w:rPr>
              <w:t>；</w:t>
            </w:r>
          </w:p>
          <w:p>
            <w:pPr>
              <w:pStyle w:val="null3"/>
              <w:jc w:val="both"/>
            </w:pPr>
            <w:r>
              <w:rPr>
                <w:sz w:val="24"/>
              </w:rPr>
              <w:t>17.2</w:t>
            </w:r>
            <w:r>
              <w:rPr>
                <w:sz w:val="21"/>
              </w:rPr>
              <w:t xml:space="preserve"> </w:t>
            </w:r>
            <w:r>
              <w:rPr>
                <w:sz w:val="24"/>
              </w:rPr>
              <w:t>支持连闪，闪间隔</w:t>
            </w:r>
            <w:r>
              <w:rPr>
                <w:sz w:val="24"/>
              </w:rPr>
              <w:t>≤70ms。</w:t>
            </w:r>
          </w:p>
          <w:p>
            <w:pPr>
              <w:pStyle w:val="null3"/>
              <w:jc w:val="both"/>
            </w:pPr>
            <w:r>
              <w:rPr>
                <w:sz w:val="24"/>
                <w:b/>
              </w:rPr>
              <w:t>18、</w:t>
            </w:r>
            <w:r>
              <w:rPr>
                <w:sz w:val="24"/>
                <w:b/>
              </w:rPr>
              <w:t>全景球型摄像机</w:t>
            </w:r>
          </w:p>
          <w:p>
            <w:pPr>
              <w:pStyle w:val="null3"/>
              <w:jc w:val="both"/>
            </w:pPr>
            <w:r>
              <w:rPr>
                <w:sz w:val="24"/>
              </w:rPr>
              <w:t>18</w:t>
            </w:r>
            <w:r>
              <w:rPr>
                <w:sz w:val="24"/>
              </w:rPr>
              <w:t>.1 传感器类型：≥1/2.8＂CMOS；最低照度：彩色：≤0</w:t>
            </w:r>
            <w:r>
              <w:rPr>
                <w:sz w:val="24"/>
              </w:rPr>
              <w:t>.00</w:t>
            </w:r>
            <w:r>
              <w:rPr>
                <w:sz w:val="24"/>
              </w:rPr>
              <w:t>5Lux ，黑白：≤0</w:t>
            </w:r>
            <w:r>
              <w:rPr>
                <w:sz w:val="24"/>
              </w:rPr>
              <w:t>.0005</w:t>
            </w:r>
            <w:r>
              <w:rPr>
                <w:sz w:val="24"/>
              </w:rPr>
              <w:t>Lux；焦距：4.8 mm～110 mm，≥23倍光学变倍；分辨率：≥2560 × 1440；</w:t>
            </w:r>
          </w:p>
          <w:p>
            <w:pPr>
              <w:pStyle w:val="null3"/>
              <w:jc w:val="both"/>
            </w:pPr>
            <w:r>
              <w:rPr>
                <w:sz w:val="24"/>
              </w:rPr>
              <w:t>18</w:t>
            </w:r>
            <w:r>
              <w:rPr>
                <w:sz w:val="24"/>
              </w:rPr>
              <w:t>.2 补光灯距离：红外：150 m，白光：100 m；水平范围：水平360°，垂直范围：-15°～90°（自动翻转）；</w:t>
            </w:r>
          </w:p>
          <w:p>
            <w:pPr>
              <w:pStyle w:val="null3"/>
              <w:jc w:val="both"/>
            </w:pPr>
            <w:r>
              <w:rPr>
                <w:sz w:val="24"/>
              </w:rPr>
              <w:t>▲18</w:t>
            </w:r>
            <w:r>
              <w:rPr>
                <w:sz w:val="24"/>
              </w:rPr>
              <w:t>.</w:t>
            </w:r>
            <w:r>
              <w:rPr>
                <w:sz w:val="24"/>
              </w:rPr>
              <w:t>3</w:t>
            </w:r>
            <w:r>
              <w:rPr>
                <w:sz w:val="24"/>
              </w:rPr>
              <w:t xml:space="preserve"> </w:t>
            </w:r>
            <w:r>
              <w:rPr>
                <w:sz w:val="24"/>
              </w:rPr>
              <w:t>设备开启智能补光模式时：当检测区域的行人或车辆触发区域入侵或越界侦测报警后，设备可自动关闭红外补光灯、开启白光灯，持续</w:t>
            </w:r>
            <w:r>
              <w:rPr>
                <w:sz w:val="24"/>
              </w:rPr>
              <w:t>4min，在白光灯开启时间内如样机持续报警，白光补光常亮状态保持至最后一个报警触发开始的4min后结束，白光补光灯开启期间设备可输出彩色图像</w:t>
            </w:r>
            <w:r>
              <w:rPr>
                <w:sz w:val="24"/>
                <w:b/>
              </w:rPr>
              <w:t>（</w:t>
            </w:r>
            <w:r>
              <w:rPr>
                <w:sz w:val="24"/>
                <w:b/>
              </w:rPr>
              <w:t>注：提供国家认可的检测机构出具的检测报告复印件</w:t>
            </w:r>
            <w:r>
              <w:rPr>
                <w:sz w:val="24"/>
                <w:b/>
              </w:rPr>
              <w:t>）</w:t>
            </w:r>
            <w:r>
              <w:rPr>
                <w:sz w:val="24"/>
              </w:rPr>
              <w:t>；</w:t>
            </w:r>
          </w:p>
          <w:p>
            <w:pPr>
              <w:pStyle w:val="null3"/>
              <w:jc w:val="both"/>
            </w:pPr>
            <w:r>
              <w:rPr>
                <w:sz w:val="24"/>
                <w:b/>
              </w:rPr>
              <w:t>19、</w:t>
            </w:r>
            <w:r>
              <w:rPr>
                <w:sz w:val="24"/>
                <w:b/>
              </w:rPr>
              <w:t>前端管理终端</w:t>
            </w:r>
          </w:p>
          <w:p>
            <w:pPr>
              <w:pStyle w:val="null3"/>
              <w:jc w:val="both"/>
            </w:pPr>
            <w:r>
              <w:rPr>
                <w:sz w:val="24"/>
              </w:rPr>
              <w:t>19</w:t>
            </w:r>
            <w:r>
              <w:rPr>
                <w:sz w:val="24"/>
              </w:rPr>
              <w:t>.1 嵌入式操作系统，至少内置1块2T硬盘；100M以太网接口≥8个，1000M以太网接口≥2个、1000MSFP光纤接口≥2个；</w:t>
            </w:r>
          </w:p>
          <w:p>
            <w:pPr>
              <w:pStyle w:val="null3"/>
              <w:jc w:val="both"/>
            </w:pPr>
            <w:r>
              <w:rPr>
                <w:sz w:val="24"/>
              </w:rPr>
              <w:t>19</w:t>
            </w:r>
            <w:r>
              <w:rPr>
                <w:sz w:val="24"/>
              </w:rPr>
              <w:t>.2 至少支持12个IP摄像机（单路码率10M）的过车记录存储、图片存储、视频存储、数据上传、视频流转发；</w:t>
            </w:r>
          </w:p>
          <w:p>
            <w:pPr>
              <w:pStyle w:val="null3"/>
              <w:jc w:val="both"/>
            </w:pPr>
            <w:r>
              <w:rPr>
                <w:sz w:val="24"/>
              </w:rPr>
              <w:t>19</w:t>
            </w:r>
            <w:r>
              <w:rPr>
                <w:sz w:val="24"/>
              </w:rPr>
              <w:t>.3 可设置图片的存储空间，在规定的空间内自动循环覆盖，剩余空间为录像存储空间；</w:t>
            </w:r>
          </w:p>
          <w:p>
            <w:pPr>
              <w:pStyle w:val="null3"/>
              <w:jc w:val="both"/>
            </w:pPr>
            <w:r>
              <w:rPr>
                <w:sz w:val="24"/>
              </w:rPr>
              <w:t>▲19</w:t>
            </w:r>
            <w:r>
              <w:rPr>
                <w:sz w:val="24"/>
              </w:rPr>
              <w:t>.4 对于在记录过程中出现的系统死机或意外故障，设备能够在规定的时间内自动恢复其正常工作状态并使故障前的信息不丢失</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19</w:t>
            </w:r>
            <w:r>
              <w:rPr>
                <w:sz w:val="24"/>
              </w:rPr>
              <w:t>.5 设备内的录像、图片文件无法直接删除或者修改，只能通过循环覆盖和硬盘格式化操作。</w:t>
            </w:r>
          </w:p>
          <w:p>
            <w:pPr>
              <w:pStyle w:val="null3"/>
              <w:jc w:val="both"/>
            </w:pPr>
            <w:r>
              <w:rPr>
                <w:sz w:val="24"/>
                <w:b/>
              </w:rPr>
              <w:t>20、</w:t>
            </w:r>
            <w:r>
              <w:rPr>
                <w:sz w:val="24"/>
                <w:b/>
              </w:rPr>
              <w:t>杆件（含地笼及运输</w:t>
            </w:r>
            <w:r>
              <w:rPr>
                <w:sz w:val="24"/>
              </w:rPr>
              <w:t>）</w:t>
            </w:r>
          </w:p>
          <w:p>
            <w:pPr>
              <w:pStyle w:val="null3"/>
              <w:jc w:val="both"/>
            </w:pPr>
            <w:r>
              <w:rPr>
                <w:sz w:val="24"/>
              </w:rPr>
              <w:t xml:space="preserve">20.1  </w:t>
            </w:r>
            <w:r>
              <w:rPr>
                <w:sz w:val="24"/>
              </w:rPr>
              <w:t>L型杆件，八角，上口径220mm（±1%），下口径280mm（±1%），高6.8m，（±1%）横臂5m（±1%），壁厚6mm（±1%）,地笼8根标准22mm钢筋。</w:t>
            </w:r>
          </w:p>
          <w:p>
            <w:pPr>
              <w:pStyle w:val="null3"/>
              <w:jc w:val="both"/>
            </w:pPr>
            <w:r>
              <w:rPr>
                <w:sz w:val="24"/>
                <w:b/>
              </w:rPr>
              <w:t>21、</w:t>
            </w:r>
            <w:r>
              <w:rPr>
                <w:sz w:val="24"/>
                <w:b/>
              </w:rPr>
              <w:t>标志牌</w:t>
            </w:r>
          </w:p>
          <w:p>
            <w:pPr>
              <w:pStyle w:val="null3"/>
              <w:jc w:val="both"/>
            </w:pPr>
            <w:r>
              <w:rPr>
                <w:sz w:val="24"/>
              </w:rPr>
              <w:t>21.1  尺寸</w:t>
            </w:r>
            <w:r>
              <w:rPr>
                <w:sz w:val="24"/>
              </w:rPr>
              <w:t>800mm宽×1000mm长（±1%）。</w:t>
            </w:r>
          </w:p>
          <w:p>
            <w:pPr>
              <w:pStyle w:val="null3"/>
              <w:jc w:val="both"/>
            </w:pPr>
            <w:r>
              <w:rPr>
                <w:sz w:val="24"/>
                <w:b/>
              </w:rPr>
              <w:t>22、</w:t>
            </w:r>
            <w:r>
              <w:rPr>
                <w:sz w:val="24"/>
                <w:b/>
              </w:rPr>
              <w:t>抱杆设备箱</w:t>
            </w:r>
          </w:p>
          <w:p>
            <w:pPr>
              <w:pStyle w:val="null3"/>
              <w:jc w:val="both"/>
            </w:pPr>
            <w:r>
              <w:rPr>
                <w:sz w:val="24"/>
              </w:rPr>
              <w:t>22.1</w:t>
            </w:r>
            <w:r>
              <w:rPr>
                <w:sz w:val="24"/>
              </w:rPr>
              <w:t>室外设备箱，具有防雨、防尘、防高温等功能</w:t>
            </w:r>
            <w:r>
              <w:rPr>
                <w:sz w:val="24"/>
              </w:rPr>
              <w:t>,500×600×300mm（±1%）。</w:t>
            </w:r>
          </w:p>
          <w:p>
            <w:pPr>
              <w:pStyle w:val="null3"/>
              <w:jc w:val="both"/>
            </w:pPr>
            <w:r>
              <w:rPr>
                <w:sz w:val="24"/>
                <w:b/>
              </w:rPr>
              <w:t>23、网线</w:t>
            </w:r>
          </w:p>
          <w:p>
            <w:pPr>
              <w:pStyle w:val="null3"/>
              <w:jc w:val="both"/>
            </w:pPr>
            <w:r>
              <w:rPr>
                <w:sz w:val="24"/>
              </w:rPr>
              <w:t xml:space="preserve">23.1 </w:t>
            </w:r>
            <w:r>
              <w:rPr>
                <w:sz w:val="24"/>
              </w:rPr>
              <w:t>超五类非屏蔽双绞线。</w:t>
            </w:r>
          </w:p>
          <w:p>
            <w:pPr>
              <w:pStyle w:val="null3"/>
              <w:jc w:val="both"/>
            </w:pPr>
            <w:r>
              <w:rPr>
                <w:sz w:val="24"/>
                <w:b/>
              </w:rPr>
              <w:t>24、</w:t>
            </w:r>
            <w:r>
              <w:rPr>
                <w:sz w:val="24"/>
                <w:b/>
              </w:rPr>
              <w:t>杆上电源线</w:t>
            </w:r>
          </w:p>
          <w:p>
            <w:pPr>
              <w:pStyle w:val="null3"/>
              <w:jc w:val="both"/>
            </w:pPr>
            <w:r>
              <w:rPr>
                <w:sz w:val="24"/>
              </w:rPr>
              <w:t xml:space="preserve">24.1 </w:t>
            </w:r>
            <w:r>
              <w:rPr>
                <w:sz w:val="24"/>
              </w:rPr>
              <w:t>RVV3×1.5。</w:t>
            </w:r>
          </w:p>
          <w:p>
            <w:pPr>
              <w:pStyle w:val="null3"/>
              <w:jc w:val="both"/>
            </w:pPr>
            <w:r>
              <w:rPr>
                <w:sz w:val="24"/>
                <w:b/>
              </w:rPr>
              <w:t>25、主电路</w:t>
            </w:r>
          </w:p>
          <w:p>
            <w:pPr>
              <w:pStyle w:val="null3"/>
              <w:jc w:val="both"/>
            </w:pPr>
            <w:r>
              <w:rPr>
                <w:sz w:val="24"/>
              </w:rPr>
              <w:t xml:space="preserve">25.1 </w:t>
            </w:r>
            <w:r>
              <w:rPr>
                <w:sz w:val="24"/>
              </w:rPr>
              <w:t>主电源线，</w:t>
            </w:r>
            <w:r>
              <w:rPr>
                <w:sz w:val="24"/>
              </w:rPr>
              <w:t>YJV-22-3×4mm²。</w:t>
            </w:r>
          </w:p>
          <w:p>
            <w:pPr>
              <w:pStyle w:val="null3"/>
              <w:jc w:val="both"/>
            </w:pPr>
            <w:r>
              <w:rPr>
                <w:sz w:val="24"/>
                <w:b/>
              </w:rPr>
              <w:t>26、</w:t>
            </w:r>
            <w:r>
              <w:rPr>
                <w:sz w:val="24"/>
                <w:b/>
              </w:rPr>
              <w:t>电表</w:t>
            </w:r>
          </w:p>
          <w:p>
            <w:pPr>
              <w:pStyle w:val="null3"/>
              <w:jc w:val="both"/>
            </w:pPr>
            <w:r>
              <w:rPr>
                <w:sz w:val="24"/>
              </w:rPr>
              <w:t xml:space="preserve">26.1 </w:t>
            </w:r>
            <w:r>
              <w:rPr>
                <w:sz w:val="24"/>
              </w:rPr>
              <w:t>单相</w:t>
            </w:r>
            <w:r>
              <w:rPr>
                <w:sz w:val="24"/>
              </w:rPr>
              <w:t>40A电表，额定电压220V 50HZ，极限工作温度-10～55°c，导轨式安装。</w:t>
            </w:r>
          </w:p>
          <w:p>
            <w:pPr>
              <w:pStyle w:val="null3"/>
              <w:jc w:val="both"/>
            </w:pPr>
            <w:r>
              <w:rPr>
                <w:sz w:val="24"/>
                <w:b/>
              </w:rPr>
              <w:t>27、</w:t>
            </w:r>
            <w:r>
              <w:rPr>
                <w:sz w:val="24"/>
                <w:b/>
              </w:rPr>
              <w:t>PVC管</w:t>
            </w:r>
          </w:p>
          <w:p>
            <w:pPr>
              <w:pStyle w:val="null3"/>
              <w:jc w:val="both"/>
            </w:pPr>
            <w:r>
              <w:rPr>
                <w:sz w:val="24"/>
              </w:rPr>
              <w:t xml:space="preserve">27.1 </w:t>
            </w:r>
            <w:r>
              <w:rPr>
                <w:sz w:val="24"/>
              </w:rPr>
              <w:t>Φ32。</w:t>
            </w:r>
          </w:p>
          <w:p>
            <w:pPr>
              <w:pStyle w:val="null3"/>
              <w:jc w:val="both"/>
            </w:pPr>
            <w:r>
              <w:rPr>
                <w:sz w:val="24"/>
                <w:b/>
              </w:rPr>
              <w:t>28、防雷接地</w:t>
            </w:r>
          </w:p>
          <w:p>
            <w:pPr>
              <w:pStyle w:val="null3"/>
              <w:jc w:val="both"/>
            </w:pPr>
            <w:r>
              <w:rPr>
                <w:sz w:val="24"/>
              </w:rPr>
              <w:t xml:space="preserve">28.1 </w:t>
            </w:r>
            <w:r>
              <w:rPr>
                <w:sz w:val="24"/>
              </w:rPr>
              <w:t>防雷接地电阻在</w:t>
            </w:r>
            <w:r>
              <w:rPr>
                <w:sz w:val="24"/>
              </w:rPr>
              <w:t>10</w:t>
            </w:r>
            <w:r>
              <w:rPr>
                <w:sz w:val="24"/>
              </w:rPr>
              <w:t>Ω</w:t>
            </w:r>
            <w:r>
              <w:rPr>
                <w:sz w:val="24"/>
              </w:rPr>
              <w:t>Ω</w:t>
            </w:r>
            <w:r>
              <w:rPr>
                <w:sz w:val="24"/>
              </w:rPr>
              <w:t>以下。</w:t>
            </w:r>
          </w:p>
          <w:p>
            <w:pPr>
              <w:pStyle w:val="null3"/>
              <w:jc w:val="both"/>
            </w:pPr>
            <w:r>
              <w:rPr>
                <w:sz w:val="24"/>
                <w:b/>
              </w:rPr>
              <w:t>29、辅材配件</w:t>
            </w:r>
          </w:p>
          <w:p>
            <w:pPr>
              <w:pStyle w:val="null3"/>
              <w:jc w:val="both"/>
            </w:pPr>
            <w:r>
              <w:rPr>
                <w:sz w:val="24"/>
              </w:rPr>
              <w:t>29.1</w:t>
            </w:r>
            <w:r>
              <w:rPr>
                <w:sz w:val="24"/>
              </w:rPr>
              <w:t>包含水晶头、胶布、直通、弯头、固定件、五金配件、扎带、标识等。</w:t>
            </w:r>
          </w:p>
          <w:p>
            <w:pPr>
              <w:pStyle w:val="null3"/>
              <w:jc w:val="both"/>
            </w:pPr>
            <w:r>
              <w:rPr>
                <w:sz w:val="24"/>
                <w:b/>
              </w:rPr>
              <w:t>30、电费</w:t>
            </w:r>
          </w:p>
          <w:p>
            <w:pPr>
              <w:pStyle w:val="null3"/>
              <w:jc w:val="both"/>
            </w:pPr>
            <w:r>
              <w:rPr>
                <w:sz w:val="24"/>
              </w:rPr>
              <w:t>30.1</w:t>
            </w:r>
            <w:r>
              <w:rPr>
                <w:sz w:val="24"/>
              </w:rPr>
              <w:t>按年计费，设备用电，一年。</w:t>
            </w:r>
            <w:r>
              <w:rPr>
                <w:sz w:val="24"/>
              </w:rPr>
              <w:t>每套卡口抓拍设备功耗估算一年约</w:t>
            </w:r>
            <w:r>
              <w:rPr>
                <w:sz w:val="24"/>
              </w:rPr>
              <w:t>1200度电。</w:t>
            </w:r>
          </w:p>
          <w:p>
            <w:pPr>
              <w:pStyle w:val="null3"/>
              <w:jc w:val="both"/>
            </w:pPr>
            <w:r>
              <w:rPr>
                <w:sz w:val="24"/>
                <w:b/>
              </w:rPr>
              <w:t>31、传输网络</w:t>
            </w:r>
          </w:p>
          <w:p>
            <w:pPr>
              <w:pStyle w:val="null3"/>
              <w:jc w:val="both"/>
            </w:pPr>
            <w:r>
              <w:rPr>
                <w:sz w:val="24"/>
              </w:rPr>
              <w:t xml:space="preserve">31.1 </w:t>
            </w:r>
            <w:r>
              <w:rPr>
                <w:sz w:val="24"/>
              </w:rPr>
              <w:t>单路</w:t>
            </w:r>
            <w:r>
              <w:rPr>
                <w:sz w:val="24"/>
              </w:rPr>
              <w:t>传输网络</w:t>
            </w:r>
            <w:r>
              <w:rPr>
                <w:sz w:val="24"/>
              </w:rPr>
              <w:t>带宽不低于</w:t>
            </w:r>
            <w:r>
              <w:rPr>
                <w:sz w:val="24"/>
              </w:rPr>
              <w:t>500M</w:t>
            </w:r>
            <w:r>
              <w:rPr>
                <w:sz w:val="24"/>
              </w:rPr>
              <w:t>，</w:t>
            </w:r>
            <w:r>
              <w:rPr>
                <w:sz w:val="24"/>
              </w:rPr>
              <w:t>租期</w:t>
            </w:r>
            <w:r>
              <w:rPr>
                <w:sz w:val="24"/>
              </w:rPr>
              <w:t>一年</w:t>
            </w:r>
            <w:r>
              <w:rPr>
                <w:sz w:val="24"/>
              </w:rPr>
              <w:t>（</w:t>
            </w:r>
            <w:r>
              <w:rPr>
                <w:sz w:val="24"/>
              </w:rPr>
              <w:t>计算周期从交付验收起算）</w:t>
            </w:r>
            <w:r>
              <w:rPr>
                <w:sz w:val="24"/>
              </w:rPr>
              <w:t>。</w:t>
            </w:r>
          </w:p>
          <w:p>
            <w:pPr>
              <w:pStyle w:val="null3"/>
              <w:jc w:val="left"/>
            </w:pPr>
            <w:r>
              <w:rPr>
                <w:sz w:val="24"/>
                <w:b/>
              </w:rPr>
              <w:t>32、施工</w:t>
            </w:r>
          </w:p>
          <w:p>
            <w:pPr>
              <w:pStyle w:val="null3"/>
              <w:jc w:val="left"/>
            </w:pPr>
            <w:r>
              <w:rPr>
                <w:sz w:val="24"/>
              </w:rPr>
              <w:t>32.1</w:t>
            </w:r>
            <w:r>
              <w:rPr>
                <w:sz w:val="24"/>
              </w:rPr>
              <w:t>取电布线开挖、恢复，</w:t>
            </w:r>
            <w:r>
              <w:rPr>
                <w:sz w:val="24"/>
              </w:rPr>
              <w:t>0.4×0.7m（±1%），含手井</w:t>
            </w:r>
            <w:r>
              <w:rPr>
                <w:sz w:val="24"/>
              </w:rPr>
              <w:t>；</w:t>
            </w:r>
            <w:r>
              <w:rPr>
                <w:sz w:val="24"/>
              </w:rPr>
              <w:t>20台班高车安装设备；20台班吊车安装设备；</w:t>
            </w:r>
            <w:r>
              <w:rPr>
                <w:sz w:val="24"/>
              </w:rPr>
              <w:t>高速施工围蔽</w:t>
            </w:r>
            <w:r>
              <w:rPr>
                <w:sz w:val="24"/>
              </w:rPr>
              <w:t>20个点位</w:t>
            </w:r>
            <w:r>
              <w:rPr>
                <w:sz w:val="24"/>
              </w:rPr>
              <w:t>，</w:t>
            </w:r>
            <w:r>
              <w:rPr>
                <w:sz w:val="24"/>
              </w:rPr>
              <w:t>按水码围蔽计算，围蔽天数每个点位为</w:t>
            </w:r>
            <w:r>
              <w:rPr>
                <w:sz w:val="24"/>
              </w:rPr>
              <w:t>15天</w:t>
            </w:r>
            <w:r>
              <w:rPr>
                <w:sz w:val="24"/>
              </w:rPr>
              <w:t>；</w:t>
            </w:r>
            <w:r>
              <w:rPr>
                <w:sz w:val="24"/>
              </w:rPr>
              <w:t>基础坑开挖及水泥浇灌，装卸及运走土石方</w:t>
            </w:r>
            <w:r>
              <w:rPr>
                <w:sz w:val="24"/>
              </w:rPr>
              <w:t>。</w:t>
            </w:r>
          </w:p>
          <w:p>
            <w:pPr>
              <w:pStyle w:val="null3"/>
              <w:jc w:val="both"/>
            </w:pPr>
            <w:r>
              <w:rPr>
                <w:sz w:val="24"/>
                <w:b/>
              </w:rPr>
              <w:t>33、</w:t>
            </w:r>
            <w:r>
              <w:rPr>
                <w:sz w:val="24"/>
                <w:b/>
              </w:rPr>
              <w:t>存储云结点系统</w:t>
            </w:r>
          </w:p>
          <w:p>
            <w:pPr>
              <w:pStyle w:val="null3"/>
              <w:jc w:val="both"/>
            </w:pPr>
            <w:r>
              <w:rPr>
                <w:sz w:val="24"/>
              </w:rPr>
              <w:t>33</w:t>
            </w:r>
            <w:r>
              <w:rPr>
                <w:sz w:val="24"/>
              </w:rPr>
              <w:t>.1标准 8U机架式48盘位；双路64位多核处理器；≥32GB缓存（可扩展256G）；至少标配48块8T企业级磁盘（SATA接口）；4个千兆网口；2个万兆光口；冗余电源；支持网络RAID；内置1颗固态图片加速盘；</w:t>
            </w:r>
          </w:p>
          <w:p>
            <w:pPr>
              <w:pStyle w:val="null3"/>
              <w:jc w:val="both"/>
            </w:pPr>
            <w:r>
              <w:rPr>
                <w:sz w:val="24"/>
              </w:rPr>
              <w:t xml:space="preserve">33.2 </w:t>
            </w:r>
            <w:r>
              <w:rPr>
                <w:sz w:val="24"/>
              </w:rPr>
              <w:t>可接入</w:t>
            </w:r>
            <w:r>
              <w:rPr>
                <w:sz w:val="24"/>
              </w:rPr>
              <w:t>2T/3T/4T/6T/8T/10T/12T/14T/16T/18T/20T/25T/26T SATA/SAS硬盘；</w:t>
            </w:r>
          </w:p>
          <w:p>
            <w:pPr>
              <w:pStyle w:val="null3"/>
              <w:jc w:val="both"/>
            </w:pPr>
            <w:r>
              <w:rPr>
                <w:sz w:val="24"/>
              </w:rPr>
              <w:t>33.3</w:t>
            </w:r>
            <w:r>
              <w:rPr>
                <w:sz w:val="24"/>
              </w:rPr>
              <w:t>能接入并存储</w:t>
            </w:r>
            <w:r>
              <w:rPr>
                <w:sz w:val="24"/>
              </w:rPr>
              <w:t>4096Mbps视频图像，同时转发4096Mbps的视频图像，同时下载4096Mbps的视频图像；同时回放1400Mbps的视频图像；在转发模式下，可进行4096路2Mbps视频码流转发；在总带宽不变的情况下，接入、转发、回放间的性能值可自由调整；</w:t>
            </w:r>
          </w:p>
          <w:p>
            <w:pPr>
              <w:pStyle w:val="null3"/>
              <w:jc w:val="both"/>
            </w:pPr>
            <w:r>
              <w:rPr>
                <w:sz w:val="24"/>
              </w:rPr>
              <w:t>33</w:t>
            </w:r>
            <w:r>
              <w:rPr>
                <w:sz w:val="24"/>
              </w:rPr>
              <w:t>.</w:t>
            </w:r>
            <w:r>
              <w:rPr>
                <w:sz w:val="24"/>
              </w:rPr>
              <w:t>4</w:t>
            </w:r>
            <w:r>
              <w:rPr>
                <w:sz w:val="24"/>
              </w:rPr>
              <w:t xml:space="preserve"> </w:t>
            </w:r>
            <w:r>
              <w:rPr>
                <w:sz w:val="24"/>
              </w:rPr>
              <w:t>支持网络</w:t>
            </w:r>
            <w:r>
              <w:rPr>
                <w:sz w:val="24"/>
              </w:rPr>
              <w:t>RAID纠删码技术，多台存储设备组建网络RAID，设置为负载均衡；单台或多台存储设备组建网络RAID，允许每组RAID中任意1-18个磁盘发生故障，数据不丢失，存储服务不中断；允许每组RAID中任意20块硬盘发生故障，业务不中断；</w:t>
            </w:r>
          </w:p>
          <w:p>
            <w:pPr>
              <w:pStyle w:val="null3"/>
              <w:jc w:val="both"/>
            </w:pPr>
            <w:r>
              <w:rPr>
                <w:sz w:val="24"/>
              </w:rPr>
              <w:t>▲33</w:t>
            </w:r>
            <w:r>
              <w:rPr>
                <w:sz w:val="24"/>
              </w:rPr>
              <w:t>.</w:t>
            </w:r>
            <w:r>
              <w:rPr>
                <w:sz w:val="24"/>
              </w:rPr>
              <w:t>5</w:t>
            </w:r>
            <w:r>
              <w:rPr>
                <w:sz w:val="24"/>
              </w:rPr>
              <w:t xml:space="preserve"> </w:t>
            </w:r>
            <w:r>
              <w:rPr>
                <w:sz w:val="24"/>
              </w:rPr>
              <w:t>可通过查看硬盘原始数据读取错误率、上电时间、上电时长计数、意外断电计数、重映射扇区数、磁盘振动等多种硬盘相关健康值。支持查看硬盘报告、硬盘深度体检和磁盘档案；支持下载单个硬盘或批量硬盘的报告，支持按时间显示硬盘的坏扇区、温度、振动变化趋势的曲线图</w:t>
            </w:r>
            <w:r>
              <w:rPr>
                <w:sz w:val="24"/>
                <w:b/>
              </w:rPr>
              <w:t>（</w:t>
            </w:r>
            <w:r>
              <w:rPr>
                <w:sz w:val="24"/>
                <w:b/>
              </w:rPr>
              <w:t>注：提供国家认可的检测机构出具的检测报告复印件</w:t>
            </w:r>
            <w:r>
              <w:rPr>
                <w:sz w:val="24"/>
                <w:b/>
              </w:rPr>
              <w:t>）</w:t>
            </w:r>
            <w:r>
              <w:rPr>
                <w:sz w:val="24"/>
              </w:rPr>
              <w:t>；</w:t>
            </w:r>
          </w:p>
          <w:p>
            <w:pPr>
              <w:pStyle w:val="null3"/>
              <w:jc w:val="both"/>
            </w:pPr>
            <w:r>
              <w:rPr>
                <w:sz w:val="24"/>
              </w:rPr>
              <w:t>33</w:t>
            </w:r>
            <w:r>
              <w:rPr>
                <w:sz w:val="24"/>
              </w:rPr>
              <w:t>.</w:t>
            </w:r>
            <w:r>
              <w:rPr>
                <w:sz w:val="24"/>
              </w:rPr>
              <w:t>6</w:t>
            </w:r>
            <w:r>
              <w:rPr>
                <w:sz w:val="24"/>
              </w:rPr>
              <w:t xml:space="preserve"> </w:t>
            </w:r>
            <w:r>
              <w:rPr>
                <w:sz w:val="24"/>
              </w:rPr>
              <w:t>设备具有多个系统镜像，当主用系统出现故障时，备用系统可接替主用系统工作，且支持通过任一备用系统对原主用系统进行修复；</w:t>
            </w:r>
          </w:p>
          <w:p>
            <w:pPr>
              <w:pStyle w:val="null3"/>
              <w:jc w:val="both"/>
            </w:pPr>
            <w:r>
              <w:rPr>
                <w:sz w:val="24"/>
              </w:rPr>
              <w:t>33</w:t>
            </w:r>
            <w:r>
              <w:rPr>
                <w:sz w:val="24"/>
              </w:rPr>
              <w:t>.</w:t>
            </w:r>
            <w:r>
              <w:rPr>
                <w:sz w:val="24"/>
              </w:rPr>
              <w:t>7</w:t>
            </w:r>
            <w:r>
              <w:rPr>
                <w:sz w:val="24"/>
              </w:rPr>
              <w:t xml:space="preserve"> </w:t>
            </w:r>
            <w:r>
              <w:rPr>
                <w:sz w:val="24"/>
              </w:rPr>
              <w:t>设备支持版本回退功能，在当前版本出现故障或操作失误后，可进行回退到历史版本，回退后录像正常回放，且历史录像完整；</w:t>
            </w:r>
          </w:p>
          <w:p>
            <w:pPr>
              <w:pStyle w:val="null3"/>
              <w:jc w:val="both"/>
            </w:pPr>
            <w:r>
              <w:rPr>
                <w:sz w:val="24"/>
              </w:rPr>
              <w:t>★</w:t>
            </w:r>
            <w:r>
              <w:rPr>
                <w:sz w:val="24"/>
              </w:rPr>
              <w:t>33</w:t>
            </w:r>
            <w:r>
              <w:rPr>
                <w:sz w:val="24"/>
              </w:rPr>
              <w:t>.</w:t>
            </w:r>
            <w:r>
              <w:rPr>
                <w:sz w:val="24"/>
              </w:rPr>
              <w:t>8</w:t>
            </w:r>
            <w:r>
              <w:rPr>
                <w:sz w:val="24"/>
              </w:rPr>
              <w:t xml:space="preserve"> </w:t>
            </w:r>
            <w:r>
              <w:rPr>
                <w:sz w:val="24"/>
              </w:rPr>
              <w:t>设备为原有韶关市公安局视频云存储系统扩容节点，须无缝直接接入原云存储系统中。</w:t>
            </w:r>
            <w:r>
              <w:rPr>
                <w:sz w:val="24"/>
                <w:b/>
              </w:rPr>
              <w:t>（须提供无缝接入承诺函</w:t>
            </w:r>
            <w:r>
              <w:rPr>
                <w:sz w:val="24"/>
                <w:b/>
              </w:rPr>
              <w:t>，并盖投标人公章</w:t>
            </w:r>
            <w:r>
              <w:rPr>
                <w:sz w:val="24"/>
                <w:b/>
              </w:rPr>
              <w:t>）</w:t>
            </w:r>
          </w:p>
          <w:p>
            <w:pPr>
              <w:pStyle w:val="null3"/>
              <w:jc w:val="both"/>
            </w:pPr>
            <w:r>
              <w:rPr>
                <w:sz w:val="24"/>
                <w:b/>
              </w:rPr>
              <w:t>34、</w:t>
            </w:r>
            <w:r>
              <w:rPr>
                <w:sz w:val="24"/>
                <w:b/>
              </w:rPr>
              <w:t>云存储管理软件扩容</w:t>
            </w:r>
          </w:p>
          <w:p>
            <w:pPr>
              <w:pStyle w:val="null3"/>
              <w:jc w:val="both"/>
            </w:pPr>
            <w:r>
              <w:rPr>
                <w:sz w:val="24"/>
              </w:rPr>
              <w:t>▲</w:t>
            </w:r>
            <w:r>
              <w:rPr>
                <w:sz w:val="24"/>
              </w:rPr>
              <w:t>34.1对原</w:t>
            </w:r>
            <w:r>
              <w:rPr>
                <w:sz w:val="24"/>
              </w:rPr>
              <w:t>视频云存储软件</w:t>
            </w:r>
            <w:r>
              <w:rPr>
                <w:sz w:val="24"/>
              </w:rPr>
              <w:t>进行扩容。</w:t>
            </w:r>
            <w:r>
              <w:rPr>
                <w:sz w:val="24"/>
                <w:b/>
              </w:rPr>
              <w:t>（须提供承诺函</w:t>
            </w:r>
            <w:r>
              <w:rPr>
                <w:sz w:val="24"/>
                <w:b/>
              </w:rPr>
              <w:t>，并盖投标人公章</w:t>
            </w:r>
            <w:r>
              <w:rPr>
                <w:sz w:val="24"/>
                <w:b/>
              </w:rPr>
              <w:t>）</w:t>
            </w:r>
          </w:p>
          <w:p>
            <w:pPr>
              <w:pStyle w:val="null3"/>
              <w:jc w:val="both"/>
            </w:pPr>
            <w:r>
              <w:rPr>
                <w:sz w:val="24"/>
                <w:b/>
              </w:rPr>
              <w:t>35、接入授权扩容</w:t>
            </w:r>
          </w:p>
          <w:p>
            <w:pPr>
              <w:pStyle w:val="null3"/>
              <w:jc w:val="both"/>
            </w:pPr>
            <w:r>
              <w:rPr>
                <w:sz w:val="24"/>
              </w:rPr>
              <w:t>▲</w:t>
            </w:r>
            <w:r>
              <w:rPr>
                <w:sz w:val="24"/>
              </w:rPr>
              <w:t xml:space="preserve">35.1 </w:t>
            </w:r>
            <w:r>
              <w:rPr>
                <w:sz w:val="24"/>
              </w:rPr>
              <w:t>公安视频图像信息应用平台</w:t>
            </w:r>
            <w:r>
              <w:rPr>
                <w:sz w:val="24"/>
              </w:rPr>
              <w:t>接入授权扩容。</w:t>
            </w:r>
            <w:r>
              <w:rPr>
                <w:sz w:val="24"/>
                <w:b/>
              </w:rPr>
              <w:t>（须提供承诺函</w:t>
            </w:r>
            <w:r>
              <w:rPr>
                <w:sz w:val="24"/>
                <w:b/>
              </w:rPr>
              <w:t>，并盖投标人公章</w:t>
            </w:r>
            <w:r>
              <w:rPr>
                <w:sz w:val="24"/>
                <w:b/>
              </w:rPr>
              <w:t>）</w:t>
            </w:r>
          </w:p>
          <w:p>
            <w:pPr>
              <w:pStyle w:val="null3"/>
              <w:jc w:val="both"/>
            </w:pPr>
            <w:r>
              <w:rPr>
                <w:sz w:val="24"/>
                <w:b/>
              </w:rPr>
              <w:t>36、</w:t>
            </w:r>
            <w:r>
              <w:rPr>
                <w:sz w:val="24"/>
                <w:b/>
              </w:rPr>
              <w:t>大数据服务扩容</w:t>
            </w:r>
          </w:p>
          <w:p>
            <w:pPr>
              <w:pStyle w:val="null3"/>
              <w:jc w:val="both"/>
            </w:pPr>
            <w:r>
              <w:rPr>
                <w:sz w:val="24"/>
              </w:rPr>
              <w:t xml:space="preserve">▲36.1 </w:t>
            </w:r>
            <w:r>
              <w:rPr>
                <w:sz w:val="24"/>
              </w:rPr>
              <w:t>大数据</w:t>
            </w:r>
            <w:r>
              <w:rPr>
                <w:sz w:val="24"/>
              </w:rPr>
              <w:t>平台</w:t>
            </w:r>
            <w:r>
              <w:rPr>
                <w:sz w:val="24"/>
              </w:rPr>
              <w:t>服务扩容</w:t>
            </w:r>
            <w:r>
              <w:rPr>
                <w:sz w:val="24"/>
              </w:rPr>
              <w:t>接入授权。</w:t>
            </w:r>
            <w:r>
              <w:rPr>
                <w:sz w:val="24"/>
                <w:b/>
              </w:rPr>
              <w:t>（须提供承诺函</w:t>
            </w:r>
            <w:r>
              <w:rPr>
                <w:sz w:val="24"/>
                <w:b/>
              </w:rPr>
              <w:t>，并盖投标人公章</w:t>
            </w:r>
            <w:r>
              <w:rPr>
                <w:sz w:val="24"/>
                <w:b/>
              </w:rPr>
              <w:t>）</w:t>
            </w:r>
          </w:p>
          <w:p>
            <w:pPr>
              <w:pStyle w:val="null3"/>
              <w:jc w:val="both"/>
            </w:pPr>
            <w:r>
              <w:rPr>
                <w:sz w:val="24"/>
                <w:b/>
              </w:rPr>
              <w:t>37、车辆算法</w:t>
            </w:r>
          </w:p>
          <w:p>
            <w:pPr>
              <w:pStyle w:val="null3"/>
              <w:jc w:val="both"/>
            </w:pPr>
            <w:r>
              <w:rPr>
                <w:sz w:val="24"/>
              </w:rPr>
              <w:t xml:space="preserve">▲37.1 </w:t>
            </w:r>
            <w:r>
              <w:rPr>
                <w:sz w:val="24"/>
              </w:rPr>
              <w:t>算法</w:t>
            </w:r>
            <w:r>
              <w:rPr>
                <w:sz w:val="24"/>
              </w:rPr>
              <w:t>1：支撑100万张/天治安卡口、电子警察场景下，对图片中的人体、机动车、非机动车进行检测，属性分析、建模，提取人体、机动车、非机动车的相关属性和向化量特征。</w:t>
            </w:r>
            <w:r>
              <w:rPr>
                <w:sz w:val="24"/>
                <w:b/>
              </w:rPr>
              <w:t>（须提供承诺函</w:t>
            </w:r>
            <w:r>
              <w:rPr>
                <w:sz w:val="24"/>
                <w:b/>
              </w:rPr>
              <w:t>，并盖投标人公章</w:t>
            </w:r>
            <w:r>
              <w:rPr>
                <w:sz w:val="24"/>
                <w:b/>
              </w:rPr>
              <w:t>）</w:t>
            </w:r>
          </w:p>
          <w:p>
            <w:pPr>
              <w:pStyle w:val="null3"/>
              <w:jc w:val="both"/>
            </w:pPr>
            <w:r>
              <w:rPr>
                <w:sz w:val="24"/>
              </w:rPr>
              <w:t>▲37.2算法2：支撑100万张/天过车图片进行结构化和特征分析识别，车辆解析算法对每天过车图片数据进行特征解析，包括车辆号牌，7种号牌颜色，号牌类别，车辆型号，车辆类别，12种车身颜色，车身综合特征（天窗、行车驾、纸箱和、摆件挂件等特征识别）</w:t>
            </w:r>
            <w:r>
              <w:rPr>
                <w:sz w:val="24"/>
                <w:b/>
              </w:rPr>
              <w:t>（须提供承诺函</w:t>
            </w:r>
            <w:r>
              <w:rPr>
                <w:sz w:val="24"/>
                <w:b/>
              </w:rPr>
              <w:t>，并盖投标人公章</w:t>
            </w:r>
            <w:r>
              <w:rPr>
                <w:sz w:val="24"/>
                <w:b/>
              </w:rPr>
              <w:t>）</w:t>
            </w:r>
          </w:p>
          <w:p>
            <w:pPr>
              <w:pStyle w:val="null3"/>
              <w:jc w:val="both"/>
            </w:pPr>
            <w:r>
              <w:rPr>
                <w:sz w:val="24"/>
              </w:rPr>
              <w:t>★</w:t>
            </w:r>
            <w:r>
              <w:rPr>
                <w:sz w:val="24"/>
              </w:rPr>
              <w:t>37.3</w:t>
            </w:r>
            <w:r>
              <w:rPr>
                <w:sz w:val="21"/>
              </w:rPr>
              <w:t xml:space="preserve"> </w:t>
            </w:r>
            <w:r>
              <w:rPr>
                <w:sz w:val="24"/>
              </w:rPr>
              <w:t>算法</w:t>
            </w:r>
            <w:r>
              <w:rPr>
                <w:sz w:val="24"/>
              </w:rPr>
              <w:t>须</w:t>
            </w:r>
            <w:r>
              <w:rPr>
                <w:sz w:val="24"/>
              </w:rPr>
              <w:t>与平台原算法</w:t>
            </w:r>
            <w:r>
              <w:rPr>
                <w:sz w:val="24"/>
              </w:rPr>
              <w:t>无缝</w:t>
            </w:r>
            <w:r>
              <w:rPr>
                <w:sz w:val="24"/>
              </w:rPr>
              <w:t>兼容</w:t>
            </w:r>
            <w:r>
              <w:rPr>
                <w:sz w:val="24"/>
              </w:rPr>
              <w:t>。</w:t>
            </w:r>
            <w:r>
              <w:rPr>
                <w:sz w:val="24"/>
                <w:b/>
              </w:rPr>
              <w:t>（须提供无缝</w:t>
            </w:r>
            <w:r>
              <w:rPr>
                <w:sz w:val="24"/>
                <w:b/>
              </w:rPr>
              <w:t>兼容</w:t>
            </w:r>
            <w:r>
              <w:rPr>
                <w:sz w:val="24"/>
                <w:b/>
              </w:rPr>
              <w:t>承诺函</w:t>
            </w:r>
            <w:r>
              <w:rPr>
                <w:sz w:val="24"/>
                <w:b/>
              </w:rPr>
              <w:t>，并盖投标人公章</w:t>
            </w:r>
            <w:r>
              <w:rPr>
                <w:sz w:val="24"/>
                <w:b/>
              </w:rPr>
              <w:t>）</w:t>
            </w:r>
          </w:p>
          <w:p>
            <w:pPr>
              <w:pStyle w:val="null3"/>
              <w:jc w:val="both"/>
            </w:pPr>
            <w:r>
              <w:rPr>
                <w:sz w:val="24"/>
                <w:b/>
              </w:rPr>
              <w:t>3</w:t>
            </w:r>
            <w:r>
              <w:rPr>
                <w:sz w:val="24"/>
                <w:b/>
              </w:rPr>
              <w:t>8</w:t>
            </w:r>
            <w:r>
              <w:rPr>
                <w:sz w:val="24"/>
                <w:b/>
              </w:rPr>
              <w:t>、</w:t>
            </w:r>
            <w:r>
              <w:rPr>
                <w:sz w:val="24"/>
                <w:b/>
              </w:rPr>
              <w:t>GPU卡</w:t>
            </w:r>
          </w:p>
          <w:p>
            <w:pPr>
              <w:pStyle w:val="null3"/>
              <w:jc w:val="both"/>
            </w:pPr>
            <w:r>
              <w:rPr>
                <w:sz w:val="24"/>
              </w:rPr>
              <w:t>▲</w:t>
            </w:r>
            <w:r>
              <w:rPr>
                <w:sz w:val="24"/>
              </w:rPr>
              <w:t>3</w:t>
            </w:r>
            <w:r>
              <w:rPr>
                <w:sz w:val="24"/>
              </w:rPr>
              <w:t>8</w:t>
            </w:r>
            <w:r>
              <w:rPr>
                <w:sz w:val="24"/>
              </w:rPr>
              <w:t>.1</w:t>
            </w:r>
            <w:r>
              <w:rPr>
                <w:sz w:val="21"/>
              </w:rPr>
              <w:t xml:space="preserve">  </w:t>
            </w:r>
            <w:r>
              <w:rPr>
                <w:sz w:val="24"/>
              </w:rPr>
              <w:t>显存</w:t>
            </w:r>
            <w:r>
              <w:rPr>
                <w:sz w:val="24"/>
              </w:rPr>
              <w:t>≥16G，GDDR6；位宽≥256bit；带宽≥320GB/秒。</w:t>
            </w:r>
          </w:p>
          <w:p>
            <w:pPr>
              <w:pStyle w:val="null3"/>
              <w:jc w:val="both"/>
            </w:pPr>
            <w:r>
              <w:rPr>
                <w:sz w:val="24"/>
              </w:rPr>
              <w:t>★</w:t>
            </w:r>
            <w:r>
              <w:rPr>
                <w:sz w:val="24"/>
              </w:rPr>
              <w:t xml:space="preserve"> </w:t>
            </w:r>
            <w:r>
              <w:rPr>
                <w:sz w:val="24"/>
              </w:rPr>
              <w:t>3</w:t>
            </w:r>
            <w:r>
              <w:rPr>
                <w:sz w:val="24"/>
              </w:rPr>
              <w:t>8</w:t>
            </w:r>
            <w:r>
              <w:rPr>
                <w:sz w:val="24"/>
              </w:rPr>
              <w:t>.2  GPU卡</w:t>
            </w:r>
            <w:r>
              <w:rPr>
                <w:sz w:val="24"/>
              </w:rPr>
              <w:t>须</w:t>
            </w:r>
            <w:r>
              <w:rPr>
                <w:sz w:val="24"/>
              </w:rPr>
              <w:t>与原系统</w:t>
            </w:r>
            <w:r>
              <w:rPr>
                <w:sz w:val="24"/>
              </w:rPr>
              <w:t>无缝</w:t>
            </w:r>
            <w:r>
              <w:rPr>
                <w:sz w:val="24"/>
              </w:rPr>
              <w:t>兼容</w:t>
            </w:r>
            <w:r>
              <w:rPr>
                <w:sz w:val="24"/>
              </w:rPr>
              <w:t>。</w:t>
            </w:r>
            <w:r>
              <w:rPr>
                <w:sz w:val="24"/>
                <w:b/>
              </w:rPr>
              <w:t>（须提供无缝</w:t>
            </w:r>
            <w:r>
              <w:rPr>
                <w:sz w:val="24"/>
                <w:b/>
              </w:rPr>
              <w:t>兼容</w:t>
            </w:r>
            <w:r>
              <w:rPr>
                <w:sz w:val="24"/>
                <w:b/>
              </w:rPr>
              <w:t>承诺函</w:t>
            </w:r>
            <w:r>
              <w:rPr>
                <w:sz w:val="24"/>
                <w:b/>
              </w:rPr>
              <w:t>，并盖投标人公章</w:t>
            </w:r>
            <w:r>
              <w:rPr>
                <w:sz w:val="24"/>
                <w:b/>
              </w:rPr>
              <w:t>）</w:t>
            </w:r>
          </w:p>
          <w:p>
            <w:pPr>
              <w:pStyle w:val="null3"/>
              <w:jc w:val="both"/>
            </w:pPr>
            <w:r>
              <w:rPr>
                <w:sz w:val="24"/>
                <w:b/>
              </w:rPr>
              <w:t>39</w:t>
            </w:r>
            <w:r>
              <w:rPr>
                <w:sz w:val="24"/>
                <w:b/>
              </w:rPr>
              <w:t>、容器云管理平台扩容</w:t>
            </w:r>
          </w:p>
          <w:p>
            <w:pPr>
              <w:pStyle w:val="null3"/>
              <w:jc w:val="both"/>
            </w:pPr>
            <w:r>
              <w:rPr>
                <w:sz w:val="24"/>
              </w:rPr>
              <w:t>39</w:t>
            </w:r>
            <w:r>
              <w:rPr>
                <w:sz w:val="24"/>
              </w:rPr>
              <w:t>.1</w:t>
            </w:r>
            <w:r>
              <w:rPr>
                <w:sz w:val="24"/>
              </w:rPr>
              <w:t>在韶关市公安局原有容器云管理平台扩容一张</w:t>
            </w:r>
            <w:r>
              <w:rPr>
                <w:sz w:val="24"/>
              </w:rPr>
              <w:t>GPU授权。</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公安局2024年高速公路服务区出入卡口补点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采购包1（韶关市公安局2024年高速公路服务区出入卡口补点建设项目）：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15%</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采购包1（韶关市公安局2024年高速公路服务区出入卡口补点建设项目）：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w:t>
            </w:r>
          </w:p>
        </w:tc>
      </w:tr>
    </w:tbl>
    <w:p>
      <w:pPr>
        <w:pStyle w:val="null3"/>
        <w:ind w:firstLine="480"/>
      </w:pPr>
      <w:r>
        <w:rPr/>
        <w:t>表二符合性审查表：</w:t>
      </w:r>
    </w:p>
    <w:p>
      <w:pPr>
        <w:pStyle w:val="null3"/>
      </w:pPr>
      <w:r>
        <w:rPr/>
        <w:t>采购包1（韶关市公安局2024年高速公路服务区出入卡口补点建设项目）：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①投标报价未超过采购文件中规定的最高限价/采购项目预算价；②投标文件未出现选择性报价或有附加条件报价的情形。</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w:t>
            </w:r>
          </w:p>
        </w:tc>
      </w:tr>
      <w:tr>
        <w:tc>
          <w:tcPr>
            <w:tcW w:type="dxa" w:w="890"/>
          </w:tcPr>
          <w:p>
            <w:pPr>
              <w:pStyle w:val="null3"/>
            </w:pPr>
            <w:r>
              <w:rPr/>
              <w:t>4</w:t>
            </w:r>
          </w:p>
        </w:tc>
        <w:tc>
          <w:tcPr>
            <w:tcW w:type="dxa" w:w="3178"/>
          </w:tcPr>
          <w:p>
            <w:pPr>
              <w:pStyle w:val="null3"/>
            </w:pPr>
            <w:r>
              <w:rPr/>
              <w:t>其他无效响应情况</w:t>
            </w:r>
          </w:p>
        </w:tc>
        <w:tc>
          <w:tcPr>
            <w:tcW w:type="dxa" w:w="4238"/>
          </w:tcPr>
          <w:p>
            <w:pPr>
              <w:pStyle w:val="null3"/>
            </w:pPr>
            <w:r>
              <w:rPr/>
              <w:t>①投标文件没有招标文件中规定的其他无效响应条款；②投标文件无采购人不能接受的附加条件。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采购包1(韶关市公安局2024年高速公路服务区出入卡口补点建设项目):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技术参数响应情况 (15.0分)</w:t>
            </w:r>
          </w:p>
        </w:tc>
        <w:tc>
          <w:tcPr>
            <w:tcW w:type="dxa" w:w="5076"/>
          </w:tcPr>
          <w:p>
            <w:pPr>
              <w:pStyle w:val="null3"/>
              <w:jc w:val="left"/>
            </w:pPr>
            <w:r>
              <w:rPr/>
              <w:t>投标人完全响应采购需求中“2.技术标准与要求”带“▲”号（共15个）的重要性技术要求，得15分，每一项不响应的扣1分，扣完为止。 注：采购需求有要求提供证明材料的，按采购需求要求提供。采购需求未要求的，以供应商提供的《技术参数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一般参数响应程度 (10.0分)</w:t>
            </w:r>
          </w:p>
        </w:tc>
        <w:tc>
          <w:tcPr>
            <w:tcW w:type="dxa" w:w="5076"/>
          </w:tcPr>
          <w:p>
            <w:pPr>
              <w:pStyle w:val="null3"/>
              <w:jc w:val="left"/>
            </w:pPr>
            <w:r>
              <w:rPr/>
              <w:t>投标人完全响应采购需求中“2.技术标准与要求”不带“▲”或“★”号（共100个）的一般性技术要求，得10分，每一项不响应的扣0.1分，扣完为止。 注：采购需求有要求提供证明材料的，按采购需求要求提供。采购需求未要求的，以供应商提供的《技术参数响应表》填写的“是否偏离”为准，未填写或未响应的视为负偏离。凡标有最低一级序号的指标项即为一项技术条款，无论是否隶属于上一级编号。相同内容的条款不重复计算项数。</w:t>
            </w:r>
          </w:p>
        </w:tc>
      </w:tr>
      <w:tr>
        <w:tc>
          <w:tcPr>
            <w:tcW w:type="dxa" w:w="922"/>
            <w:gridSpan w:val="2"/>
            <w:vMerge/>
          </w:tcPr>
          <w:p/>
        </w:tc>
        <w:tc>
          <w:tcPr>
            <w:tcW w:type="dxa" w:w="2307"/>
          </w:tcPr>
          <w:p>
            <w:pPr>
              <w:pStyle w:val="null3"/>
              <w:jc w:val="left"/>
            </w:pPr>
            <w:r>
              <w:rPr/>
              <w:t>整体技术方案 (10.0分)</w:t>
            </w:r>
            <w:r>
              <w:rPr/>
              <w:t>，（等次分值选择：</w:t>
            </w:r>
            <w:r>
              <w:rPr/>
              <w:t>0.0;</w:t>
            </w:r>
            <w:r>
              <w:rPr/>
              <w:t>1.0;</w:t>
            </w:r>
            <w:r>
              <w:rPr/>
              <w:t>4.0;</w:t>
            </w:r>
            <w:r>
              <w:rPr/>
              <w:t>7.0;</w:t>
            </w:r>
            <w:r>
              <w:rPr/>
              <w:t>10.0;</w:t>
            </w:r>
            <w:r>
              <w:rPr/>
              <w:t>）</w:t>
            </w:r>
          </w:p>
        </w:tc>
        <w:tc>
          <w:tcPr>
            <w:tcW w:type="dxa" w:w="5076"/>
          </w:tcPr>
          <w:p>
            <w:pPr>
              <w:pStyle w:val="null3"/>
              <w:jc w:val="left"/>
            </w:pPr>
            <w:r>
              <w:rPr/>
              <w:t>根据投标人提供的整体系统技术方案（包括但不限于：①对本项目工作的理解程度、②对系统结构及功能应用等内容）进行综合评审： 1、方案涵盖上述所有内容项，整体系统技术方案对需求理解准确，方案描述详细、合理，架构清晰，对系统结构及功能应用描述详尽、准确,得10分； 2、方案涵盖上述所有内容项，整体系统技术方案对需求理解较准确，方案描述较合理，架构较清晰，对系统结构及功能应用描述较详尽,得7分； 3、方案涵盖上述所有内容项，整体系统技术方案对需求理解基本准确，方案描述基本合理，架构基本清晰，对系统结构及功能应用描述一般,得4分； 4、方案涵盖上述部分内容项，方案欠合理、欠准确，得1分。 注：未提供，不得分。</w:t>
            </w:r>
          </w:p>
        </w:tc>
      </w:tr>
      <w:tr>
        <w:tc>
          <w:tcPr>
            <w:tcW w:type="dxa" w:w="922"/>
            <w:gridSpan w:val="2"/>
            <w:vMerge/>
          </w:tcPr>
          <w:p/>
        </w:tc>
        <w:tc>
          <w:tcPr>
            <w:tcW w:type="dxa" w:w="2307"/>
          </w:tcPr>
          <w:p>
            <w:pPr>
              <w:pStyle w:val="null3"/>
              <w:jc w:val="left"/>
            </w:pPr>
            <w:r>
              <w:rPr/>
              <w:t>售后服务 (5.0分)</w:t>
            </w:r>
            <w:r>
              <w:rPr/>
              <w:t>，（等次分值选择：</w:t>
            </w:r>
            <w:r>
              <w:rPr/>
              <w:t>0.0;</w:t>
            </w:r>
            <w:r>
              <w:rPr/>
              <w:t>1.0;</w:t>
            </w:r>
            <w:r>
              <w:rPr/>
              <w:t>3.0;</w:t>
            </w:r>
            <w:r>
              <w:rPr/>
              <w:t>5.0;</w:t>
            </w:r>
            <w:r>
              <w:rPr/>
              <w:t>）</w:t>
            </w:r>
          </w:p>
        </w:tc>
        <w:tc>
          <w:tcPr>
            <w:tcW w:type="dxa" w:w="5076"/>
          </w:tcPr>
          <w:p>
            <w:pPr>
              <w:pStyle w:val="null3"/>
              <w:jc w:val="left"/>
            </w:pPr>
            <w:r>
              <w:rPr/>
              <w:t>根据投标人对采购需求中其他商务需求“7.售后及应急服务要求”提供响应方案（包括但不限于质保期、售后人员安排、售后服务方案、各类突发事件的应急措施和应急处理方案等内容）与项目实施的配合程度进行评审： 1、涵盖上述内容，售后服务方案详尽、完善的售后服务与应急措施，对售后人员安排、售后服务方案、各类突发事件的应急措施和应急处理方案等有详尽描述，完全满足或优于采购人需求，有利于项目实施，得5分； 2、涵盖上述内容，提供简单的售后服务与应急措施，对售后人员安排、售后服务方案、各类突发事件的应急措施和应急处理方案等有简单描述，部分满足采购人需求，得3分； 3、涵盖上述部分内容，售后服务与应急措施不够全面，描述不全，得1分。 注：未提供，不得分。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投标人资质 (6.0分)</w:t>
            </w:r>
          </w:p>
        </w:tc>
        <w:tc>
          <w:tcPr>
            <w:tcW w:type="dxa" w:w="5076"/>
          </w:tcPr>
          <w:p>
            <w:pPr>
              <w:pStyle w:val="null3"/>
              <w:jc w:val="left"/>
            </w:pPr>
            <w:r>
              <w:rPr/>
              <w:t>投标人具有： 1、质量管理体系认证证书，得2分； 2、职业健康安全管理体系认证证书，得2分； 3、环境管理体系认证证书，得2分； 提供符合要求的证书，每个证书得2分，上限6分。 注：提供有效期内的：①认证证书复印件、②在国家认监委网站（网址：http://www.cnca.gov.cn/） 对证书的信息查询截图作为评审依据（ 以网站公布为准，供应商可通过网站首页中“互联网+服务—查询服务—认证结果”进行查询），已失效或撤销的不得分，公开信息中无法查询或与公开信息不一致的（如暂停的），供应商必须提供发证机构出具的证明函，否则不得分。 （2）如因成立时间不满足认证时间要求且办理认证所需要合理时间不足导致未能获得认证证书的，供应商提供说明文件明确以上事项，说明合理且属实的，可对应得分。</w:t>
            </w:r>
          </w:p>
        </w:tc>
      </w:tr>
      <w:tr>
        <w:tc>
          <w:tcPr>
            <w:tcW w:type="dxa" w:w="922"/>
            <w:gridSpan w:val="2"/>
            <w:vMerge/>
          </w:tcPr>
          <w:p/>
        </w:tc>
        <w:tc>
          <w:tcPr>
            <w:tcW w:type="dxa" w:w="2307"/>
          </w:tcPr>
          <w:p>
            <w:pPr>
              <w:pStyle w:val="null3"/>
              <w:jc w:val="left"/>
            </w:pPr>
            <w:r>
              <w:rPr/>
              <w:t>投入本项目的项目经理专业技术能力 (6.0分)</w:t>
            </w:r>
          </w:p>
        </w:tc>
        <w:tc>
          <w:tcPr>
            <w:tcW w:type="dxa" w:w="5076"/>
          </w:tcPr>
          <w:p>
            <w:pPr>
              <w:pStyle w:val="null3"/>
              <w:jc w:val="left"/>
            </w:pPr>
            <w:r>
              <w:rPr/>
              <w:t>项目经理具备资质： 1、具有人社部和工信部颁发的信息系统项目管理师证书，得2分； 2、具有网络规划设计师证书，得2分； 3、具有安防系统工程师证书，得2分； 注：以上最高得6分，提供以上人员证书复印件（或打印件）及投标人为其缴纳的投标截止日期前六个月内任意一个月社保证明资料复印件并加盖公章为评审依据。未提供上述证明资料不得分。</w:t>
            </w:r>
          </w:p>
        </w:tc>
      </w:tr>
      <w:tr>
        <w:tc>
          <w:tcPr>
            <w:tcW w:type="dxa" w:w="922"/>
            <w:gridSpan w:val="2"/>
            <w:vMerge/>
          </w:tcPr>
          <w:p/>
        </w:tc>
        <w:tc>
          <w:tcPr>
            <w:tcW w:type="dxa" w:w="2307"/>
          </w:tcPr>
          <w:p>
            <w:pPr>
              <w:pStyle w:val="null3"/>
              <w:jc w:val="left"/>
            </w:pPr>
            <w:r>
              <w:rPr/>
              <w:t>投入本项目的技术团队人员专业技术能力 (7.0分)</w:t>
            </w:r>
          </w:p>
        </w:tc>
        <w:tc>
          <w:tcPr>
            <w:tcW w:type="dxa" w:w="5076"/>
          </w:tcPr>
          <w:p>
            <w:pPr>
              <w:pStyle w:val="null3"/>
              <w:jc w:val="left"/>
            </w:pPr>
            <w:r>
              <w:rPr/>
              <w:t>项目团队人员具备资质（项目经理除外）： 1、具有智能建筑弱电中级或以上工程师证书的，得1分； 2、具有人社部和工信部颁发的网络工程师证书的，每提供1个得1分，最高得2分； 3、具有中级或以上安全防范系统安装维护员职业资格证书的，每提供1个得1分，最高得2分； 4、具有电工（含初级电气工程师）证的，每提供1个得1分，最高得2分。 注：本项最高得7分。提供以上人员证书复印件（或打印件）及投标人为其缴纳的投标截止日期前六个月内任意一个月社保证明资料复印件并加盖公章为评审依据。未提供上述证明资料不得分。同一人取得多个证书的不重复计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投标人自2021年1月1日至今同类业绩经验（包括安防维保、视频监控设备安装等），每提供一项得1分，本项最高6分。 注：提供中标（或成交）通知书和合同复印件并加盖投标人公章作为评审依据。</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rPr>
        <w:t>注：本合同仅为合同的参考文本，合同签订双方可根据项目的具体要求进行修订，但不得偏离实质性条款。</w:t>
      </w:r>
    </w:p>
    <w:p>
      <w:pPr>
        <w:pStyle w:val="null3"/>
        <w:ind w:firstLine="422"/>
        <w:jc w:val="both"/>
      </w:pPr>
      <w:r>
        <w:rPr>
          <w:sz w:val="21"/>
          <w:b/>
        </w:rPr>
        <w:t>甲方：</w:t>
      </w:r>
      <w:r>
        <w:rPr>
          <w:sz w:val="21"/>
          <w:b/>
          <w:u w:val="single"/>
        </w:rPr>
        <w:t xml:space="preserve">                           </w:t>
      </w:r>
    </w:p>
    <w:p>
      <w:pPr>
        <w:pStyle w:val="null3"/>
        <w:ind w:firstLine="422"/>
        <w:jc w:val="both"/>
      </w:pPr>
      <w:r>
        <w:rPr>
          <w:sz w:val="21"/>
          <w:b/>
        </w:rPr>
        <w:t>乙方：</w:t>
      </w:r>
      <w:r>
        <w:rPr>
          <w:sz w:val="21"/>
          <w:b/>
          <w:u w:val="single"/>
        </w:rPr>
        <w:t xml:space="preserve">                           </w:t>
      </w:r>
      <w:r>
        <w:rPr>
          <w:sz w:val="21"/>
        </w:rPr>
        <w:t xml:space="preserve">   </w:t>
      </w:r>
    </w:p>
    <w:p>
      <w:pPr>
        <w:pStyle w:val="null3"/>
        <w:ind w:firstLine="411"/>
        <w:jc w:val="both"/>
      </w:pPr>
      <w:r>
        <w:rPr>
          <w:sz w:val="21"/>
        </w:rPr>
        <w:t xml:space="preserve"> </w:t>
      </w:r>
      <w:r>
        <w:rPr>
          <w:sz w:val="21"/>
        </w:rPr>
        <w:t>根据</w:t>
      </w:r>
      <w:r>
        <w:rPr>
          <w:sz w:val="21"/>
          <w:u w:val="single"/>
        </w:rPr>
        <w:t>韶关市公安局</w:t>
      </w:r>
      <w:r>
        <w:rPr>
          <w:sz w:val="21"/>
          <w:u w:val="single"/>
        </w:rPr>
        <w:t>2024年高速公路服务区出入卡口补点建设项目</w:t>
      </w:r>
      <w:r>
        <w:rPr>
          <w:sz w:val="21"/>
        </w:rPr>
        <w:t>的采购结果，根据《中华人民共和国招标投标法》《中华人民共和国民法典》及其他相关法律法规的规定，经双方协商，本着平等互利和诚实信用的原则，一致同意签订本合同如下。</w:t>
      </w:r>
    </w:p>
    <w:p>
      <w:pPr>
        <w:pStyle w:val="null3"/>
        <w:jc w:val="both"/>
      </w:pPr>
      <w:r>
        <w:rPr>
          <w:sz w:val="24"/>
          <w:b/>
        </w:rPr>
        <w:t>一、</w:t>
      </w:r>
      <w:r>
        <w:rPr>
          <w:sz w:val="24"/>
          <w:b/>
        </w:rPr>
        <w:t>合同标的</w:t>
      </w:r>
    </w:p>
    <w:p>
      <w:pPr>
        <w:pStyle w:val="null3"/>
        <w:ind w:firstLine="210"/>
        <w:jc w:val="left"/>
      </w:pPr>
      <w:r>
        <w:rPr>
          <w:sz w:val="21"/>
          <w:shd w:fill="FFFFFF" w:val="clear"/>
        </w:rPr>
        <w:t>乙方根据甲方要求提供以下货物：</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1601"/>
        <w:gridCol w:w="1676"/>
        <w:gridCol w:w="1305"/>
        <w:gridCol w:w="1275"/>
        <w:gridCol w:w="1275"/>
        <w:gridCol w:w="1112"/>
      </w:tblGrid>
      <w:tr>
        <w:tc>
          <w:tcPr>
            <w:tcW w:type="dxa" w:w="1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货物品名</w:t>
            </w:r>
          </w:p>
        </w:tc>
        <w:tc>
          <w:tcPr>
            <w:tcW w:type="dxa" w:w="1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w:t>
            </w:r>
          </w:p>
        </w:tc>
        <w:tc>
          <w:tcPr>
            <w:tcW w:type="dxa" w:w="1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生产厂家</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r>
              <w:rPr>
                <w:sz w:val="21"/>
                <w:b/>
              </w:rPr>
              <w:t>（</w:t>
            </w:r>
            <w:r>
              <w:rPr>
                <w:sz w:val="21"/>
                <w:b/>
              </w:rPr>
              <w:t>单位</w:t>
            </w:r>
            <w:r>
              <w:rPr>
                <w:sz w:val="21"/>
                <w:b/>
              </w:rPr>
              <w:t>）</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1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总价</w:t>
            </w: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shd w:fill="FFFFFF" w:val="clear"/>
        </w:rPr>
        <w:t>以上货物具体的供货范围、技术规格和技术要求详见合同附件。</w:t>
      </w:r>
    </w:p>
    <w:p>
      <w:pPr>
        <w:pStyle w:val="null3"/>
        <w:jc w:val="both"/>
      </w:pPr>
      <w:r>
        <w:rPr>
          <w:sz w:val="24"/>
          <w:b/>
        </w:rPr>
        <w:t>二、合同金额</w:t>
      </w:r>
    </w:p>
    <w:p>
      <w:pPr>
        <w:pStyle w:val="null3"/>
        <w:ind w:firstLine="420"/>
        <w:jc w:val="both"/>
      </w:pPr>
      <w:r>
        <w:rPr>
          <w:sz w:val="21"/>
        </w:rPr>
        <w:t>人民币</w:t>
      </w:r>
      <w:r>
        <w:rPr>
          <w:sz w:val="21"/>
          <w:b/>
          <w:u w:val="single"/>
        </w:rPr>
        <w:t xml:space="preserve">                </w:t>
      </w:r>
      <w:r>
        <w:rPr>
          <w:sz w:val="21"/>
        </w:rPr>
        <w:t>（￥</w:t>
      </w:r>
      <w:r>
        <w:rPr>
          <w:sz w:val="21"/>
          <w:b/>
          <w:u w:val="single"/>
        </w:rPr>
        <w:t xml:space="preserve">                </w:t>
      </w:r>
      <w:r>
        <w:rPr>
          <w:sz w:val="21"/>
        </w:rPr>
        <w:t>元）。</w:t>
      </w:r>
    </w:p>
    <w:p>
      <w:pPr>
        <w:pStyle w:val="null3"/>
        <w:ind w:firstLine="420"/>
        <w:jc w:val="both"/>
      </w:pPr>
      <w:r>
        <w:rPr>
          <w:sz w:val="21"/>
        </w:rPr>
        <w:t>注：</w:t>
      </w:r>
      <w:r>
        <w:rPr>
          <w:sz w:val="21"/>
        </w:rPr>
        <w:t>合同金额</w:t>
      </w:r>
      <w:r>
        <w:rPr>
          <w:sz w:val="21"/>
        </w:rPr>
        <w:t>为人民币含税全包价，包含但不限于</w:t>
      </w:r>
      <w:r>
        <w:rPr>
          <w:sz w:val="21"/>
        </w:rPr>
        <w:t>货物及零配件的运输费、装卸费、保险费、安装费、调试费、材料费、技术服务费、材料检测费、培训费、保修费、税费、合理利润、风险费用及合同签订过程中可预见和不可预见费用。在合同执行过程中，甲方将不再另行支付与本项目相关的任何费用（非本项目要求的其它内容除外）。</w:t>
      </w:r>
    </w:p>
    <w:p>
      <w:pPr>
        <w:pStyle w:val="null3"/>
        <w:jc w:val="both"/>
      </w:pPr>
      <w:r>
        <w:rPr>
          <w:sz w:val="24"/>
          <w:b/>
        </w:rPr>
        <w:t>三、</w:t>
      </w:r>
      <w:r>
        <w:rPr>
          <w:sz w:val="24"/>
          <w:b/>
        </w:rPr>
        <w:t>标的提供的时间</w:t>
      </w:r>
      <w:r>
        <w:rPr>
          <w:sz w:val="24"/>
          <w:b/>
        </w:rPr>
        <w:t>及交货地点</w:t>
      </w:r>
    </w:p>
    <w:p>
      <w:pPr>
        <w:pStyle w:val="null3"/>
        <w:ind w:firstLine="210"/>
        <w:jc w:val="both"/>
      </w:pPr>
      <w:r>
        <w:rPr>
          <w:sz w:val="21"/>
        </w:rPr>
        <w:t>1、</w:t>
      </w:r>
      <w:r>
        <w:rPr>
          <w:sz w:val="21"/>
        </w:rPr>
        <w:t>标的提供的时间</w:t>
      </w:r>
      <w:r>
        <w:rPr>
          <w:sz w:val="21"/>
        </w:rPr>
        <w:t>：自合同签订</w:t>
      </w:r>
      <w:r>
        <w:rPr>
          <w:sz w:val="21"/>
        </w:rPr>
        <w:t>之日起</w:t>
      </w:r>
      <w:r>
        <w:rPr>
          <w:sz w:val="21"/>
          <w:u w:val="single"/>
        </w:rPr>
        <w:t xml:space="preserve">      </w:t>
      </w:r>
      <w:r>
        <w:rPr>
          <w:sz w:val="21"/>
        </w:rPr>
        <w:t>个日历日内</w:t>
      </w:r>
      <w:r>
        <w:rPr>
          <w:sz w:val="21"/>
        </w:rPr>
        <w:t>。</w:t>
      </w:r>
    </w:p>
    <w:p>
      <w:pPr>
        <w:pStyle w:val="null3"/>
        <w:ind w:firstLine="210"/>
        <w:jc w:val="both"/>
      </w:pPr>
      <w:r>
        <w:rPr>
          <w:sz w:val="21"/>
        </w:rPr>
        <w:t>2</w:t>
      </w:r>
      <w:r>
        <w:rPr>
          <w:sz w:val="21"/>
        </w:rPr>
        <w:t>、标的提供的地点：</w:t>
      </w:r>
      <w:r>
        <w:rPr>
          <w:sz w:val="21"/>
        </w:rPr>
        <w:t>甲方</w:t>
      </w:r>
      <w:r>
        <w:rPr>
          <w:sz w:val="21"/>
        </w:rPr>
        <w:t>指定地点。</w:t>
      </w:r>
    </w:p>
    <w:p>
      <w:pPr>
        <w:pStyle w:val="null3"/>
        <w:jc w:val="both"/>
      </w:pPr>
      <w:r>
        <w:rPr>
          <w:sz w:val="24"/>
          <w:b/>
        </w:rPr>
        <w:t>四、建设点位情况</w:t>
      </w:r>
    </w:p>
    <w:tbl>
      <w:tblPr>
        <w:tblW w:w="0" w:type="auto"/>
        <w:tblBorders>
          <w:top w:val="none" w:color="000000" w:sz="4"/>
          <w:left w:val="none" w:color="000000" w:sz="4"/>
          <w:bottom w:val="none" w:color="000000" w:sz="4"/>
          <w:right w:val="none" w:color="000000" w:sz="4"/>
          <w:insideH w:val="none"/>
          <w:insideV w:val="none"/>
        </w:tblBorders>
      </w:tblPr>
      <w:tblGrid>
        <w:gridCol w:w="795"/>
        <w:gridCol w:w="2567"/>
        <w:gridCol w:w="1360"/>
        <w:gridCol w:w="1822"/>
        <w:gridCol w:w="1733"/>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2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业主单位</w:t>
            </w:r>
          </w:p>
        </w:tc>
        <w:tc>
          <w:tcPr>
            <w:tcW w:type="dxa" w:w="1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高速路段</w:t>
            </w:r>
          </w:p>
        </w:tc>
        <w:tc>
          <w:tcPr>
            <w:tcW w:type="dxa" w:w="18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服务区</w:t>
            </w:r>
          </w:p>
        </w:tc>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卡口数量</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武深高速（仁新段）</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京港澳高速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广东省路桥建设发展有限公司广韶分公司</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广东省南粤交通韶赣高速公路管理中心</w:t>
            </w:r>
          </w:p>
        </w:tc>
        <w:tc>
          <w:tcPr>
            <w:tcW w:type="dxa" w:w="1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韶赣高速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2</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广东省南韶交通韶赣高速公路管理中心</w:t>
            </w:r>
          </w:p>
        </w:tc>
        <w:tc>
          <w:tcPr>
            <w:tcW w:type="dxa" w:w="1360"/>
            <w:vMerge/>
            <w:tcBorders>
              <w:top w:val="none" w:color="000000" w:sz="4"/>
              <w:left w:val="single" w:color="000000" w:sz="4"/>
              <w:bottom w:val="single" w:color="000000" w:sz="4"/>
              <w:right w:val="single" w:color="000000" w:sz="4"/>
            </w:tcBorders>
          </w:tcP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3</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广东省乐广高速公路有限公司</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乐广高速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汕昆高速（连英段）</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广东省交通集团</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汕昆高速龙连段</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韶新高速公路公司</w:t>
            </w:r>
          </w:p>
        </w:tc>
        <w:tc>
          <w:tcPr>
            <w:tcW w:type="dxa" w:w="1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韶新高速</w:t>
            </w:r>
          </w:p>
        </w:tc>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服务区</w:t>
            </w:r>
            <w:r>
              <w:rPr>
                <w:sz w:val="24"/>
              </w:rPr>
              <w:t>1</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bl>
    <w:p>
      <w:pPr>
        <w:pStyle w:val="null3"/>
        <w:jc w:val="both"/>
      </w:pPr>
      <w:r>
        <w:rPr>
          <w:sz w:val="24"/>
          <w:b/>
        </w:rPr>
        <w:t>五、包装、运输</w:t>
      </w:r>
    </w:p>
    <w:p>
      <w:pPr>
        <w:pStyle w:val="null3"/>
        <w:ind w:firstLine="420"/>
        <w:jc w:val="both"/>
      </w:pPr>
      <w:r>
        <w:rPr>
          <w:sz w:val="21"/>
        </w:rPr>
        <w:t>1、乙方所供货物必须为制造商原厂包装，包装质量符合国家相关标准。货物要求有包装材料保护运至现场，因包装不良造成的损失由乙方负责。</w:t>
      </w:r>
    </w:p>
    <w:p>
      <w:pPr>
        <w:pStyle w:val="null3"/>
        <w:ind w:firstLine="420"/>
        <w:jc w:val="both"/>
      </w:pPr>
      <w:r>
        <w:rPr>
          <w:sz w:val="21"/>
        </w:rPr>
        <w:t>2、乙方负责将货物、材料送到安装地点过程中的全部运输，包括但不限于货物、材料的装卸车现场的搬运。</w:t>
      </w:r>
    </w:p>
    <w:p>
      <w:pPr>
        <w:pStyle w:val="null3"/>
        <w:ind w:firstLine="420"/>
        <w:jc w:val="both"/>
      </w:pPr>
      <w:r>
        <w:rPr>
          <w:sz w:val="21"/>
        </w:rPr>
        <w:t>3、各种设备，必须提供装箱清单，按装箱清单验收货物。</w:t>
      </w:r>
    </w:p>
    <w:p>
      <w:pPr>
        <w:pStyle w:val="null3"/>
        <w:jc w:val="both"/>
      </w:pPr>
      <w:r>
        <w:rPr>
          <w:sz w:val="24"/>
          <w:b/>
        </w:rPr>
        <w:t>六、安装调试</w:t>
      </w:r>
    </w:p>
    <w:p>
      <w:pPr>
        <w:pStyle w:val="null3"/>
        <w:ind w:firstLine="420"/>
        <w:jc w:val="both"/>
      </w:pPr>
      <w:r>
        <w:rPr>
          <w:sz w:val="21"/>
        </w:rPr>
        <w:t>1、乙方负责到甲方指定的安装地点进行安装调试。</w:t>
      </w:r>
    </w:p>
    <w:p>
      <w:pPr>
        <w:pStyle w:val="null3"/>
        <w:ind w:firstLine="420"/>
        <w:jc w:val="both"/>
      </w:pPr>
      <w:r>
        <w:rPr>
          <w:sz w:val="21"/>
        </w:rPr>
        <w:t>2、乙方必须提供设备安装、集成及调测服务，并确保调试完成后，设备能够正常运行，达到甲方可正常使用状态。</w:t>
      </w:r>
    </w:p>
    <w:p>
      <w:pPr>
        <w:pStyle w:val="null3"/>
        <w:ind w:firstLine="420"/>
        <w:jc w:val="both"/>
      </w:pPr>
      <w:r>
        <w:rPr>
          <w:sz w:val="21"/>
        </w:rPr>
        <w:t>3、安装所需工具设施物料由乙方自备、自费运到现场，完工后自费搬走。</w:t>
      </w:r>
    </w:p>
    <w:p>
      <w:pPr>
        <w:pStyle w:val="null3"/>
        <w:ind w:firstLine="420"/>
        <w:jc w:val="both"/>
      </w:pPr>
      <w:r>
        <w:rPr>
          <w:sz w:val="21"/>
        </w:rPr>
        <w:t>4、设备、材料的拆箱、安装、通电、调试等工作由乙方负责，但若甲方有特定要求需要参与的，则须在甲方指定人员的参与下进行。</w:t>
      </w:r>
    </w:p>
    <w:p>
      <w:pPr>
        <w:pStyle w:val="null3"/>
        <w:ind w:firstLine="420"/>
        <w:jc w:val="both"/>
      </w:pPr>
      <w:r>
        <w:rPr>
          <w:sz w:val="21"/>
        </w:rPr>
        <w:t>5、乙方必须充分考虑现场的安装难度及安全性，做好施工现场的安全防护、文明施工工作。安装过程中发生的一切责任及费用由乙方负责，如对其他物品或结构造成损坏必须照价赔偿。</w:t>
      </w:r>
    </w:p>
    <w:p>
      <w:pPr>
        <w:pStyle w:val="null3"/>
        <w:jc w:val="both"/>
      </w:pPr>
      <w:r>
        <w:rPr>
          <w:sz w:val="24"/>
          <w:b/>
        </w:rPr>
        <w:t>七、质保期</w:t>
      </w:r>
    </w:p>
    <w:p>
      <w:pPr>
        <w:pStyle w:val="null3"/>
        <w:ind w:firstLine="210"/>
        <w:jc w:val="both"/>
      </w:pPr>
      <w:r>
        <w:rPr>
          <w:sz w:val="21"/>
        </w:rPr>
        <w:t>1、质量保证期为</w:t>
      </w:r>
      <w:r>
        <w:rPr>
          <w:sz w:val="21"/>
          <w:u w:val="single"/>
        </w:rPr>
        <w:t xml:space="preserve">     </w:t>
      </w:r>
      <w:r>
        <w:rPr>
          <w:sz w:val="21"/>
        </w:rPr>
        <w:t>年（简称</w:t>
      </w:r>
      <w:r>
        <w:rPr>
          <w:sz w:val="21"/>
        </w:rPr>
        <w:t>“质保期”），质保期内乙方对所供货物实行包修、包换、包退、包维护保养，期满后可同时提供终身有偿维修保养服务。质保期内甲方对中标（成交）供应商享有追索权。</w:t>
      </w:r>
    </w:p>
    <w:p>
      <w:pPr>
        <w:pStyle w:val="null3"/>
        <w:ind w:firstLine="210"/>
        <w:jc w:val="both"/>
      </w:pPr>
      <w:r>
        <w:rPr>
          <w:sz w:val="21"/>
        </w:rPr>
        <w:t>2、质保期内，如设备或零部件非人为因素出现故障而造成短期停用时，则质保期和免费维修期相应顺延。如货物因自身故障致停用时间累计超过1天时，则质保期在状态恢复正常时归零重新计算或对故障设备予以重新更换。</w:t>
      </w:r>
    </w:p>
    <w:p>
      <w:pPr>
        <w:pStyle w:val="null3"/>
        <w:jc w:val="both"/>
      </w:pPr>
      <w:r>
        <w:rPr>
          <w:sz w:val="24"/>
          <w:b/>
        </w:rPr>
        <w:t>八、售后及应急服务要求</w:t>
      </w:r>
    </w:p>
    <w:p>
      <w:pPr>
        <w:pStyle w:val="null3"/>
        <w:ind w:firstLine="210"/>
        <w:jc w:val="both"/>
      </w:pPr>
      <w:r>
        <w:rPr>
          <w:sz w:val="21"/>
        </w:rPr>
        <w:t>1、设备出现不能明确的故障时，乙方接甲方通知后</w:t>
      </w:r>
      <w:r>
        <w:rPr>
          <w:sz w:val="21"/>
          <w:u w:val="single"/>
        </w:rPr>
        <w:t xml:space="preserve">   </w:t>
      </w:r>
      <w:r>
        <w:rPr>
          <w:sz w:val="21"/>
        </w:rPr>
        <w:t>小时内响应，</w:t>
      </w:r>
      <w:r>
        <w:rPr>
          <w:sz w:val="21"/>
          <w:u w:val="single"/>
        </w:rPr>
        <w:t xml:space="preserve">   </w:t>
      </w:r>
      <w:r>
        <w:rPr>
          <w:sz w:val="21"/>
        </w:rPr>
        <w:t>小时内有明确的解决方案。若故障不能通过电话解决的，在</w:t>
      </w:r>
      <w:r>
        <w:rPr>
          <w:sz w:val="21"/>
        </w:rPr>
        <w:t>24小时内有专人到达现场处理。</w:t>
      </w:r>
    </w:p>
    <w:p>
      <w:pPr>
        <w:pStyle w:val="null3"/>
        <w:ind w:firstLine="210"/>
        <w:jc w:val="both"/>
      </w:pPr>
      <w:r>
        <w:rPr>
          <w:sz w:val="21"/>
        </w:rPr>
        <w:t>2、乙方负责向甲方提供现场安全操作及必要的维护保养培训。</w:t>
      </w:r>
    </w:p>
    <w:p>
      <w:pPr>
        <w:pStyle w:val="null3"/>
        <w:ind w:firstLine="210"/>
        <w:jc w:val="both"/>
      </w:pPr>
      <w:r>
        <w:rPr>
          <w:sz w:val="21"/>
        </w:rPr>
        <w:t>3、乙方设有长期稳定可靠的售后服务机构，并提供常设服务专线和长期的免费技术支持。</w:t>
      </w:r>
    </w:p>
    <w:p>
      <w:pPr>
        <w:pStyle w:val="null3"/>
        <w:ind w:firstLine="210"/>
        <w:jc w:val="both"/>
      </w:pPr>
      <w:r>
        <w:rPr>
          <w:sz w:val="21"/>
        </w:rPr>
        <w:t>4、若主要设备的故障在</w:t>
      </w:r>
      <w:r>
        <w:rPr>
          <w:sz w:val="21"/>
          <w:u w:val="single"/>
        </w:rPr>
        <w:t xml:space="preserve">   </w:t>
      </w:r>
      <w:r>
        <w:rPr>
          <w:sz w:val="21"/>
        </w:rPr>
        <w:t>小时内仍未处理完毕，乙方必须免费提供不低于设备规格型号档次的设备予甲方临时使用或采取应急措施解决，不得影响甲方的正常工作业务，设备维修完毕正常运作后，乙方须填写维修报告（包括故障原因、处理情况及用户意见等）报甲方备案，其中产生的费用均由乙方承担。</w:t>
      </w:r>
    </w:p>
    <w:p>
      <w:pPr>
        <w:pStyle w:val="null3"/>
        <w:jc w:val="both"/>
      </w:pPr>
      <w:r>
        <w:rPr>
          <w:sz w:val="24"/>
          <w:b/>
        </w:rPr>
        <w:t>九、知识产权要求</w:t>
      </w:r>
    </w:p>
    <w:p>
      <w:pPr>
        <w:pStyle w:val="null3"/>
        <w:ind w:firstLine="210"/>
        <w:jc w:val="both"/>
      </w:pPr>
      <w:r>
        <w:rPr>
          <w:sz w:val="21"/>
        </w:rPr>
        <w:t>乙方必须保证，甲方在中华人民共和国境内使用投标货物、资料、技术、服务或其任何一部分时，享有不受限制的无偿使用权，不会产生因第三方提出侵犯其专利权、商标权或其它知识产权而引起的法律或经济纠纷。如乙方不拥有相应的知识产权，则在投标报价中必须包括合法获取该知识产权的一切相关费用。否则，乙方须承担由此而引起的一切责任和费用。</w:t>
      </w:r>
    </w:p>
    <w:p>
      <w:pPr>
        <w:pStyle w:val="null3"/>
        <w:jc w:val="both"/>
      </w:pPr>
      <w:r>
        <w:rPr>
          <w:sz w:val="24"/>
          <w:b/>
        </w:rPr>
        <w:t>十、保密要求</w:t>
      </w:r>
    </w:p>
    <w:p>
      <w:pPr>
        <w:pStyle w:val="null3"/>
        <w:ind w:firstLine="210"/>
        <w:jc w:val="both"/>
      </w:pPr>
      <w:r>
        <w:rPr>
          <w:sz w:val="21"/>
        </w:rPr>
        <w:t>1、乙方按照甲方要求采取严格的保密措施，严格限定乙方内部知悉人员的范围，确保甲方保密信息不泄漏。</w:t>
      </w:r>
    </w:p>
    <w:p>
      <w:pPr>
        <w:pStyle w:val="null3"/>
        <w:ind w:firstLine="210"/>
        <w:jc w:val="both"/>
      </w:pPr>
      <w:r>
        <w:rPr>
          <w:sz w:val="21"/>
        </w:rPr>
        <w:t>2、本项目所称的甲方保密信息是指涉及甲方的所有未正式公开的信息、资料和物品。</w:t>
      </w:r>
    </w:p>
    <w:p>
      <w:pPr>
        <w:pStyle w:val="null3"/>
        <w:ind w:firstLine="210"/>
        <w:jc w:val="both"/>
      </w:pPr>
      <w:r>
        <w:rPr>
          <w:sz w:val="21"/>
        </w:rPr>
        <w:t>3、乙方应与本项目有关人员签订保密承诺书，定期组织人员开展保密教育培训。同时加强项目有关人员的保密安全管理，定期开展岗位保密审查，及时掌握其现实表现和思想动态，定期向甲方汇报执行情况，并接受甲方监督，相关记录材料向甲方备案。</w:t>
      </w:r>
    </w:p>
    <w:p>
      <w:pPr>
        <w:pStyle w:val="null3"/>
        <w:ind w:firstLine="210"/>
        <w:jc w:val="both"/>
      </w:pPr>
      <w:r>
        <w:rPr>
          <w:sz w:val="21"/>
        </w:rPr>
        <w:t>4、乙方需配合甲方对项目有关人员进行安全审查，未通过审查的人员，不得参与相关工作。</w:t>
      </w:r>
    </w:p>
    <w:p>
      <w:pPr>
        <w:pStyle w:val="null3"/>
        <w:ind w:firstLine="210"/>
        <w:jc w:val="both"/>
      </w:pPr>
      <w:r>
        <w:rPr>
          <w:sz w:val="21"/>
        </w:rPr>
        <w:t>5、甲方有权对乙方的保密条件进行严格审查，确保其能够进行有效的保密安全管理，乙方应积极配合。</w:t>
      </w:r>
    </w:p>
    <w:p>
      <w:pPr>
        <w:pStyle w:val="null3"/>
        <w:jc w:val="both"/>
      </w:pPr>
      <w:r>
        <w:rPr>
          <w:sz w:val="24"/>
          <w:b/>
        </w:rPr>
        <w:t>十一、人员配置和管理要求</w:t>
      </w:r>
    </w:p>
    <w:p>
      <w:pPr>
        <w:pStyle w:val="null3"/>
        <w:ind w:firstLine="210"/>
        <w:jc w:val="both"/>
      </w:pPr>
      <w:r>
        <w:rPr>
          <w:sz w:val="21"/>
        </w:rPr>
        <w:t>1、为确保项目实施效果，乙方应保证服务团队的稳定性，提供符合甲方需求的服务团队，对甲方提出不满足岗位要求的团队成员，乙方应及时进行调整更换，直至达到岗位要求；</w:t>
      </w:r>
    </w:p>
    <w:p>
      <w:pPr>
        <w:pStyle w:val="null3"/>
        <w:ind w:firstLine="210"/>
        <w:jc w:val="both"/>
      </w:pPr>
      <w:r>
        <w:rPr>
          <w:sz w:val="21"/>
        </w:rPr>
        <w:t>2、乙方如需调整或更换团队成员，应提前1个月书面通知和征求甲方意见及建议，在甲方同意的情况下进行适当调整和更换，更换成员不得低于采购文件、投标（响应）文件和合同约定的服务要求。</w:t>
      </w:r>
    </w:p>
    <w:p>
      <w:pPr>
        <w:pStyle w:val="null3"/>
        <w:ind w:firstLine="210"/>
        <w:jc w:val="both"/>
      </w:pPr>
      <w:r>
        <w:rPr>
          <w:sz w:val="21"/>
        </w:rPr>
        <w:t>3、乙方的高空作业人员必须具备高空(高处)作业证。</w:t>
      </w:r>
    </w:p>
    <w:p>
      <w:pPr>
        <w:pStyle w:val="null3"/>
        <w:jc w:val="both"/>
      </w:pPr>
      <w:r>
        <w:rPr>
          <w:sz w:val="24"/>
          <w:b/>
        </w:rPr>
        <w:t>十二、培训要求</w:t>
      </w:r>
    </w:p>
    <w:p>
      <w:pPr>
        <w:pStyle w:val="null3"/>
        <w:ind w:firstLine="210"/>
        <w:jc w:val="both"/>
      </w:pPr>
      <w:r>
        <w:rPr>
          <w:sz w:val="21"/>
        </w:rPr>
        <w:t>乙方需免费提供现场培训课程及相关技术资料。培训内容应包括技术原理、操作、日常基本维护与保养，使参加培训的人员能独立使用，能独立处理常见性故障以及进行日常的维护保养。</w:t>
      </w:r>
    </w:p>
    <w:p>
      <w:pPr>
        <w:pStyle w:val="null3"/>
        <w:jc w:val="both"/>
      </w:pPr>
      <w:r>
        <w:rPr>
          <w:sz w:val="24"/>
          <w:b/>
        </w:rPr>
        <w:t>十三、验收要求</w:t>
      </w:r>
    </w:p>
    <w:p>
      <w:pPr>
        <w:pStyle w:val="null3"/>
        <w:ind w:firstLine="210"/>
        <w:jc w:val="left"/>
      </w:pPr>
      <w:r>
        <w:rPr>
          <w:sz w:val="21"/>
          <w:shd w:fill="FFFFFF" w:val="clear"/>
        </w:rPr>
        <w:t>1、通过边界接入平台安全测评后，</w:t>
      </w:r>
      <w:r>
        <w:rPr>
          <w:sz w:val="21"/>
          <w:shd w:fill="FFFFFF" w:val="clear"/>
        </w:rPr>
        <w:t>甲方</w:t>
      </w:r>
      <w:r>
        <w:rPr>
          <w:sz w:val="21"/>
          <w:shd w:fill="FFFFFF" w:val="clear"/>
        </w:rPr>
        <w:t>应在收到</w:t>
      </w:r>
      <w:r>
        <w:rPr>
          <w:sz w:val="21"/>
          <w:shd w:fill="FFFFFF" w:val="clear"/>
        </w:rPr>
        <w:t>乙方</w:t>
      </w:r>
      <w:r>
        <w:rPr>
          <w:sz w:val="21"/>
          <w:shd w:fill="FFFFFF" w:val="clear"/>
        </w:rPr>
        <w:t>项目验收申请之日起</w:t>
      </w:r>
      <w:r>
        <w:rPr>
          <w:sz w:val="21"/>
          <w:shd w:fill="FFFFFF" w:val="clear"/>
        </w:rPr>
        <w:t>7日内按照合同约定组织验收。</w:t>
      </w:r>
      <w:r>
        <w:rPr>
          <w:sz w:val="21"/>
          <w:shd w:fill="FFFFFF" w:val="clear"/>
        </w:rPr>
        <w:t>乙方</w:t>
      </w:r>
      <w:r>
        <w:rPr>
          <w:sz w:val="21"/>
          <w:shd w:fill="FFFFFF" w:val="clear"/>
        </w:rPr>
        <w:t>需为验收提供必需的一切条件及相关费用，并提供本项目的相关文档和验收所需资料，积极配合</w:t>
      </w:r>
      <w:r>
        <w:rPr>
          <w:sz w:val="21"/>
          <w:shd w:fill="FFFFFF" w:val="clear"/>
        </w:rPr>
        <w:t>甲方</w:t>
      </w:r>
      <w:r>
        <w:rPr>
          <w:sz w:val="21"/>
          <w:shd w:fill="FFFFFF" w:val="clear"/>
        </w:rPr>
        <w:t>完成验收工作。</w:t>
      </w:r>
    </w:p>
    <w:p>
      <w:pPr>
        <w:pStyle w:val="null3"/>
        <w:ind w:firstLine="210"/>
        <w:jc w:val="left"/>
      </w:pPr>
      <w:r>
        <w:rPr>
          <w:sz w:val="21"/>
          <w:shd w:fill="FFFFFF" w:val="clear"/>
        </w:rPr>
        <w:t>2、交付验收：在设备安装调试完毕、初步验收合格后5个工作日内，</w:t>
      </w:r>
      <w:r>
        <w:rPr>
          <w:sz w:val="21"/>
          <w:shd w:fill="FFFFFF" w:val="clear"/>
        </w:rPr>
        <w:t>乙方</w:t>
      </w:r>
      <w:r>
        <w:rPr>
          <w:sz w:val="21"/>
          <w:shd w:fill="FFFFFF" w:val="clear"/>
        </w:rPr>
        <w:t>以</w:t>
      </w:r>
      <w:r>
        <w:rPr>
          <w:sz w:val="21"/>
          <w:shd w:fill="FFFFFF" w:val="clear"/>
        </w:rPr>
        <w:t>甲方</w:t>
      </w:r>
      <w:r>
        <w:rPr>
          <w:sz w:val="21"/>
          <w:shd w:fill="FFFFFF" w:val="clear"/>
        </w:rPr>
        <w:t>的名义作为终端客户，负责办理所有产品设备</w:t>
      </w:r>
      <w:r>
        <w:rPr>
          <w:sz w:val="21"/>
          <w:shd w:fill="FFFFFF" w:val="clear"/>
        </w:rPr>
        <w:t>(包括保修卡)的一切保修注册备案手续，然后由双方或法定专业质检部门共同验收并出具验收确认书，验收交付前的保管安全责任由</w:t>
      </w:r>
      <w:r>
        <w:rPr>
          <w:sz w:val="21"/>
          <w:shd w:fill="FFFFFF" w:val="clear"/>
        </w:rPr>
        <w:t>乙方</w:t>
      </w:r>
      <w:r>
        <w:rPr>
          <w:sz w:val="21"/>
          <w:shd w:fill="FFFFFF" w:val="clear"/>
        </w:rPr>
        <w:t>负责，</w:t>
      </w:r>
      <w:r>
        <w:rPr>
          <w:sz w:val="21"/>
          <w:shd w:fill="FFFFFF" w:val="clear"/>
        </w:rPr>
        <w:t>甲方</w:t>
      </w:r>
      <w:r>
        <w:rPr>
          <w:sz w:val="21"/>
          <w:shd w:fill="FFFFFF" w:val="clear"/>
        </w:rPr>
        <w:t>为此可无偿提供必要的临时仓储场所。</w:t>
      </w:r>
    </w:p>
    <w:p>
      <w:pPr>
        <w:pStyle w:val="null3"/>
        <w:ind w:firstLine="210"/>
        <w:jc w:val="left"/>
      </w:pPr>
      <w:r>
        <w:rPr>
          <w:sz w:val="21"/>
          <w:shd w:fill="FFFFFF" w:val="clear"/>
        </w:rPr>
        <w:t>3、项目验收依次序对照执行标准为：</w:t>
      </w:r>
    </w:p>
    <w:p>
      <w:pPr>
        <w:pStyle w:val="null3"/>
        <w:ind w:firstLine="210"/>
        <w:jc w:val="left"/>
      </w:pPr>
      <w:r>
        <w:rPr>
          <w:sz w:val="21"/>
          <w:shd w:fill="FFFFFF" w:val="clear"/>
        </w:rPr>
        <w:t>（</w:t>
      </w:r>
      <w:r>
        <w:rPr>
          <w:sz w:val="21"/>
          <w:shd w:fill="FFFFFF" w:val="clear"/>
        </w:rPr>
        <w:t>1）符合中华人民共和国国家和履约地相关安全质量标准、行业技术规范标准、环保节能标准；</w:t>
      </w:r>
    </w:p>
    <w:p>
      <w:pPr>
        <w:pStyle w:val="null3"/>
        <w:ind w:firstLine="210"/>
        <w:jc w:val="left"/>
      </w:pPr>
      <w:r>
        <w:rPr>
          <w:sz w:val="21"/>
          <w:shd w:fill="FFFFFF" w:val="clear"/>
        </w:rPr>
        <w:t>（</w:t>
      </w:r>
      <w:r>
        <w:rPr>
          <w:sz w:val="21"/>
          <w:shd w:fill="FFFFFF" w:val="clear"/>
        </w:rPr>
        <w:t>2）符合采购文件和响应承诺中各方共同认可的合理最佳配置、参数规格及各项要求；</w:t>
      </w:r>
    </w:p>
    <w:p>
      <w:pPr>
        <w:pStyle w:val="null3"/>
        <w:ind w:firstLine="210"/>
        <w:jc w:val="left"/>
      </w:pPr>
      <w:r>
        <w:rPr>
          <w:sz w:val="21"/>
          <w:shd w:fill="FFFFFF" w:val="clear"/>
        </w:rPr>
        <w:t>（</w:t>
      </w:r>
      <w:r>
        <w:rPr>
          <w:sz w:val="21"/>
          <w:shd w:fill="FFFFFF" w:val="clear"/>
        </w:rPr>
        <w:t>3）符合产品来源国官方颁布的最新标准；</w:t>
      </w:r>
    </w:p>
    <w:p>
      <w:pPr>
        <w:pStyle w:val="null3"/>
        <w:ind w:firstLine="210"/>
        <w:jc w:val="left"/>
      </w:pPr>
      <w:r>
        <w:rPr>
          <w:sz w:val="21"/>
          <w:shd w:fill="FFFFFF" w:val="clear"/>
        </w:rPr>
        <w:t>（</w:t>
      </w:r>
      <w:r>
        <w:rPr>
          <w:sz w:val="21"/>
          <w:shd w:fill="FFFFFF" w:val="clear"/>
        </w:rPr>
        <w:t>4）双方约定的其他验收标准。</w:t>
      </w:r>
    </w:p>
    <w:p>
      <w:pPr>
        <w:pStyle w:val="null3"/>
        <w:ind w:firstLine="210"/>
        <w:jc w:val="left"/>
      </w:pPr>
      <w:r>
        <w:rPr>
          <w:sz w:val="21"/>
          <w:shd w:fill="FFFFFF" w:val="clear"/>
        </w:rPr>
        <w:t>4、产品均为原厂制造的全新合格产品，且有合法透明的来源渠道，整机无污染、无侵权行为、表面无划损、无任何缺陷隐患，可依常规合法安全使用。</w:t>
      </w:r>
    </w:p>
    <w:p>
      <w:pPr>
        <w:pStyle w:val="null3"/>
        <w:ind w:firstLine="210"/>
        <w:jc w:val="left"/>
      </w:pPr>
      <w:r>
        <w:rPr>
          <w:sz w:val="21"/>
          <w:shd w:fill="FFFFFF" w:val="clear"/>
        </w:rPr>
        <w:t>5、包装标准为原厂制造商未启封全新包装，序列号、包装箱号与出厂批号一致，并可追索查阅。</w:t>
      </w:r>
    </w:p>
    <w:p>
      <w:pPr>
        <w:pStyle w:val="null3"/>
        <w:ind w:firstLine="210"/>
        <w:jc w:val="left"/>
      </w:pPr>
      <w:r>
        <w:rPr>
          <w:sz w:val="21"/>
          <w:shd w:fill="FFFFFF" w:val="clear"/>
        </w:rPr>
        <w:t>6、验收内容。按照合同规定的技术、服务、安全标准组织对</w:t>
      </w:r>
      <w:r>
        <w:rPr>
          <w:sz w:val="21"/>
          <w:shd w:fill="FFFFFF" w:val="clear"/>
        </w:rPr>
        <w:t>乙方</w:t>
      </w:r>
      <w:r>
        <w:rPr>
          <w:sz w:val="21"/>
          <w:shd w:fill="FFFFFF" w:val="clear"/>
        </w:rPr>
        <w:t>履约情况进行验收，并出具验收报告。验收报告应当包括每一项技术、服务、安全标准的履约情况。</w:t>
      </w:r>
    </w:p>
    <w:p>
      <w:pPr>
        <w:pStyle w:val="null3"/>
        <w:ind w:firstLine="210"/>
        <w:jc w:val="left"/>
      </w:pPr>
      <w:r>
        <w:rPr>
          <w:sz w:val="21"/>
          <w:shd w:fill="FFFFFF" w:val="clear"/>
        </w:rPr>
        <w:t>7、验收结果。以书面形式作出结论性意见（验收报告），由验收小组成员签字及供应商授权代表签字盖章后，报告</w:t>
      </w:r>
      <w:r>
        <w:rPr>
          <w:sz w:val="21"/>
          <w:shd w:fill="FFFFFF" w:val="clear"/>
        </w:rPr>
        <w:t>甲方</w:t>
      </w:r>
      <w:r>
        <w:rPr>
          <w:sz w:val="21"/>
          <w:shd w:fill="FFFFFF" w:val="clear"/>
        </w:rPr>
        <w:t>。分段、分项或分期验收的，应当根据采购合同和项目特点进行分段验收并出具分段验收意见。</w:t>
      </w:r>
    </w:p>
    <w:p>
      <w:pPr>
        <w:pStyle w:val="null3"/>
        <w:jc w:val="both"/>
      </w:pPr>
      <w:r>
        <w:rPr>
          <w:sz w:val="24"/>
          <w:b/>
        </w:rPr>
        <w:t>十四、付款方式</w:t>
      </w:r>
    </w:p>
    <w:p>
      <w:pPr>
        <w:pStyle w:val="null3"/>
        <w:ind w:firstLine="210"/>
        <w:jc w:val="left"/>
      </w:pPr>
      <w:r>
        <w:rPr>
          <w:sz w:val="21"/>
          <w:shd w:fill="FFFFFF" w:val="clear"/>
        </w:rPr>
        <w:t>1期：支付比例30%,合同签订后，</w:t>
      </w:r>
      <w:r>
        <w:rPr>
          <w:sz w:val="21"/>
          <w:shd w:fill="FFFFFF" w:val="clear"/>
        </w:rPr>
        <w:t>乙方</w:t>
      </w:r>
      <w:r>
        <w:rPr>
          <w:sz w:val="21"/>
          <w:shd w:fill="FFFFFF" w:val="clear"/>
        </w:rPr>
        <w:t>提交请款申请文件和有效发票后</w:t>
      </w:r>
      <w:r>
        <w:rPr>
          <w:sz w:val="21"/>
          <w:shd w:fill="FFFFFF" w:val="clear"/>
        </w:rPr>
        <w:t>10个工作日内，</w:t>
      </w:r>
      <w:r>
        <w:rPr>
          <w:sz w:val="21"/>
          <w:shd w:fill="FFFFFF" w:val="clear"/>
        </w:rPr>
        <w:t>甲方</w:t>
      </w:r>
      <w:r>
        <w:rPr>
          <w:sz w:val="21"/>
          <w:shd w:fill="FFFFFF" w:val="clear"/>
        </w:rPr>
        <w:t>预付合同总额的</w:t>
      </w:r>
      <w:r>
        <w:rPr>
          <w:sz w:val="21"/>
          <w:shd w:fill="FFFFFF" w:val="clear"/>
        </w:rPr>
        <w:t>30%作为预付款项。</w:t>
      </w:r>
    </w:p>
    <w:p>
      <w:pPr>
        <w:pStyle w:val="null3"/>
        <w:ind w:firstLine="210"/>
        <w:jc w:val="left"/>
      </w:pPr>
      <w:r>
        <w:rPr>
          <w:sz w:val="21"/>
          <w:shd w:fill="FFFFFF" w:val="clear"/>
        </w:rPr>
        <w:t>2期：支付比例50%,</w:t>
      </w:r>
      <w:r>
        <w:rPr>
          <w:sz w:val="21"/>
          <w:shd w:fill="FFFFFF" w:val="clear"/>
        </w:rPr>
        <w:t>乙方</w:t>
      </w:r>
      <w:r>
        <w:rPr>
          <w:sz w:val="21"/>
          <w:shd w:fill="FFFFFF" w:val="clear"/>
        </w:rPr>
        <w:t>收到</w:t>
      </w:r>
      <w:r>
        <w:rPr>
          <w:sz w:val="21"/>
          <w:shd w:fill="FFFFFF" w:val="clear"/>
        </w:rPr>
        <w:t>甲方</w:t>
      </w:r>
      <w:r>
        <w:rPr>
          <w:sz w:val="21"/>
          <w:shd w:fill="FFFFFF" w:val="clear"/>
        </w:rPr>
        <w:t>送货或安装通知，</w:t>
      </w:r>
      <w:r>
        <w:rPr>
          <w:sz w:val="21"/>
          <w:shd w:fill="FFFFFF" w:val="clear"/>
        </w:rPr>
        <w:t>甲方</w:t>
      </w:r>
      <w:r>
        <w:rPr>
          <w:sz w:val="21"/>
          <w:shd w:fill="FFFFFF" w:val="clear"/>
        </w:rPr>
        <w:t>的全部货物到货且安装完成，</w:t>
      </w:r>
      <w:r>
        <w:rPr>
          <w:sz w:val="21"/>
          <w:shd w:fill="FFFFFF" w:val="clear"/>
        </w:rPr>
        <w:t>乙方</w:t>
      </w:r>
      <w:r>
        <w:rPr>
          <w:sz w:val="21"/>
          <w:shd w:fill="FFFFFF" w:val="clear"/>
        </w:rPr>
        <w:t>提交货物交付凭证、请款申请文件和有效发票后</w:t>
      </w:r>
      <w:r>
        <w:rPr>
          <w:sz w:val="21"/>
          <w:shd w:fill="FFFFFF" w:val="clear"/>
        </w:rPr>
        <w:t>10个工作日内，</w:t>
      </w:r>
      <w:r>
        <w:rPr>
          <w:sz w:val="21"/>
          <w:shd w:fill="FFFFFF" w:val="clear"/>
        </w:rPr>
        <w:t>甲方</w:t>
      </w:r>
      <w:r>
        <w:rPr>
          <w:sz w:val="21"/>
          <w:shd w:fill="FFFFFF" w:val="clear"/>
        </w:rPr>
        <w:t>向</w:t>
      </w:r>
      <w:r>
        <w:rPr>
          <w:sz w:val="21"/>
          <w:shd w:fill="FFFFFF" w:val="clear"/>
        </w:rPr>
        <w:t>乙方</w:t>
      </w:r>
      <w:r>
        <w:rPr>
          <w:sz w:val="21"/>
          <w:shd w:fill="FFFFFF" w:val="clear"/>
        </w:rPr>
        <w:t>支付合同总额的</w:t>
      </w:r>
      <w:r>
        <w:rPr>
          <w:sz w:val="21"/>
          <w:shd w:fill="FFFFFF" w:val="clear"/>
        </w:rPr>
        <w:t>50%。</w:t>
      </w:r>
    </w:p>
    <w:p>
      <w:pPr>
        <w:pStyle w:val="null3"/>
        <w:ind w:firstLine="210"/>
        <w:jc w:val="left"/>
      </w:pPr>
      <w:r>
        <w:rPr>
          <w:sz w:val="21"/>
          <w:shd w:fill="FFFFFF" w:val="clear"/>
        </w:rPr>
        <w:t>3期：支付比例20%,货物验收合格，</w:t>
      </w:r>
      <w:r>
        <w:rPr>
          <w:sz w:val="21"/>
          <w:shd w:fill="FFFFFF" w:val="clear"/>
        </w:rPr>
        <w:t>乙方</w:t>
      </w:r>
      <w:r>
        <w:rPr>
          <w:sz w:val="21"/>
          <w:shd w:fill="FFFFFF" w:val="clear"/>
        </w:rPr>
        <w:t>提交验收报告、请款申请文件和有效发票后</w:t>
      </w:r>
      <w:r>
        <w:rPr>
          <w:sz w:val="21"/>
          <w:shd w:fill="FFFFFF" w:val="clear"/>
        </w:rPr>
        <w:t>10个工作日内，</w:t>
      </w:r>
      <w:r>
        <w:rPr>
          <w:sz w:val="21"/>
          <w:shd w:fill="FFFFFF" w:val="clear"/>
        </w:rPr>
        <w:t>甲方</w:t>
      </w:r>
      <w:r>
        <w:rPr>
          <w:sz w:val="21"/>
          <w:shd w:fill="FFFFFF" w:val="clear"/>
        </w:rPr>
        <w:t>向</w:t>
      </w:r>
      <w:r>
        <w:rPr>
          <w:sz w:val="21"/>
          <w:shd w:fill="FFFFFF" w:val="clear"/>
        </w:rPr>
        <w:t>乙方</w:t>
      </w:r>
      <w:r>
        <w:rPr>
          <w:sz w:val="21"/>
          <w:shd w:fill="FFFFFF" w:val="clear"/>
        </w:rPr>
        <w:t>支付合同总额的</w:t>
      </w:r>
      <w:r>
        <w:rPr>
          <w:sz w:val="21"/>
          <w:shd w:fill="FFFFFF" w:val="clear"/>
        </w:rPr>
        <w:t>20%。</w:t>
      </w:r>
    </w:p>
    <w:p>
      <w:pPr>
        <w:pStyle w:val="null3"/>
        <w:ind w:firstLine="210"/>
        <w:jc w:val="left"/>
      </w:pPr>
      <w:r>
        <w:rPr>
          <w:sz w:val="21"/>
          <w:shd w:fill="FFFFFF" w:val="clear"/>
        </w:rPr>
        <w:t>备注：本项目的每笔款项以人民币方式支付，</w:t>
      </w:r>
      <w:r>
        <w:rPr>
          <w:sz w:val="21"/>
          <w:shd w:fill="FFFFFF" w:val="clear"/>
        </w:rPr>
        <w:t>乙方</w:t>
      </w:r>
      <w:r>
        <w:rPr>
          <w:sz w:val="21"/>
          <w:shd w:fill="FFFFFF" w:val="clear"/>
        </w:rPr>
        <w:t>凭以下资料办理支付手续：（</w:t>
      </w:r>
      <w:r>
        <w:rPr>
          <w:sz w:val="21"/>
          <w:shd w:fill="FFFFFF" w:val="clear"/>
        </w:rPr>
        <w:t>1）合同；（2） 验收合格报告（加盖</w:t>
      </w:r>
      <w:r>
        <w:rPr>
          <w:sz w:val="21"/>
          <w:shd w:fill="FFFFFF" w:val="clear"/>
        </w:rPr>
        <w:t>甲方</w:t>
      </w:r>
      <w:r>
        <w:rPr>
          <w:sz w:val="21"/>
          <w:shd w:fill="FFFFFF" w:val="clear"/>
        </w:rPr>
        <w:t>公章，预付款除外）；（</w:t>
      </w:r>
      <w:r>
        <w:rPr>
          <w:sz w:val="21"/>
          <w:shd w:fill="FFFFFF" w:val="clear"/>
        </w:rPr>
        <w:t>3）</w:t>
      </w:r>
      <w:r>
        <w:rPr>
          <w:sz w:val="21"/>
          <w:shd w:fill="FFFFFF" w:val="clear"/>
        </w:rPr>
        <w:t>乙方</w:t>
      </w:r>
      <w:r>
        <w:rPr>
          <w:sz w:val="21"/>
          <w:shd w:fill="FFFFFF" w:val="clear"/>
        </w:rPr>
        <w:t>开具的正式发票；（</w:t>
      </w:r>
      <w:r>
        <w:rPr>
          <w:sz w:val="21"/>
          <w:shd w:fill="FFFFFF" w:val="clear"/>
        </w:rPr>
        <w:t>4）因</w:t>
      </w:r>
      <w:r>
        <w:rPr>
          <w:sz w:val="21"/>
          <w:shd w:fill="FFFFFF" w:val="clear"/>
        </w:rPr>
        <w:t>甲方</w:t>
      </w:r>
      <w:r>
        <w:rPr>
          <w:sz w:val="21"/>
          <w:shd w:fill="FFFFFF" w:val="clear"/>
        </w:rPr>
        <w:t>使用的是财政资金，</w:t>
      </w:r>
      <w:r>
        <w:rPr>
          <w:sz w:val="21"/>
          <w:shd w:fill="FFFFFF" w:val="clear"/>
        </w:rPr>
        <w:t>甲方</w:t>
      </w:r>
      <w:r>
        <w:rPr>
          <w:sz w:val="21"/>
          <w:shd w:fill="FFFFFF" w:val="clear"/>
        </w:rPr>
        <w:t>在前款规定的付款时间为向政府采购支付部门提出办理财政支付申请手续的时间（不含政府财政支付部门审核的时间），在规定时间内提出支付申请手续后即视为</w:t>
      </w:r>
      <w:r>
        <w:rPr>
          <w:sz w:val="21"/>
          <w:shd w:fill="FFFFFF" w:val="clear"/>
        </w:rPr>
        <w:t>甲方</w:t>
      </w:r>
      <w:r>
        <w:rPr>
          <w:sz w:val="21"/>
          <w:shd w:fill="FFFFFF" w:val="clear"/>
        </w:rPr>
        <w:t>已经按期支付；（</w:t>
      </w:r>
      <w:r>
        <w:rPr>
          <w:sz w:val="21"/>
          <w:shd w:fill="FFFFFF" w:val="clear"/>
        </w:rPr>
        <w:t>5）项目发生合同融资（指引详见《韶关市财政局 韶关市金融工作局 中国人民银行韶关市中心支行关于开展市级政府采购合同融资工作的通知》（韶财采购〔2021〕2号）、《广东省财政厅 中共广东省委金融委员会办公室 中国人民银行广东省分行关于进一步推广政府采购金融服务助力中小企业发展的通知》（粤财采购〔2024〕10号）），</w:t>
      </w:r>
      <w:r>
        <w:rPr>
          <w:sz w:val="21"/>
          <w:shd w:fill="FFFFFF" w:val="clear"/>
        </w:rPr>
        <w:t>甲方</w:t>
      </w:r>
      <w:r>
        <w:rPr>
          <w:sz w:val="21"/>
          <w:shd w:fill="FFFFFF" w:val="clear"/>
        </w:rPr>
        <w:t>应当将合同款项支付到合同约定收款账户。</w:t>
      </w:r>
    </w:p>
    <w:p>
      <w:pPr>
        <w:pStyle w:val="null3"/>
        <w:ind w:firstLine="210"/>
        <w:jc w:val="left"/>
      </w:pPr>
      <w:r>
        <w:rPr>
          <w:sz w:val="21"/>
          <w:shd w:fill="FFFFFF" w:val="clear"/>
        </w:rPr>
        <w:t>如项目发生合同融资，</w:t>
      </w:r>
      <w:r>
        <w:rPr>
          <w:sz w:val="21"/>
          <w:shd w:fill="FFFFFF" w:val="clear"/>
        </w:rPr>
        <w:t>甲方</w:t>
      </w:r>
      <w:r>
        <w:rPr>
          <w:sz w:val="21"/>
          <w:shd w:fill="FFFFFF" w:val="clear"/>
        </w:rPr>
        <w:t>应当将合同款项支付到合同约定收款账户。</w:t>
      </w:r>
    </w:p>
    <w:p>
      <w:pPr>
        <w:pStyle w:val="null3"/>
        <w:jc w:val="both"/>
      </w:pPr>
      <w:r>
        <w:rPr>
          <w:sz w:val="24"/>
          <w:b/>
        </w:rPr>
        <w:t>十</w:t>
      </w:r>
      <w:r>
        <w:rPr>
          <w:sz w:val="24"/>
          <w:b/>
        </w:rPr>
        <w:t>五</w:t>
      </w:r>
      <w:r>
        <w:rPr>
          <w:sz w:val="24"/>
          <w:b/>
        </w:rPr>
        <w:t>、违约责任</w:t>
      </w:r>
    </w:p>
    <w:p>
      <w:pPr>
        <w:pStyle w:val="null3"/>
        <w:ind w:firstLine="210"/>
        <w:jc w:val="left"/>
      </w:pPr>
      <w:r>
        <w:rPr>
          <w:sz w:val="21"/>
          <w:shd w:fill="FFFFFF" w:val="clear"/>
        </w:rPr>
        <w:t>1、乙方逾期交货，则按合同总价每天</w:t>
      </w:r>
      <w:r>
        <w:rPr>
          <w:sz w:val="21"/>
          <w:u w:val="single"/>
          <w:shd w:fill="FFFFFF" w:val="clear"/>
        </w:rPr>
        <w:t xml:space="preserve">   </w:t>
      </w:r>
      <w:r>
        <w:rPr>
          <w:sz w:val="21"/>
          <w:shd w:fill="FFFFFF" w:val="clear"/>
        </w:rPr>
        <w:t>‰支付违约金给甲方。如超过合同规定交付使用期天数乙方仍不能交货完毕，则视为乙方不能交货。</w:t>
      </w:r>
    </w:p>
    <w:p>
      <w:pPr>
        <w:pStyle w:val="null3"/>
        <w:ind w:firstLine="210"/>
        <w:jc w:val="left"/>
      </w:pPr>
      <w:r>
        <w:rPr>
          <w:sz w:val="21"/>
          <w:shd w:fill="FFFFFF" w:val="clear"/>
        </w:rPr>
        <w:t>2、乙方不能交货，则按合同总价</w:t>
      </w:r>
      <w:r>
        <w:rPr>
          <w:sz w:val="21"/>
          <w:u w:val="single"/>
          <w:shd w:fill="FFFFFF" w:val="clear"/>
        </w:rPr>
        <w:t xml:space="preserve">   </w:t>
      </w:r>
      <w:r>
        <w:rPr>
          <w:sz w:val="21"/>
          <w:shd w:fill="FFFFFF" w:val="clear"/>
        </w:rPr>
        <w:t>%支付违约金给甲方。同时，甲方有权单方面解除合同。如上述违约金金额仍不足以补偿甲方因乙方违约造成的损失，甲方有权进一步向乙方提出索赔。</w:t>
      </w:r>
    </w:p>
    <w:p>
      <w:pPr>
        <w:pStyle w:val="null3"/>
        <w:ind w:firstLine="210"/>
        <w:jc w:val="left"/>
      </w:pPr>
      <w:r>
        <w:rPr>
          <w:sz w:val="21"/>
          <w:shd w:fill="FFFFFF" w:val="clear"/>
        </w:rPr>
        <w:t>3、货物未能一次性通过验收，则甲方同意由乙方予以整改，并在第一次验收结束之日起天内重新组织验收；经次验收不合格的，甲方有权单方面解除合同。如因此给甲方造成损失的，甲方有权向乙方提出索赔。</w:t>
      </w:r>
    </w:p>
    <w:p>
      <w:pPr>
        <w:pStyle w:val="null3"/>
        <w:ind w:firstLine="210"/>
        <w:jc w:val="left"/>
      </w:pPr>
      <w:r>
        <w:rPr>
          <w:sz w:val="21"/>
          <w:shd w:fill="FFFFFF" w:val="clear"/>
        </w:rPr>
        <w:t>4、如果甲方逾期付款，则按拖欠金额每天</w:t>
      </w:r>
      <w:r>
        <w:rPr>
          <w:sz w:val="21"/>
          <w:u w:val="single"/>
          <w:shd w:fill="FFFFFF" w:val="clear"/>
        </w:rPr>
        <w:t xml:space="preserve">   </w:t>
      </w:r>
      <w:r>
        <w:rPr>
          <w:sz w:val="21"/>
          <w:shd w:fill="FFFFFF" w:val="clear"/>
        </w:rPr>
        <w:t>‰支付违约金给乙方，直至该款付清为止。但由于财政拨款不到位而导致甲方逾期付款的，甲方不承担违约责任，并且此情况不能成为乙方延期交货及服务的理由。</w:t>
      </w:r>
    </w:p>
    <w:p>
      <w:pPr>
        <w:pStyle w:val="null3"/>
        <w:ind w:firstLine="210"/>
        <w:jc w:val="left"/>
      </w:pPr>
      <w:r>
        <w:rPr>
          <w:sz w:val="21"/>
          <w:shd w:fill="FFFFFF" w:val="clear"/>
        </w:rPr>
        <w:t>5、甲方解除合同，乙方须在接到甲方解约通知之日起天内退回甲方已支付的价款。</w:t>
      </w:r>
    </w:p>
    <w:p>
      <w:pPr>
        <w:pStyle w:val="null3"/>
        <w:jc w:val="both"/>
      </w:pPr>
      <w:r>
        <w:rPr>
          <w:sz w:val="24"/>
          <w:b/>
        </w:rPr>
        <w:t>十</w:t>
      </w:r>
      <w:r>
        <w:rPr>
          <w:sz w:val="24"/>
          <w:b/>
        </w:rPr>
        <w:t>六</w:t>
      </w:r>
      <w:r>
        <w:rPr>
          <w:sz w:val="24"/>
          <w:b/>
        </w:rPr>
        <w:t>、争议的解决</w:t>
      </w:r>
    </w:p>
    <w:p>
      <w:pPr>
        <w:pStyle w:val="null3"/>
        <w:ind w:firstLine="210"/>
        <w:jc w:val="left"/>
      </w:pPr>
      <w:r>
        <w:rPr>
          <w:sz w:val="21"/>
          <w:shd w:fill="FFFFFF" w:val="clear"/>
        </w:rPr>
        <w:t>1、因货物的质量问题而发生的争议，由广东省或韶关质检部门进行质量鉴定。经检验，质量符合标准的，鉴定费用由甲方承担；质量不符合标准的，鉴定费用由乙方承担，并且乙方负责重新提供符合合同要求的货物给甲方，由此造成延期供货的，乙方承担延期供货的违约责任。</w:t>
      </w:r>
    </w:p>
    <w:p>
      <w:pPr>
        <w:pStyle w:val="null3"/>
        <w:ind w:firstLine="210"/>
        <w:jc w:val="left"/>
      </w:pPr>
      <w:r>
        <w:rPr>
          <w:sz w:val="21"/>
          <w:shd w:fill="FFFFFF" w:val="clear"/>
        </w:rPr>
        <w:t>2、本合同发生争议，由双方协商或由政府采购监督管理部门调解解决，协商或调解不成时按以下第</w:t>
      </w:r>
      <w:r>
        <w:rPr>
          <w:sz w:val="21"/>
          <w:u w:val="single"/>
          <w:shd w:fill="FFFFFF" w:val="clear"/>
        </w:rPr>
        <w:t xml:space="preserve">    </w:t>
      </w:r>
      <w:r>
        <w:rPr>
          <w:sz w:val="21"/>
          <w:shd w:fill="FFFFFF" w:val="clear"/>
        </w:rPr>
        <w:t>种方式解决（请选择）：</w:t>
      </w:r>
    </w:p>
    <w:p>
      <w:pPr>
        <w:pStyle w:val="null3"/>
        <w:ind w:firstLine="210"/>
        <w:jc w:val="left"/>
      </w:pPr>
      <w:r>
        <w:rPr>
          <w:sz w:val="21"/>
          <w:shd w:fill="FFFFFF" w:val="clear"/>
        </w:rPr>
        <w:t>（</w:t>
      </w:r>
      <w:r>
        <w:rPr>
          <w:sz w:val="21"/>
          <w:shd w:fill="FFFFFF" w:val="clear"/>
        </w:rPr>
        <w:t>1）韶关市仲裁委员会仲裁。</w:t>
      </w:r>
    </w:p>
    <w:p>
      <w:pPr>
        <w:pStyle w:val="null3"/>
        <w:ind w:firstLine="210"/>
        <w:jc w:val="left"/>
      </w:pPr>
      <w:r>
        <w:rPr>
          <w:sz w:val="21"/>
          <w:shd w:fill="FFFFFF" w:val="clear"/>
        </w:rPr>
        <w:t>（</w:t>
      </w:r>
      <w:r>
        <w:rPr>
          <w:sz w:val="21"/>
          <w:shd w:fill="FFFFFF" w:val="clear"/>
        </w:rPr>
        <w:t>2）向有管辖权的人民法院提起诉讼。（本合同的诉讼管辖地为韶关有管辖权的法院）（在仲裁或诉讼期间，除有争议部分的事项外，合同其他部分仍应继续履行）。</w:t>
      </w:r>
    </w:p>
    <w:p>
      <w:pPr>
        <w:pStyle w:val="null3"/>
        <w:jc w:val="both"/>
      </w:pPr>
      <w:r>
        <w:rPr>
          <w:sz w:val="24"/>
          <w:b/>
        </w:rPr>
        <w:t>十</w:t>
      </w:r>
      <w:r>
        <w:rPr>
          <w:sz w:val="24"/>
          <w:b/>
        </w:rPr>
        <w:t>七</w:t>
      </w:r>
      <w:r>
        <w:rPr>
          <w:sz w:val="24"/>
          <w:b/>
        </w:rPr>
        <w:t>、不可抗力</w:t>
      </w:r>
    </w:p>
    <w:p>
      <w:pPr>
        <w:pStyle w:val="null3"/>
        <w:ind w:firstLine="420"/>
        <w:jc w:val="left"/>
      </w:pPr>
      <w:r>
        <w:rPr>
          <w:sz w:val="21"/>
          <w:shd w:fill="FFFFFF" w:val="clear"/>
        </w:rPr>
        <w:t>任何一方由于不可抗力原因不能履行合同时，应在不可抗力事件结束后</w:t>
      </w:r>
      <w:r>
        <w:rPr>
          <w:sz w:val="21"/>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w:t>
      </w:r>
      <w:r>
        <w:rPr>
          <w:sz w:val="24"/>
          <w:b/>
        </w:rPr>
        <w:t>八</w:t>
      </w:r>
      <w:r>
        <w:rPr>
          <w:sz w:val="24"/>
          <w:b/>
        </w:rPr>
        <w:t>、税费</w:t>
      </w:r>
    </w:p>
    <w:p>
      <w:pPr>
        <w:pStyle w:val="null3"/>
        <w:jc w:val="left"/>
      </w:pPr>
      <w:r>
        <w:rPr>
          <w:sz w:val="21"/>
          <w:shd w:fill="FFFFFF" w:val="clear"/>
        </w:rPr>
        <w:t xml:space="preserve">    </w:t>
      </w:r>
      <w:r>
        <w:rPr>
          <w:sz w:val="21"/>
          <w:shd w:fill="FFFFFF" w:val="clear"/>
        </w:rPr>
        <w:t>在中国境内、外发生的与本合同执行有关的一切税费均由乙方负担。</w:t>
      </w:r>
    </w:p>
    <w:p>
      <w:pPr>
        <w:pStyle w:val="null3"/>
        <w:jc w:val="both"/>
      </w:pPr>
      <w:r>
        <w:rPr>
          <w:sz w:val="24"/>
          <w:b/>
        </w:rPr>
        <w:t>十</w:t>
      </w:r>
      <w:r>
        <w:rPr>
          <w:sz w:val="24"/>
          <w:b/>
        </w:rPr>
        <w:t>九</w:t>
      </w:r>
      <w:r>
        <w:rPr>
          <w:sz w:val="24"/>
          <w:b/>
        </w:rPr>
        <w:t>、其它</w:t>
      </w:r>
    </w:p>
    <w:p>
      <w:pPr>
        <w:pStyle w:val="null3"/>
        <w:ind w:firstLine="210"/>
        <w:jc w:val="left"/>
      </w:pPr>
      <w:r>
        <w:rPr>
          <w:sz w:val="21"/>
          <w:shd w:fill="FFFFFF" w:val="clear"/>
        </w:rPr>
        <w:t>1、本合同所有附件、</w:t>
      </w:r>
      <w:r>
        <w:rPr>
          <w:sz w:val="21"/>
          <w:shd w:fill="FFFFFF" w:val="clear"/>
        </w:rPr>
        <w:t>招标</w:t>
      </w:r>
      <w:r>
        <w:rPr>
          <w:sz w:val="21"/>
          <w:shd w:fill="FFFFFF" w:val="clear"/>
        </w:rPr>
        <w:t>文件、</w:t>
      </w:r>
      <w:r>
        <w:rPr>
          <w:sz w:val="21"/>
          <w:shd w:fill="FFFFFF" w:val="clear"/>
        </w:rPr>
        <w:t>投标</w:t>
      </w:r>
      <w:r>
        <w:rPr>
          <w:sz w:val="21"/>
          <w:shd w:fill="FFFFFF" w:val="clear"/>
        </w:rPr>
        <w:t>文件、</w:t>
      </w:r>
      <w:r>
        <w:rPr>
          <w:sz w:val="21"/>
          <w:shd w:fill="FFFFFF" w:val="clear"/>
        </w:rPr>
        <w:t>中标</w:t>
      </w:r>
      <w:r>
        <w:rPr>
          <w:sz w:val="21"/>
          <w:shd w:fill="FFFFFF" w:val="clear"/>
        </w:rPr>
        <w:t>通知书均为合同的有效组成部分，与本合同具有同等法律效力。</w:t>
      </w:r>
    </w:p>
    <w:p>
      <w:pPr>
        <w:pStyle w:val="null3"/>
        <w:ind w:firstLine="210"/>
        <w:jc w:val="left"/>
      </w:pPr>
      <w:r>
        <w:rPr>
          <w:sz w:val="21"/>
          <w:shd w:fill="FFFFFF" w:val="clear"/>
        </w:rPr>
        <w:t>2、在执行本合同的过程中，所有经双方签署确认的文件（包括会议纪要、补充协议、往来信函）即成为本合同的有效组成部分。</w:t>
      </w:r>
    </w:p>
    <w:p>
      <w:pPr>
        <w:pStyle w:val="null3"/>
        <w:ind w:firstLine="210"/>
        <w:jc w:val="left"/>
      </w:pPr>
      <w:r>
        <w:rPr>
          <w:sz w:val="21"/>
          <w:shd w:fill="FFFFFF" w:val="clear"/>
        </w:rPr>
        <w:t>3、如一方地址、电话、传真号码有变更，应在变更当日内书面通知对方，否则，应承担相应责任。</w:t>
      </w:r>
    </w:p>
    <w:p>
      <w:pPr>
        <w:pStyle w:val="null3"/>
        <w:ind w:firstLine="210"/>
        <w:jc w:val="left"/>
      </w:pPr>
      <w:r>
        <w:rPr>
          <w:sz w:val="21"/>
          <w:shd w:fill="FFFFFF" w:val="clear"/>
        </w:rPr>
        <w:t>4、除甲方事先书面同意外，乙方不得部分或全部转让其应履行的合同项下的义务。</w:t>
      </w:r>
    </w:p>
    <w:p>
      <w:pPr>
        <w:pStyle w:val="null3"/>
        <w:jc w:val="both"/>
      </w:pPr>
      <w:r>
        <w:rPr>
          <w:sz w:val="24"/>
          <w:b/>
        </w:rPr>
        <w:t>二十</w:t>
      </w:r>
      <w:r>
        <w:rPr>
          <w:sz w:val="24"/>
          <w:b/>
        </w:rPr>
        <w:t>、合同生效</w:t>
      </w:r>
    </w:p>
    <w:p>
      <w:pPr>
        <w:pStyle w:val="null3"/>
        <w:ind w:firstLine="210"/>
        <w:jc w:val="left"/>
      </w:pPr>
      <w:r>
        <w:rPr>
          <w:sz w:val="21"/>
          <w:shd w:fill="FFFFFF" w:val="clear"/>
        </w:rPr>
        <w:t>1、本合同经双方授权代表签字并加盖合同专用章或公章之日起生效，合同生效日期以最后一个签字日为准。</w:t>
      </w:r>
    </w:p>
    <w:p>
      <w:pPr>
        <w:pStyle w:val="null3"/>
        <w:ind w:firstLine="210"/>
        <w:jc w:val="both"/>
      </w:pPr>
      <w:r>
        <w:rPr>
          <w:sz w:val="21"/>
        </w:rPr>
        <w:t>2、本合同一式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份（其中送采购代理机构壹份备案），均具有同等法律效力。</w:t>
      </w:r>
    </w:p>
    <w:p>
      <w:pPr>
        <w:pStyle w:val="null3"/>
        <w:jc w:val="both"/>
      </w:pPr>
      <w:r>
        <w:rPr>
          <w:sz w:val="21"/>
        </w:rPr>
        <w:t xml:space="preserve">        </w:t>
      </w:r>
    </w:p>
    <w:p>
      <w:pPr>
        <w:pStyle w:val="null3"/>
        <w:ind w:firstLine="240"/>
        <w:jc w:val="both"/>
      </w:pPr>
      <w:r>
        <w:rPr>
          <w:sz w:val="21"/>
        </w:rPr>
        <w:t xml:space="preserve">       </w:t>
      </w:r>
      <w:r>
        <w:rPr>
          <w:sz w:val="21"/>
        </w:rPr>
        <w:t>（</w:t>
      </w:r>
      <w:r>
        <w:rPr>
          <w:sz w:val="21"/>
        </w:rPr>
        <w:t>本页无正文</w:t>
      </w:r>
      <w:r>
        <w:rPr>
          <w:sz w:val="21"/>
        </w:rPr>
        <w:t>）</w:t>
      </w:r>
      <w:r>
        <w:rPr>
          <w:sz w:val="21"/>
        </w:rPr>
        <w:t xml:space="preserve">                </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甲方（公章）：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乙方</w:t>
            </w:r>
            <w:r>
              <w:rPr>
                <w:sz w:val="21"/>
              </w:rPr>
              <w:t>(公章)：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签约人</w:t>
            </w:r>
            <w:r>
              <w:rPr>
                <w:sz w:val="21"/>
              </w:rPr>
              <w:t>(签字)：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签约人</w:t>
            </w:r>
            <w:r>
              <w:rPr>
                <w:sz w:val="21"/>
              </w:rPr>
              <w:t>(签字)：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联系人：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w:t>
            </w:r>
            <w:r>
              <w:rPr>
                <w:sz w:val="21"/>
              </w:rPr>
              <w:t>户</w:t>
            </w:r>
            <w:r>
              <w:rPr>
                <w:sz w:val="21"/>
              </w:rPr>
              <w:t>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spacing w:before="255" w:after="255"/>
        <w:jc w:val="both"/>
        <w:outlineLvl w:val="1"/>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440201-2024-03745</w:t>
      </w:r>
    </w:p>
    <w:p>
      <w:pPr>
        <w:pStyle w:val="null3"/>
        <w:jc w:val="center"/>
        <w:outlineLvl w:val="3"/>
      </w:pPr>
      <w:r>
        <w:rPr>
          <w:sz w:val="24"/>
          <w:b/>
        </w:rPr>
        <w:t>采购项目编号：</w:t>
      </w:r>
      <w:r>
        <w:rPr>
          <w:sz w:val="24"/>
          <w:b/>
        </w:rPr>
        <w:t>GDYD241113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韶关市公安局2024年高速公路服务区出入卡口补点建设项目</w:t>
      </w:r>
      <w:r>
        <w:rPr>
          <w:u w:val="single"/>
        </w:rPr>
        <w:t>”</w:t>
      </w:r>
      <w:r>
        <w:rPr/>
        <w:t>项目的招标[采购项目编号为：</w:t>
      </w:r>
      <w:r>
        <w:rPr>
          <w:u w:val="single"/>
        </w:rPr>
        <w:t>GDYD241113</w:t>
      </w:r>
      <w:r>
        <w:rPr/>
        <w:t>]，我方愿参与投标。</w:t>
      </w:r>
    </w:p>
    <w:p>
      <w:pPr>
        <w:pStyle w:val="null3"/>
        <w:ind w:firstLine="480"/>
      </w:pPr>
      <w:r>
        <w:rPr/>
        <w:t>我方确认收到贵方提供的</w:t>
      </w:r>
      <w:r>
        <w:rPr>
          <w:u w:val="single"/>
        </w:rPr>
        <w:t>“</w:t>
      </w:r>
      <w:r>
        <w:rPr>
          <w:u w:val="single"/>
        </w:rPr>
        <w:t>韶关市公安局2024年高速公路服务区出入卡口补点建设项目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韶关市公安局2024年高速公路服务区出入卡口补点建设项目</w:t>
      </w:r>
      <w:r>
        <w:rPr/>
        <w:t>”项目采购[采购项目编号为</w:t>
      </w:r>
      <w:r>
        <w:rPr/>
        <w:t>GDYD241113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韶关市公安局2024年高速公路服务区出入卡口补点建设项目</w:t>
      </w:r>
      <w:r>
        <w:rPr/>
        <w:t>招标中获中标（采购项目编号：</w:t>
      </w:r>
      <w:r>
        <w:rPr/>
        <w:t>GDYD241113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韶关市公安局2024年高速公路服务区出入卡口补点建设项目</w:t>
      </w:r>
      <w:r>
        <w:rPr/>
        <w:t>”项目（采购项目编号：</w:t>
      </w:r>
      <w:r>
        <w:rPr/>
        <w:t>GDYD241113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