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440229-2026-00383</w:t>
      </w:r>
    </w:p>
    <w:p>
      <w:pPr>
        <w:pStyle w:val="null3"/>
        <w:jc w:val="center"/>
        <w:outlineLvl w:val="3"/>
      </w:pPr>
      <w:r>
        <w:rPr>
          <w:sz w:val="24"/>
          <w:b/>
        </w:rPr>
        <w:t>采购项目编号：</w:t>
      </w:r>
      <w:r>
        <w:rPr>
          <w:sz w:val="24"/>
          <w:b/>
        </w:rPr>
        <w:t>GDYD260230</w:t>
      </w:r>
    </w:p>
    <w:p>
      <w:pPr>
        <w:pStyle w:val="null3"/>
        <w:jc w:val="center"/>
        <w:outlineLvl w:val="3"/>
      </w:pPr>
      <w:r>
        <w:rPr>
          <w:sz w:val="24"/>
          <w:b/>
        </w:rPr>
        <w:t>项目名称：</w:t>
      </w:r>
      <w:r>
        <w:rPr>
          <w:sz w:val="24"/>
          <w:b/>
        </w:rPr>
        <w:t>韶关市翁源县中心城区控制性详细规划编制项目</w:t>
      </w:r>
    </w:p>
    <w:p>
      <w:pPr>
        <w:pStyle w:val="null3"/>
        <w:jc w:val="center"/>
        <w:outlineLvl w:val="3"/>
      </w:pPr>
      <w:r>
        <w:rPr>
          <w:sz w:val="24"/>
          <w:b/>
        </w:rPr>
        <w:t>采购人：</w:t>
      </w:r>
      <w:r>
        <w:rPr>
          <w:sz w:val="24"/>
          <w:b/>
        </w:rPr>
        <w:t>翁源县自然资源局</w:t>
      </w:r>
    </w:p>
    <w:p>
      <w:pPr>
        <w:pStyle w:val="null3"/>
        <w:jc w:val="center"/>
        <w:outlineLvl w:val="3"/>
      </w:pPr>
      <w:r>
        <w:rPr>
          <w:sz w:val="24"/>
          <w:b/>
        </w:rPr>
        <w:t>采购代理机构：</w:t>
      </w:r>
      <w:r>
        <w:rPr>
          <w:sz w:val="24"/>
          <w:b/>
        </w:rPr>
        <w:t>广东远东招标代理有限公司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广东远东招标代理有限公司</w:t>
      </w:r>
      <w:r>
        <w:rPr/>
        <w:t>受</w:t>
      </w:r>
      <w:r>
        <w:rPr/>
        <w:t>翁源县自然资源局</w:t>
      </w:r>
      <w:r>
        <w:rPr/>
        <w:t>的委托，采用</w:t>
      </w:r>
      <w:r>
        <w:rPr/>
        <w:t>公开招标</w:t>
      </w:r>
      <w:r>
        <w:rPr/>
        <w:t>方式组织采购</w:t>
      </w:r>
      <w:r>
        <w:rPr/>
        <w:t>韶关市翁源县中心城区控制性详细规划编制项目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韶关市翁源县中心城区控制性详细规划编制项目</w:t>
      </w:r>
    </w:p>
    <w:p>
      <w:pPr>
        <w:pStyle w:val="null3"/>
        <w:ind w:firstLine="480"/>
      </w:pPr>
      <w:r>
        <w:rPr/>
        <w:t>采购计划编号：</w:t>
      </w:r>
      <w:r>
        <w:rPr/>
        <w:t>440229-2026-00383</w:t>
      </w:r>
    </w:p>
    <w:p>
      <w:pPr>
        <w:pStyle w:val="null3"/>
        <w:ind w:firstLine="480"/>
      </w:pPr>
      <w:r>
        <w:rPr/>
        <w:t>采购项目编号：</w:t>
      </w:r>
      <w:r>
        <w:rPr/>
        <w:t>GDYD260230</w:t>
      </w:r>
    </w:p>
    <w:p>
      <w:pPr>
        <w:pStyle w:val="null3"/>
        <w:ind w:firstLine="480"/>
      </w:pPr>
      <w:r>
        <w:rPr/>
        <w:t>采购方式：</w:t>
      </w:r>
      <w:r>
        <w:rPr/>
        <w:t>公开招标</w:t>
      </w:r>
    </w:p>
    <w:p>
      <w:pPr>
        <w:pStyle w:val="null3"/>
        <w:ind w:firstLine="480"/>
      </w:pPr>
      <w:r>
        <w:rPr/>
        <w:t>预算金额：</w:t>
      </w:r>
      <w:r>
        <w:rPr/>
        <w:t>2,210,000.00</w:t>
      </w:r>
      <w:r>
        <w:rPr/>
        <w:t>元</w:t>
      </w:r>
    </w:p>
    <w:p>
      <w:pPr>
        <w:pStyle w:val="null3"/>
        <w:outlineLvl w:val="3"/>
      </w:pPr>
      <w:r>
        <w:rPr>
          <w:sz w:val="24"/>
          <w:b/>
        </w:rPr>
        <w:t>2.项目内容及需求情况（采购项目技术规格、参数及要求）</w:t>
      </w:r>
    </w:p>
    <w:p>
      <w:pPr>
        <w:pStyle w:val="null3"/>
      </w:pPr>
      <w:r>
        <w:rPr/>
        <w:t>采购包1(韶关市翁源县中心城区控制性详细规划编制项目):</w:t>
      </w:r>
    </w:p>
    <w:p>
      <w:pPr>
        <w:pStyle w:val="null3"/>
      </w:pPr>
      <w:r>
        <w:rPr/>
        <w:t>采购包预算金额：2,210,000.00元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区域规划和设计服务</w:t>
            </w:r>
          </w:p>
        </w:tc>
        <w:tc>
          <w:tcPr>
            <w:tcW w:type="dxa" w:w="2136"/>
          </w:tcPr>
          <w:p>
            <w:pPr>
              <w:pStyle w:val="null3"/>
            </w:pPr>
            <w:r>
              <w:rPr/>
              <w:t>韶关市翁源县中心城区控制性详细规划编制项目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合同履行期限：合同签订后180天内（日历天）交付成果文件。</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2）有依法缴纳税收和社会保障资金的良好记录：投标文件中提供《资格条件承诺函》，（格式详见招标文件“第二章 采购需求”）。</w:t>
      </w:r>
    </w:p>
    <w:p>
      <w:pPr>
        <w:pStyle w:val="null3"/>
      </w:pPr>
      <w:r>
        <w:rPr/>
        <w:t>3）具有良好的商业信誉和健全的财务会计制度：投标文件中提供《资格条件承诺函》，（格式详见招标文件“第二章 采购需求”）。</w:t>
      </w:r>
    </w:p>
    <w:p>
      <w:pPr>
        <w:pStyle w:val="null3"/>
      </w:pPr>
      <w:r>
        <w:rPr/>
        <w:t>4）履行合同所必需的设备和专业技术能力：投标文件中提供《资格条件承诺函》，（格式详见招标文件“第二章 采购需求”）。</w:t>
      </w:r>
    </w:p>
    <w:p>
      <w:pPr>
        <w:pStyle w:val="null3"/>
      </w:pPr>
      <w:r>
        <w:rPr/>
        <w:t>5）参加采购活动前3年内，在经营活动中没有重大违法记录：投标文件中提供《资格条件承诺函》，（格式详见招标文件“第二章 采购需求”）。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采购包1（韶关市翁源县中心城区控制性详细规划编制项目）：</w:t>
      </w:r>
      <w:r>
        <w:rPr/>
        <w:t>本项目不属于专门面向中小企业采购的项目。</w:t>
      </w:r>
    </w:p>
    <w:p>
      <w:pPr>
        <w:pStyle w:val="null3"/>
        <w:outlineLvl w:val="3"/>
      </w:pPr>
      <w:r>
        <w:rPr>
          <w:sz w:val="24"/>
          <w:b/>
        </w:rPr>
        <w:t>3.本项目特定的资格要求：</w:t>
      </w:r>
    </w:p>
    <w:p>
      <w:pPr>
        <w:pStyle w:val="null3"/>
      </w:pPr>
      <w:r>
        <w:rPr/>
        <w:t>采购包1（韶关市翁源县中心城区控制性详细规划编制项目）：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3)投标人具有城乡规划（国土空间规划）编制资质乙级或以上证书。（提供有效的城乡规划编制资质证书复印件，如国家、省另有规定，则适用其规定或证书在年审中，须提供其他佐证材料）</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广东远东招标代理有限公司网（http://www.gdydzb.com）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翁源县自然资源局</w:t>
      </w:r>
    </w:p>
    <w:p>
      <w:pPr>
        <w:pStyle w:val="null3"/>
        <w:ind w:firstLine="480"/>
      </w:pPr>
      <w:r>
        <w:rPr/>
        <w:t xml:space="preserve"> 地址：</w:t>
      </w:r>
      <w:r>
        <w:rPr/>
        <w:t>韶关市翁源县龙仙镇德政路西一巷一号</w:t>
      </w:r>
    </w:p>
    <w:p>
      <w:pPr>
        <w:pStyle w:val="null3"/>
        <w:ind w:firstLine="480"/>
      </w:pPr>
      <w:r>
        <w:rPr/>
        <w:t xml:space="preserve"> 联系方式：</w:t>
      </w:r>
      <w:r>
        <w:rPr/>
        <w:t>0751-2833218</w:t>
      </w:r>
    </w:p>
    <w:p>
      <w:pPr>
        <w:pStyle w:val="null3"/>
        <w:outlineLvl w:val="3"/>
      </w:pPr>
      <w:r>
        <w:rPr>
          <w:sz w:val="24"/>
          <w:b/>
        </w:rPr>
        <w:t xml:space="preserve"> 2.采购代理机构信息</w:t>
      </w:r>
    </w:p>
    <w:p>
      <w:pPr>
        <w:pStyle w:val="null3"/>
        <w:ind w:firstLine="480"/>
      </w:pPr>
      <w:r>
        <w:rPr/>
        <w:t xml:space="preserve"> 名称：</w:t>
      </w:r>
      <w:r>
        <w:rPr/>
        <w:t>广东远东招标代理有限公司</w:t>
      </w:r>
    </w:p>
    <w:p>
      <w:pPr>
        <w:pStyle w:val="null3"/>
        <w:ind w:firstLine="480"/>
      </w:pPr>
      <w:r>
        <w:rPr/>
        <w:t xml:space="preserve"> 地址：</w:t>
      </w:r>
      <w:r>
        <w:rPr/>
        <w:t>广州市越秀区越华路112号4301房（部位：自编04-1、05A-1单元），韶关市武江区西联镇小阳山沐芙路扬成名门综合楼三楼（韶关分公司）</w:t>
      </w:r>
    </w:p>
    <w:p>
      <w:pPr>
        <w:pStyle w:val="null3"/>
        <w:ind w:firstLine="480"/>
      </w:pPr>
      <w:r>
        <w:rPr/>
        <w:t xml:space="preserve"> 联系方式：</w:t>
      </w:r>
      <w:r>
        <w:rPr/>
        <w:t>0751-8115118</w:t>
      </w:r>
    </w:p>
    <w:p>
      <w:pPr>
        <w:pStyle w:val="null3"/>
        <w:outlineLvl w:val="3"/>
      </w:pPr>
      <w:r>
        <w:rPr>
          <w:sz w:val="24"/>
          <w:b/>
        </w:rPr>
        <w:t xml:space="preserve"> 3.项目联系方式</w:t>
      </w:r>
    </w:p>
    <w:p>
      <w:pPr>
        <w:pStyle w:val="null3"/>
        <w:ind w:firstLine="480"/>
      </w:pPr>
      <w:r>
        <w:rPr/>
        <w:t xml:space="preserve"> 项目联系人：</w:t>
      </w:r>
      <w:r>
        <w:rPr/>
        <w:t>雷小姐</w:t>
      </w:r>
    </w:p>
    <w:p>
      <w:pPr>
        <w:pStyle w:val="null3"/>
        <w:ind w:firstLine="480"/>
      </w:pPr>
      <w:r>
        <w:rPr/>
        <w:t xml:space="preserve"> 电话：</w:t>
      </w:r>
      <w:r>
        <w:rPr/>
        <w:t>0751-8115118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广东远东招标代理有限公司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b/>
        </w:rPr>
        <w:t>（一</w:t>
      </w:r>
      <w:r>
        <w:rPr>
          <w:sz w:val="24"/>
          <w:b/>
        </w:rPr>
        <w:t>）</w:t>
      </w:r>
      <w:r>
        <w:rPr>
          <w:sz w:val="24"/>
          <w:b/>
        </w:rPr>
        <w:t>采购项目需求一览表</w:t>
      </w:r>
    </w:p>
    <w:tbl>
      <w:tblPr>
        <w:tblW w:w="0" w:type="auto"/>
        <w:tblBorders>
          <w:top w:val="none" w:color="000000" w:sz="4"/>
          <w:left w:val="none" w:color="000000" w:sz="4"/>
          <w:bottom w:val="none" w:color="000000" w:sz="4"/>
          <w:right w:val="none" w:color="000000" w:sz="4"/>
          <w:insideH w:val="none"/>
          <w:insideV w:val="none"/>
        </w:tblBorders>
      </w:tblPr>
      <w:tblGrid>
        <w:gridCol w:w="3463"/>
        <w:gridCol w:w="928"/>
        <w:gridCol w:w="2007"/>
        <w:gridCol w:w="1907"/>
      </w:tblGrid>
      <w:tr>
        <w:tc>
          <w:tcPr>
            <w:tcW w:type="dxa" w:w="34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项目</w:t>
            </w:r>
            <w:r>
              <w:rPr>
                <w:sz w:val="24"/>
                <w:b/>
              </w:rPr>
              <w:t>名称</w:t>
            </w:r>
          </w:p>
        </w:tc>
        <w:tc>
          <w:tcPr>
            <w:tcW w:type="dxa" w:w="9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数量</w:t>
            </w:r>
          </w:p>
        </w:tc>
        <w:tc>
          <w:tcPr>
            <w:tcW w:type="dxa" w:w="20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采购预算金额</w:t>
            </w:r>
          </w:p>
        </w:tc>
        <w:tc>
          <w:tcPr>
            <w:tcW w:type="dxa" w:w="19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最高限价金额</w:t>
            </w:r>
          </w:p>
        </w:tc>
      </w:tr>
      <w:tr>
        <w:tc>
          <w:tcPr>
            <w:tcW w:type="dxa" w:w="3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韶关市翁源县中心城区控制性详细规划编制项目</w:t>
            </w:r>
          </w:p>
        </w:tc>
        <w:tc>
          <w:tcPr>
            <w:tcW w:type="dxa" w:w="9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1项</w:t>
            </w:r>
          </w:p>
        </w:tc>
        <w:tc>
          <w:tcPr>
            <w:tcW w:type="dxa" w:w="2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2,210,000.00</w:t>
            </w:r>
            <w:r>
              <w:rPr>
                <w:sz w:val="24"/>
              </w:rPr>
              <w:t>元</w:t>
            </w:r>
          </w:p>
        </w:tc>
        <w:tc>
          <w:tcPr>
            <w:tcW w:type="dxa" w:w="1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2,210,000.00</w:t>
            </w:r>
            <w:r>
              <w:rPr>
                <w:sz w:val="24"/>
              </w:rPr>
              <w:t>元</w:t>
            </w:r>
          </w:p>
        </w:tc>
      </w:tr>
    </w:tbl>
    <w:p>
      <w:pPr>
        <w:pStyle w:val="null3"/>
        <w:jc w:val="left"/>
      </w:pPr>
      <w:r>
        <w:rPr>
          <w:sz w:val="24"/>
          <w:b/>
        </w:rPr>
        <w:t>（</w:t>
      </w:r>
      <w:r>
        <w:rPr>
          <w:sz w:val="24"/>
          <w:b/>
        </w:rPr>
        <w:t>二</w:t>
      </w:r>
      <w:r>
        <w:rPr>
          <w:sz w:val="24"/>
          <w:b/>
        </w:rPr>
        <w:t>）</w:t>
      </w:r>
      <w:r>
        <w:rPr>
          <w:sz w:val="24"/>
          <w:b/>
        </w:rPr>
        <w:t>资格条件承诺函</w:t>
      </w:r>
    </w:p>
    <w:p>
      <w:pPr>
        <w:pStyle w:val="null3"/>
        <w:jc w:val="center"/>
      </w:pPr>
      <w:r>
        <w:rPr>
          <w:sz w:val="24"/>
          <w:b/>
        </w:rPr>
        <w:t>资格条件承诺函</w:t>
      </w:r>
    </w:p>
    <w:p>
      <w:pPr>
        <w:pStyle w:val="null3"/>
        <w:ind w:firstLine="480"/>
        <w:jc w:val="left"/>
      </w:pPr>
      <w:r>
        <w:rPr>
          <w:sz w:val="24"/>
        </w:rPr>
        <w:t>我方</w:t>
      </w:r>
      <w:r>
        <w:rPr>
          <w:sz w:val="24"/>
          <w:u w:val="single"/>
        </w:rPr>
        <w:t xml:space="preserve"> </w:t>
      </w:r>
      <w:r>
        <w:rPr>
          <w:sz w:val="24"/>
          <w:u w:val="single"/>
        </w:rPr>
        <w:t>（供应商名称）</w:t>
      </w:r>
      <w:r>
        <w:rPr>
          <w:sz w:val="24"/>
        </w:rPr>
        <w:t>符合《中华人民共和国政府采购法》第二十二条第一款第（二）项、第（三）项、第（四）项、第（五）项规定条件，具体包括：</w:t>
      </w:r>
    </w:p>
    <w:p>
      <w:pPr>
        <w:pStyle w:val="null3"/>
        <w:ind w:firstLine="480"/>
        <w:jc w:val="left"/>
      </w:pPr>
      <w:r>
        <w:rPr>
          <w:sz w:val="24"/>
        </w:rPr>
        <w:t>1.具有良好的商业信誉和健全的财务会计制度；</w:t>
      </w:r>
    </w:p>
    <w:p>
      <w:pPr>
        <w:pStyle w:val="null3"/>
        <w:ind w:firstLine="480"/>
        <w:jc w:val="left"/>
      </w:pPr>
      <w:r>
        <w:rPr>
          <w:sz w:val="24"/>
        </w:rPr>
        <w:t>2.具有履行合同所必需的设备和专业技术能力；</w:t>
      </w:r>
    </w:p>
    <w:p>
      <w:pPr>
        <w:pStyle w:val="null3"/>
        <w:ind w:firstLine="480"/>
        <w:jc w:val="left"/>
      </w:pPr>
      <w:r>
        <w:rPr>
          <w:sz w:val="24"/>
        </w:rPr>
        <w:t>3.具有依法缴纳税收和社会保障资金的良好记录；</w:t>
      </w:r>
    </w:p>
    <w:p>
      <w:pPr>
        <w:pStyle w:val="null3"/>
        <w:ind w:firstLine="480"/>
        <w:jc w:val="left"/>
      </w:pPr>
      <w:r>
        <w:rPr>
          <w:sz w:val="24"/>
        </w:rPr>
        <w:t>4.参加政府采购活动前三年内，在经营活动中没有重大违法记录。</w:t>
      </w:r>
    </w:p>
    <w:p>
      <w:pPr>
        <w:pStyle w:val="null3"/>
        <w:ind w:firstLine="480"/>
        <w:jc w:val="left"/>
      </w:pPr>
      <w:r>
        <w:rPr>
          <w:sz w:val="24"/>
        </w:rPr>
        <w:t>我方对上述承诺的真实性负责，在评审环节结束后，自愿接受采购单位（采购代理机构）的检查核验，配合提供相关证明材料，证明符合《中华人民共和国政府采购法》规定的供应商基本资格条件。如有虚假，将依法承担相应法律责任。</w:t>
      </w:r>
    </w:p>
    <w:p>
      <w:pPr>
        <w:pStyle w:val="null3"/>
        <w:ind w:firstLine="480"/>
      </w:pPr>
      <w:r>
        <w:rPr>
          <w:sz w:val="24"/>
        </w:rPr>
        <w:t>特此</w:t>
      </w:r>
      <w:r>
        <w:rPr>
          <w:sz w:val="24"/>
        </w:rPr>
        <w:t>承诺</w:t>
      </w:r>
      <w:r>
        <w:rPr>
          <w:sz w:val="24"/>
        </w:rPr>
        <w:t>。</w:t>
      </w:r>
    </w:p>
    <w:p>
      <w:pPr>
        <w:pStyle w:val="null3"/>
        <w:jc w:val="right"/>
      </w:pPr>
      <w:r>
        <w:rPr>
          <w:sz w:val="24"/>
        </w:rPr>
        <w:t>供应商名称（公章）</w:t>
      </w:r>
    </w:p>
    <w:p>
      <w:pPr>
        <w:pStyle w:val="null3"/>
        <w:jc w:val="right"/>
      </w:pPr>
      <w:r>
        <w:rPr>
          <w:sz w:val="24"/>
        </w:rPr>
        <w:t xml:space="preserve">                                                       </w:t>
      </w:r>
      <w:r>
        <w:rPr>
          <w:sz w:val="24"/>
        </w:rPr>
        <w:t>年</w:t>
      </w:r>
      <w:r>
        <w:rPr>
          <w:sz w:val="24"/>
        </w:rPr>
        <w:t xml:space="preserve">   </w:t>
      </w:r>
      <w:r>
        <w:rPr>
          <w:sz w:val="24"/>
        </w:rPr>
        <w:t>月</w:t>
      </w:r>
      <w:r>
        <w:rPr>
          <w:sz w:val="24"/>
        </w:rPr>
        <w:t xml:space="preserve">  </w:t>
      </w:r>
      <w:r>
        <w:rPr>
          <w:sz w:val="24"/>
        </w:rPr>
        <w:t>日</w:t>
      </w:r>
    </w:p>
    <w:p>
      <w:pPr>
        <w:pStyle w:val="null3"/>
      </w:pPr>
      <w:r>
        <w:rPr/>
        <w:t>采购包1（韶关市翁源县中心城区控制性详细规划编制项目）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合同签订后180天内（日历天）交付成果文件。</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1期：支付比例30%,合同签订并提交初步成果后10个工作日内，采购人向中标人支付合同总金额30%。</w:t>
            </w:r>
          </w:p>
          <w:p>
            <w:pPr>
              <w:pStyle w:val="null3"/>
            </w:pPr>
            <w:r>
              <w:rPr/>
              <w:t>2期：支付比例40%,中标人完成中期成果并通过专家评审会后，采购人在10个工作日内向中标人支付合同总额的40%。</w:t>
            </w:r>
          </w:p>
          <w:p>
            <w:pPr>
              <w:pStyle w:val="null3"/>
            </w:pPr>
            <w:r>
              <w:rPr/>
              <w:t>3期：支付比例30%,中标人提交最终成果并通过翁源县人民政府审批同意，且规划成果数据在全省国土空间规划“一张图”实施监督系统中完成备案（如控制性详细规划成果数据无需在全省国土空间规划“一张图”实施监督系统中备案，则获得翁源县人民政府批复即视为达到支付条件），中标人向采购人提供请款资料后15个工作日内，采购人向中标人支付合同总额的30%。 注：①上述每期款项支付前，中标人均应向采购人提供请款申报材料（如需）及相应金额的合法有效的发票，否则，采购人有权拒绝支付相应的款项，并不构成违约；②因采购人用的是财政资金，采购人在前款规定的付款时间为向政府采购支付部门提出办理财政支付申请手续的时间（不含政府财政支付部门审核的时间），在前述规定时间内提出办理支付申请手续后，采购人不承担逾期支付的违约责任。</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1期：1.履约验收主体：采购人。 2.履约验收时间：中标人必须在采购人指定时间之前将成果文件提交给采购人。 3.履约验收方式：分阶段验收。 4.履约验收程序： （1）中标人应按规定时间节点要求提交成果文件，采购人对中标人提交的成果文件情况进行审核，中标人开展的相关工作及提交的内容应得到采购人认同，审核通过后方为完成合同内容；对审核不合格的部分，中标人应在采购人规定时间内及时整改完善直至合格，未在规定时间内进行整改并通过审核的，采购人有权单方面解除合同并不予支付款项。 （2）成果经专家评审通过及采购人终审后，中标人应根据审核意见，修改并形成正式成果，并按规定时限报采购人。 （3）中标人负责配合完成项目的阶段成果汇报、专题会议汇报、最终成果汇报等工作。 （4）项目成果以采购人组织审核和确定验收方式。 5.履约验收内容：依据招标文件的服务内容及要求、中标人的投标文件及承诺与本合同约定进行验收。 6.验收标准：审核由采购人组织相关人员依照有关标准、项目及合同要求进行。 7.争议处理：因验收发生争议时，由验收小组报采购人党组会审定。 8.其他未尽事宜处理：履约验收工作中未明确的事项，须严格遵循以下法规文件执行，并对技术、服务履约情况逐项确认：（1）《财政部关于进一步加强政府采购需求和履约验收管理的指导意见》（财库〔2016〕205 号）；（2）《关于进一步加强政府采购需求管理工作的通知》（粤财采购函〔2023〕29 号）；（3）《关于进一步加强政府采购项目合同履约验收支付等相关工作的通知》（韶财采购〔2022〕19 号）。</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投标报价包括：履行本合同的一切直接和间接费用，在项目实施所需的资料打印产生的费用，以及实地考察、会务费用、归档等与该项目相关工作产生的费用。</w:t>
            </w:r>
          </w:p>
        </w:tc>
      </w:tr>
      <w:tr>
        <w:tc>
          <w:tcPr>
            <w:tcW w:type="dxa" w:w="2076"/>
          </w:tcPr>
          <w:p/>
        </w:tc>
        <w:tc>
          <w:tcPr>
            <w:tcW w:type="dxa" w:w="2076"/>
          </w:tcPr>
          <w:p>
            <w:pPr>
              <w:pStyle w:val="null3"/>
              <w:jc w:val="center"/>
            </w:pPr>
            <w:r>
              <w:rPr/>
              <w:t>2</w:t>
            </w:r>
          </w:p>
        </w:tc>
        <w:tc>
          <w:tcPr>
            <w:tcW w:type="dxa" w:w="2076"/>
          </w:tcPr>
          <w:p>
            <w:pPr>
              <w:pStyle w:val="null3"/>
              <w:jc w:val="left"/>
            </w:pPr>
            <w:r>
              <w:rPr/>
              <w:t>同类项目</w:t>
            </w:r>
          </w:p>
        </w:tc>
        <w:tc>
          <w:tcPr>
            <w:tcW w:type="dxa" w:w="2076"/>
          </w:tcPr>
          <w:p>
            <w:pPr>
              <w:pStyle w:val="null3"/>
              <w:jc w:val="left"/>
            </w:pPr>
            <w:r>
              <w:rPr/>
              <w:t>投标人应说明与本项目的同类项目经验情况等内容，组织高水平、多专业的技术团队开展技术服务。同类项目指国土空间规划（总体规划、控制性详细规划）动态维护类项目、控制性详细规划、控制性详细规划评估及单元划分（划定）项目、市政类、交通类、绿地系统类其中之一的专项规划项目。</w:t>
            </w:r>
          </w:p>
        </w:tc>
      </w:tr>
      <w:tr>
        <w:tc>
          <w:tcPr>
            <w:tcW w:type="dxa" w:w="2076"/>
          </w:tcPr>
          <w:p/>
        </w:tc>
        <w:tc>
          <w:tcPr>
            <w:tcW w:type="dxa" w:w="2076"/>
          </w:tcPr>
          <w:p>
            <w:pPr>
              <w:pStyle w:val="null3"/>
              <w:jc w:val="center"/>
            </w:pPr>
            <w:r>
              <w:rPr/>
              <w:t>3</w:t>
            </w:r>
          </w:p>
        </w:tc>
        <w:tc>
          <w:tcPr>
            <w:tcW w:type="dxa" w:w="2076"/>
          </w:tcPr>
          <w:p>
            <w:pPr>
              <w:pStyle w:val="null3"/>
              <w:jc w:val="left"/>
            </w:pPr>
            <w:r>
              <w:rPr/>
              <w:t>管理体系</w:t>
            </w:r>
          </w:p>
        </w:tc>
        <w:tc>
          <w:tcPr>
            <w:tcW w:type="dxa" w:w="2076"/>
          </w:tcPr>
          <w:p>
            <w:pPr>
              <w:pStyle w:val="null3"/>
              <w:jc w:val="left"/>
            </w:pPr>
            <w:r>
              <w:rPr/>
              <w:t>投标人应做好内控管理体系，具备对项目实施过程管控的能力以及管理的规范性，投标人在质量管理体系方面应规范，具备相应的体系认证证书。</w:t>
            </w:r>
          </w:p>
        </w:tc>
      </w:tr>
      <w:tr>
        <w:tc>
          <w:tcPr>
            <w:tcW w:type="dxa" w:w="2076"/>
          </w:tcPr>
          <w:p/>
        </w:tc>
        <w:tc>
          <w:tcPr>
            <w:tcW w:type="dxa" w:w="2076"/>
          </w:tcPr>
          <w:p>
            <w:pPr>
              <w:pStyle w:val="null3"/>
              <w:jc w:val="center"/>
            </w:pPr>
            <w:r>
              <w:rPr/>
              <w:t>4</w:t>
            </w:r>
          </w:p>
        </w:tc>
        <w:tc>
          <w:tcPr>
            <w:tcW w:type="dxa" w:w="2076"/>
          </w:tcPr>
          <w:p>
            <w:pPr>
              <w:pStyle w:val="null3"/>
              <w:jc w:val="left"/>
            </w:pPr>
            <w:r>
              <w:rPr/>
              <w:t>人员配置</w:t>
            </w:r>
          </w:p>
        </w:tc>
        <w:tc>
          <w:tcPr>
            <w:tcW w:type="dxa" w:w="2076"/>
          </w:tcPr>
          <w:p>
            <w:pPr>
              <w:pStyle w:val="null3"/>
              <w:jc w:val="left"/>
            </w:pPr>
            <w:r>
              <w:rPr/>
              <w:t>1.本项目需配备一名较强的组织和协调能力，具有较高分析解决问题能力的项目负责人，能够统筹项目管理、技术管理。项目负责人具有注册城乡（市）规划师执业资格及城乡（市）规划职称。 2.服务团队需包含：国土类、城市（乡）规划类、测绘类、给水排水类、风景园林设计类、市政路桥类专业职称提供技术支持工作，能够充分理解项目需求，完成工作任务。 3.项目负责人应是该项目实施全过程的真正组织者和指导者，担负实质性工作，挂名或不担负实质性工作的人不得作为项目负责人参与本项目。关键节点，如专题汇报、技术审查等需项目负责人本人到场。</w:t>
            </w:r>
          </w:p>
        </w:tc>
      </w:tr>
      <w:tr>
        <w:tc>
          <w:tcPr>
            <w:tcW w:type="dxa" w:w="2076"/>
          </w:tcPr>
          <w:p/>
        </w:tc>
        <w:tc>
          <w:tcPr>
            <w:tcW w:type="dxa" w:w="2076"/>
          </w:tcPr>
          <w:p>
            <w:pPr>
              <w:pStyle w:val="null3"/>
              <w:jc w:val="center"/>
            </w:pPr>
            <w:r>
              <w:rPr/>
              <w:t>5</w:t>
            </w:r>
          </w:p>
        </w:tc>
        <w:tc>
          <w:tcPr>
            <w:tcW w:type="dxa" w:w="2076"/>
          </w:tcPr>
          <w:p>
            <w:pPr>
              <w:pStyle w:val="null3"/>
              <w:jc w:val="left"/>
            </w:pPr>
            <w:r>
              <w:rPr/>
              <w:t>保密要求</w:t>
            </w:r>
          </w:p>
        </w:tc>
        <w:tc>
          <w:tcPr>
            <w:tcW w:type="dxa" w:w="2076"/>
          </w:tcPr>
          <w:p>
            <w:pPr>
              <w:pStyle w:val="null3"/>
              <w:jc w:val="left"/>
            </w:pPr>
            <w:r>
              <w:rPr/>
              <w:t>1.中标人制定安全保障措施、项目保密管理制度，对在工作过程中接触到的采购人的任何资料、文件、数据（无论是书面形式的还是电子版的），以及为采购人服务形成的任何交付物，负有保密的责任。未经采购人书面同意，中标人不得以任何方式向任何第三方提供或透露。 2.中标人不得将涉密资料在计算机互联网、政务网等非涉密网络上传输、登载。 3.中标人发生涉密资料外传、丢失、被盗或者造成泄密事故的，应采取有效措施，及时补救，并及时向采购人报告；否则所造成的后果均由中标人承担。</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区域规划和设计服务</w:t>
            </w:r>
          </w:p>
        </w:tc>
        <w:tc>
          <w:tcPr>
            <w:tcW w:type="dxa" w:w="933"/>
          </w:tcPr>
          <w:p>
            <w:pPr>
              <w:pStyle w:val="null3"/>
              <w:jc w:val="left"/>
            </w:pPr>
            <w:r>
              <w:rPr/>
              <w:t>韶关市翁源县中心城区控制性详细规划编制项目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2,210,000.00</w:t>
            </w:r>
          </w:p>
        </w:tc>
        <w:tc>
          <w:tcPr>
            <w:tcW w:type="dxa" w:w="933"/>
          </w:tcPr>
          <w:p>
            <w:pPr>
              <w:pStyle w:val="null3"/>
              <w:jc w:val="right"/>
            </w:pPr>
            <w:r>
              <w:rPr/>
              <w:t>2,210,000.00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韶关市翁源县中心城区控制性详细规划编制项目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4"/>
              </w:rPr>
              <w:t>（一）</w:t>
            </w:r>
            <w:r>
              <w:rPr>
                <w:sz w:val="24"/>
              </w:rPr>
              <w:t>项目概况</w:t>
            </w:r>
          </w:p>
          <w:p>
            <w:pPr>
              <w:pStyle w:val="null3"/>
            </w:pPr>
            <w:r>
              <w:rPr>
                <w:sz w:val="24"/>
              </w:rPr>
              <w:t>韶关市翁源县中心城区控制性详细规划编制项目工作以中心城区为范围，重点聚焦城镇开发边界内建设用地作为编制范围，总面积共计</w:t>
            </w:r>
            <w:r>
              <w:rPr>
                <w:sz w:val="24"/>
              </w:rPr>
              <w:t>1511.83公顷，其中城镇开发边界内面积共计约1106.24公顷。</w:t>
            </w:r>
          </w:p>
        </w:tc>
      </w:tr>
      <w:tr>
        <w:tc>
          <w:tcPr>
            <w:tcW w:type="dxa" w:w="2076"/>
          </w:tcPr>
          <w:p/>
        </w:tc>
        <w:tc>
          <w:tcPr>
            <w:tcW w:type="dxa" w:w="415"/>
          </w:tcPr>
          <w:p>
            <w:pPr>
              <w:pStyle w:val="null3"/>
            </w:pPr>
            <w:r>
              <w:rPr/>
              <w:t>2</w:t>
            </w:r>
          </w:p>
        </w:tc>
        <w:tc>
          <w:tcPr>
            <w:tcW w:type="dxa" w:w="5814"/>
          </w:tcPr>
          <w:p>
            <w:pPr>
              <w:pStyle w:val="null3"/>
            </w:pPr>
            <w:r>
              <w:rPr>
                <w:sz w:val="24"/>
              </w:rPr>
              <w:t>（</w:t>
            </w:r>
            <w:r>
              <w:rPr>
                <w:sz w:val="24"/>
              </w:rPr>
              <w:t>二</w:t>
            </w:r>
            <w:r>
              <w:rPr>
                <w:sz w:val="24"/>
              </w:rPr>
              <w:t>）</w:t>
            </w:r>
            <w:r>
              <w:rPr>
                <w:sz w:val="24"/>
              </w:rPr>
              <w:t>编制原则</w:t>
            </w:r>
          </w:p>
          <w:p>
            <w:pPr>
              <w:pStyle w:val="null3"/>
            </w:pPr>
            <w:r>
              <w:rPr>
                <w:sz w:val="24"/>
              </w:rPr>
              <w:t>1.坚持控规法律权威性原则：严格按照相关法律法规编制控制性详细规划，明确和完善法定条文的管控内容。</w:t>
            </w:r>
          </w:p>
          <w:p>
            <w:pPr>
              <w:pStyle w:val="null3"/>
            </w:pPr>
            <w:r>
              <w:rPr>
                <w:sz w:val="24"/>
              </w:rPr>
              <w:t>2.坚持统筹兼顾、协调一致原则：将管理单元控制性详细规划与海绵城市、综合交通、风貌规划等专项规划结合考虑，科学规划本管理单元内的设施布局和开发控制。</w:t>
            </w:r>
          </w:p>
          <w:p>
            <w:pPr>
              <w:pStyle w:val="null3"/>
            </w:pPr>
            <w:r>
              <w:rPr>
                <w:sz w:val="24"/>
              </w:rPr>
              <w:t>3.坚持标准化、信息化，刚柔并济原则：需严格管控的内容必须严格按照法律、规范编制导则编制和控制，可弹性调节的内容应预留调整空间，便于规划管理的具体实施。</w:t>
            </w:r>
          </w:p>
        </w:tc>
      </w:tr>
      <w:tr>
        <w:tc>
          <w:tcPr>
            <w:tcW w:type="dxa" w:w="2076"/>
          </w:tcPr>
          <w:p/>
        </w:tc>
        <w:tc>
          <w:tcPr>
            <w:tcW w:type="dxa" w:w="415"/>
          </w:tcPr>
          <w:p>
            <w:pPr>
              <w:pStyle w:val="null3"/>
            </w:pPr>
            <w:r>
              <w:rPr/>
              <w:t>3</w:t>
            </w:r>
          </w:p>
        </w:tc>
        <w:tc>
          <w:tcPr>
            <w:tcW w:type="dxa" w:w="5814"/>
          </w:tcPr>
          <w:p>
            <w:pPr>
              <w:pStyle w:val="null3"/>
            </w:pPr>
            <w:r>
              <w:rPr>
                <w:sz w:val="24"/>
              </w:rPr>
              <w:t>（</w:t>
            </w:r>
            <w:r>
              <w:rPr>
                <w:sz w:val="24"/>
              </w:rPr>
              <w:t>三</w:t>
            </w:r>
            <w:r>
              <w:rPr>
                <w:sz w:val="24"/>
              </w:rPr>
              <w:t>）</w:t>
            </w:r>
            <w:r>
              <w:rPr>
                <w:sz w:val="24"/>
              </w:rPr>
              <w:t>编制内容与技术要求</w:t>
            </w:r>
          </w:p>
          <w:p>
            <w:pPr>
              <w:pStyle w:val="null3"/>
            </w:pPr>
            <w:r>
              <w:rPr>
                <w:sz w:val="24"/>
              </w:rPr>
              <w:t>控制性详细规划编制深度应达到《城市规划编制办法》、韶关市相关的技术管理规定</w:t>
            </w:r>
            <w:r>
              <w:rPr>
                <w:sz w:val="24"/>
              </w:rPr>
              <w:t>，</w:t>
            </w:r>
            <w:r>
              <w:rPr>
                <w:sz w:val="24"/>
              </w:rPr>
              <w:t>编制重点如下：</w:t>
            </w:r>
          </w:p>
          <w:p>
            <w:pPr>
              <w:pStyle w:val="null3"/>
            </w:pPr>
            <w:r>
              <w:rPr>
                <w:sz w:val="24"/>
              </w:rPr>
              <w:t>1.规划综述</w:t>
            </w:r>
            <w:r>
              <w:rPr>
                <w:sz w:val="24"/>
              </w:rPr>
              <w:t>：</w:t>
            </w:r>
            <w:r>
              <w:rPr>
                <w:sz w:val="24"/>
              </w:rPr>
              <w:t>准确把握规划背景和规划依据，开展城市现状建设和发展情况调查，研究城市规划与管理实施的问题，对道路交通、公共服务、城市空间、景观风貌等情况进行分析研究，为各单元的规划编制或规划完善奠定基础。</w:t>
            </w:r>
          </w:p>
          <w:p>
            <w:pPr>
              <w:pStyle w:val="null3"/>
            </w:pPr>
            <w:r>
              <w:rPr>
                <w:sz w:val="24"/>
              </w:rPr>
              <w:t>2.明晰规划目标</w:t>
            </w:r>
            <w:r>
              <w:rPr>
                <w:sz w:val="24"/>
              </w:rPr>
              <w:t>：</w:t>
            </w:r>
            <w:r>
              <w:rPr>
                <w:sz w:val="24"/>
              </w:rPr>
              <w:t>结合现状调研和未来发展需求，明确规划单元的功能定位，提出规划单元发展目标，合理预测人口规模，合理分配落实上位规划配套的公共服务设施和基础服务设施。</w:t>
            </w:r>
          </w:p>
          <w:p>
            <w:pPr>
              <w:pStyle w:val="null3"/>
            </w:pPr>
            <w:r>
              <w:rPr>
                <w:sz w:val="24"/>
              </w:rPr>
              <w:t>3.合理布局公共服务设施及市政设施</w:t>
            </w:r>
            <w:r>
              <w:rPr>
                <w:sz w:val="24"/>
              </w:rPr>
              <w:t>：</w:t>
            </w:r>
            <w:r>
              <w:rPr>
                <w:sz w:val="24"/>
              </w:rPr>
              <w:t>公共服务设施及市政设施布局。根据规划人口和建设容量，按照服务规模和服务半径合理布局配设单元内公共服务设施和市政基础设施，确定公共服务设施及市政工程设施的用地界线、市政工程管线位置、管径，进行管线综合。明确地下空间开发利用具体要求。要综合考虑服务半径和服务能力的问题。</w:t>
            </w:r>
          </w:p>
          <w:p>
            <w:pPr>
              <w:pStyle w:val="null3"/>
            </w:pPr>
            <w:r>
              <w:rPr>
                <w:sz w:val="24"/>
              </w:rPr>
              <w:t>4.协调完善单元内各专项规划</w:t>
            </w:r>
            <w:r>
              <w:rPr>
                <w:sz w:val="24"/>
              </w:rPr>
              <w:t>：</w:t>
            </w:r>
            <w:r>
              <w:rPr>
                <w:sz w:val="24"/>
              </w:rPr>
              <w:t>结合海绵城市、道路竖向、综合管廊、绿地系统等专项规划细化完善本单元内各专项规划。</w:t>
            </w:r>
          </w:p>
          <w:p>
            <w:pPr>
              <w:pStyle w:val="null3"/>
            </w:pPr>
            <w:r>
              <w:rPr>
                <w:sz w:val="24"/>
              </w:rPr>
              <w:t>5.明确开发与建设控制管理方案</w:t>
            </w:r>
            <w:r>
              <w:rPr>
                <w:sz w:val="24"/>
              </w:rPr>
              <w:t>：</w:t>
            </w:r>
            <w:r>
              <w:rPr>
                <w:sz w:val="24"/>
              </w:rPr>
              <w:t>结合片区规划现状和设施、环境承载能力分析，合理测算和确定单元人口规模和调控策略，规划人口规模应与单元内规划建设容量（尤其是居住、商业）及公共服务、公共安全、交通、市政基础设施的配套服务能力相匹配，对现状设施配套不能满足要求的单元，应明确单元的导控方向和具体措施。</w:t>
            </w:r>
          </w:p>
          <w:p>
            <w:pPr>
              <w:pStyle w:val="null3"/>
            </w:pPr>
            <w:r>
              <w:rPr>
                <w:sz w:val="24"/>
              </w:rPr>
              <w:t>6.编制单元控制图则和地块控制细则</w:t>
            </w:r>
            <w:r>
              <w:rPr>
                <w:sz w:val="24"/>
              </w:rPr>
              <w:t>：</w:t>
            </w:r>
            <w:r>
              <w:rPr>
                <w:sz w:val="24"/>
              </w:rPr>
              <w:t>通过编制相关管控图则实现规划和建设的中微观合理衔接，标识具体地理位置，明确各类控制线，细分各项控制指标，提出各项控制引导。</w:t>
            </w:r>
          </w:p>
        </w:tc>
      </w:tr>
      <w:tr>
        <w:tc>
          <w:tcPr>
            <w:tcW w:type="dxa" w:w="2076"/>
          </w:tcPr>
          <w:p/>
        </w:tc>
        <w:tc>
          <w:tcPr>
            <w:tcW w:type="dxa" w:w="415"/>
          </w:tcPr>
          <w:p>
            <w:pPr>
              <w:pStyle w:val="null3"/>
            </w:pPr>
            <w:r>
              <w:rPr/>
              <w:t>4</w:t>
            </w:r>
          </w:p>
        </w:tc>
        <w:tc>
          <w:tcPr>
            <w:tcW w:type="dxa" w:w="5814"/>
          </w:tcPr>
          <w:p>
            <w:pPr>
              <w:pStyle w:val="null3"/>
            </w:pPr>
            <w:r>
              <w:rPr>
                <w:sz w:val="24"/>
              </w:rPr>
              <w:t>（</w:t>
            </w:r>
            <w:r>
              <w:rPr>
                <w:sz w:val="24"/>
              </w:rPr>
              <w:t>四</w:t>
            </w:r>
            <w:r>
              <w:rPr>
                <w:sz w:val="24"/>
              </w:rPr>
              <w:t>）</w:t>
            </w:r>
            <w:r>
              <w:rPr>
                <w:sz w:val="24"/>
              </w:rPr>
              <w:t>成果要求</w:t>
            </w:r>
          </w:p>
          <w:p>
            <w:pPr>
              <w:pStyle w:val="null3"/>
            </w:pPr>
            <w:r>
              <w:rPr>
                <w:sz w:val="24"/>
              </w:rPr>
              <w:t>1.本控制性详细规划成果应达到《城市规划编制办法》、韶关市相关的技术管理规定中成果内容要求，包括法定文件和技术文件两部分。</w:t>
            </w:r>
          </w:p>
          <w:p>
            <w:pPr>
              <w:pStyle w:val="null3"/>
            </w:pPr>
            <w:r>
              <w:rPr>
                <w:sz w:val="24"/>
              </w:rPr>
              <w:t>（</w:t>
            </w:r>
            <w:r>
              <w:rPr>
                <w:sz w:val="24"/>
              </w:rPr>
              <w:t>1）法定文件。含规划文本、图则。</w:t>
            </w:r>
          </w:p>
          <w:p>
            <w:pPr>
              <w:pStyle w:val="null3"/>
            </w:pPr>
            <w:r>
              <w:rPr>
                <w:sz w:val="24"/>
              </w:rPr>
              <w:t>（</w:t>
            </w:r>
            <w:r>
              <w:rPr>
                <w:sz w:val="24"/>
              </w:rPr>
              <w:t>2）技术文件。由规划说明书、规划图纸构成。</w:t>
            </w:r>
          </w:p>
          <w:p>
            <w:pPr>
              <w:pStyle w:val="null3"/>
            </w:pPr>
            <w:r>
              <w:rPr>
                <w:sz w:val="24"/>
              </w:rPr>
              <w:t>2.提交成果要求</w:t>
            </w:r>
          </w:p>
          <w:p>
            <w:pPr>
              <w:pStyle w:val="null3"/>
            </w:pPr>
            <w:r>
              <w:rPr>
                <w:sz w:val="24"/>
              </w:rPr>
              <w:t>（</w:t>
            </w:r>
            <w:r>
              <w:rPr>
                <w:sz w:val="24"/>
              </w:rPr>
              <w:t>1）包含上述最终成果共3套，规格统一为A3或A4。</w:t>
            </w:r>
          </w:p>
          <w:p>
            <w:pPr>
              <w:pStyle w:val="null3"/>
            </w:pPr>
            <w:r>
              <w:rPr>
                <w:sz w:val="24"/>
              </w:rPr>
              <w:t>（</w:t>
            </w:r>
            <w:r>
              <w:rPr>
                <w:sz w:val="24"/>
              </w:rPr>
              <w:t>2）包含上述所有文字说明和图件内容的电子成果1套（含文字说明电子文件、CAD图纸等），文本为DOC格式文件，方案图纸为DWG格式文件，图集为JPG格式文件。</w:t>
            </w:r>
          </w:p>
          <w:p>
            <w:pPr>
              <w:pStyle w:val="null3"/>
            </w:pPr>
            <w:r>
              <w:rPr>
                <w:sz w:val="24"/>
              </w:rPr>
              <w:t>（</w:t>
            </w:r>
            <w:r>
              <w:rPr>
                <w:sz w:val="24"/>
              </w:rPr>
              <w:t>3）包含上述所有图件内容及简明必要的文字说明的彩色汇报文件1份（PPT格式）。</w:t>
            </w:r>
          </w:p>
        </w:tc>
      </w:tr>
      <w:tr>
        <w:tc>
          <w:tcPr>
            <w:tcW w:type="dxa" w:w="2076"/>
          </w:tcPr>
          <w:p/>
        </w:tc>
        <w:tc>
          <w:tcPr>
            <w:tcW w:type="dxa" w:w="415"/>
          </w:tcPr>
          <w:p>
            <w:pPr>
              <w:pStyle w:val="null3"/>
            </w:pPr>
            <w:r>
              <w:rPr/>
              <w:t>5</w:t>
            </w:r>
          </w:p>
        </w:tc>
        <w:tc>
          <w:tcPr>
            <w:tcW w:type="dxa" w:w="5814"/>
          </w:tcPr>
          <w:p>
            <w:pPr>
              <w:pStyle w:val="null3"/>
            </w:pPr>
            <w:r>
              <w:rPr>
                <w:sz w:val="24"/>
              </w:rPr>
              <w:t>（</w:t>
            </w:r>
            <w:r>
              <w:rPr>
                <w:sz w:val="24"/>
              </w:rPr>
              <w:t>五</w:t>
            </w:r>
            <w:r>
              <w:rPr>
                <w:sz w:val="24"/>
              </w:rPr>
              <w:t>）</w:t>
            </w:r>
            <w:r>
              <w:rPr>
                <w:sz w:val="24"/>
              </w:rPr>
              <w:t>质量标准：</w:t>
            </w:r>
          </w:p>
          <w:p>
            <w:pPr>
              <w:pStyle w:val="null3"/>
            </w:pPr>
            <w:r>
              <w:rPr>
                <w:sz w:val="24"/>
              </w:rPr>
              <w:t>1.</w:t>
            </w:r>
            <w:r>
              <w:rPr>
                <w:sz w:val="24"/>
              </w:rPr>
              <w:t>符合国家规定的标准、政策和现行技术规范、规程要求，通过地方组织的专家审查。</w:t>
            </w:r>
          </w:p>
          <w:p>
            <w:pPr>
              <w:pStyle w:val="null3"/>
            </w:pPr>
            <w:r>
              <w:rPr>
                <w:sz w:val="24"/>
              </w:rPr>
              <w:t>2.建立完善项目质量管理的措施，对影响关键质量的环节及阶段工作成果进行及时有效的检查。</w:t>
            </w:r>
          </w:p>
          <w:p>
            <w:pPr>
              <w:pStyle w:val="null3"/>
            </w:pPr>
            <w:r>
              <w:rPr>
                <w:sz w:val="24"/>
              </w:rPr>
              <w:t>3.建立质量保障组织架构，质量管理团队进行质量把控。</w:t>
            </w:r>
          </w:p>
          <w:p>
            <w:pPr>
              <w:pStyle w:val="null3"/>
            </w:pPr>
            <w:r>
              <w:rPr>
                <w:sz w:val="24"/>
              </w:rPr>
              <w:t>4.投标人需具备较为完善的服务质量保证制度为本项目的质量和履约提供制度保障，以保证项目质量和服务目标。提供项目质量管理的措施、质量指标的承诺和目标情况、数据质量保障措施、各阶段的服务要求及质量问题处理与改进措施等内容。</w:t>
            </w:r>
          </w:p>
        </w:tc>
      </w:tr>
      <w:tr>
        <w:tc>
          <w:tcPr>
            <w:tcW w:type="dxa" w:w="2076"/>
          </w:tcPr>
          <w:p/>
        </w:tc>
        <w:tc>
          <w:tcPr>
            <w:tcW w:type="dxa" w:w="415"/>
          </w:tcPr>
          <w:p>
            <w:pPr>
              <w:pStyle w:val="null3"/>
            </w:pPr>
            <w:r>
              <w:rPr/>
              <w:t>6</w:t>
            </w:r>
          </w:p>
        </w:tc>
        <w:tc>
          <w:tcPr>
            <w:tcW w:type="dxa" w:w="5814"/>
          </w:tcPr>
          <w:p>
            <w:pPr>
              <w:pStyle w:val="null3"/>
            </w:pPr>
            <w:r>
              <w:rPr>
                <w:sz w:val="24"/>
              </w:rPr>
              <w:t>（六）其他要求：</w:t>
            </w:r>
          </w:p>
          <w:p>
            <w:pPr>
              <w:pStyle w:val="null3"/>
            </w:pPr>
            <w:r>
              <w:rPr>
                <w:sz w:val="24"/>
              </w:rPr>
              <w:t>1.现状认识及相关规划分析：投标人需结合本项目“（一）项目概况”“（二）编制原则”“（三）编制内容与技术要求”情况，提供针对本项目现状认识及相关规划分析的阐述说明，主要包含对现状分析（包括但不限于土地利用现状、土地供批情况、现状自然条件、现状交通分析等）；对项目所在地片区相关规划、技术管理规定资料的准确掌握程度。项目所在地现状情况认识解读深刻，现状分析和问题总结到位；熟悉项目所属地区相关的上位规划要求，准确掌握相关规划、技术管理规定资料，确保项目的顺利实施和高质量完成。</w:t>
            </w:r>
          </w:p>
          <w:p>
            <w:pPr>
              <w:pStyle w:val="null3"/>
            </w:pPr>
            <w:r>
              <w:rPr>
                <w:sz w:val="24"/>
              </w:rPr>
              <w:t>2.研究方法、技术思路规划策略：投标人需结合本项目“（一）项目概况”“（二）编制原则”“（三）编制内容与技术要求”情况，提供针对本项目研究方法、技术思路规划策略。从问题和目标导向对项目规划策略的分析全面、准确、具有创新性，确保项目的顺利实施和高质量完成。</w:t>
            </w:r>
          </w:p>
          <w:p>
            <w:pPr>
              <w:pStyle w:val="null3"/>
            </w:pPr>
            <w:r>
              <w:rPr>
                <w:sz w:val="24"/>
              </w:rPr>
              <w:t>3.研究方法、技术思路和规划策略：投标人需结合本项目“（一）项目概况”“（二）编制原则”“（三）编制内容与技术要求”情况，提供</w:t>
            </w:r>
            <w:r>
              <w:rPr>
                <w:sz w:val="24"/>
              </w:rPr>
              <w:t>城镇开发边界内已编控制性详细规划评估</w:t>
            </w:r>
            <w:r>
              <w:rPr>
                <w:sz w:val="24"/>
              </w:rPr>
              <w:t>方案。城镇开发边界内已编控制性详细规划评估分析准确到位，评估思路、已编控制性详细规划梳理、评估结论、评估建议、详细规划单元分类引导图、片区符合性评估结果示意图等内容完整、分析详尽，有效指导控制性详细规划编制。</w:t>
            </w:r>
          </w:p>
          <w:p>
            <w:pPr>
              <w:pStyle w:val="null3"/>
              <w:jc w:val="both"/>
            </w:pPr>
            <w:r>
              <w:rPr>
                <w:sz w:val="24"/>
              </w:rPr>
              <w:t>4.项目技术</w:t>
            </w:r>
            <w:r>
              <w:rPr>
                <w:sz w:val="24"/>
              </w:rPr>
              <w:t>要求</w:t>
            </w:r>
            <w:r>
              <w:rPr>
                <w:sz w:val="24"/>
              </w:rPr>
              <w:t>：投标人需结合本项目</w:t>
            </w:r>
            <w:r>
              <w:rPr>
                <w:sz w:val="24"/>
              </w:rPr>
              <w:t>“（一）项目概况”“（二）编制原则”“（三）编制内容与技术要求”“（四）成果要求”情况，提供</w:t>
            </w:r>
            <w:r>
              <w:rPr>
                <w:sz w:val="24"/>
              </w:rPr>
              <w:t>针对本项目</w:t>
            </w:r>
            <w:r>
              <w:rPr>
                <w:sz w:val="24"/>
              </w:rPr>
              <w:t>技术方案</w:t>
            </w:r>
            <w:r>
              <w:rPr>
                <w:sz w:val="24"/>
              </w:rPr>
              <w:t>，</w:t>
            </w:r>
            <w:r>
              <w:rPr>
                <w:sz w:val="24"/>
              </w:rPr>
              <w:t>内容包括规划定位与规模</w:t>
            </w:r>
            <w:r>
              <w:rPr>
                <w:sz w:val="24"/>
              </w:rPr>
              <w:t>；</w:t>
            </w:r>
            <w:r>
              <w:rPr>
                <w:sz w:val="24"/>
              </w:rPr>
              <w:t>土地利用规划</w:t>
            </w:r>
            <w:r>
              <w:rPr>
                <w:sz w:val="24"/>
              </w:rPr>
              <w:t>；</w:t>
            </w:r>
            <w:r>
              <w:rPr>
                <w:sz w:val="24"/>
              </w:rPr>
              <w:t>道路交通规划</w:t>
            </w:r>
            <w:r>
              <w:rPr>
                <w:sz w:val="24"/>
              </w:rPr>
              <w:t>；</w:t>
            </w:r>
            <w:r>
              <w:rPr>
                <w:sz w:val="24"/>
              </w:rPr>
              <w:t>公共服务设施规划</w:t>
            </w:r>
            <w:r>
              <w:rPr>
                <w:sz w:val="24"/>
              </w:rPr>
              <w:t>；</w:t>
            </w:r>
            <w:r>
              <w:rPr>
                <w:sz w:val="24"/>
              </w:rPr>
              <w:t>市政设施规划</w:t>
            </w:r>
            <w:r>
              <w:rPr>
                <w:sz w:val="24"/>
              </w:rPr>
              <w:t>；</w:t>
            </w:r>
            <w:r>
              <w:rPr>
                <w:sz w:val="24"/>
              </w:rPr>
              <w:t>绿地景观规划</w:t>
            </w:r>
            <w:r>
              <w:rPr>
                <w:sz w:val="24"/>
              </w:rPr>
              <w:t>；</w:t>
            </w:r>
            <w:r>
              <w:rPr>
                <w:sz w:val="24"/>
              </w:rPr>
              <w:t>容积率控制</w:t>
            </w:r>
            <w:r>
              <w:rPr>
                <w:sz w:val="24"/>
              </w:rPr>
              <w:t>；</w:t>
            </w:r>
            <w:r>
              <w:rPr>
                <w:sz w:val="24"/>
              </w:rPr>
              <w:t>建筑高度控制</w:t>
            </w:r>
            <w:r>
              <w:rPr>
                <w:sz w:val="24"/>
              </w:rPr>
              <w:t>；</w:t>
            </w:r>
            <w:r>
              <w:rPr>
                <w:sz w:val="24"/>
              </w:rPr>
              <w:t>城市设计指引</w:t>
            </w:r>
            <w:r>
              <w:rPr>
                <w:sz w:val="24"/>
              </w:rPr>
              <w:t>。技术方案内容完整详细，规划定位与规模准确，土地利用、道路交通、公共服务设施、市政设施、绿地景观的规划方案实施可行性和科学性强，容积率控制、建筑高度控制优于项目需求，城市设计指引明确。</w:t>
            </w:r>
          </w:p>
          <w:p>
            <w:pPr>
              <w:pStyle w:val="null3"/>
            </w:pPr>
            <w:r>
              <w:rPr>
                <w:sz w:val="24"/>
              </w:rPr>
              <w:t>5.</w:t>
            </w:r>
            <w:r>
              <w:rPr>
                <w:sz w:val="24"/>
              </w:rPr>
              <w:t>项目组织实施要求：</w:t>
            </w:r>
            <w:r>
              <w:rPr>
                <w:sz w:val="24"/>
              </w:rPr>
              <w:t>投标人需结合本项目</w:t>
            </w:r>
            <w:r>
              <w:rPr>
                <w:sz w:val="24"/>
              </w:rPr>
              <w:t>“（一）项目概况”“（二）编制原则”“（三）编制内容与技术要求”“（四）成果要求”情况，提供</w:t>
            </w:r>
            <w:r>
              <w:rPr>
                <w:sz w:val="24"/>
              </w:rPr>
              <w:t>针对本项目组织实施</w:t>
            </w:r>
            <w:r>
              <w:rPr>
                <w:sz w:val="24"/>
              </w:rPr>
              <w:t>技术方案</w:t>
            </w:r>
            <w:r>
              <w:rPr>
                <w:sz w:val="24"/>
              </w:rPr>
              <w:t>，</w:t>
            </w:r>
            <w:r>
              <w:rPr>
                <w:sz w:val="24"/>
              </w:rPr>
              <w:t>内容包括项目组织、人员资源配置、安全保密制度、例会制度、定期阶段性汇报制度。项目组织实施方案内容详尽，人员资源配置合理，安全保密制度、例会制度、定期阶段性汇报制度与采购需求的要求切合程度高。</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1.采购代理机构：本项目是指广东远东招标代理有限公司，负责整个采购活动的组织，依法负责编制和发布招标文件，对招标文件拥有最终的解释权，不以任何身份出任评标委员会成员。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翁源县自然资源局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招标代理服务费由中标供应商向采购代理机构一次性支付，按照国家计委颁布的《招标代理服务收费管理暂行办法》（计价格[2002]1980号）和国家发改委办公厅颁布的《国家发改委办公厅关于招标代理服务收费有关问题的通知》（发改办价格[2003]857号）、根据国家发展和改革委员会《关于进一步放开建设项目专业服务价格的通知》（发改价格[2015]299号）的规定招标收取服务费。</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广东远东招标代理有限公司</w:t>
      </w:r>
      <w:r>
        <w:rPr/>
        <w:t>代收。具体操作要求详见</w:t>
      </w:r>
      <w:r>
        <w:rPr/>
        <w:t>广东远东招标代理有限公司</w:t>
      </w:r>
      <w:r>
        <w:rPr/>
        <w:t>有关指引，递交事宜请自行咨询</w:t>
      </w:r>
      <w:r>
        <w:rPr/>
        <w:t>广东远东招标代理有限公司</w:t>
      </w:r>
      <w:r>
        <w:rPr/>
        <w:t>；请各投标人在投标文件递交截止时间前按须知前附表规定的金额递交至</w:t>
      </w:r>
      <w:r>
        <w:rPr/>
        <w:t>广东远东招标代理有限公司</w:t>
      </w:r>
      <w:r>
        <w:rPr/>
        <w:t>，到账情况以开标时</w:t>
      </w:r>
      <w:r>
        <w:rPr/>
        <w:t>广东远东招标代理有限公司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广东远东招标代理有限公司网（http://www.gdydzb.com）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广东远东招标代理有限公司网（http://www.gdydzb.com）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雷小姐</w:t>
      </w:r>
    </w:p>
    <w:p>
      <w:pPr>
        <w:pStyle w:val="null3"/>
        <w:ind w:firstLine="480"/>
      </w:pPr>
      <w:r>
        <w:rPr/>
        <w:t>电话：</w:t>
      </w:r>
      <w:r>
        <w:rPr/>
        <w:t>0751-8115118</w:t>
      </w:r>
    </w:p>
    <w:p>
      <w:pPr>
        <w:pStyle w:val="null3"/>
        <w:ind w:firstLine="480"/>
      </w:pPr>
      <w:r>
        <w:rPr/>
        <w:t>传真：</w:t>
      </w:r>
      <w:r>
        <w:rPr/>
        <w:t>/</w:t>
      </w:r>
    </w:p>
    <w:p>
      <w:pPr>
        <w:pStyle w:val="null3"/>
        <w:ind w:firstLine="480"/>
      </w:pPr>
      <w:r>
        <w:rPr/>
        <w:t>邮箱：</w:t>
      </w:r>
      <w:r>
        <w:rPr/>
        <w:t>shaoguan_yuandong@163.com</w:t>
      </w:r>
    </w:p>
    <w:p>
      <w:pPr>
        <w:pStyle w:val="null3"/>
        <w:ind w:firstLine="480"/>
      </w:pPr>
      <w:r>
        <w:rPr/>
        <w:t>地址：</w:t>
      </w:r>
      <w:r>
        <w:rPr/>
        <w:t>韶关市武江区西联镇小阳山沐芙路扬成名门综合楼三楼(韶关分公司)</w:t>
      </w:r>
    </w:p>
    <w:p>
      <w:pPr>
        <w:pStyle w:val="null3"/>
        <w:ind w:firstLine="480"/>
      </w:pPr>
      <w:r>
        <w:rPr/>
        <w:t>邮编：</w:t>
      </w:r>
      <w:r>
        <w:rPr/>
        <w:t>512000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政府采购监督管理机构名称：翁源县财政局政府采购监管股</w:t>
      </w:r>
    </w:p>
    <w:p>
      <w:pPr>
        <w:pStyle w:val="null3"/>
      </w:pPr>
      <w:r>
        <w:rPr/>
        <w:t>地 址：广东省韶关市翁源县龙仙镇前进路33号财政局</w:t>
      </w:r>
    </w:p>
    <w:p>
      <w:pPr>
        <w:pStyle w:val="null3"/>
      </w:pPr>
      <w:r>
        <w:rPr/>
        <w:t>电 话：0751-2822038</w:t>
      </w:r>
    </w:p>
    <w:p>
      <w:pPr>
        <w:pStyle w:val="null3"/>
      </w:pPr>
      <w:r>
        <w:rPr/>
        <w:t>邮 编：512600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韶关市翁源县中心城区控制性详细规划编制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广东远东招标代理有限公司</w:t>
      </w:r>
      <w:r>
        <w:rPr/>
        <w:t>统一对外发布。</w:t>
      </w:r>
    </w:p>
    <w:p>
      <w:pPr>
        <w:pStyle w:val="null3"/>
        <w:ind w:firstLine="480"/>
      </w:pPr>
      <w:r>
        <w:rPr/>
        <w:t>（2）对</w:t>
      </w:r>
      <w:r>
        <w:rPr/>
        <w:t>广东远东招标代理有限公司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采购包1（韶关市翁源县中心城区控制性详细规划编制项目）：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3%</w:t>
            </w:r>
          </w:p>
        </w:tc>
        <w:tc>
          <w:tcPr>
            <w:tcW w:type="dxa" w:w="2160"/>
          </w:tcPr>
          <w:p>
            <w:pPr>
              <w:pStyle w:val="null3"/>
              <w:jc w:val="left"/>
            </w:pPr>
            <w:r>
              <w:rPr/>
              <w:t>对获得节能产品认证证书或环境标志产品认证证书的产品给予3%的价格扣除，具体扣除比例根据节能产品或环境标志产品在采购项目中的重要性、所占比重等因素确定。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采购包1（韶关市翁源县中心城区控制性详细规划编制项目）：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投标文件中提供《资格条件承诺函》，（格式详见招标文件“第二章 采购需求”）。</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投标文件中提供《资格条件承诺函》，（格式详见招标文件“第二章 采购需求”）。</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投标文件中提供《资格条件承诺函》，（格式详见招标文件“第二章 采购需求”）。</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投标文件中提供《资格条件承诺函》，（格式详见招标文件“第二章 采购需求”）。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投标人具有城乡规划（国土空间规划）编制资质乙级或以上证书。（提供有效的城乡规划编制资质证书复印件，如国家、省另有规定，则适用其规定或证书在年审中，须提供其他佐证材料）</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w:t>
            </w:r>
          </w:p>
        </w:tc>
      </w:tr>
    </w:tbl>
    <w:p>
      <w:pPr>
        <w:pStyle w:val="null3"/>
        <w:ind w:firstLine="480"/>
      </w:pPr>
      <w:r>
        <w:rPr/>
        <w:t>表二符合性审查表：</w:t>
      </w:r>
    </w:p>
    <w:p>
      <w:pPr>
        <w:pStyle w:val="null3"/>
      </w:pPr>
      <w:r>
        <w:rPr/>
        <w:t>采购包1（韶关市翁源县中心城区控制性详细规划编制项目）：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签署、盖章</w:t>
            </w:r>
          </w:p>
        </w:tc>
        <w:tc>
          <w:tcPr>
            <w:tcW w:type="dxa" w:w="4238"/>
          </w:tcPr>
          <w:p>
            <w:pPr>
              <w:pStyle w:val="null3"/>
            </w:pPr>
            <w:r>
              <w:rPr/>
              <w:t>按照招标文件规定要求签署、盖章。</w:t>
            </w:r>
          </w:p>
        </w:tc>
      </w:tr>
      <w:tr>
        <w:tc>
          <w:tcPr>
            <w:tcW w:type="dxa" w:w="890"/>
          </w:tcPr>
          <w:p>
            <w:pPr>
              <w:pStyle w:val="null3"/>
            </w:pPr>
            <w:r>
              <w:rPr/>
              <w:t>2</w:t>
            </w:r>
          </w:p>
        </w:tc>
        <w:tc>
          <w:tcPr>
            <w:tcW w:type="dxa" w:w="3178"/>
          </w:tcPr>
          <w:p>
            <w:pPr>
              <w:pStyle w:val="null3"/>
            </w:pPr>
            <w:r>
              <w:rPr/>
              <w:t>投标函已提交并符合招标文件要求的，且投标有效期不少于招标文件中载明的投标有效期</w:t>
            </w:r>
          </w:p>
        </w:tc>
        <w:tc>
          <w:tcPr>
            <w:tcW w:type="dxa" w:w="4238"/>
          </w:tcPr>
          <w:p>
            <w:pPr>
              <w:pStyle w:val="null3"/>
            </w:pPr>
            <w:r>
              <w:rPr/>
              <w:t>投标函已提交并符合招标文件要求的，且投标有效期不少于招标文件中载明的投标有效期。</w:t>
            </w:r>
          </w:p>
        </w:tc>
      </w:tr>
      <w:tr>
        <w:tc>
          <w:tcPr>
            <w:tcW w:type="dxa" w:w="890"/>
          </w:tcPr>
          <w:p>
            <w:pPr>
              <w:pStyle w:val="null3"/>
            </w:pPr>
            <w:r>
              <w:rPr/>
              <w:t>3</w:t>
            </w:r>
          </w:p>
        </w:tc>
        <w:tc>
          <w:tcPr>
            <w:tcW w:type="dxa" w:w="3178"/>
          </w:tcPr>
          <w:p>
            <w:pPr>
              <w:pStyle w:val="null3"/>
            </w:pPr>
            <w:r>
              <w:rPr/>
              <w:t>投标报价</w:t>
            </w:r>
          </w:p>
        </w:tc>
        <w:tc>
          <w:tcPr>
            <w:tcW w:type="dxa" w:w="4238"/>
          </w:tcPr>
          <w:p>
            <w:pPr>
              <w:pStyle w:val="null3"/>
            </w:pPr>
            <w:r>
              <w:rPr/>
              <w:t>①投标（报价）总金额是固定价且是唯一的，未超过采购预算或最高限价；②对标的没有报价漏项；③投标文件未出现选择性报价或有附加条件报价的情形；④无出现异常低价投标（响应）的情形或未被评审委员会作为无效投标（响应）处理。（注：根据财政部2026年1月14日发布的《关于推动解决政府采购异常低价问题的通知》规定，本项目将对投标人的异常低价进行审查。 （一）如投标人报价中出现下列情形之一的，评审委员会应当启动异常低价投标（响应）审查程序：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异常低价投标(响应)审查的启动原因、审查意见和审查结果应当在评审报告中记录，并随供应商提供的相关书面说明及证明材料，以及评审委员会有关互联网浏览、查询历史一并归档。）</w:t>
            </w:r>
          </w:p>
        </w:tc>
      </w:tr>
      <w:tr>
        <w:tc>
          <w:tcPr>
            <w:tcW w:type="dxa" w:w="890"/>
          </w:tcPr>
          <w:p>
            <w:pPr>
              <w:pStyle w:val="null3"/>
            </w:pPr>
            <w:r>
              <w:rPr/>
              <w:t>4</w:t>
            </w:r>
          </w:p>
        </w:tc>
        <w:tc>
          <w:tcPr>
            <w:tcW w:type="dxa" w:w="3178"/>
          </w:tcPr>
          <w:p>
            <w:pPr>
              <w:pStyle w:val="null3"/>
            </w:pPr>
            <w:r>
              <w:rPr/>
              <w:t>“★”号实质性响应情况</w:t>
            </w:r>
          </w:p>
        </w:tc>
        <w:tc>
          <w:tcPr>
            <w:tcW w:type="dxa" w:w="4238"/>
          </w:tcPr>
          <w:p>
            <w:pPr>
              <w:pStyle w:val="null3"/>
            </w:pPr>
            <w:r>
              <w:rPr/>
              <w:t>投标文件完全满足招标文件的实质性条款（即标注★号条款）无负偏离的。</w:t>
            </w:r>
          </w:p>
        </w:tc>
      </w:tr>
      <w:tr>
        <w:tc>
          <w:tcPr>
            <w:tcW w:type="dxa" w:w="890"/>
          </w:tcPr>
          <w:p>
            <w:pPr>
              <w:pStyle w:val="null3"/>
            </w:pPr>
            <w:r>
              <w:rPr/>
              <w:t>5</w:t>
            </w:r>
          </w:p>
        </w:tc>
        <w:tc>
          <w:tcPr>
            <w:tcW w:type="dxa" w:w="3178"/>
          </w:tcPr>
          <w:p>
            <w:pPr>
              <w:pStyle w:val="null3"/>
            </w:pPr>
            <w:r>
              <w:rPr/>
              <w:t>未出现视为投标人串通投标所列的情形。</w:t>
            </w:r>
          </w:p>
        </w:tc>
        <w:tc>
          <w:tcPr>
            <w:tcW w:type="dxa" w:w="4238"/>
          </w:tcPr>
          <w:p>
            <w:pPr>
              <w:pStyle w:val="null3"/>
            </w:pPr>
            <w:r>
              <w:rPr/>
              <w:t>未出现视为投标人串通投标所列的情形。</w:t>
            </w:r>
          </w:p>
        </w:tc>
      </w:tr>
      <w:tr>
        <w:tc>
          <w:tcPr>
            <w:tcW w:type="dxa" w:w="890"/>
          </w:tcPr>
          <w:p>
            <w:pPr>
              <w:pStyle w:val="null3"/>
            </w:pPr>
            <w:r>
              <w:rPr/>
              <w:t>6</w:t>
            </w:r>
          </w:p>
        </w:tc>
        <w:tc>
          <w:tcPr>
            <w:tcW w:type="dxa" w:w="3178"/>
          </w:tcPr>
          <w:p>
            <w:pPr>
              <w:pStyle w:val="null3"/>
            </w:pPr>
            <w:r>
              <w:rPr/>
              <w:t>其他无效响应情况</w:t>
            </w:r>
          </w:p>
        </w:tc>
        <w:tc>
          <w:tcPr>
            <w:tcW w:type="dxa" w:w="4238"/>
          </w:tcPr>
          <w:p>
            <w:pPr>
              <w:pStyle w:val="null3"/>
            </w:pPr>
            <w:r>
              <w:rPr/>
              <w:t>①投标文件没有招标文件中规定的其他无效响应条款的；②投标文件无采购人不能接受的附加条件的。</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采购包1(韶关市翁源县中心城区控制性详细规划编制项目):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商务部分45.0分</w:t>
            </w:r>
          </w:p>
          <w:p>
            <w:pPr>
              <w:pStyle w:val="null3"/>
            </w:pPr>
            <w:r>
              <w:rPr/>
              <w:t>技术部分45.0分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现状认识及相关规划分析解读 (15.0分)</w:t>
            </w:r>
          </w:p>
        </w:tc>
        <w:tc>
          <w:tcPr>
            <w:tcW w:type="dxa" w:w="5076"/>
          </w:tcPr>
          <w:p>
            <w:pPr>
              <w:pStyle w:val="null3"/>
              <w:jc w:val="left"/>
            </w:pPr>
            <w:r>
              <w:rPr/>
              <w:t>根据投标人针对2.技术标准与要求中“（一）项目概况”“（二）编制原则”“（三）编制内容与技术要求”提供现状认识及相关规划分析解读（内容包括①现状分析（包括但不限于土地利用现状、土地供批情况、现状自然条件、现状交通分析等）；②相关规划分析（对项目所在地片区相关规划、技术管理规定资料的准确掌握程度）进行综合评审： 1.项目所在地现状情况认识解读深刻，现状分析和问题总结到位；熟悉项目所属地区相关的上位规划要求，准确掌握相关规划、技术管理规定资料，得15分； 2.项目所在地现状情况认识解读较为深刻，现状分析和问题总结比较全面；较了解项目所属地区相关的上位规划要求，能掌握相关规划、技术管理规定资料，得10分； 3.项目所在地现状情况认识解读一般，现状分析和问题总结基本到位；了解项目所属地区相关的上位规划要求但不全面，基本掌握相关规划、技术管理规定资料，得5分； 4.对现状认识及相关规划分析不够，理解不足，得1分； 5.未提供，不得分。</w:t>
            </w:r>
          </w:p>
        </w:tc>
      </w:tr>
      <w:tr>
        <w:tc>
          <w:tcPr>
            <w:tcW w:type="dxa" w:w="922"/>
            <w:gridSpan w:val="2"/>
            <w:vMerge/>
          </w:tcPr>
          <w:p/>
        </w:tc>
        <w:tc>
          <w:tcPr>
            <w:tcW w:type="dxa" w:w="2307"/>
          </w:tcPr>
          <w:p>
            <w:pPr>
              <w:pStyle w:val="null3"/>
              <w:jc w:val="left"/>
            </w:pPr>
            <w:r>
              <w:rPr/>
              <w:t>研究方法、技术思路规划策略思路 (5.0分)</w:t>
            </w:r>
          </w:p>
        </w:tc>
        <w:tc>
          <w:tcPr>
            <w:tcW w:type="dxa" w:w="5076"/>
          </w:tcPr>
          <w:p>
            <w:pPr>
              <w:pStyle w:val="null3"/>
              <w:jc w:val="left"/>
            </w:pPr>
            <w:r>
              <w:rPr/>
              <w:t>根据投标人针对2.技术标准与要求中“（一）项目概况”“（二）编制原则”“（三）编制内容与技术要求”提供研究方法、技术思路规划策略思路进行综合评审： 1.从问题和目标导向对项目规划策略的分析全面、准确、有创新性，得5分； 2.从问题和目标导向对项目规划策略的分析较全面、较准确，具有一定的创新性，得3分； 3.从问题和目标导向对项目规划策略的分析片面、有误，没有创新性，得1分； 4.未提供，不得分。</w:t>
            </w:r>
          </w:p>
        </w:tc>
      </w:tr>
      <w:tr>
        <w:tc>
          <w:tcPr>
            <w:tcW w:type="dxa" w:w="922"/>
            <w:gridSpan w:val="2"/>
            <w:vMerge/>
          </w:tcPr>
          <w:p/>
        </w:tc>
        <w:tc>
          <w:tcPr>
            <w:tcW w:type="dxa" w:w="2307"/>
          </w:tcPr>
          <w:p>
            <w:pPr>
              <w:pStyle w:val="null3"/>
              <w:jc w:val="left"/>
            </w:pPr>
            <w:r>
              <w:rPr/>
              <w:t>城镇开发边界内已编控制性详细规划评估 (9.0分)</w:t>
            </w:r>
          </w:p>
        </w:tc>
        <w:tc>
          <w:tcPr>
            <w:tcW w:type="dxa" w:w="5076"/>
          </w:tcPr>
          <w:p>
            <w:pPr>
              <w:pStyle w:val="null3"/>
              <w:jc w:val="left"/>
            </w:pPr>
            <w:r>
              <w:rPr/>
              <w:t>根据投标人针对2.技术标准与要求中“（一）项目概况”“（二）编制原则”“（三）编制内容与技术要求”提供城镇开发边界内已编控制性详细规划评估进行综合评审： 1.城镇开发边界内已编控制性详细规划评估分析准确到位，评估思路、已编控制性详细规划梳理、评估结论、评估建议、详细规划单元分类引导图、片区符合性评估结果示意图等内容完整、分析详尽，有效指导控制性详细规划编制，得9分； 2.城镇开发边界内已编控制性详细规划评估分析较为准确，评估思路、已编控制性详细规划梳理、评估结论、评估建议、详细规划单元分类引导图、片区符合性评估结果示意图等内容较完整、分析较为准确，能有效指导控制性详细规划编制，得6分； 3.城镇开发边界内已编控制性详细规划评估分析一般，指导性一般，评估思路、已编控制性详细规划梳理、评估结论、评估建议、详细规划单元分类引导图、片区符合性评估结果示意图等内容不完整或分析不够详尽，得3分； 4.城镇开发边界内已编控制性详细规划评估内容较差。城镇开发边界内已编控制性详细规划评估不准确，指导性不强。内容仅以文字描述为主，没有绘制图纸或虽然绘制了部分图纸（详细规划单元分类引导图、片区符合性评估结果示意图），但内容深度不够，得1分； 5.未提供，不得分。</w:t>
            </w:r>
          </w:p>
        </w:tc>
      </w:tr>
      <w:tr>
        <w:tc>
          <w:tcPr>
            <w:tcW w:type="dxa" w:w="922"/>
            <w:gridSpan w:val="2"/>
            <w:vMerge/>
          </w:tcPr>
          <w:p/>
        </w:tc>
        <w:tc>
          <w:tcPr>
            <w:tcW w:type="dxa" w:w="2307"/>
          </w:tcPr>
          <w:p>
            <w:pPr>
              <w:pStyle w:val="null3"/>
              <w:jc w:val="left"/>
            </w:pPr>
            <w:r>
              <w:rPr/>
              <w:t>项目技术方案 (10.0分)</w:t>
            </w:r>
          </w:p>
        </w:tc>
        <w:tc>
          <w:tcPr>
            <w:tcW w:type="dxa" w:w="5076"/>
          </w:tcPr>
          <w:p>
            <w:pPr>
              <w:pStyle w:val="null3"/>
              <w:jc w:val="left"/>
            </w:pPr>
            <w:r>
              <w:rPr/>
              <w:t>根据投标人针对2.技术标准与要求中“（一）项目概况”“（二）编制原则”“（三）编制内容与技术要求”“（四）成果要求 ”提供项目技术方案（内容包括①规划定位与规模；②土地利用规划；③道路交通规划；④公共服务设施规划；⑤市政设施规划；⑥绿地景观规划；⑦容积率控制；⑧建筑高度控制；⑨城市设计指引）进行综合评审： 1.技术方案内容完整详细，规划定位与规模准确，土地利用、道路交通、公共服务设施、市政设施、绿地景观的规划方案实施可行性和科学性强，容积率控制、建筑高度控制优于项目需求，城市设计指引明确，得10分； 2.技术方案内容较完整，规划定位与规模较准确，土地利用、道路交通、公共服务设施、市政设施、绿地景观的规划方案实施可行性和科学性较强，容积率控制、建筑高度控制完全满足项目需求，城市设计指引较明确，得7分； 3.技术方案内容基本合理，规划定位与规模基本准确，土地利用、道路交通、公共服务设施、市政设施、绿地景观的规划方案实施可行性和科学性一般，容积率控制、建筑高度控制基本符合项目需求，城市设计指引一般，得4分； 4.技术方案内容简单，方案设计对本项目需求的符合程度较低，方案实施可行性较差、科学性不强的，得1分； 5.未提供，不得分。</w:t>
            </w:r>
          </w:p>
        </w:tc>
      </w:tr>
      <w:tr>
        <w:tc>
          <w:tcPr>
            <w:tcW w:type="dxa" w:w="922"/>
            <w:gridSpan w:val="2"/>
            <w:vMerge/>
          </w:tcPr>
          <w:p/>
        </w:tc>
        <w:tc>
          <w:tcPr>
            <w:tcW w:type="dxa" w:w="2307"/>
          </w:tcPr>
          <w:p>
            <w:pPr>
              <w:pStyle w:val="null3"/>
              <w:jc w:val="left"/>
            </w:pPr>
            <w:r>
              <w:rPr/>
              <w:t>服务质量保证方案 (3.0分)</w:t>
            </w:r>
          </w:p>
        </w:tc>
        <w:tc>
          <w:tcPr>
            <w:tcW w:type="dxa" w:w="5076"/>
          </w:tcPr>
          <w:p>
            <w:pPr>
              <w:pStyle w:val="null3"/>
              <w:jc w:val="left"/>
            </w:pPr>
            <w:r>
              <w:rPr/>
              <w:t>根据投标人针对2.技术标准与要求中“（五）质量标准”提供服务质量保证方案（内容包括①项目质量管理的措施；②质量指标的承诺和目标情况；③数据质量保障措施；④各阶段的服务要求；⑤质量问题处理与改进措施）进行评审： 1.项目质量管理的措施科学合理，质量指标的承诺和目标情况明确，数据质量保障措施完善，各阶段的服务要求清晰，质量问题处理与改进措施可行性高，得3分； 2.项目质量管理的措施基本合理，质量指标的承诺和目标情况比较明确，数据质量保障措施一般，各阶段的服务要求较清晰，质量问题处理与改进措施可行性一般，得2分； 3.服务质量保证方案质量控制措施方案内容简单，不能满足采购需求的要求，没有针对性，得1分； 4.未提供，不得分。</w:t>
            </w:r>
          </w:p>
        </w:tc>
      </w:tr>
      <w:tr>
        <w:tc>
          <w:tcPr>
            <w:tcW w:type="dxa" w:w="922"/>
            <w:gridSpan w:val="2"/>
            <w:vMerge/>
          </w:tcPr>
          <w:p/>
        </w:tc>
        <w:tc>
          <w:tcPr>
            <w:tcW w:type="dxa" w:w="2307"/>
          </w:tcPr>
          <w:p>
            <w:pPr>
              <w:pStyle w:val="null3"/>
              <w:jc w:val="left"/>
            </w:pPr>
            <w:r>
              <w:rPr/>
              <w:t>项目组织实施方案 (3.0分)</w:t>
            </w:r>
          </w:p>
        </w:tc>
        <w:tc>
          <w:tcPr>
            <w:tcW w:type="dxa" w:w="5076"/>
          </w:tcPr>
          <w:p>
            <w:pPr>
              <w:pStyle w:val="null3"/>
              <w:jc w:val="left"/>
            </w:pPr>
            <w:r>
              <w:rPr/>
              <w:t>根据投标人针对2.技术标准与要求中“（一）项目概况”“（二）编制原则”“（三）编制内容与技术要求”“（四）成果要求 ”提供项目组织实施方案（内容包括①项目组织；②人员资源配置；③安全保障制度；④例会制度；⑤定期阶段性汇报制度）进行评审： 1.项目组织实施方案内容详尽完善，人员资源配置合理，安全保障制度、例会制度、定期阶段性汇报制度与采购需求的要求切合程度高，得3分； 2.项目组织实施方案内容一般，人员资源配置基本合理，安全保障制度、例会制度、定期阶段性汇报制度与采购需求的要求基本贴切，得2分； 3.项目组织实施方案简单，不能满足采购需求的要求，针对性，得1分； 4.未提供，不得分。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类似项目业绩 (20.0分)</w:t>
            </w:r>
          </w:p>
        </w:tc>
        <w:tc>
          <w:tcPr>
            <w:tcW w:type="dxa" w:w="5076"/>
          </w:tcPr>
          <w:p>
            <w:pPr>
              <w:pStyle w:val="null3"/>
              <w:jc w:val="left"/>
            </w:pPr>
            <w:r>
              <w:rPr/>
              <w:t>1.2023年1月1日至今，投标人承担过国土空间规划（总体规划、控制性详细规划）动态维护类项目，每提供一项得0.5分，本小项累计最高得5分。 2.2023年1月1日至今，投标人承担过控制性详细规划项目（含修编），每个得0.5分，最高得2分； 3.2023年1月1日至今，投标人承担过控制性详细规划评估及单元划分（划定）项目，每个得0.5分，最高得8分； 4.2023年1月1日至今，投标人承担过市政类、交通类、绿地系统类其中之一的专项规划项目每个得0.5分，最高5分。 注：以合同签订时间为准，同一项目不重复计分。需提供项目合同关键页复印件加盖公章，否则不得分。</w:t>
            </w:r>
          </w:p>
        </w:tc>
      </w:tr>
      <w:tr>
        <w:tc>
          <w:tcPr>
            <w:tcW w:type="dxa" w:w="922"/>
            <w:gridSpan w:val="2"/>
            <w:vMerge/>
          </w:tcPr>
          <w:p/>
        </w:tc>
        <w:tc>
          <w:tcPr>
            <w:tcW w:type="dxa" w:w="2307"/>
          </w:tcPr>
          <w:p>
            <w:pPr>
              <w:pStyle w:val="null3"/>
              <w:jc w:val="left"/>
            </w:pPr>
            <w:r>
              <w:rPr/>
              <w:t>相关认证及证书 (3.0分)</w:t>
            </w:r>
          </w:p>
        </w:tc>
        <w:tc>
          <w:tcPr>
            <w:tcW w:type="dxa" w:w="5076"/>
          </w:tcPr>
          <w:p>
            <w:pPr>
              <w:pStyle w:val="null3"/>
              <w:jc w:val="left"/>
            </w:pPr>
            <w:r>
              <w:rPr/>
              <w:t xml:space="preserve"> 投标人具有有效的质量管理体系认证证书的，得3分。 注：（1）提供通过认证或在有效期内的：①认证证书复印件、②在国家认监委网站（网址：http://www.cnca.gov.cn/ ） 对证书的信息查询截图作为评审依据（以网站公布为准，供应商可通过网站首页中“互联网+服务—查询服务—认证结果”进行查询），已失效或撤销的不得分，公开信息中无法查询或与公开信息不一致的（如暂停的），供应商必须提供发证机构出具的证明函，否则不得分。（2）如因成立时间不满足认证时间要求且办理认证所需合理时间不足导致未能获得认证证书的，供应商提供说明文件明确以上事项，说明合理且属实的，可对应得分。</w:t>
            </w:r>
          </w:p>
        </w:tc>
      </w:tr>
      <w:tr>
        <w:tc>
          <w:tcPr>
            <w:tcW w:type="dxa" w:w="922"/>
            <w:gridSpan w:val="2"/>
            <w:vMerge/>
          </w:tcPr>
          <w:p/>
        </w:tc>
        <w:tc>
          <w:tcPr>
            <w:tcW w:type="dxa" w:w="2307"/>
          </w:tcPr>
          <w:p>
            <w:pPr>
              <w:pStyle w:val="null3"/>
              <w:jc w:val="left"/>
            </w:pPr>
            <w:r>
              <w:rPr/>
              <w:t>项目负责人 (5.0分)</w:t>
            </w:r>
          </w:p>
        </w:tc>
        <w:tc>
          <w:tcPr>
            <w:tcW w:type="dxa" w:w="5076"/>
          </w:tcPr>
          <w:p>
            <w:pPr>
              <w:pStyle w:val="null3"/>
              <w:jc w:val="left"/>
            </w:pPr>
            <w:r>
              <w:rPr/>
              <w:t>项目负责人具有注册城乡（市）规划师执业资格（否则本项不得分），且同时具有城乡（市）规划：教授级高级工程师职称的得5分；高级工程师职称的得3分；中级工程师职称的得1分。 注：提供上述人员的证书证明材料及近半年任意1个月的社保证明文件扫描件。在投标人单位或分支机构购买的社保证明文件， 社保证明文件必须有企业名称、人员姓名、购买时间及社保部门印章，不提供社保证明文件不得分。</w:t>
            </w:r>
          </w:p>
        </w:tc>
      </w:tr>
      <w:tr>
        <w:tc>
          <w:tcPr>
            <w:tcW w:type="dxa" w:w="922"/>
            <w:gridSpan w:val="2"/>
            <w:vMerge/>
          </w:tcPr>
          <w:p/>
        </w:tc>
        <w:tc>
          <w:tcPr>
            <w:tcW w:type="dxa" w:w="2307"/>
          </w:tcPr>
          <w:p>
            <w:pPr>
              <w:pStyle w:val="null3"/>
              <w:jc w:val="left"/>
            </w:pPr>
            <w:r>
              <w:rPr/>
              <w:t>人员配备 （不含项目负责人） (12.0分)</w:t>
            </w:r>
          </w:p>
        </w:tc>
        <w:tc>
          <w:tcPr>
            <w:tcW w:type="dxa" w:w="5076"/>
          </w:tcPr>
          <w:p>
            <w:pPr>
              <w:pStyle w:val="null3"/>
              <w:jc w:val="left"/>
            </w:pPr>
            <w:r>
              <w:rPr/>
              <w:t>拟投入其他人员情况（除项目负责人外）： 1.具有“国土类”专业高级工程师职称每人得1分；中级工程师职称每人得0.5分，本小项最高得2分。 2.具有“城市（乡）规划类”专业高级工程师职称每人得1分；中级工程师职称的每人得0.5分，本小项最高得2分。 3.具有“测绘类”专业高级工程师职称每人得1分；中级工程师职称每人得0.5分，本小项最高得2分。 4.具有“给水排水类”专业高级工程师职称每人得1分；中级工程师职称每人得0.5分，本小项最高得2分。 5.具有“风景园林设计类”专业高级工程师职称每人得1分；中级工程师职称每人得0.5分，本小项最高得2分。 6.具有“市政路桥类”专业高级工程师职称每人得1分；中级工程师职称的每人得0.5分，本小项最高得2分。 注：提供上述人员的证书证明材料及近半年任意1个月的社保证明文件扫描件。在投标人单位或分支机构购买的社保证明文件， 社保证明文件必须有企业名称、人员姓名、购买时间及社保部门印章，不提供社保证明文件不得分。</w:t>
            </w:r>
          </w:p>
        </w:tc>
      </w:tr>
      <w:tr>
        <w:tc>
          <w:tcPr>
            <w:tcW w:type="dxa" w:w="922"/>
            <w:gridSpan w:val="2"/>
            <w:vMerge/>
          </w:tcPr>
          <w:p/>
        </w:tc>
        <w:tc>
          <w:tcPr>
            <w:tcW w:type="dxa" w:w="2307"/>
          </w:tcPr>
          <w:p>
            <w:pPr>
              <w:pStyle w:val="null3"/>
              <w:jc w:val="left"/>
            </w:pPr>
            <w:r>
              <w:rPr/>
              <w:t>诚信记录 (5.0分)</w:t>
            </w:r>
          </w:p>
        </w:tc>
        <w:tc>
          <w:tcPr>
            <w:tcW w:type="dxa" w:w="5076"/>
          </w:tcPr>
          <w:p>
            <w:pPr>
              <w:pStyle w:val="null3"/>
              <w:jc w:val="left"/>
            </w:pPr>
            <w:r>
              <w:rPr/>
              <w:t>投标人该项目评审因素得分=诚信记录得分×5%。 说明：投标人的信用评价分以开标当天广东政府采购网站“其他监管检查公告”栏和韶关市财政局政务信息公开网站“政府采购”栏查询结果为准，查询不到相关投标人扣分记录的，视为该投标人年度诚信记录得分为100分。投标人诚信得分由采购代理机构提供给评审小组，由评审小组根据招标文件的规定进行评审。</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广东省政府采购</w:t>
      </w:r>
    </w:p>
    <w:p>
      <w:pPr>
        <w:pStyle w:val="null3"/>
        <w:spacing w:before="150" w:after="150"/>
        <w:ind w:left="0" w:right="0"/>
        <w:jc w:val="both"/>
      </w:pPr>
      <w:r>
        <w:rPr>
          <w:sz w:val="27"/>
          <w:color w:val="222222"/>
        </w:rPr>
        <w:t xml:space="preserve"> </w:t>
      </w:r>
    </w:p>
    <w:p>
      <w:pPr>
        <w:pStyle w:val="null3"/>
        <w:spacing w:before="0" w:after="0"/>
        <w:ind w:left="0" w:right="0"/>
        <w:jc w:val="center"/>
      </w:pPr>
      <w:r>
        <w:rPr>
          <w:b/>
        </w:rPr>
        <w:t>合　同　书</w:t>
      </w:r>
    </w:p>
    <w:p>
      <w:pPr>
        <w:pStyle w:val="null3"/>
        <w:spacing w:before="0" w:after="0"/>
        <w:ind w:left="0" w:right="0"/>
        <w:jc w:val="center"/>
      </w:pPr>
      <w:r>
        <w:br/>
      </w:r>
      <w:r>
        <w:br/>
      </w:r>
      <w:r>
        <w:br/>
      </w: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jc w:val="both"/>
      </w:pPr>
      <w:r>
        <w:br/>
      </w:r>
      <w:r>
        <w:rPr>
          <w:sz w:val="27"/>
          <w:color w:val="222222"/>
        </w:rPr>
        <w:t xml:space="preserve"> </w:t>
      </w:r>
    </w:p>
    <w:p>
      <w:pPr>
        <w:pStyle w:val="null3"/>
        <w:jc w:val="both"/>
      </w:pPr>
      <w:r>
        <w:rPr>
          <w:sz w:val="24"/>
          <w:b/>
        </w:rPr>
        <w:t>注：本合同仅为合同的参考文本，合同签订双方可根据项目的具体要求进行修订，但不得偏离实质性条款。</w:t>
      </w:r>
    </w:p>
    <w:p>
      <w:pPr>
        <w:pStyle w:val="null3"/>
        <w:ind w:firstLine="482"/>
        <w:jc w:val="both"/>
      </w:pPr>
      <w:r>
        <w:rPr>
          <w:sz w:val="24"/>
          <w:b/>
        </w:rPr>
        <w:t>甲方：</w:t>
      </w:r>
      <w:r>
        <w:rPr>
          <w:b/>
          <w:u w:val="single"/>
        </w:rPr>
        <w:t xml:space="preserve">                           </w:t>
      </w:r>
    </w:p>
    <w:p>
      <w:pPr>
        <w:pStyle w:val="null3"/>
        <w:ind w:firstLine="482"/>
        <w:jc w:val="both"/>
      </w:pPr>
      <w:r>
        <w:rPr>
          <w:sz w:val="24"/>
          <w:b/>
        </w:rPr>
        <w:t>乙方：</w:t>
      </w:r>
      <w:r>
        <w:rPr>
          <w:b/>
          <w:u w:val="single"/>
        </w:rPr>
        <w:t xml:space="preserve">                           </w:t>
      </w:r>
      <w:r>
        <w:rPr/>
        <w:t xml:space="preserve">   </w:t>
      </w:r>
    </w:p>
    <w:p>
      <w:pPr>
        <w:pStyle w:val="null3"/>
        <w:ind w:firstLine="470"/>
        <w:jc w:val="both"/>
      </w:pPr>
      <w:r>
        <w:rPr>
          <w:sz w:val="24"/>
        </w:rPr>
        <w:t>根据</w:t>
      </w:r>
      <w:r>
        <w:rPr>
          <w:b/>
          <w:u w:val="single"/>
        </w:rPr>
        <w:t xml:space="preserve">                       </w:t>
      </w:r>
      <w:r>
        <w:rPr>
          <w:sz w:val="24"/>
        </w:rPr>
        <w:t>采购结果，按照《中华人民共和国政府采购法</w:t>
      </w:r>
      <w:r>
        <w:rPr>
          <w:sz w:val="24"/>
        </w:rPr>
        <w:t>》和</w:t>
      </w:r>
      <w:r>
        <w:rPr>
          <w:sz w:val="24"/>
        </w:rPr>
        <w:t>《中华人民共和国民法典》（合同编）的规定，经双方协商，本着平等互利和诚实信用的原则，一致同意签订本合同如下。</w:t>
      </w:r>
    </w:p>
    <w:p>
      <w:pPr>
        <w:pStyle w:val="null3"/>
        <w:jc w:val="both"/>
      </w:pPr>
      <w:r>
        <w:rPr>
          <w:sz w:val="24"/>
          <w:b/>
        </w:rPr>
        <w:t>一、合同金额</w:t>
      </w:r>
      <w:r>
        <w:rPr>
          <w:sz w:val="24"/>
        </w:rPr>
        <w:t>：</w:t>
      </w:r>
      <w:r>
        <w:rPr>
          <w:u w:val="single"/>
        </w:rPr>
        <w:t xml:space="preserve">                   </w:t>
      </w:r>
      <w:r>
        <w:rPr>
          <w:sz w:val="24"/>
        </w:rPr>
        <w:t>元，大写金额：</w:t>
      </w:r>
      <w:r>
        <w:rPr>
          <w:u w:val="single"/>
        </w:rPr>
        <w:t xml:space="preserve">                   </w:t>
      </w:r>
      <w:r>
        <w:rPr>
          <w:sz w:val="24"/>
        </w:rPr>
        <w:t>。</w:t>
      </w:r>
    </w:p>
    <w:p>
      <w:pPr>
        <w:pStyle w:val="null3"/>
        <w:ind w:firstLine="470"/>
        <w:jc w:val="both"/>
      </w:pPr>
      <w:r>
        <w:rPr>
          <w:sz w:val="24"/>
        </w:rPr>
        <w:t>注：</w:t>
      </w:r>
      <w:r>
        <w:rPr>
          <w:sz w:val="24"/>
        </w:rPr>
        <w:t>合同价包括</w:t>
      </w:r>
      <w:r>
        <w:rPr>
          <w:sz w:val="24"/>
        </w:rPr>
        <w:t>履行本合同的一切直接和间接费用，在项目实施所需的资料打印产生的费用，以及实地考察、会务费用、归档等与该项目相关工作产生的费用。</w:t>
      </w:r>
    </w:p>
    <w:p>
      <w:pPr>
        <w:pStyle w:val="null3"/>
        <w:jc w:val="both"/>
      </w:pPr>
      <w:r>
        <w:rPr>
          <w:sz w:val="24"/>
          <w:b/>
        </w:rPr>
        <w:t>二、</w:t>
      </w:r>
      <w:r>
        <w:rPr>
          <w:sz w:val="24"/>
          <w:b/>
        </w:rPr>
        <w:t>提供标的时间</w:t>
      </w:r>
      <w:r>
        <w:rPr>
          <w:sz w:val="24"/>
          <w:b/>
        </w:rPr>
        <w:t>：</w:t>
      </w:r>
      <w:r>
        <w:rPr>
          <w:sz w:val="24"/>
        </w:rPr>
        <w:t>合同签订后</w:t>
      </w:r>
      <w:r>
        <w:rPr>
          <w:u w:val="single"/>
        </w:rPr>
        <w:t xml:space="preserve">       </w:t>
      </w:r>
      <w:r>
        <w:rPr>
          <w:sz w:val="24"/>
        </w:rPr>
        <w:t>天内（日历天）交付成果文件。</w:t>
      </w:r>
    </w:p>
    <w:p>
      <w:pPr>
        <w:pStyle w:val="null3"/>
        <w:jc w:val="both"/>
      </w:pPr>
      <w:r>
        <w:rPr>
          <w:sz w:val="24"/>
          <w:b/>
        </w:rPr>
        <w:t>三、服务地点</w:t>
      </w:r>
      <w:r>
        <w:rPr>
          <w:sz w:val="24"/>
        </w:rPr>
        <w:t>：甲方指定地点</w:t>
      </w:r>
      <w:r>
        <w:rPr>
          <w:sz w:val="24"/>
        </w:rPr>
        <w:t>。</w:t>
      </w:r>
    </w:p>
    <w:p>
      <w:pPr>
        <w:pStyle w:val="null3"/>
        <w:jc w:val="both"/>
      </w:pPr>
      <w:r>
        <w:rPr>
          <w:sz w:val="24"/>
          <w:b/>
        </w:rPr>
        <w:t>四、</w:t>
      </w:r>
      <w:r>
        <w:rPr>
          <w:sz w:val="24"/>
          <w:b/>
        </w:rPr>
        <w:t>服务范围：</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jc w:val="both"/>
      </w:pPr>
      <w:r>
        <w:rPr>
          <w:sz w:val="24"/>
          <w:b/>
        </w:rPr>
        <w:t>五、</w:t>
      </w:r>
      <w:r>
        <w:rPr>
          <w:sz w:val="24"/>
          <w:b/>
        </w:rPr>
        <w:t>编制原则</w:t>
      </w:r>
    </w:p>
    <w:p>
      <w:pPr>
        <w:pStyle w:val="null3"/>
        <w:ind w:firstLine="480"/>
        <w:jc w:val="both"/>
      </w:pPr>
      <w:r>
        <w:rPr>
          <w:sz w:val="24"/>
        </w:rPr>
        <w:t>1.坚持控规法律权威性原则：严格按照相关法律法规编制控制性详细规划，明确和完善法定条文的管控内容。</w:t>
      </w:r>
    </w:p>
    <w:p>
      <w:pPr>
        <w:pStyle w:val="null3"/>
        <w:ind w:firstLine="480"/>
        <w:jc w:val="both"/>
      </w:pPr>
      <w:r>
        <w:rPr>
          <w:sz w:val="24"/>
        </w:rPr>
        <w:t>2.坚持统筹兼顾、协调一致原则：将管理单元控制性详细规划与海绵城市、综合交通、风貌规划等专项规划结合考虑，科学规划本管理单元内的设施布局和开发控制。</w:t>
      </w:r>
    </w:p>
    <w:p>
      <w:pPr>
        <w:pStyle w:val="null3"/>
        <w:ind w:firstLine="480"/>
        <w:jc w:val="both"/>
      </w:pPr>
      <w:r>
        <w:rPr>
          <w:sz w:val="24"/>
        </w:rPr>
        <w:t>3.坚持标准化、信息化，刚柔并济原则：需严格管控的内容必须严格按照法律、规范编制导则编制和控制，可弹性调节的内容应预留调整空间，便于规划管理的具体实施。</w:t>
      </w:r>
    </w:p>
    <w:p>
      <w:pPr>
        <w:pStyle w:val="null3"/>
        <w:jc w:val="both"/>
      </w:pPr>
      <w:r>
        <w:rPr>
          <w:sz w:val="24"/>
          <w:b/>
        </w:rPr>
        <w:t>六、</w:t>
      </w:r>
      <w:r>
        <w:rPr>
          <w:sz w:val="24"/>
          <w:b/>
        </w:rPr>
        <w:t>编制内容与技术要求</w:t>
      </w:r>
    </w:p>
    <w:p>
      <w:pPr>
        <w:pStyle w:val="null3"/>
        <w:ind w:firstLine="480"/>
        <w:jc w:val="both"/>
      </w:pPr>
      <w:r>
        <w:rPr>
          <w:sz w:val="24"/>
        </w:rPr>
        <w:t>控制性详细规划编制深度应达到《城市规划编制办法》、韶关市相关的技术管理规定</w:t>
      </w:r>
      <w:r>
        <w:rPr>
          <w:sz w:val="24"/>
        </w:rPr>
        <w:t>，</w:t>
      </w:r>
      <w:r>
        <w:rPr>
          <w:sz w:val="24"/>
        </w:rPr>
        <w:t>编制重点如下：</w:t>
      </w:r>
    </w:p>
    <w:p>
      <w:pPr>
        <w:pStyle w:val="null3"/>
        <w:ind w:firstLine="480"/>
        <w:jc w:val="both"/>
      </w:pPr>
      <w:r>
        <w:rPr>
          <w:sz w:val="24"/>
        </w:rPr>
        <w:t>1.规划综述：准确把握规划背景和规划依据，开展城市现状建设和发展情况调查，研究城市规划与管理实施的问题，对道路交通、公共服务、城市空间、景观风貌等情况进行分析研究，为各单元的规划编制或规划完善奠定基础。</w:t>
      </w:r>
    </w:p>
    <w:p>
      <w:pPr>
        <w:pStyle w:val="null3"/>
        <w:ind w:firstLine="480"/>
        <w:jc w:val="both"/>
      </w:pPr>
      <w:r>
        <w:rPr>
          <w:sz w:val="24"/>
        </w:rPr>
        <w:t>2.明晰规划目标：结合现状调研和未来发展需求，明确规划单元的功能定位，提出规划单元发展目标，合理预测人口规模，合理分配落实上位规划配套的公共服务设施和基础服务设施。</w:t>
      </w:r>
    </w:p>
    <w:p>
      <w:pPr>
        <w:pStyle w:val="null3"/>
        <w:ind w:firstLine="480"/>
        <w:jc w:val="both"/>
      </w:pPr>
      <w:r>
        <w:rPr>
          <w:sz w:val="24"/>
        </w:rPr>
        <w:t>3.合理布局公共服务设施及市政设施：公共服务设施及市政设施布局。根据规划人口和建设容量，按照服务规模和服务半径合理布局配设单元内公共服务设施和市政基础设施，确定公共服务设施及市政工程设施的用地界线、市政工程管线位置、管径，进行管线综合。明确地下空间开发利用具体要求。要综合考虑服务半径和服务能力的问题。</w:t>
      </w:r>
    </w:p>
    <w:p>
      <w:pPr>
        <w:pStyle w:val="null3"/>
        <w:ind w:firstLine="480"/>
        <w:jc w:val="both"/>
      </w:pPr>
      <w:r>
        <w:rPr>
          <w:sz w:val="24"/>
        </w:rPr>
        <w:t>4.协调完善单元内各专项规划：结合海绵城市、道路竖向、综合管廊、绿地系统等专项规划细化完善本单元内各专项规划。</w:t>
      </w:r>
    </w:p>
    <w:p>
      <w:pPr>
        <w:pStyle w:val="null3"/>
        <w:ind w:firstLine="480"/>
        <w:jc w:val="both"/>
      </w:pPr>
      <w:r>
        <w:rPr>
          <w:sz w:val="24"/>
        </w:rPr>
        <w:t>5.明确开发与建设控制管理方案：结合片区规划现状和设施、环境承载能力分析，合理测算和确定单元人口规模和调控策略，规划人口规模应与单元内规划建设容量（尤其是居住、商业）及公共服务、公共安全、交通、市政基础设施的配套服务能力相匹配，对现状设施配套不能满足要求的单元，应明确单元的导控方向和具体措施。</w:t>
      </w:r>
    </w:p>
    <w:p>
      <w:pPr>
        <w:pStyle w:val="null3"/>
        <w:ind w:firstLine="480"/>
        <w:jc w:val="both"/>
      </w:pPr>
      <w:r>
        <w:rPr>
          <w:sz w:val="24"/>
        </w:rPr>
        <w:t>6.编制单元控制图则和地块控制细则：通过编制相关管控图则实现规划和建设的中微观合理衔接，标识具体地理位置，明确各类控制线，细分各项控制指标，提出各项控制引导。</w:t>
      </w:r>
    </w:p>
    <w:p>
      <w:pPr>
        <w:pStyle w:val="null3"/>
        <w:jc w:val="both"/>
      </w:pPr>
      <w:r>
        <w:rPr>
          <w:sz w:val="24"/>
          <w:b/>
        </w:rPr>
        <w:t>七、</w:t>
      </w:r>
      <w:r>
        <w:rPr>
          <w:sz w:val="24"/>
          <w:b/>
        </w:rPr>
        <w:t>成果要求</w:t>
      </w:r>
    </w:p>
    <w:p>
      <w:pPr>
        <w:pStyle w:val="null3"/>
        <w:ind w:firstLine="480"/>
        <w:jc w:val="both"/>
      </w:pPr>
      <w:r>
        <w:rPr>
          <w:sz w:val="24"/>
        </w:rPr>
        <w:t>1.本控制性详细规划成果应达到《城市规划编制办法》、韶关市相关的技术管理规定中成果内容要求，包括法定文件和技术文件两部分。</w:t>
      </w:r>
    </w:p>
    <w:p>
      <w:pPr>
        <w:pStyle w:val="null3"/>
        <w:ind w:firstLine="480"/>
        <w:jc w:val="both"/>
      </w:pPr>
      <w:r>
        <w:rPr>
          <w:sz w:val="24"/>
        </w:rPr>
        <w:t>（</w:t>
      </w:r>
      <w:r>
        <w:rPr>
          <w:sz w:val="24"/>
        </w:rPr>
        <w:t>1）法定文件。含规划文本、图则。</w:t>
      </w:r>
    </w:p>
    <w:p>
      <w:pPr>
        <w:pStyle w:val="null3"/>
        <w:ind w:firstLine="480"/>
        <w:jc w:val="both"/>
      </w:pPr>
      <w:r>
        <w:rPr>
          <w:sz w:val="24"/>
        </w:rPr>
        <w:t>（</w:t>
      </w:r>
      <w:r>
        <w:rPr>
          <w:sz w:val="24"/>
        </w:rPr>
        <w:t>2）技术文件。由规划说明书、规划图纸构成。</w:t>
      </w:r>
    </w:p>
    <w:p>
      <w:pPr>
        <w:pStyle w:val="null3"/>
        <w:ind w:firstLine="480"/>
        <w:jc w:val="both"/>
      </w:pPr>
      <w:r>
        <w:rPr>
          <w:sz w:val="24"/>
        </w:rPr>
        <w:t>2.提交成果要求</w:t>
      </w:r>
    </w:p>
    <w:p>
      <w:pPr>
        <w:pStyle w:val="null3"/>
        <w:ind w:firstLine="480"/>
        <w:jc w:val="both"/>
      </w:pPr>
      <w:r>
        <w:rPr>
          <w:sz w:val="24"/>
        </w:rPr>
        <w:t>（</w:t>
      </w:r>
      <w:r>
        <w:rPr>
          <w:sz w:val="24"/>
        </w:rPr>
        <w:t>1）包含上述最终成果共3套，规格统一为A3或A4。</w:t>
      </w:r>
    </w:p>
    <w:p>
      <w:pPr>
        <w:pStyle w:val="null3"/>
        <w:ind w:firstLine="480"/>
        <w:jc w:val="both"/>
      </w:pPr>
      <w:r>
        <w:rPr>
          <w:sz w:val="24"/>
        </w:rPr>
        <w:t>（</w:t>
      </w:r>
      <w:r>
        <w:rPr>
          <w:sz w:val="24"/>
        </w:rPr>
        <w:t>2）包含上述所有文字说明和图件内容的电子成果1套（含文字说明电子文件、CAD图纸等），文本为DOC格式文件，方案图纸为DWG格式文件，图集为JPG格式文件。</w:t>
      </w:r>
    </w:p>
    <w:p>
      <w:pPr>
        <w:pStyle w:val="null3"/>
        <w:ind w:firstLine="480"/>
        <w:jc w:val="both"/>
      </w:pPr>
      <w:r>
        <w:rPr>
          <w:sz w:val="24"/>
        </w:rPr>
        <w:t>（</w:t>
      </w:r>
      <w:r>
        <w:rPr>
          <w:sz w:val="24"/>
        </w:rPr>
        <w:t>3）包含上述所有图件内容及简明必要的文字说明的彩色汇报文件1份（PPT格式）。</w:t>
      </w:r>
    </w:p>
    <w:p>
      <w:pPr>
        <w:pStyle w:val="null3"/>
        <w:jc w:val="both"/>
      </w:pPr>
      <w:r>
        <w:rPr>
          <w:sz w:val="24"/>
          <w:b/>
        </w:rPr>
        <w:t>八、</w:t>
      </w:r>
      <w:r>
        <w:rPr>
          <w:sz w:val="24"/>
          <w:b/>
        </w:rPr>
        <w:t>质量标准</w:t>
      </w:r>
    </w:p>
    <w:p>
      <w:pPr>
        <w:pStyle w:val="null3"/>
        <w:ind w:firstLine="480"/>
        <w:jc w:val="both"/>
      </w:pPr>
      <w:r>
        <w:rPr>
          <w:sz w:val="24"/>
        </w:rPr>
        <w:t>1.符合国家规定的标准、政策和现行技术规范、规程要求，通过地方组织的专家审查。</w:t>
      </w:r>
    </w:p>
    <w:p>
      <w:pPr>
        <w:pStyle w:val="null3"/>
        <w:ind w:firstLine="480"/>
        <w:jc w:val="both"/>
      </w:pPr>
      <w:r>
        <w:rPr>
          <w:sz w:val="24"/>
        </w:rPr>
        <w:t>2.建立完善项目质量管理的措施，对影响关键质量的环节及阶段工作成果进行及时有效</w:t>
      </w:r>
      <w:r>
        <w:rPr>
          <w:sz w:val="24"/>
        </w:rPr>
        <w:t>的</w:t>
      </w:r>
      <w:r>
        <w:rPr>
          <w:sz w:val="24"/>
        </w:rPr>
        <w:t>检查。</w:t>
      </w:r>
    </w:p>
    <w:p>
      <w:pPr>
        <w:pStyle w:val="null3"/>
        <w:ind w:firstLine="480"/>
        <w:jc w:val="both"/>
      </w:pPr>
      <w:r>
        <w:rPr>
          <w:sz w:val="24"/>
        </w:rPr>
        <w:t>3.建立质量保障组织架构，质量管理团队进行质量把控。</w:t>
      </w:r>
    </w:p>
    <w:p>
      <w:pPr>
        <w:pStyle w:val="null3"/>
        <w:ind w:firstLine="480"/>
        <w:jc w:val="both"/>
      </w:pPr>
      <w:r>
        <w:rPr>
          <w:sz w:val="24"/>
        </w:rPr>
        <w:t>4.</w:t>
      </w:r>
      <w:r>
        <w:rPr>
          <w:sz w:val="24"/>
        </w:rPr>
        <w:t>乙方</w:t>
      </w:r>
      <w:r>
        <w:rPr>
          <w:sz w:val="24"/>
        </w:rPr>
        <w:t>需具备较为完善的服务质量保证制度为本项目的质量和履约提供制度保障，以保证项目质量和服务目标。提供项目质量管理的措施、质量指标的承诺和目标情况、数据质量保障措施、各阶段的服务要求及质量问题处理与改进措施等内容。</w:t>
      </w:r>
    </w:p>
    <w:p>
      <w:pPr>
        <w:pStyle w:val="null3"/>
        <w:jc w:val="both"/>
      </w:pPr>
      <w:r>
        <w:rPr>
          <w:sz w:val="24"/>
          <w:b/>
        </w:rPr>
        <w:t>九、</w:t>
      </w:r>
      <w:r>
        <w:rPr>
          <w:sz w:val="24"/>
          <w:b/>
        </w:rPr>
        <w:t>人员配置</w:t>
      </w:r>
    </w:p>
    <w:p>
      <w:pPr>
        <w:pStyle w:val="null3"/>
        <w:ind w:firstLine="480"/>
        <w:jc w:val="both"/>
      </w:pPr>
      <w:r>
        <w:rPr>
          <w:sz w:val="24"/>
        </w:rPr>
        <w:t>1.本项目需配备一名较强的组织和协调能力，具有较高分析解决问题能力的项目负责人，能够统筹项目管理、技术管理。项目负责人具有注册城乡（市）规划师执业资格及城乡（市）规划职称。</w:t>
      </w:r>
    </w:p>
    <w:p>
      <w:pPr>
        <w:pStyle w:val="null3"/>
        <w:ind w:firstLine="480"/>
        <w:jc w:val="both"/>
      </w:pPr>
      <w:r>
        <w:rPr>
          <w:sz w:val="24"/>
        </w:rPr>
        <w:t>2.服务团队需包含：国土类、城市（乡）规划类、测绘类、给水排水类、风景园林设计类、市政路桥类专业职称提供技术支持工作，能够充分理解项目需求，完成工作任务。</w:t>
      </w:r>
    </w:p>
    <w:p>
      <w:pPr>
        <w:pStyle w:val="null3"/>
        <w:ind w:firstLine="480"/>
        <w:jc w:val="both"/>
      </w:pPr>
      <w:r>
        <w:rPr>
          <w:sz w:val="24"/>
        </w:rPr>
        <w:t>3.项目负责人应是该项目实施全过程的真正组织者和指导者，担负实质性工作，挂名或不担负实质性工作的人不得作为项目负责人参与本项目。关键节点，如专题汇报、技术审查等需项目负责人本人到场。</w:t>
      </w:r>
    </w:p>
    <w:p>
      <w:pPr>
        <w:pStyle w:val="null3"/>
        <w:jc w:val="both"/>
      </w:pPr>
      <w:r>
        <w:rPr>
          <w:sz w:val="24"/>
          <w:b/>
        </w:rPr>
        <w:t>十、</w:t>
      </w:r>
      <w:r>
        <w:rPr>
          <w:sz w:val="24"/>
          <w:b/>
        </w:rPr>
        <w:t>保密要求</w:t>
      </w:r>
    </w:p>
    <w:p>
      <w:pPr>
        <w:pStyle w:val="null3"/>
        <w:ind w:firstLine="480"/>
        <w:jc w:val="both"/>
      </w:pPr>
      <w:r>
        <w:rPr>
          <w:sz w:val="24"/>
        </w:rPr>
        <w:t>1.</w:t>
      </w:r>
      <w:r>
        <w:rPr>
          <w:sz w:val="24"/>
        </w:rPr>
        <w:t>乙方</w:t>
      </w:r>
      <w:r>
        <w:rPr>
          <w:sz w:val="24"/>
        </w:rPr>
        <w:t>制定安全保障措施、项目保密管理制度，对在工作过程中接触到的</w:t>
      </w:r>
      <w:r>
        <w:rPr>
          <w:sz w:val="24"/>
        </w:rPr>
        <w:t>甲方</w:t>
      </w:r>
      <w:r>
        <w:rPr>
          <w:sz w:val="24"/>
        </w:rPr>
        <w:t>的任何资料、文件、数据（无论是书面形式的还是电子版的），以及为</w:t>
      </w:r>
      <w:r>
        <w:rPr>
          <w:sz w:val="24"/>
        </w:rPr>
        <w:t>甲方</w:t>
      </w:r>
      <w:r>
        <w:rPr>
          <w:sz w:val="24"/>
        </w:rPr>
        <w:t>服务形成的任何交付物，负有保密的责任。未经</w:t>
      </w:r>
      <w:r>
        <w:rPr>
          <w:sz w:val="24"/>
        </w:rPr>
        <w:t>甲方</w:t>
      </w:r>
      <w:r>
        <w:rPr>
          <w:sz w:val="24"/>
        </w:rPr>
        <w:t>书面同意，</w:t>
      </w:r>
      <w:r>
        <w:rPr>
          <w:sz w:val="24"/>
        </w:rPr>
        <w:t>乙方</w:t>
      </w:r>
      <w:r>
        <w:rPr>
          <w:sz w:val="24"/>
        </w:rPr>
        <w:t>不得以任何方式向任何第三方提供或透露</w:t>
      </w:r>
      <w:r>
        <w:rPr>
          <w:sz w:val="24"/>
        </w:rPr>
        <w:t>。</w:t>
      </w:r>
    </w:p>
    <w:p>
      <w:pPr>
        <w:pStyle w:val="null3"/>
        <w:ind w:firstLine="480"/>
        <w:jc w:val="both"/>
      </w:pPr>
      <w:r>
        <w:rPr>
          <w:sz w:val="24"/>
        </w:rPr>
        <w:t>2.</w:t>
      </w:r>
      <w:r>
        <w:rPr>
          <w:sz w:val="24"/>
        </w:rPr>
        <w:t>乙方</w:t>
      </w:r>
      <w:r>
        <w:rPr>
          <w:sz w:val="24"/>
        </w:rPr>
        <w:t>不得将涉密资料在计算机互联网、政务网等非涉密网络上传输、登载</w:t>
      </w:r>
      <w:r>
        <w:rPr>
          <w:sz w:val="24"/>
        </w:rPr>
        <w:t>。</w:t>
      </w:r>
    </w:p>
    <w:p>
      <w:pPr>
        <w:pStyle w:val="null3"/>
        <w:ind w:firstLine="480"/>
        <w:jc w:val="both"/>
      </w:pPr>
      <w:r>
        <w:rPr>
          <w:sz w:val="24"/>
        </w:rPr>
        <w:t>3.</w:t>
      </w:r>
      <w:r>
        <w:rPr>
          <w:sz w:val="24"/>
        </w:rPr>
        <w:t>乙方</w:t>
      </w:r>
      <w:r>
        <w:rPr>
          <w:sz w:val="24"/>
        </w:rPr>
        <w:t>发生涉密资料外传、丢失、被盗或者造成泄密事故的，应采取有效措施，及时补救，并及时向</w:t>
      </w:r>
      <w:r>
        <w:rPr>
          <w:sz w:val="24"/>
        </w:rPr>
        <w:t>甲方</w:t>
      </w:r>
      <w:r>
        <w:rPr>
          <w:sz w:val="24"/>
        </w:rPr>
        <w:t>报告；否则所造成的后果均由</w:t>
      </w:r>
      <w:r>
        <w:rPr>
          <w:sz w:val="24"/>
        </w:rPr>
        <w:t>乙方</w:t>
      </w:r>
      <w:r>
        <w:rPr>
          <w:sz w:val="24"/>
        </w:rPr>
        <w:t>承担。</w:t>
      </w:r>
    </w:p>
    <w:p>
      <w:pPr>
        <w:pStyle w:val="null3"/>
        <w:jc w:val="both"/>
      </w:pPr>
      <w:r>
        <w:rPr>
          <w:sz w:val="24"/>
          <w:b/>
        </w:rPr>
        <w:t>十一、</w:t>
      </w:r>
      <w:r>
        <w:rPr>
          <w:sz w:val="24"/>
          <w:b/>
        </w:rPr>
        <w:t>验收要求</w:t>
      </w:r>
    </w:p>
    <w:p>
      <w:pPr>
        <w:pStyle w:val="null3"/>
        <w:ind w:firstLine="480"/>
        <w:jc w:val="both"/>
      </w:pPr>
      <w:r>
        <w:rPr>
          <w:sz w:val="24"/>
        </w:rPr>
        <w:t>1.履约验收主体：甲方。</w:t>
      </w:r>
    </w:p>
    <w:p>
      <w:pPr>
        <w:pStyle w:val="null3"/>
        <w:ind w:firstLine="480"/>
        <w:jc w:val="both"/>
      </w:pPr>
      <w:r>
        <w:rPr>
          <w:sz w:val="24"/>
        </w:rPr>
        <w:t>2.履约验收时间：乙方必须在甲方指定时间之前将成果文件提交给甲方。</w:t>
      </w:r>
    </w:p>
    <w:p>
      <w:pPr>
        <w:pStyle w:val="null3"/>
        <w:ind w:firstLine="480"/>
        <w:jc w:val="both"/>
      </w:pPr>
      <w:r>
        <w:rPr>
          <w:sz w:val="24"/>
        </w:rPr>
        <w:t>3.履约验收方式：分阶段验收。</w:t>
      </w:r>
    </w:p>
    <w:p>
      <w:pPr>
        <w:pStyle w:val="null3"/>
        <w:ind w:firstLine="480"/>
        <w:jc w:val="both"/>
      </w:pPr>
      <w:r>
        <w:rPr>
          <w:sz w:val="24"/>
        </w:rPr>
        <w:t>4.履约验收程序：</w:t>
      </w:r>
    </w:p>
    <w:p>
      <w:pPr>
        <w:pStyle w:val="null3"/>
        <w:ind w:firstLine="480"/>
        <w:jc w:val="both"/>
      </w:pPr>
      <w:r>
        <w:rPr>
          <w:sz w:val="24"/>
        </w:rPr>
        <w:t>（</w:t>
      </w:r>
      <w:r>
        <w:rPr>
          <w:sz w:val="24"/>
        </w:rPr>
        <w:t>1）乙方应按规定时间节点要求提交成果文件，甲方对乙方提交的成果文件情况进行审核，乙方开展的相关工作及提交的内容应得到甲方认同，审核通过后方为完成合同内容；对审核不合格的部分，乙方应在甲方规定时间内及时整改完善直至合格，未在规定时间内进行整改并通过审核的，甲方有权单方面解除合同并不予支付款项。</w:t>
      </w:r>
    </w:p>
    <w:p>
      <w:pPr>
        <w:pStyle w:val="null3"/>
        <w:ind w:firstLine="480"/>
        <w:jc w:val="both"/>
      </w:pPr>
      <w:r>
        <w:rPr>
          <w:sz w:val="24"/>
        </w:rPr>
        <w:t>（</w:t>
      </w:r>
      <w:r>
        <w:rPr>
          <w:sz w:val="24"/>
        </w:rPr>
        <w:t>2）成果经专家评审通过及甲方终审后，乙方应根据审核意见，修改并形成正式成果，并按规定时限报甲方。</w:t>
      </w:r>
    </w:p>
    <w:p>
      <w:pPr>
        <w:pStyle w:val="null3"/>
        <w:ind w:firstLine="480"/>
        <w:jc w:val="both"/>
      </w:pPr>
      <w:r>
        <w:rPr>
          <w:sz w:val="24"/>
        </w:rPr>
        <w:t>（</w:t>
      </w:r>
      <w:r>
        <w:rPr>
          <w:sz w:val="24"/>
        </w:rPr>
        <w:t>3）乙方负责配合完成项目的阶段成果汇报、专题会议汇报、最终成果汇报等工作。</w:t>
      </w:r>
    </w:p>
    <w:p>
      <w:pPr>
        <w:pStyle w:val="null3"/>
        <w:ind w:firstLine="480"/>
        <w:jc w:val="both"/>
      </w:pPr>
      <w:r>
        <w:rPr>
          <w:sz w:val="24"/>
        </w:rPr>
        <w:t>（</w:t>
      </w:r>
      <w:r>
        <w:rPr>
          <w:sz w:val="24"/>
        </w:rPr>
        <w:t>4）项目成果以甲方组织审核和确定验收方式。</w:t>
      </w:r>
    </w:p>
    <w:p>
      <w:pPr>
        <w:pStyle w:val="null3"/>
        <w:ind w:firstLine="480"/>
        <w:jc w:val="both"/>
      </w:pPr>
      <w:r>
        <w:rPr>
          <w:sz w:val="24"/>
        </w:rPr>
        <w:t>5.履约验收内容：依据招标文件的服务内容及要求、乙方的投标文件及承诺与本合同约定进行验收。</w:t>
      </w:r>
    </w:p>
    <w:p>
      <w:pPr>
        <w:pStyle w:val="null3"/>
        <w:ind w:firstLine="480"/>
        <w:jc w:val="both"/>
      </w:pPr>
      <w:r>
        <w:rPr>
          <w:sz w:val="24"/>
        </w:rPr>
        <w:t>6.验收标准：审核由甲方组织相关人员依照有关标准、项目及合同要求进行。</w:t>
      </w:r>
    </w:p>
    <w:p>
      <w:pPr>
        <w:pStyle w:val="null3"/>
        <w:ind w:firstLine="480"/>
        <w:jc w:val="both"/>
      </w:pPr>
      <w:r>
        <w:rPr>
          <w:sz w:val="24"/>
        </w:rPr>
        <w:t>7.争议处理：因验收发生争议时，由验收小组报甲方党组会审定。</w:t>
      </w:r>
    </w:p>
    <w:p>
      <w:pPr>
        <w:pStyle w:val="null3"/>
        <w:ind w:firstLine="480"/>
        <w:jc w:val="both"/>
      </w:pPr>
      <w:r>
        <w:rPr>
          <w:sz w:val="24"/>
        </w:rPr>
        <w:t>8.其他未尽事宜处理：履约验收工作中未明确的事项，须严格遵循以下法规文件执行，并对技术、服务履约情况逐项确认：（1）《财政部关于进一步加强政府采购需求和履约验收管理的指导意见》（财库〔2016〕205 号）；（2）《关于进一步加强政府采购需求管理工作的通知》（粤财采购函〔2023〕29 号）；（3）《关于进一步加强政府采购项目合同履约验收支付等相关工作的通知》（韶财采购〔2022〕19 号）。</w:t>
      </w:r>
    </w:p>
    <w:p>
      <w:pPr>
        <w:pStyle w:val="null3"/>
        <w:spacing w:before="45" w:after="45"/>
        <w:jc w:val="both"/>
      </w:pPr>
      <w:r>
        <w:rPr>
          <w:sz w:val="24"/>
          <w:b/>
        </w:rPr>
        <w:t>十二、付款方式</w:t>
      </w:r>
    </w:p>
    <w:p>
      <w:pPr>
        <w:pStyle w:val="null3"/>
        <w:ind w:firstLine="480"/>
        <w:jc w:val="both"/>
      </w:pPr>
      <w:r>
        <w:rPr>
          <w:sz w:val="24"/>
        </w:rPr>
        <w:t>第</w:t>
      </w:r>
      <w:r>
        <w:rPr>
          <w:sz w:val="24"/>
        </w:rPr>
        <w:t>1期：支付比例30%。合同签订并提交初步成果后10个工作日内，甲方向乙方支付合同总金额30%。</w:t>
      </w:r>
    </w:p>
    <w:p>
      <w:pPr>
        <w:pStyle w:val="null3"/>
        <w:ind w:firstLine="480"/>
        <w:jc w:val="both"/>
      </w:pPr>
      <w:r>
        <w:rPr>
          <w:sz w:val="24"/>
        </w:rPr>
        <w:t>第</w:t>
      </w:r>
      <w:r>
        <w:rPr>
          <w:sz w:val="24"/>
        </w:rPr>
        <w:t>2期：支付比例40%。乙方完成中期成果并通过专家评审会后，甲方在10个工作日内向乙方支付合同总额的40%。</w:t>
      </w:r>
    </w:p>
    <w:p>
      <w:pPr>
        <w:pStyle w:val="null3"/>
        <w:ind w:firstLine="480"/>
        <w:jc w:val="both"/>
      </w:pPr>
      <w:r>
        <w:rPr>
          <w:sz w:val="24"/>
        </w:rPr>
        <w:t>第</w:t>
      </w:r>
      <w:r>
        <w:rPr>
          <w:sz w:val="24"/>
        </w:rPr>
        <w:t>3期：支付比例30%。乙方提交最终成果并通过翁源县人民政府审批同意，且规划成果数据在全省国土空间规划“一张图”实施监督系统中完成备案（如控制性详细规划成果数据无需在全省国土空间规划“一张图”实施监督系统中备案，则获得翁源县人民政府批复即视为达到支付条件），乙方向甲方提供请款资料后15个工作日内，甲方向乙方支付合同总额的30%。</w:t>
      </w:r>
    </w:p>
    <w:p>
      <w:pPr>
        <w:pStyle w:val="null3"/>
        <w:ind w:firstLine="480"/>
        <w:jc w:val="both"/>
      </w:pPr>
      <w:r>
        <w:rPr>
          <w:sz w:val="24"/>
        </w:rPr>
        <w:t>注：</w:t>
      </w:r>
      <w:r>
        <w:rPr>
          <w:sz w:val="24"/>
        </w:rPr>
        <w:t>①上述每期款项支付前，乙方均应向甲方提供请款申报材料（如需）及相应金额的合法有效的发票，否则，甲方有权拒绝支付相应的款项，并不构成违约；②因甲方用的是财政资金，甲方在前款规定的付款时间为向政府采购支付部门提出办理财政支付申请手续的时间（不含政府财政支付部门审核的时间），在前述规定时间内提出办理支付申请手续后，甲方不承担逾期支付的违约责任。</w:t>
      </w:r>
    </w:p>
    <w:p>
      <w:pPr>
        <w:pStyle w:val="null3"/>
        <w:spacing w:before="45" w:after="45"/>
        <w:jc w:val="both"/>
      </w:pPr>
      <w:r>
        <w:rPr>
          <w:sz w:val="24"/>
          <w:b/>
        </w:rPr>
        <w:t>十</w:t>
      </w:r>
      <w:r>
        <w:rPr>
          <w:sz w:val="24"/>
          <w:b/>
        </w:rPr>
        <w:t>三</w:t>
      </w:r>
      <w:r>
        <w:rPr>
          <w:sz w:val="24"/>
          <w:b/>
        </w:rPr>
        <w:t>、违约责任及损失赔偿</w:t>
      </w:r>
    </w:p>
    <w:p>
      <w:pPr>
        <w:pStyle w:val="null3"/>
        <w:ind w:firstLine="480"/>
        <w:jc w:val="both"/>
      </w:pPr>
      <w:r>
        <w:rPr>
          <w:sz w:val="24"/>
        </w:rPr>
        <w:t>1.</w:t>
      </w:r>
      <w:r>
        <w:rPr>
          <w:sz w:val="24"/>
        </w:rPr>
        <w:t>乙方未能按本采购文件要求的时间提供服务的，从逾期之日起，每日按成交金额的</w:t>
      </w:r>
      <w:r>
        <w:rPr>
          <w:u w:val="single"/>
        </w:rPr>
        <w:t xml:space="preserve">    </w:t>
      </w:r>
      <w:r>
        <w:rPr>
          <w:sz w:val="24"/>
        </w:rPr>
        <w:t>‰向甲方支付违约金；逾期半月以上的，甲方有权终止合同，由此对甲方造成的由乙方承担。</w:t>
      </w:r>
    </w:p>
    <w:p>
      <w:pPr>
        <w:pStyle w:val="null3"/>
        <w:ind w:firstLine="480"/>
        <w:jc w:val="both"/>
      </w:pPr>
      <w:r>
        <w:rPr>
          <w:sz w:val="24"/>
        </w:rPr>
        <w:t>2.</w:t>
      </w:r>
      <w:r>
        <w:rPr>
          <w:sz w:val="24"/>
        </w:rPr>
        <w:t>甲方无正当理由拒绝接受服务的，甲方向乙方赔付成交金额的</w:t>
      </w:r>
      <w:r>
        <w:rPr>
          <w:u w:val="single"/>
        </w:rPr>
        <w:t xml:space="preserve">    </w:t>
      </w:r>
      <w:r>
        <w:rPr>
          <w:sz w:val="24"/>
        </w:rPr>
        <w:t>%作为违约金；甲方到期拒付合同款项的，则每日按逾期金额的</w:t>
      </w:r>
      <w:r>
        <w:rPr>
          <w:u w:val="single"/>
        </w:rPr>
        <w:t xml:space="preserve">    </w:t>
      </w:r>
      <w:r>
        <w:rPr>
          <w:sz w:val="24"/>
        </w:rPr>
        <w:t>‰向乙方支付违约金。</w:t>
      </w:r>
    </w:p>
    <w:p>
      <w:pPr>
        <w:pStyle w:val="null3"/>
        <w:ind w:firstLine="480"/>
        <w:jc w:val="both"/>
      </w:pPr>
      <w:r>
        <w:rPr>
          <w:sz w:val="24"/>
        </w:rPr>
        <w:t>3.</w:t>
      </w:r>
      <w:r>
        <w:rPr>
          <w:sz w:val="24"/>
        </w:rPr>
        <w:t>乙方在进行本项目的服务过程中，应严格恪守保密原则，如发现商业泄密，甲方将扣除乙方成交金额的</w:t>
      </w:r>
      <w:r>
        <w:rPr>
          <w:u w:val="single"/>
        </w:rPr>
        <w:t xml:space="preserve">    </w:t>
      </w:r>
      <w:r>
        <w:rPr>
          <w:sz w:val="24"/>
        </w:rPr>
        <w:t>%作为违约金，同时追究其法律责任。</w:t>
      </w:r>
    </w:p>
    <w:p>
      <w:pPr>
        <w:pStyle w:val="null3"/>
        <w:spacing w:before="45" w:after="45"/>
        <w:jc w:val="both"/>
      </w:pPr>
      <w:r>
        <w:rPr>
          <w:sz w:val="24"/>
          <w:b/>
        </w:rPr>
        <w:t>十</w:t>
      </w:r>
      <w:r>
        <w:rPr>
          <w:sz w:val="24"/>
          <w:b/>
        </w:rPr>
        <w:t>四</w:t>
      </w:r>
      <w:r>
        <w:rPr>
          <w:sz w:val="24"/>
          <w:b/>
        </w:rPr>
        <w:t>、争议的解决</w:t>
      </w:r>
    </w:p>
    <w:p>
      <w:pPr>
        <w:pStyle w:val="null3"/>
        <w:ind w:left="210" w:firstLine="480"/>
        <w:jc w:val="both"/>
      </w:pPr>
      <w:r>
        <w:rPr>
          <w:sz w:val="24"/>
        </w:rPr>
        <w:t>合同执行过程中发生的任何争议，如双方不能通过友好协商解决，均同意</w:t>
      </w:r>
      <w:r>
        <w:rPr>
          <w:sz w:val="24"/>
        </w:rPr>
        <w:t>提交</w:t>
      </w:r>
      <w:r>
        <w:rPr>
          <w:sz w:val="24"/>
        </w:rPr>
        <w:t>甲方所在地人民法院诉讼。</w:t>
      </w:r>
    </w:p>
    <w:p>
      <w:pPr>
        <w:pStyle w:val="null3"/>
        <w:spacing w:before="45" w:after="45"/>
        <w:jc w:val="both"/>
      </w:pPr>
      <w:r>
        <w:rPr>
          <w:sz w:val="24"/>
          <w:b/>
        </w:rPr>
        <w:t>十</w:t>
      </w:r>
      <w:r>
        <w:rPr>
          <w:sz w:val="24"/>
          <w:b/>
        </w:rPr>
        <w:t>五</w:t>
      </w:r>
      <w:r>
        <w:rPr>
          <w:sz w:val="24"/>
          <w:b/>
        </w:rPr>
        <w:t>、不可抗力</w:t>
      </w:r>
    </w:p>
    <w:p>
      <w:pPr>
        <w:pStyle w:val="null3"/>
        <w:ind w:left="210" w:firstLine="480"/>
        <w:jc w:val="both"/>
      </w:pPr>
      <w:r>
        <w:rPr>
          <w:sz w:val="24"/>
        </w:rPr>
        <w:t>任何一方由于不可抗力原因不能履行合同时，应在不可抗力事件结束后</w:t>
      </w:r>
      <w:r>
        <w:rPr>
          <w:sz w:val="24"/>
        </w:rPr>
        <w:t>1日内向对方通报，以减轻可能给对方造成的损失，在取得有关机构的不可抗力证明或双方谅解确认后，允许延期履行或修订合同，并根据情况可部分或全部免于承担违约责任。</w:t>
      </w:r>
    </w:p>
    <w:p>
      <w:pPr>
        <w:pStyle w:val="null3"/>
        <w:spacing w:before="45" w:after="45"/>
        <w:jc w:val="both"/>
      </w:pPr>
      <w:r>
        <w:rPr>
          <w:sz w:val="24"/>
          <w:b/>
        </w:rPr>
        <w:t>十</w:t>
      </w:r>
      <w:r>
        <w:rPr>
          <w:sz w:val="24"/>
          <w:b/>
        </w:rPr>
        <w:t>六</w:t>
      </w:r>
      <w:r>
        <w:rPr>
          <w:sz w:val="24"/>
          <w:b/>
        </w:rPr>
        <w:t>、税费</w:t>
      </w:r>
    </w:p>
    <w:p>
      <w:pPr>
        <w:pStyle w:val="null3"/>
        <w:ind w:firstLine="420"/>
        <w:jc w:val="both"/>
      </w:pPr>
      <w:r>
        <w:rPr>
          <w:sz w:val="24"/>
        </w:rPr>
        <w:t>在中国境内、外发生的与本合同执行有关的一切税费均由乙方负担。</w:t>
      </w:r>
    </w:p>
    <w:p>
      <w:pPr>
        <w:pStyle w:val="null3"/>
        <w:spacing w:before="45" w:after="45"/>
        <w:jc w:val="both"/>
      </w:pPr>
      <w:r>
        <w:rPr>
          <w:sz w:val="24"/>
          <w:b/>
        </w:rPr>
        <w:t>十七</w:t>
      </w:r>
      <w:r>
        <w:rPr>
          <w:sz w:val="24"/>
          <w:b/>
        </w:rPr>
        <w:t>、</w:t>
      </w:r>
      <w:r>
        <w:rPr>
          <w:sz w:val="24"/>
          <w:b/>
        </w:rPr>
        <w:t>其他</w:t>
      </w:r>
    </w:p>
    <w:p>
      <w:pPr>
        <w:pStyle w:val="null3"/>
        <w:ind w:firstLine="480"/>
        <w:jc w:val="both"/>
      </w:pPr>
      <w:r>
        <w:rPr>
          <w:sz w:val="24"/>
        </w:rPr>
        <w:t>1.</w:t>
      </w:r>
      <w:r>
        <w:rPr>
          <w:sz w:val="24"/>
        </w:rPr>
        <w:t>本合同所有附件、采购文件、投标文件、中标通知书均</w:t>
      </w:r>
      <w:r>
        <w:rPr>
          <w:sz w:val="24"/>
        </w:rPr>
        <w:t>为本</w:t>
      </w:r>
      <w:r>
        <w:rPr>
          <w:sz w:val="24"/>
        </w:rPr>
        <w:t>合同的有效组成部分，与本合同具有同等法律效力。</w:t>
      </w:r>
    </w:p>
    <w:p>
      <w:pPr>
        <w:pStyle w:val="null3"/>
        <w:ind w:firstLine="480"/>
        <w:jc w:val="both"/>
      </w:pPr>
      <w:r>
        <w:rPr>
          <w:sz w:val="24"/>
        </w:rPr>
        <w:t>2.</w:t>
      </w:r>
      <w:r>
        <w:rPr>
          <w:sz w:val="24"/>
        </w:rPr>
        <w:t>在执行本合同的过程中，所有经双方签署确认的文件（包括会议纪要、补充协议、往来信函）即成为本合同的有效组成部分。</w:t>
      </w:r>
    </w:p>
    <w:p>
      <w:pPr>
        <w:pStyle w:val="null3"/>
        <w:ind w:firstLine="480"/>
        <w:jc w:val="both"/>
      </w:pPr>
      <w:r>
        <w:rPr>
          <w:sz w:val="24"/>
        </w:rPr>
        <w:t>3.</w:t>
      </w:r>
      <w:r>
        <w:rPr>
          <w:sz w:val="24"/>
        </w:rPr>
        <w:t>如一方地址、电话、传真号码有变更，应在变更当日内书面通知对方，否则，应承担相应责任。</w:t>
      </w:r>
    </w:p>
    <w:p>
      <w:pPr>
        <w:pStyle w:val="null3"/>
        <w:ind w:firstLine="480"/>
        <w:jc w:val="both"/>
      </w:pPr>
      <w:r>
        <w:rPr>
          <w:sz w:val="24"/>
        </w:rPr>
        <w:t>4.</w:t>
      </w:r>
      <w:r>
        <w:rPr>
          <w:sz w:val="24"/>
        </w:rPr>
        <w:t>除甲方事先书面同意外，乙方不得部分或全部转让其应履行的合同项下的义务。</w:t>
      </w:r>
    </w:p>
    <w:p>
      <w:pPr>
        <w:pStyle w:val="null3"/>
        <w:spacing w:before="45" w:after="45"/>
        <w:jc w:val="both"/>
      </w:pPr>
      <w:r>
        <w:rPr>
          <w:sz w:val="24"/>
          <w:b/>
        </w:rPr>
        <w:t>十八</w:t>
      </w:r>
      <w:r>
        <w:rPr>
          <w:sz w:val="24"/>
          <w:b/>
        </w:rPr>
        <w:t>、合同生效</w:t>
      </w:r>
    </w:p>
    <w:p>
      <w:pPr>
        <w:pStyle w:val="null3"/>
        <w:ind w:firstLine="480"/>
        <w:jc w:val="both"/>
      </w:pPr>
      <w:r>
        <w:rPr>
          <w:sz w:val="24"/>
        </w:rPr>
        <w:t>1.</w:t>
      </w:r>
      <w:r>
        <w:rPr>
          <w:sz w:val="24"/>
        </w:rPr>
        <w:t>本合同在甲乙双方法人代表或其授权代表签字盖章后生效。</w:t>
      </w:r>
    </w:p>
    <w:p>
      <w:pPr>
        <w:pStyle w:val="null3"/>
        <w:ind w:firstLine="480"/>
        <w:jc w:val="both"/>
      </w:pPr>
      <w:r>
        <w:rPr>
          <w:sz w:val="24"/>
        </w:rPr>
        <w:t>2.</w:t>
      </w:r>
      <w:r>
        <w:rPr>
          <w:sz w:val="24"/>
        </w:rPr>
        <w:t>本合同一式</w:t>
      </w:r>
      <w:r>
        <w:rPr>
          <w:u w:val="single"/>
        </w:rPr>
        <w:t xml:space="preserve">    </w:t>
      </w:r>
      <w:r>
        <w:rPr>
          <w:sz w:val="24"/>
        </w:rPr>
        <w:t>份，甲方执</w:t>
      </w:r>
      <w:r>
        <w:rPr>
          <w:u w:val="single"/>
        </w:rPr>
        <w:t xml:space="preserve">    </w:t>
      </w:r>
      <w:r>
        <w:rPr>
          <w:sz w:val="24"/>
        </w:rPr>
        <w:t>份，乙方执</w:t>
      </w:r>
      <w:r>
        <w:rPr>
          <w:u w:val="single"/>
        </w:rPr>
        <w:t xml:space="preserve">    </w:t>
      </w:r>
      <w:r>
        <w:rPr>
          <w:sz w:val="24"/>
        </w:rPr>
        <w:t>份，均具有同等法律效力。</w:t>
      </w:r>
    </w:p>
    <w:p>
      <w:pPr>
        <w:pStyle w:val="null3"/>
        <w:jc w:val="both"/>
      </w:pPr>
      <w:r>
        <w:rPr/>
        <w:t xml:space="preserve">  </w:t>
      </w:r>
    </w:p>
    <w:p>
      <w:pPr>
        <w:pStyle w:val="null3"/>
        <w:ind w:firstLine="480"/>
      </w:pPr>
      <w:r>
        <w:rPr>
          <w:sz w:val="24"/>
        </w:rPr>
        <w:t>甲方（公章）：</w:t>
      </w:r>
      <w:r>
        <w:rPr>
          <w:sz w:val="24"/>
        </w:rPr>
        <w:t xml:space="preserve">                       </w:t>
      </w:r>
      <w:r>
        <w:rPr>
          <w:sz w:val="24"/>
        </w:rPr>
        <w:t>乙方</w:t>
      </w:r>
      <w:r>
        <w:rPr>
          <w:sz w:val="24"/>
        </w:rPr>
        <w:t>（</w:t>
      </w:r>
      <w:r>
        <w:rPr>
          <w:sz w:val="24"/>
        </w:rPr>
        <w:t>公章</w:t>
      </w:r>
      <w:r>
        <w:rPr>
          <w:sz w:val="24"/>
        </w:rPr>
        <w:t>）</w:t>
      </w:r>
      <w:r>
        <w:rPr>
          <w:sz w:val="24"/>
        </w:rPr>
        <w:t>：</w:t>
      </w:r>
    </w:p>
    <w:p>
      <w:pPr>
        <w:pStyle w:val="null3"/>
        <w:ind w:firstLine="480"/>
      </w:pPr>
      <w:r>
        <w:rPr>
          <w:sz w:val="24"/>
        </w:rPr>
        <w:t>签约人</w:t>
      </w:r>
      <w:r>
        <w:rPr>
          <w:sz w:val="24"/>
        </w:rPr>
        <w:t>（</w:t>
      </w:r>
      <w:r>
        <w:rPr>
          <w:sz w:val="24"/>
        </w:rPr>
        <w:t>签字</w:t>
      </w:r>
      <w:r>
        <w:rPr>
          <w:sz w:val="24"/>
        </w:rPr>
        <w:t>）</w:t>
      </w:r>
      <w:r>
        <w:rPr>
          <w:sz w:val="24"/>
        </w:rPr>
        <w:t>：</w:t>
      </w:r>
      <w:r>
        <w:rPr>
          <w:sz w:val="24"/>
        </w:rPr>
        <w:t xml:space="preserve">                       </w:t>
      </w:r>
      <w:r>
        <w:rPr>
          <w:sz w:val="24"/>
        </w:rPr>
        <w:t>签约人</w:t>
      </w:r>
      <w:r>
        <w:rPr>
          <w:sz w:val="24"/>
        </w:rPr>
        <w:t>（</w:t>
      </w:r>
      <w:r>
        <w:rPr>
          <w:sz w:val="24"/>
        </w:rPr>
        <w:t>签字</w:t>
      </w:r>
      <w:r>
        <w:rPr>
          <w:sz w:val="24"/>
        </w:rPr>
        <w:t>）</w:t>
      </w:r>
      <w:r>
        <w:rPr>
          <w:sz w:val="24"/>
        </w:rPr>
        <w:t>：</w:t>
      </w:r>
    </w:p>
    <w:p>
      <w:pPr>
        <w:pStyle w:val="null3"/>
        <w:ind w:firstLine="480"/>
        <w:jc w:val="both"/>
      </w:pPr>
      <w:r>
        <w:rPr>
          <w:sz w:val="24"/>
        </w:rPr>
        <w:t>地址：</w:t>
      </w:r>
      <w:r>
        <w:rPr>
          <w:sz w:val="24"/>
        </w:rPr>
        <w:t xml:space="preserve">                              </w:t>
      </w:r>
      <w:r>
        <w:rPr>
          <w:sz w:val="24"/>
        </w:rPr>
        <w:t>地址：</w:t>
      </w:r>
      <w:r>
        <w:rPr>
          <w:sz w:val="24"/>
        </w:rPr>
        <w:t xml:space="preserve">                          </w:t>
      </w:r>
    </w:p>
    <w:p>
      <w:pPr>
        <w:pStyle w:val="null3"/>
        <w:ind w:firstLine="480"/>
        <w:jc w:val="both"/>
      </w:pPr>
      <w:r>
        <w:rPr>
          <w:sz w:val="24"/>
        </w:rPr>
        <w:t>联系人：</w:t>
      </w:r>
      <w:r>
        <w:rPr>
          <w:sz w:val="24"/>
        </w:rPr>
        <w:t xml:space="preserve">                            </w:t>
      </w:r>
      <w:r>
        <w:rPr>
          <w:sz w:val="24"/>
        </w:rPr>
        <w:t>联系人：</w:t>
      </w:r>
      <w:r>
        <w:rPr>
          <w:sz w:val="24"/>
        </w:rPr>
        <w:t xml:space="preserve">                        </w:t>
      </w:r>
    </w:p>
    <w:p>
      <w:pPr>
        <w:pStyle w:val="null3"/>
        <w:ind w:firstLine="480"/>
        <w:jc w:val="both"/>
      </w:pPr>
      <w:r>
        <w:rPr>
          <w:sz w:val="24"/>
        </w:rPr>
        <w:t>电话：</w:t>
      </w:r>
      <w:r>
        <w:rPr>
          <w:sz w:val="24"/>
        </w:rPr>
        <w:t xml:space="preserve">                              </w:t>
      </w:r>
      <w:r>
        <w:rPr>
          <w:sz w:val="24"/>
        </w:rPr>
        <w:t>电话：</w:t>
      </w:r>
      <w:r>
        <w:rPr>
          <w:sz w:val="24"/>
        </w:rPr>
        <w:t xml:space="preserve">                          </w:t>
      </w:r>
    </w:p>
    <w:p>
      <w:pPr>
        <w:pStyle w:val="null3"/>
        <w:ind w:firstLine="480"/>
        <w:jc w:val="both"/>
      </w:pPr>
      <w:r>
        <w:rPr>
          <w:sz w:val="24"/>
        </w:rPr>
        <w:t>传真：</w:t>
      </w:r>
      <w:r>
        <w:rPr>
          <w:sz w:val="24"/>
        </w:rPr>
        <w:t xml:space="preserve">                              </w:t>
      </w:r>
      <w:r>
        <w:rPr>
          <w:sz w:val="24"/>
        </w:rPr>
        <w:t>传真：</w:t>
      </w:r>
      <w:r>
        <w:rPr>
          <w:sz w:val="24"/>
        </w:rPr>
        <w:t xml:space="preserve">                          </w:t>
      </w:r>
    </w:p>
    <w:p>
      <w:pPr>
        <w:pStyle w:val="null3"/>
        <w:ind w:firstLine="480"/>
        <w:jc w:val="both"/>
      </w:pPr>
      <w:r>
        <w:rPr>
          <w:sz w:val="24"/>
        </w:rPr>
        <w:t>邮编：</w:t>
      </w:r>
      <w:r>
        <w:rPr>
          <w:sz w:val="24"/>
        </w:rPr>
        <w:t xml:space="preserve">                              </w:t>
      </w:r>
      <w:r>
        <w:rPr>
          <w:sz w:val="24"/>
        </w:rPr>
        <w:t>邮编：</w:t>
      </w:r>
      <w:r>
        <w:rPr>
          <w:sz w:val="24"/>
        </w:rPr>
        <w:t xml:space="preserve">                          </w:t>
      </w:r>
    </w:p>
    <w:p>
      <w:pPr>
        <w:pStyle w:val="null3"/>
        <w:ind w:firstLine="480"/>
      </w:pPr>
      <w:r>
        <w:rPr>
          <w:sz w:val="24"/>
        </w:rPr>
        <w:t>日期：</w:t>
      </w:r>
      <w:r>
        <w:rPr>
          <w:sz w:val="24"/>
        </w:rPr>
        <w:t xml:space="preserve">      </w:t>
      </w:r>
      <w:r>
        <w:rPr>
          <w:sz w:val="24"/>
        </w:rPr>
        <w:t>年</w:t>
      </w:r>
      <w:r>
        <w:rPr>
          <w:sz w:val="24"/>
        </w:rPr>
        <w:t xml:space="preserve">    </w:t>
      </w:r>
      <w:r>
        <w:rPr>
          <w:sz w:val="24"/>
        </w:rPr>
        <w:t>月</w:t>
      </w:r>
      <w:r>
        <w:rPr>
          <w:sz w:val="24"/>
        </w:rPr>
        <w:t xml:space="preserve">    </w:t>
      </w:r>
      <w:r>
        <w:rPr>
          <w:sz w:val="24"/>
        </w:rPr>
        <w:t>日</w:t>
      </w:r>
      <w:r>
        <w:rPr>
          <w:sz w:val="24"/>
        </w:rPr>
        <w:t xml:space="preserve">          </w:t>
      </w:r>
      <w:r>
        <w:rPr>
          <w:sz w:val="24"/>
        </w:rPr>
        <w:t>日期：</w:t>
      </w:r>
      <w:r>
        <w:rPr>
          <w:sz w:val="24"/>
        </w:rPr>
        <w:t xml:space="preserve">      </w:t>
      </w:r>
      <w:r>
        <w:rPr>
          <w:sz w:val="24"/>
        </w:rPr>
        <w:t>年</w:t>
      </w:r>
      <w:r>
        <w:rPr>
          <w:sz w:val="24"/>
        </w:rPr>
        <w:t xml:space="preserve">    </w:t>
      </w:r>
      <w:r>
        <w:rPr>
          <w:sz w:val="24"/>
        </w:rPr>
        <w:t>月</w:t>
      </w:r>
      <w:r>
        <w:rPr>
          <w:sz w:val="24"/>
        </w:rPr>
        <w:t xml:space="preserve">    </w:t>
      </w:r>
      <w:r>
        <w:rPr>
          <w:sz w:val="24"/>
        </w:rPr>
        <w:t>日</w:t>
      </w:r>
      <w:r>
        <w:rPr>
          <w:sz w:val="24"/>
        </w:rPr>
        <w:t xml:space="preserve">   </w:t>
      </w:r>
    </w:p>
    <w:p>
      <w:pPr>
        <w:pStyle w:val="null3"/>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440229-2026-00383</w:t>
      </w:r>
    </w:p>
    <w:p>
      <w:pPr>
        <w:pStyle w:val="null3"/>
        <w:jc w:val="center"/>
        <w:outlineLvl w:val="3"/>
      </w:pPr>
      <w:r>
        <w:rPr>
          <w:sz w:val="24"/>
          <w:b/>
        </w:rPr>
        <w:t>采购项目编号：</w:t>
      </w:r>
      <w:r>
        <w:rPr>
          <w:sz w:val="24"/>
          <w:b/>
        </w:rPr>
        <w:t>GDYD260230</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广东远东招标代理有限公司</w:t>
      </w:r>
    </w:p>
    <w:p>
      <w:pPr>
        <w:pStyle w:val="null3"/>
        <w:ind w:firstLine="480"/>
      </w:pPr>
      <w:r>
        <w:rPr/>
        <w:t xml:space="preserve"> 你方组织的</w:t>
      </w:r>
      <w:r>
        <w:rPr>
          <w:u w:val="single"/>
        </w:rPr>
        <w:t>“</w:t>
      </w:r>
      <w:r>
        <w:rPr>
          <w:u w:val="single"/>
        </w:rPr>
        <w:t>韶关市翁源县中心城区控制性详细规划编制项目</w:t>
      </w:r>
      <w:r>
        <w:rPr>
          <w:u w:val="single"/>
        </w:rPr>
        <w:t>”</w:t>
      </w:r>
      <w:r>
        <w:rPr/>
        <w:t>项目的招标[采购项目编号为：</w:t>
      </w:r>
      <w:r>
        <w:rPr>
          <w:u w:val="single"/>
        </w:rPr>
        <w:t>GDYD260230</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韶关市翁源县中心城区控制性详细规划编制项目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广东远东招标代理有限公司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韶关市翁源县中心城区控制性详细规划编制项目</w:t>
      </w:r>
      <w:r>
        <w:rPr/>
        <w:t>”项目采购[采购项目编号为</w:t>
      </w:r>
      <w:r>
        <w:rPr/>
        <w:t>GDYD260230</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翁源县自然资源局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广东远东招标代理有限公司</w:t>
      </w:r>
    </w:p>
    <w:p>
      <w:pPr>
        <w:pStyle w:val="null3"/>
        <w:ind w:firstLine="480"/>
      </w:pPr>
      <w:r>
        <w:rPr/>
        <w:t xml:space="preserve"> 如果我方在贵采购代理机构组织的</w:t>
      </w:r>
      <w:r>
        <w:rPr/>
        <w:t>韶关市翁源县中心城区控制性详细规划编制项目</w:t>
      </w:r>
      <w:r>
        <w:rPr/>
        <w:t>招标中获中标（采购项目编号：</w:t>
      </w:r>
      <w:r>
        <w:rPr/>
        <w:t>GDYD260230</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广东远东招标代理有限公司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广东远东招标代理有限公司</w:t>
      </w:r>
    </w:p>
    <w:p>
      <w:pPr>
        <w:pStyle w:val="null3"/>
        <w:ind w:firstLine="480"/>
      </w:pPr>
      <w:r>
        <w:rPr/>
        <w:t>我单位已登记并准备参与“</w:t>
      </w:r>
      <w:r>
        <w:rPr/>
        <w:t>韶关市翁源县中心城区控制性详细规划编制项目</w:t>
      </w:r>
      <w:r>
        <w:rPr/>
        <w:t>”项目（采购项目编号：</w:t>
      </w:r>
      <w:r>
        <w:rPr/>
        <w:t>GDYD260230</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