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440201-2026-02132</w:t>
      </w:r>
    </w:p>
    <w:p>
      <w:pPr>
        <w:pStyle w:val="null3"/>
        <w:jc w:val="center"/>
        <w:outlineLvl w:val="3"/>
      </w:pPr>
      <w:r>
        <w:rPr>
          <w:sz w:val="24"/>
          <w:b/>
        </w:rPr>
        <w:t>采购项目编号：</w:t>
      </w:r>
      <w:r>
        <w:rPr>
          <w:sz w:val="24"/>
          <w:b/>
        </w:rPr>
        <w:t>GDYD260298</w:t>
      </w:r>
    </w:p>
    <w:p>
      <w:pPr>
        <w:pStyle w:val="null3"/>
        <w:jc w:val="center"/>
        <w:outlineLvl w:val="3"/>
      </w:pPr>
      <w:r>
        <w:rPr>
          <w:sz w:val="24"/>
          <w:b/>
        </w:rPr>
        <w:t>项目名称：</w:t>
      </w:r>
      <w:r>
        <w:rPr>
          <w:sz w:val="24"/>
          <w:b/>
        </w:rPr>
        <w:t>韶关市重点片区城市空间品质提升研究采购服务项目</w:t>
      </w:r>
    </w:p>
    <w:p>
      <w:pPr>
        <w:pStyle w:val="null3"/>
        <w:jc w:val="center"/>
        <w:outlineLvl w:val="3"/>
      </w:pPr>
      <w:r>
        <w:rPr>
          <w:sz w:val="24"/>
          <w:b/>
        </w:rPr>
        <w:t>采购人：</w:t>
      </w:r>
      <w:r>
        <w:rPr>
          <w:sz w:val="24"/>
          <w:b/>
        </w:rPr>
        <w:t>韶关市自然资源局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w:t>
      </w:r>
      <w:r>
        <w:rPr/>
        <w:t>受</w:t>
      </w:r>
      <w:r>
        <w:rPr/>
        <w:t>韶关市自然资源局</w:t>
      </w:r>
      <w:r>
        <w:rPr/>
        <w:t>的委托，采用</w:t>
      </w:r>
      <w:r>
        <w:rPr/>
        <w:t>公开招标</w:t>
      </w:r>
      <w:r>
        <w:rPr/>
        <w:t>方式组织采购</w:t>
      </w:r>
      <w:r>
        <w:rPr/>
        <w:t>韶关市重点片区城市空间品质提升研究采购服务项目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韶关市重点片区城市空间品质提升研究采购服务项目</w:t>
      </w:r>
    </w:p>
    <w:p>
      <w:pPr>
        <w:pStyle w:val="null3"/>
        <w:ind w:firstLine="480"/>
      </w:pPr>
      <w:r>
        <w:rPr/>
        <w:t>采购计划编号：</w:t>
      </w:r>
      <w:r>
        <w:rPr/>
        <w:t>440201-2026-02132</w:t>
      </w:r>
    </w:p>
    <w:p>
      <w:pPr>
        <w:pStyle w:val="null3"/>
        <w:ind w:firstLine="480"/>
      </w:pPr>
      <w:r>
        <w:rPr/>
        <w:t>采购项目编号：</w:t>
      </w:r>
      <w:r>
        <w:rPr/>
        <w:t>GDYD260298</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采购包1(韶关市重点片区城市空间品质提升研究采购服务项目):</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韶关市重点片区城市空间品质提升研究采购服务项目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1,950,000.00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合同履行期限：服务时间：自双方签订合同之日起一年。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采购包1（韶关市重点片区城市空间品质提升研究采购服务项目）：</w:t>
      </w:r>
      <w:r>
        <w:rPr/>
        <w:t>本项目不属于专门面向中小企业采购的项目。</w:t>
      </w:r>
    </w:p>
    <w:p>
      <w:pPr>
        <w:pStyle w:val="null3"/>
        <w:outlineLvl w:val="3"/>
      </w:pPr>
      <w:r>
        <w:rPr>
          <w:sz w:val="24"/>
          <w:b/>
        </w:rPr>
        <w:t>3.本项目特定的资格要求：</w:t>
      </w:r>
    </w:p>
    <w:p>
      <w:pPr>
        <w:pStyle w:val="null3"/>
      </w:pPr>
      <w:r>
        <w:rPr/>
        <w:t>采购包1（韶关市重点片区城市空间品质提升研究采购服务项目）：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承担本项目涉及国土空间规划中的“规划”编制工作内容的投标人应当具备特定行业法定准入要求，投标人必须具有城乡规划（国土空间规划）编制资质甲级证书。（提供有效的城乡规划编制资质证书复印件）（注：①若独立投标，投标人应具备上述资质；②若联合体投标，多方共同承担“规划”工作，则各方均须具备上述资质；③若联合体投标，其中仅一方承担“规划”工作，则该方须具备上述资质，另一方未承担“规划”工作的无上述资质要求。须在《联合体共同投标协议书》上明确各方承担的工作内容。）</w:t>
      </w:r>
    </w:p>
    <w:p>
      <w:pPr>
        <w:pStyle w:val="null3"/>
      </w:pPr>
      <w:r>
        <w:rPr/>
        <w:t>4)本项目采购接受联合体投标，联合体以一个投标人的身份共同投标。①联合体成员数量不超过2个；②联合体各方均需满足“1.投标人应具备《中华人民共和国政府采购法》第二十二条规定的条件，提供下列材料”的要求，投标文件中联合体各方分别提供证明材料并分别加盖其单位公章。③联合体成员必须各方共同签署《联合体共同投标协议书》明确联合体牵头人和各方权利、义务，且投标时必须提交《联合体共同投标协议书》。④联合体各方不得再以自己名义单独或参加其他联合体在本采购项目中投标，否则各相关投标均无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韶关市自然资源局</w:t>
      </w:r>
    </w:p>
    <w:p>
      <w:pPr>
        <w:pStyle w:val="null3"/>
        <w:ind w:firstLine="480"/>
      </w:pPr>
      <w:r>
        <w:rPr/>
        <w:t xml:space="preserve"> 地址：</w:t>
      </w:r>
      <w:r>
        <w:rPr/>
        <w:t>韶关市武江区芙蓉新城韶州大道（滨江路）9号粤港澳大湾区数据应用产业园东北门F栋</w:t>
      </w:r>
    </w:p>
    <w:p>
      <w:pPr>
        <w:pStyle w:val="null3"/>
        <w:ind w:firstLine="480"/>
      </w:pPr>
      <w:r>
        <w:rPr/>
        <w:t xml:space="preserve"> 联系方式：</w:t>
      </w:r>
      <w:r>
        <w:rPr/>
        <w:t>0751-8963334</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551"/>
        <w:gridCol w:w="841"/>
        <w:gridCol w:w="2007"/>
        <w:gridCol w:w="1907"/>
      </w:tblGrid>
      <w:tr>
        <w:tc>
          <w:tcPr>
            <w:tcW w:type="dxa" w:w="3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韶关市重点片区城市空间品质提升研究采购服务项目</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1,950,000.00元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1,950,000.00元</w:t>
            </w:r>
          </w:p>
        </w:tc>
      </w:tr>
    </w:tbl>
    <w:p>
      <w:pPr>
        <w:pStyle w:val="null3"/>
        <w:jc w:val="left"/>
      </w:pPr>
      <w:r>
        <w:rPr>
          <w:sz w:val="24"/>
          <w:b/>
        </w:rPr>
        <w:t>（</w:t>
      </w:r>
      <w:r>
        <w:rPr>
          <w:sz w:val="24"/>
          <w:b/>
        </w:rPr>
        <w:t>二</w:t>
      </w:r>
      <w:r>
        <w:rPr>
          <w:sz w:val="24"/>
          <w:b/>
        </w:rPr>
        <w:t>）</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采购包1（韶关市重点片区城市空间品质提升研究采购服务项目）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服务时间：自双方签订合同之日起一年。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1期：支付比例30%,合同签订后5个工作日内，采购人向中标人支付合同总金额30%作为预付款。</w:t>
            </w:r>
          </w:p>
          <w:p>
            <w:pPr>
              <w:pStyle w:val="null3"/>
            </w:pPr>
            <w:r>
              <w:rPr/>
              <w:t>2期：支付比例40%,项目通过专家评审后10个工作日内支付中标人合同总额的40%。</w:t>
            </w:r>
          </w:p>
          <w:p>
            <w:pPr>
              <w:pStyle w:val="null3"/>
            </w:pPr>
            <w:r>
              <w:rPr/>
              <w:t>3期：支付比例30%,项目通过市国土空间规划委员会审议，并修改完善、提交最终成果， 经采购人同意结题且采购人收到发票后10个工作日内支付中标人合同总额的30%。 注：1.上述每期款项支付前，中标人均应向采购人提供请款申报材料（如需）及相应金额的合法有效的发票，否则，采购人有权拒绝支付相应的款项，并不构成违约。 2.因采购人用的是财政资金，采购人在前款规定的付款时间向政府采购支付部门提出办理财政支付申请手续的时间（不含政府支付部门审核的时间），在前述规定时间内提出办理支付申请手续后，采购人不承担逾期支付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2.履约验收时间：中标人应按照约定时间节点提交成果文件，采购人在收到文件后应及时开展审核验收工作。 3.履约验收方式：分阶段验收。 4.验收程序：中标人应按照约定时间节点提交成果文件，采购人在收到文件后应及时开展审核验收工作。成果文件经采购人验收通过的，即视为中标人已全面履行本合同项下相应义务。若文件存在需补充完善之处，中标人应按照采购人合理要求予以整改，整改完成并通过验收后，采购人应按合同约定足额支付对应款项。因不可抗力或其他合理事由导致中标人无法在规定期限内完成整改并通过验收的，经双方友好协商且取得采购人书面同意后，整改期限可相应顺延，顺延期间不影响中标人后续款项的正常支付。未经双方协商一致，采购人不得单方解除合同或拒绝支付相应款项。 5.履约验收内容：依据招标文件的服务要求、中标人的投标文件及承诺与本合同约定进行验收。 6.验收标准：审核由采购人组织相关人员依照有关标准、项目及合同要求进行。 7.争议处理：因验收发生争议时，由验收小组报采购人党组会审定。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投标报价包括：履行本合同的一切直接和间接费用，在项目实施所需的资料打印产生的费用，以及实地考察、会务费用、归档等与该项目相关工作产生的费用。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投标人应说明与本项目的同类项目经验情况等内容，组织高水平、多专业的技术团队开展技术服务。同类项目指城市设计类项目或控制性详细规划类项目。</w:t>
            </w:r>
          </w:p>
        </w:tc>
      </w:tr>
      <w:tr>
        <w:tc>
          <w:tcPr>
            <w:tcW w:type="dxa" w:w="2076"/>
          </w:tcPr>
          <w:p/>
        </w:tc>
        <w:tc>
          <w:tcPr>
            <w:tcW w:type="dxa" w:w="2076"/>
          </w:tcPr>
          <w:p>
            <w:pPr>
              <w:pStyle w:val="null3"/>
              <w:jc w:val="center"/>
            </w:pPr>
            <w:r>
              <w:rPr/>
              <w:t>3</w:t>
            </w:r>
          </w:p>
        </w:tc>
        <w:tc>
          <w:tcPr>
            <w:tcW w:type="dxa" w:w="2076"/>
          </w:tcPr>
          <w:p>
            <w:pPr>
              <w:pStyle w:val="null3"/>
              <w:jc w:val="left"/>
            </w:pPr>
            <w:r>
              <w:rPr/>
              <w:t>人员配置</w:t>
            </w:r>
          </w:p>
        </w:tc>
        <w:tc>
          <w:tcPr>
            <w:tcW w:type="dxa" w:w="2076"/>
          </w:tcPr>
          <w:p>
            <w:pPr>
              <w:pStyle w:val="null3"/>
              <w:jc w:val="left"/>
            </w:pPr>
            <w:r>
              <w:rPr/>
              <w:t>1.本项目需配备一名具有较强组织协调能力和较高分析、解决问题能力的项目负责人，能够统筹项目管理、技术管理。项目负责人具有城市（乡）规划高级工程师职称。 2.配备城市（乡）规划、建筑设计或建筑学、风景园林设计、市政类、交通等专业职称人员开展本项目并提供技术支持，能够充分理解项目需求，完成工作任务。 3.项目负责人应是该项目实施全过程的真正组织者和指导者，担负实质性工作，挂名或不担负实质性工作的人不得作为项目负责人参与本项目。关键节点，如专题汇报、技术审查等需项目负责人本人到场。</w:t>
            </w:r>
          </w:p>
        </w:tc>
      </w:tr>
      <w:tr>
        <w:tc>
          <w:tcPr>
            <w:tcW w:type="dxa" w:w="2076"/>
          </w:tcPr>
          <w:p/>
        </w:tc>
        <w:tc>
          <w:tcPr>
            <w:tcW w:type="dxa" w:w="2076"/>
          </w:tcPr>
          <w:p>
            <w:pPr>
              <w:pStyle w:val="null3"/>
              <w:jc w:val="center"/>
            </w:pPr>
            <w:r>
              <w:rPr/>
              <w:t>4</w:t>
            </w:r>
          </w:p>
        </w:tc>
        <w:tc>
          <w:tcPr>
            <w:tcW w:type="dxa" w:w="2076"/>
          </w:tcPr>
          <w:p>
            <w:pPr>
              <w:pStyle w:val="null3"/>
              <w:jc w:val="left"/>
            </w:pPr>
            <w:r>
              <w:rPr/>
              <w:t>管理体系</w:t>
            </w:r>
          </w:p>
        </w:tc>
        <w:tc>
          <w:tcPr>
            <w:tcW w:type="dxa" w:w="2076"/>
          </w:tcPr>
          <w:p>
            <w:pPr>
              <w:pStyle w:val="null3"/>
              <w:jc w:val="left"/>
            </w:pPr>
            <w:r>
              <w:rPr/>
              <w:t>投标人应做好内控管理体系，具备对项目实施过程管控的能力以及管理的规范性，投标人在质量管理体系方面应规范，具备相应的体系认证证书。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中标人制定安全保障措施、项目保密管理制度，对在工作过程中接触到的采购人的任何资料、文件、数据（无论是书面形式的还是电子版的），以及为采购人服务形成的任何交付物，负有保密的责任。未经采购人书面同意，中标人不得以任何方式向任何第三方提供或透露。 2.中标人不得将涉密资料在计算机互联网、政务网等非涉密网络上传输、登载。 3.中标人发生涉密资料外传、丢失、被盗或者造成泄密事故的，应采取有效措施，及时补救，并及时向采购人报告；否则所造成的后果均由中标人承担。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韶关市重点片区城市空间品质提升研究采购服务项目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1,950,000.00</w:t>
            </w:r>
          </w:p>
        </w:tc>
        <w:tc>
          <w:tcPr>
            <w:tcW w:type="dxa" w:w="933"/>
          </w:tcPr>
          <w:p>
            <w:pPr>
              <w:pStyle w:val="null3"/>
              <w:jc w:val="right"/>
            </w:pPr>
            <w:r>
              <w:rPr/>
              <w:t>1,950,000.00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韶关市重点片区城市空间品质提升研究采购服务项目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一、项目背景</w:t>
            </w:r>
          </w:p>
          <w:p>
            <w:pPr>
              <w:pStyle w:val="null3"/>
            </w:pPr>
            <w:r>
              <w:rPr>
                <w:sz w:val="24"/>
              </w:rPr>
              <w:t>为贯彻落实国家、省委、市委相关工作要求，以及中央城市工作会议中提出</w:t>
            </w:r>
            <w:r>
              <w:rPr>
                <w:sz w:val="24"/>
              </w:rPr>
              <w:t>“要加强城市设计，提倡城市修补，要加强对城市的空间立体性、平面协调性、风貌整体性、文脉延续性等方面的规划和管控，留住城市特有的地域环境、文化特色、建筑风格等基因”的工作部署</w:t>
            </w:r>
            <w:r>
              <w:rPr>
                <w:sz w:val="24"/>
              </w:rPr>
              <w:t>，</w:t>
            </w:r>
            <w:r>
              <w:rPr>
                <w:sz w:val="24"/>
              </w:rPr>
              <w:t>全面强化规划引领，优化主城功能布局，强化芙蓉新城主中心功能，打造高品质产城融合发展核心区，开展本次规划。</w:t>
            </w:r>
          </w:p>
        </w:tc>
      </w:tr>
      <w:tr>
        <w:tc>
          <w:tcPr>
            <w:tcW w:type="dxa" w:w="2076"/>
          </w:tcPr>
          <w:p/>
        </w:tc>
        <w:tc>
          <w:tcPr>
            <w:tcW w:type="dxa" w:w="415"/>
          </w:tcPr>
          <w:p>
            <w:pPr>
              <w:pStyle w:val="null3"/>
            </w:pPr>
            <w:r>
              <w:rPr/>
              <w:t>2</w:t>
            </w:r>
          </w:p>
        </w:tc>
        <w:tc>
          <w:tcPr>
            <w:tcW w:type="dxa" w:w="5814"/>
          </w:tcPr>
          <w:p>
            <w:pPr>
              <w:pStyle w:val="null3"/>
            </w:pPr>
            <w:r>
              <w:rPr>
                <w:sz w:val="24"/>
              </w:rPr>
              <w:t>二、工作目标</w:t>
            </w:r>
          </w:p>
          <w:p>
            <w:pPr>
              <w:pStyle w:val="null3"/>
            </w:pPr>
            <w:r>
              <w:rPr>
                <w:sz w:val="24"/>
              </w:rPr>
              <w:t>本次研究工作主要通过全面梳理研究范围内的现状建设及相关规划情况，分析研判现状建设的优劣，结合上位规划、政策与片区发展契机，强化城市门户界面、构建宜居宜业宜游的城市滨水景观风貌。</w:t>
            </w:r>
          </w:p>
        </w:tc>
      </w:tr>
      <w:tr>
        <w:tc>
          <w:tcPr>
            <w:tcW w:type="dxa" w:w="2076"/>
          </w:tcPr>
          <w:p/>
        </w:tc>
        <w:tc>
          <w:tcPr>
            <w:tcW w:type="dxa" w:w="415"/>
          </w:tcPr>
          <w:p>
            <w:pPr>
              <w:pStyle w:val="null3"/>
            </w:pPr>
            <w:r>
              <w:rPr/>
              <w:t>3</w:t>
            </w:r>
          </w:p>
        </w:tc>
        <w:tc>
          <w:tcPr>
            <w:tcW w:type="dxa" w:w="5814"/>
          </w:tcPr>
          <w:p>
            <w:pPr>
              <w:pStyle w:val="null3"/>
            </w:pPr>
            <w:r>
              <w:rPr>
                <w:sz w:val="24"/>
              </w:rPr>
              <w:t>三、工作范围</w:t>
            </w:r>
          </w:p>
          <w:p>
            <w:pPr>
              <w:pStyle w:val="null3"/>
            </w:pPr>
            <w:r>
              <w:rPr>
                <w:sz w:val="24"/>
              </w:rPr>
              <w:t>规划研究范围位于武江区芙蓉新城滨江区域，范围总面积约</w:t>
            </w:r>
            <w:r>
              <w:rPr>
                <w:sz w:val="24"/>
              </w:rPr>
              <w:t>240公顷</w:t>
            </w:r>
            <w:r>
              <w:rPr>
                <w:sz w:val="24"/>
              </w:rPr>
              <w:t>。</w:t>
            </w:r>
            <w:r>
              <w:rPr>
                <w:sz w:val="24"/>
              </w:rPr>
              <w:t>具体范围结合项目实际情况，以采购人意见为准。</w:t>
            </w:r>
          </w:p>
        </w:tc>
      </w:tr>
      <w:tr>
        <w:tc>
          <w:tcPr>
            <w:tcW w:type="dxa" w:w="2076"/>
          </w:tcPr>
          <w:p/>
        </w:tc>
        <w:tc>
          <w:tcPr>
            <w:tcW w:type="dxa" w:w="415"/>
          </w:tcPr>
          <w:p>
            <w:pPr>
              <w:pStyle w:val="null3"/>
            </w:pPr>
            <w:r>
              <w:rPr/>
              <w:t>4</w:t>
            </w:r>
          </w:p>
        </w:tc>
        <w:tc>
          <w:tcPr>
            <w:tcW w:type="dxa" w:w="5814"/>
          </w:tcPr>
          <w:p>
            <w:pPr>
              <w:pStyle w:val="null3"/>
            </w:pPr>
            <w:r>
              <w:rPr>
                <w:sz w:val="24"/>
              </w:rPr>
              <w:t>四、</w:t>
            </w:r>
            <w:r>
              <w:rPr>
                <w:sz w:val="24"/>
              </w:rPr>
              <w:t>法律法规和相关规划</w:t>
            </w:r>
          </w:p>
          <w:p>
            <w:pPr>
              <w:pStyle w:val="null3"/>
            </w:pPr>
            <w:r>
              <w:rPr>
                <w:sz w:val="24"/>
              </w:rPr>
              <w:t>1.</w:t>
            </w:r>
            <w:r>
              <w:rPr>
                <w:sz w:val="24"/>
              </w:rPr>
              <w:t>《中华人民共和国城乡规划法》（</w:t>
            </w:r>
            <w:r>
              <w:rPr>
                <w:sz w:val="24"/>
              </w:rPr>
              <w:t>2019）</w:t>
            </w:r>
          </w:p>
          <w:p>
            <w:pPr>
              <w:pStyle w:val="null3"/>
            </w:pPr>
            <w:r>
              <w:rPr>
                <w:sz w:val="24"/>
              </w:rPr>
              <w:t>2.</w:t>
            </w:r>
            <w:r>
              <w:rPr>
                <w:sz w:val="24"/>
              </w:rPr>
              <w:t>《中华人民共和国土地管理法》（</w:t>
            </w:r>
            <w:r>
              <w:rPr>
                <w:sz w:val="24"/>
              </w:rPr>
              <w:t>2019年修订）</w:t>
            </w:r>
          </w:p>
          <w:p>
            <w:pPr>
              <w:pStyle w:val="null3"/>
            </w:pPr>
            <w:r>
              <w:rPr>
                <w:sz w:val="24"/>
              </w:rPr>
              <w:t>3.</w:t>
            </w:r>
            <w:r>
              <w:rPr>
                <w:sz w:val="24"/>
              </w:rPr>
              <w:t>《中华人民共和国环境保护法》（</w:t>
            </w:r>
            <w:r>
              <w:rPr>
                <w:sz w:val="24"/>
              </w:rPr>
              <w:t>2015年）</w:t>
            </w:r>
          </w:p>
          <w:p>
            <w:pPr>
              <w:pStyle w:val="null3"/>
            </w:pPr>
            <w:r>
              <w:rPr>
                <w:sz w:val="24"/>
              </w:rPr>
              <w:t>4.</w:t>
            </w:r>
            <w:r>
              <w:rPr>
                <w:sz w:val="24"/>
              </w:rPr>
              <w:t>《基本农田保护条例》（</w:t>
            </w:r>
            <w:r>
              <w:rPr>
                <w:sz w:val="24"/>
              </w:rPr>
              <w:t>2011年修订）</w:t>
            </w:r>
          </w:p>
          <w:p>
            <w:pPr>
              <w:pStyle w:val="null3"/>
            </w:pPr>
            <w:r>
              <w:rPr>
                <w:sz w:val="24"/>
              </w:rPr>
              <w:t>5.</w:t>
            </w:r>
            <w:r>
              <w:rPr>
                <w:sz w:val="24"/>
              </w:rPr>
              <w:t>《韶关市国土空间总体规划（</w:t>
            </w:r>
            <w:r>
              <w:rPr>
                <w:sz w:val="24"/>
              </w:rPr>
              <w:t>2021—2035年）》</w:t>
            </w:r>
          </w:p>
          <w:p>
            <w:pPr>
              <w:pStyle w:val="null3"/>
            </w:pPr>
            <w:r>
              <w:rPr>
                <w:sz w:val="24"/>
              </w:rPr>
              <w:t>6.</w:t>
            </w:r>
            <w:r>
              <w:rPr>
                <w:sz w:val="24"/>
              </w:rPr>
              <w:t>其他相关规划</w:t>
            </w:r>
          </w:p>
        </w:tc>
      </w:tr>
      <w:tr>
        <w:tc>
          <w:tcPr>
            <w:tcW w:type="dxa" w:w="2076"/>
          </w:tcPr>
          <w:p/>
        </w:tc>
        <w:tc>
          <w:tcPr>
            <w:tcW w:type="dxa" w:w="415"/>
          </w:tcPr>
          <w:p>
            <w:pPr>
              <w:pStyle w:val="null3"/>
            </w:pPr>
            <w:r>
              <w:rPr/>
              <w:t>5</w:t>
            </w:r>
          </w:p>
        </w:tc>
        <w:tc>
          <w:tcPr>
            <w:tcW w:type="dxa" w:w="5814"/>
          </w:tcPr>
          <w:p>
            <w:pPr>
              <w:pStyle w:val="null3"/>
            </w:pPr>
            <w:r>
              <w:rPr>
                <w:sz w:val="24"/>
              </w:rPr>
              <w:t>五、</w:t>
            </w:r>
            <w:r>
              <w:rPr>
                <w:sz w:val="24"/>
              </w:rPr>
              <w:t>规划原则</w:t>
            </w:r>
          </w:p>
          <w:p>
            <w:pPr>
              <w:pStyle w:val="null3"/>
            </w:pPr>
            <w:r>
              <w:rPr>
                <w:sz w:val="24"/>
              </w:rPr>
              <w:t>1.</w:t>
            </w:r>
            <w:r>
              <w:rPr>
                <w:sz w:val="24"/>
              </w:rPr>
              <w:t>坚持规划引领，</w:t>
            </w:r>
            <w:r>
              <w:rPr>
                <w:sz w:val="24"/>
              </w:rPr>
              <w:t>以人为本</w:t>
            </w:r>
          </w:p>
          <w:p>
            <w:pPr>
              <w:pStyle w:val="null3"/>
            </w:pPr>
            <w:r>
              <w:rPr>
                <w:sz w:val="24"/>
              </w:rPr>
              <w:t>从规划、交通、景观、建筑等多专业出发，深入研究项目范围空间区位、交通条件、历史文化、生态资源、产业基础和发展需求，以人为核心，多角度提出针对性的规划策略。结合国内外先进城市建设经验，对片区发展定位、业态分析及功能布局、空间进行引导。</w:t>
            </w:r>
          </w:p>
          <w:p>
            <w:pPr>
              <w:pStyle w:val="null3"/>
            </w:pPr>
            <w:r>
              <w:rPr>
                <w:sz w:val="24"/>
              </w:rPr>
              <w:t>2.</w:t>
            </w:r>
            <w:r>
              <w:rPr>
                <w:sz w:val="24"/>
              </w:rPr>
              <w:t>坚持统筹协调，落地实施</w:t>
            </w:r>
          </w:p>
          <w:p>
            <w:pPr>
              <w:pStyle w:val="null3"/>
            </w:pPr>
            <w:r>
              <w:rPr>
                <w:sz w:val="24"/>
              </w:rPr>
              <w:t>在深入摸查现状资源条件、建筑物及用地权属情况的基础上，因地制宜完成规划方案，谋划可实施项目，为后续建设实施落地提供保障。</w:t>
            </w:r>
            <w:r>
              <w:rPr>
                <w:sz w:val="24"/>
              </w:rPr>
              <w:t>加强与</w:t>
            </w:r>
            <w:r>
              <w:rPr>
                <w:sz w:val="24"/>
              </w:rPr>
              <w:t>已编制控规、城市设计</w:t>
            </w:r>
            <w:r>
              <w:rPr>
                <w:sz w:val="24"/>
              </w:rPr>
              <w:t>的</w:t>
            </w:r>
            <w:r>
              <w:rPr>
                <w:sz w:val="24"/>
              </w:rPr>
              <w:t>协调，加强规划管控，引导片区项目有序建设实施。</w:t>
            </w:r>
          </w:p>
          <w:p>
            <w:pPr>
              <w:pStyle w:val="null3"/>
            </w:pPr>
            <w:r>
              <w:rPr>
                <w:sz w:val="24"/>
              </w:rPr>
              <w:t>3.坚持功能提升，创新集聚</w:t>
            </w:r>
          </w:p>
          <w:p>
            <w:pPr>
              <w:pStyle w:val="null3"/>
            </w:pPr>
            <w:r>
              <w:rPr>
                <w:sz w:val="24"/>
              </w:rPr>
              <w:t>坚持创新在高质量发展中的核心地位，谋划创新平台，进一步集聚新要素、新业态、新功能，优化空间布局。</w:t>
            </w:r>
          </w:p>
        </w:tc>
      </w:tr>
      <w:tr>
        <w:tc>
          <w:tcPr>
            <w:tcW w:type="dxa" w:w="2076"/>
          </w:tcPr>
          <w:p/>
        </w:tc>
        <w:tc>
          <w:tcPr>
            <w:tcW w:type="dxa" w:w="415"/>
          </w:tcPr>
          <w:p>
            <w:pPr>
              <w:pStyle w:val="null3"/>
            </w:pPr>
            <w:r>
              <w:rPr/>
              <w:t>6</w:t>
            </w:r>
          </w:p>
        </w:tc>
        <w:tc>
          <w:tcPr>
            <w:tcW w:type="dxa" w:w="5814"/>
          </w:tcPr>
          <w:p>
            <w:pPr>
              <w:pStyle w:val="null3"/>
            </w:pPr>
            <w:r>
              <w:rPr>
                <w:sz w:val="24"/>
              </w:rPr>
              <w:t>六、</w:t>
            </w:r>
            <w:r>
              <w:rPr>
                <w:sz w:val="24"/>
              </w:rPr>
              <w:t>工作内容</w:t>
            </w:r>
          </w:p>
          <w:p>
            <w:pPr>
              <w:pStyle w:val="null3"/>
            </w:pPr>
            <w:r>
              <w:rPr>
                <w:sz w:val="24"/>
              </w:rPr>
              <w:t>结合地块实际建设情况与规划情况，开展城市设计规划研究，通过科学策划和精细化设计整体提升片区空间环境和风貌品质，引领片区发展。主要内容如下：</w:t>
            </w:r>
          </w:p>
          <w:p>
            <w:pPr>
              <w:pStyle w:val="null3"/>
            </w:pPr>
            <w:r>
              <w:rPr>
                <w:sz w:val="24"/>
              </w:rPr>
              <w:t>1.</w:t>
            </w:r>
            <w:r>
              <w:rPr>
                <w:sz w:val="24"/>
              </w:rPr>
              <w:t>现状及规划研究</w:t>
            </w:r>
          </w:p>
          <w:p>
            <w:pPr>
              <w:pStyle w:val="null3"/>
            </w:pPr>
            <w:r>
              <w:rPr>
                <w:sz w:val="24"/>
              </w:rPr>
              <w:t>针对片区发展现状开展分析研究，综合分析片区区位特点、建设现状、资源禀赋、交通市政公服设施现状、区域发展需求等内容。开展片区相关规划梳理，分析研究国土空间总体规划、生态廊道总体规划、河涌水系规划、工业产业区块规划等上位规划和相关规划要求，并对现行控制性详细规划实施情况开展评估，分析规划实施过程中存在问题及需优化提升的相关要点。</w:t>
            </w:r>
          </w:p>
          <w:p>
            <w:pPr>
              <w:pStyle w:val="null3"/>
            </w:pPr>
            <w:r>
              <w:rPr>
                <w:sz w:val="24"/>
              </w:rPr>
              <w:t>2.</w:t>
            </w:r>
            <w:r>
              <w:rPr>
                <w:sz w:val="24"/>
              </w:rPr>
              <w:t>产业发展研究</w:t>
            </w:r>
          </w:p>
          <w:p>
            <w:pPr>
              <w:pStyle w:val="null3"/>
            </w:pPr>
            <w:r>
              <w:rPr>
                <w:sz w:val="24"/>
              </w:rPr>
              <w:t>对市域及片区产业基础、产业发展方向进行综合研究，分析片区未来产业发展体系。结合国内外其他城市案例及经验，提出片区产业发展目标、功能定位、发展规模等相关建议。</w:t>
            </w:r>
          </w:p>
          <w:p>
            <w:pPr>
              <w:pStyle w:val="null3"/>
            </w:pPr>
            <w:r>
              <w:rPr>
                <w:sz w:val="24"/>
              </w:rPr>
              <w:t>3.</w:t>
            </w:r>
            <w:r>
              <w:rPr>
                <w:sz w:val="24"/>
              </w:rPr>
              <w:t>片区整体城市设计</w:t>
            </w:r>
          </w:p>
          <w:p>
            <w:pPr>
              <w:pStyle w:val="null3"/>
            </w:pPr>
            <w:r>
              <w:rPr>
                <w:sz w:val="24"/>
              </w:rPr>
              <w:t>为保障片区城市空间高质量、精细规划建设，提高片区控制性详细规划落地实施性，参照修规深度开展片区城市设计。</w:t>
            </w:r>
          </w:p>
          <w:p>
            <w:pPr>
              <w:pStyle w:val="null3"/>
            </w:pPr>
            <w:r>
              <w:rPr>
                <w:sz w:val="24"/>
              </w:rPr>
              <w:t>（</w:t>
            </w:r>
            <w:r>
              <w:rPr>
                <w:sz w:val="24"/>
              </w:rPr>
              <w:t>1）整体空间形态：总体把控片区城市空间形态，突出体现该地区在城市中的重要地位，处理好各类公共区域、开敞空间、视点、视廊等的空间关系，创造</w:t>
            </w:r>
            <w:r>
              <w:rPr>
                <w:sz w:val="24"/>
              </w:rPr>
              <w:t>富有</w:t>
            </w:r>
            <w:r>
              <w:rPr>
                <w:sz w:val="24"/>
              </w:rPr>
              <w:t>活力的空间层次和形态肌理。</w:t>
            </w:r>
          </w:p>
          <w:p>
            <w:pPr>
              <w:pStyle w:val="null3"/>
            </w:pPr>
            <w:r>
              <w:rPr>
                <w:sz w:val="24"/>
              </w:rPr>
              <w:t>（</w:t>
            </w:r>
            <w:r>
              <w:rPr>
                <w:sz w:val="24"/>
              </w:rPr>
              <w:t>2）开放空间体系：以人为本，尊重现状滨水和绿地空间要素，构建富有区域特色、体系完整且具有标识性的绿地景观系统及公共空间系统。</w:t>
            </w:r>
          </w:p>
          <w:p>
            <w:pPr>
              <w:pStyle w:val="null3"/>
            </w:pPr>
            <w:r>
              <w:rPr>
                <w:sz w:val="24"/>
              </w:rPr>
              <w:t>（</w:t>
            </w:r>
            <w:r>
              <w:rPr>
                <w:sz w:val="24"/>
              </w:rPr>
              <w:t>3）城市界面和天际线：加强街道、滨水空间及其他开敞空间的界面控制，分析界面构成要素，明确界面景观特征，对界面基准线、沿线建筑的风貌和体量布局等</w:t>
            </w:r>
            <w:r>
              <w:rPr>
                <w:sz w:val="24"/>
              </w:rPr>
              <w:t>提出</w:t>
            </w:r>
            <w:r>
              <w:rPr>
                <w:sz w:val="24"/>
              </w:rPr>
              <w:t>引导控制要求</w:t>
            </w:r>
            <w:r>
              <w:rPr>
                <w:sz w:val="24"/>
              </w:rPr>
              <w:t>。</w:t>
            </w:r>
          </w:p>
          <w:p>
            <w:pPr>
              <w:pStyle w:val="null3"/>
            </w:pPr>
            <w:r>
              <w:rPr>
                <w:sz w:val="24"/>
              </w:rPr>
              <w:t>（</w:t>
            </w:r>
            <w:r>
              <w:rPr>
                <w:sz w:val="24"/>
              </w:rPr>
              <w:t>4）建筑形态控制：分析规划范围内城市和建筑风貌特征，对建筑布局方式、群体形象、体量、高度、建筑退界等</w:t>
            </w:r>
            <w:r>
              <w:rPr>
                <w:sz w:val="24"/>
              </w:rPr>
              <w:t>提出</w:t>
            </w:r>
            <w:r>
              <w:rPr>
                <w:sz w:val="24"/>
              </w:rPr>
              <w:t>引导控制要求</w:t>
            </w:r>
            <w:r>
              <w:rPr>
                <w:sz w:val="24"/>
              </w:rPr>
              <w:t>。</w:t>
            </w:r>
          </w:p>
          <w:p>
            <w:pPr>
              <w:pStyle w:val="null3"/>
            </w:pPr>
            <w:r>
              <w:rPr>
                <w:sz w:val="24"/>
              </w:rPr>
              <w:t>（</w:t>
            </w:r>
            <w:r>
              <w:rPr>
                <w:sz w:val="24"/>
              </w:rPr>
              <w:t>5）景观环境优化：提出景观环境整体风格和重要节点、路径布局，提出环境设施的布局、风格</w:t>
            </w:r>
            <w:r>
              <w:rPr>
                <w:sz w:val="24"/>
              </w:rPr>
              <w:t>等</w:t>
            </w:r>
            <w:r>
              <w:rPr>
                <w:sz w:val="24"/>
              </w:rPr>
              <w:t>引导控制要求</w:t>
            </w:r>
            <w:r>
              <w:rPr>
                <w:sz w:val="24"/>
              </w:rPr>
              <w:t>。</w:t>
            </w:r>
          </w:p>
          <w:p>
            <w:pPr>
              <w:pStyle w:val="null3"/>
            </w:pPr>
            <w:r>
              <w:rPr>
                <w:sz w:val="24"/>
              </w:rPr>
              <w:t>（</w:t>
            </w:r>
            <w:r>
              <w:rPr>
                <w:sz w:val="24"/>
              </w:rPr>
              <w:t>6）交通组织：组织片区交通，形成主次分明、快慢有序的片区综合交通体系。</w:t>
            </w:r>
          </w:p>
          <w:p>
            <w:pPr>
              <w:pStyle w:val="null3"/>
            </w:pPr>
            <w:r>
              <w:rPr>
                <w:sz w:val="24"/>
              </w:rPr>
              <w:t>4.</w:t>
            </w:r>
            <w:r>
              <w:rPr>
                <w:sz w:val="24"/>
              </w:rPr>
              <w:t>片区发展实施策划</w:t>
            </w:r>
          </w:p>
          <w:p>
            <w:pPr>
              <w:pStyle w:val="null3"/>
            </w:pPr>
            <w:r>
              <w:rPr>
                <w:sz w:val="24"/>
              </w:rPr>
              <w:t>结合土地储备情况及开发需求，提出土地储备与发展策略，结合产业发展、道路交通、市政及公共服务配套、景观提升等方面梳理片区内实施项目清单，制定片区开发实施计划。</w:t>
            </w:r>
          </w:p>
        </w:tc>
      </w:tr>
      <w:tr>
        <w:tc>
          <w:tcPr>
            <w:tcW w:type="dxa" w:w="2076"/>
          </w:tcPr>
          <w:p/>
        </w:tc>
        <w:tc>
          <w:tcPr>
            <w:tcW w:type="dxa" w:w="415"/>
          </w:tcPr>
          <w:p>
            <w:pPr>
              <w:pStyle w:val="null3"/>
            </w:pPr>
            <w:r>
              <w:rPr/>
              <w:t>7</w:t>
            </w:r>
          </w:p>
        </w:tc>
        <w:tc>
          <w:tcPr>
            <w:tcW w:type="dxa" w:w="5814"/>
          </w:tcPr>
          <w:p>
            <w:pPr>
              <w:pStyle w:val="null3"/>
            </w:pPr>
            <w:r>
              <w:rPr>
                <w:sz w:val="24"/>
              </w:rPr>
              <w:t>七、</w:t>
            </w:r>
            <w:r>
              <w:rPr>
                <w:sz w:val="24"/>
              </w:rPr>
              <w:t>成果要求</w:t>
            </w:r>
          </w:p>
          <w:p>
            <w:pPr>
              <w:pStyle w:val="null3"/>
            </w:pPr>
            <w:r>
              <w:rPr>
                <w:sz w:val="24"/>
              </w:rPr>
              <w:t>成果必须符合本</w:t>
            </w:r>
            <w:r>
              <w:rPr>
                <w:sz w:val="24"/>
              </w:rPr>
              <w:t>项目采购需求要求</w:t>
            </w:r>
            <w:r>
              <w:rPr>
                <w:sz w:val="24"/>
              </w:rPr>
              <w:t>。成果内容要点清晰、完整，具备实操性，应符合任务书规定的深度要求，能够发挥设计对实施的指导作用。</w:t>
            </w:r>
          </w:p>
        </w:tc>
      </w:tr>
      <w:tr>
        <w:tc>
          <w:tcPr>
            <w:tcW w:type="dxa" w:w="2076"/>
          </w:tcPr>
          <w:p/>
        </w:tc>
        <w:tc>
          <w:tcPr>
            <w:tcW w:type="dxa" w:w="415"/>
          </w:tcPr>
          <w:p>
            <w:pPr>
              <w:pStyle w:val="null3"/>
            </w:pPr>
            <w:r>
              <w:rPr/>
              <w:t>8</w:t>
            </w:r>
          </w:p>
        </w:tc>
        <w:tc>
          <w:tcPr>
            <w:tcW w:type="dxa" w:w="5814"/>
          </w:tcPr>
          <w:p>
            <w:pPr>
              <w:pStyle w:val="null3"/>
            </w:pPr>
            <w:r>
              <w:rPr>
                <w:sz w:val="24"/>
              </w:rPr>
              <w:t>八、成果格式要求</w:t>
            </w:r>
          </w:p>
          <w:p>
            <w:pPr>
              <w:pStyle w:val="null3"/>
            </w:pPr>
            <w:r>
              <w:rPr>
                <w:sz w:val="24"/>
              </w:rPr>
              <w:t>成果形式包括纸质文件、电子文件两种形式提供，具体要求如下：</w:t>
            </w:r>
          </w:p>
          <w:p>
            <w:pPr>
              <w:pStyle w:val="null3"/>
            </w:pPr>
            <w:r>
              <w:rPr>
                <w:sz w:val="24"/>
              </w:rPr>
              <w:t>1.汇报文件、规划文本规格以A3（297mm×420mm）为主，相关图件和表格规格根据表达需要合理确定，力求清晰、完整，标注齐全、准确，同类图纸规格尽量统一。文本和图表合订为一本完整的书面成果。</w:t>
            </w:r>
          </w:p>
          <w:p>
            <w:pPr>
              <w:pStyle w:val="null3"/>
            </w:pPr>
            <w:r>
              <w:rPr>
                <w:sz w:val="24"/>
              </w:rPr>
              <w:t>2.电子文件以光盘或U盘的形式提供，图形文件按采购人要求格式提供。</w:t>
            </w:r>
          </w:p>
        </w:tc>
      </w:tr>
      <w:tr>
        <w:tc>
          <w:tcPr>
            <w:tcW w:type="dxa" w:w="2076"/>
          </w:tcPr>
          <w:p/>
        </w:tc>
        <w:tc>
          <w:tcPr>
            <w:tcW w:type="dxa" w:w="415"/>
          </w:tcPr>
          <w:p>
            <w:pPr>
              <w:pStyle w:val="null3"/>
            </w:pPr>
            <w:r>
              <w:rPr/>
              <w:t>9</w:t>
            </w:r>
          </w:p>
        </w:tc>
        <w:tc>
          <w:tcPr>
            <w:tcW w:type="dxa" w:w="5814"/>
          </w:tcPr>
          <w:p>
            <w:pPr>
              <w:pStyle w:val="null3"/>
            </w:pPr>
            <w:r>
              <w:rPr>
                <w:sz w:val="24"/>
              </w:rPr>
              <w:t>九、</w:t>
            </w:r>
            <w:r>
              <w:rPr>
                <w:sz w:val="24"/>
              </w:rPr>
              <w:t>进度要求</w:t>
            </w:r>
          </w:p>
          <w:p>
            <w:pPr>
              <w:pStyle w:val="null3"/>
            </w:pPr>
            <w:r>
              <w:rPr>
                <w:sz w:val="24"/>
              </w:rPr>
              <w:t>1.</w:t>
            </w:r>
            <w:r>
              <w:rPr>
                <w:sz w:val="24"/>
              </w:rPr>
              <w:t>总体分为以下三个阶段：</w:t>
            </w:r>
          </w:p>
          <w:p>
            <w:pPr>
              <w:pStyle w:val="null3"/>
            </w:pPr>
            <w:r>
              <w:rPr>
                <w:sz w:val="24"/>
              </w:rPr>
              <w:t>（</w:t>
            </w:r>
            <w:r>
              <w:rPr>
                <w:sz w:val="24"/>
              </w:rPr>
              <w:t>1）</w:t>
            </w:r>
            <w:r>
              <w:rPr>
                <w:sz w:val="24"/>
              </w:rPr>
              <w:t>合同签订后</w:t>
            </w:r>
            <w:r>
              <w:rPr>
                <w:sz w:val="24"/>
              </w:rPr>
              <w:t xml:space="preserve"> 60日历天内提交初步方案；</w:t>
            </w:r>
          </w:p>
          <w:p>
            <w:pPr>
              <w:pStyle w:val="null3"/>
            </w:pPr>
            <w:r>
              <w:rPr>
                <w:sz w:val="24"/>
              </w:rPr>
              <w:t>（</w:t>
            </w:r>
            <w:r>
              <w:rPr>
                <w:sz w:val="24"/>
              </w:rPr>
              <w:t>2）</w:t>
            </w:r>
            <w:r>
              <w:rPr>
                <w:sz w:val="24"/>
              </w:rPr>
              <w:t>初步方案经与采购人沟通并修改完善后</w:t>
            </w:r>
            <w:r>
              <w:rPr>
                <w:sz w:val="24"/>
              </w:rPr>
              <w:t xml:space="preserve"> 60日历天内提交中期成果；</w:t>
            </w:r>
          </w:p>
          <w:p>
            <w:pPr>
              <w:pStyle w:val="null3"/>
            </w:pPr>
            <w:r>
              <w:rPr>
                <w:sz w:val="24"/>
              </w:rPr>
              <w:t>（</w:t>
            </w:r>
            <w:r>
              <w:rPr>
                <w:sz w:val="24"/>
              </w:rPr>
              <w:t>3）</w:t>
            </w:r>
            <w:r>
              <w:rPr>
                <w:sz w:val="24"/>
              </w:rPr>
              <w:t>中期成果通过专家评审会后</w:t>
            </w:r>
            <w:r>
              <w:rPr>
                <w:sz w:val="24"/>
              </w:rPr>
              <w:t xml:space="preserve"> 60日历天内修改完善提交最终成果。</w:t>
            </w:r>
          </w:p>
          <w:p>
            <w:pPr>
              <w:pStyle w:val="null3"/>
            </w:pPr>
            <w:r>
              <w:rPr>
                <w:sz w:val="24"/>
              </w:rPr>
              <w:t>2.</w:t>
            </w:r>
            <w:r>
              <w:rPr>
                <w:sz w:val="24"/>
              </w:rPr>
              <w:t>最终项目成果已完成提交但合同履行期限未结束的，若有发生国家、广东省相关政策变动调整的情况，中标人仍需及时对已完成的项目研究成果进行更新、修改、完善并提交采购人使用。</w:t>
            </w:r>
          </w:p>
          <w:p>
            <w:pPr>
              <w:pStyle w:val="null3"/>
            </w:pPr>
            <w:r>
              <w:rPr>
                <w:sz w:val="24"/>
              </w:rPr>
              <w:t>3.</w:t>
            </w:r>
            <w:r>
              <w:rPr>
                <w:sz w:val="24"/>
              </w:rPr>
              <w:t>投标人需为本项目做好进度保障安排，包含完成本项目服务内容和各项工作进度安排以及针对不同服务内容从人员保障、设备设施保障、投入资源保障、紧急事件应急预案等方面制定的针对性计划安排方案。</w:t>
            </w:r>
          </w:p>
        </w:tc>
      </w:tr>
      <w:tr>
        <w:tc>
          <w:tcPr>
            <w:tcW w:type="dxa" w:w="2076"/>
          </w:tcPr>
          <w:p/>
        </w:tc>
        <w:tc>
          <w:tcPr>
            <w:tcW w:type="dxa" w:w="415"/>
          </w:tcPr>
          <w:p>
            <w:pPr>
              <w:pStyle w:val="null3"/>
            </w:pPr>
            <w:r>
              <w:rPr/>
              <w:t>10</w:t>
            </w:r>
          </w:p>
        </w:tc>
        <w:tc>
          <w:tcPr>
            <w:tcW w:type="dxa" w:w="5814"/>
          </w:tcPr>
          <w:p>
            <w:pPr>
              <w:pStyle w:val="null3"/>
            </w:pPr>
            <w:r>
              <w:rPr>
                <w:sz w:val="24"/>
              </w:rPr>
              <w:t>十、质量保障措施</w:t>
            </w:r>
          </w:p>
          <w:p>
            <w:pPr>
              <w:pStyle w:val="null3"/>
            </w:pPr>
            <w:r>
              <w:rPr>
                <w:sz w:val="24"/>
              </w:rPr>
              <w:t>本项目要求制定一套项目实施质量保证方案，确保项目成果具有足够的质量水平：</w:t>
            </w:r>
          </w:p>
          <w:p>
            <w:pPr>
              <w:pStyle w:val="null3"/>
            </w:pPr>
            <w:r>
              <w:rPr>
                <w:sz w:val="24"/>
              </w:rPr>
              <w:t>1.建立完善项目工作制度，健全质量管理体系，建立质量管理目标，严格按照要求管理各个工作环节；</w:t>
            </w:r>
          </w:p>
          <w:p>
            <w:pPr>
              <w:pStyle w:val="null3"/>
            </w:pPr>
            <w:r>
              <w:rPr>
                <w:sz w:val="24"/>
              </w:rPr>
              <w:t>2.建立质量保障组织架构，质量管理团队进行质量把控；</w:t>
            </w:r>
          </w:p>
          <w:p>
            <w:pPr>
              <w:pStyle w:val="null3"/>
            </w:pPr>
            <w:r>
              <w:rPr>
                <w:sz w:val="24"/>
              </w:rPr>
              <w:t>3.建立质量控制措施，对影响关键质量的环节及阶段工作成果进行及时有效</w:t>
            </w:r>
            <w:r>
              <w:rPr>
                <w:sz w:val="24"/>
              </w:rPr>
              <w:t>的</w:t>
            </w:r>
            <w:r>
              <w:rPr>
                <w:sz w:val="24"/>
              </w:rPr>
              <w:t>检查；</w:t>
            </w:r>
          </w:p>
          <w:p>
            <w:pPr>
              <w:pStyle w:val="null3"/>
            </w:pPr>
            <w:r>
              <w:rPr>
                <w:sz w:val="24"/>
              </w:rPr>
              <w:t>4.投标人需具备较为完善的质量管理制度为本项目的质量和履约提供制度保障，以保证项目质量和服务目标</w:t>
            </w:r>
            <w:r>
              <w:rPr>
                <w:sz w:val="24"/>
              </w:rPr>
              <w:t>的实现</w:t>
            </w:r>
            <w:r>
              <w:rPr>
                <w:sz w:val="24"/>
              </w:rPr>
              <w:t>。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落实服务期间安全应急方案的制定及组织工作，包括可能出现的紧急事故类型、原因和对应的处理方案、发生紧急情况后的人员安排、职责分工方案（包含应急处置领导小组组织架构及工作职责）、</w:t>
            </w:r>
            <w:r>
              <w:rPr>
                <w:sz w:val="24"/>
              </w:rPr>
              <w:t>发生安全事故时</w:t>
            </w:r>
            <w:r>
              <w:rPr>
                <w:sz w:val="24"/>
              </w:rPr>
              <w:t>的应</w:t>
            </w:r>
            <w:r>
              <w:rPr>
                <w:sz w:val="24"/>
              </w:rPr>
              <w:t>急处置预案。</w:t>
            </w:r>
          </w:p>
        </w:tc>
      </w:tr>
      <w:tr>
        <w:tc>
          <w:tcPr>
            <w:tcW w:type="dxa" w:w="2076"/>
          </w:tcPr>
          <w:p/>
        </w:tc>
        <w:tc>
          <w:tcPr>
            <w:tcW w:type="dxa" w:w="415"/>
          </w:tcPr>
          <w:p>
            <w:pPr>
              <w:pStyle w:val="null3"/>
            </w:pPr>
            <w:r>
              <w:rPr/>
              <w:t>11</w:t>
            </w:r>
          </w:p>
        </w:tc>
        <w:tc>
          <w:tcPr>
            <w:tcW w:type="dxa" w:w="5814"/>
          </w:tcPr>
          <w:p>
            <w:pPr>
              <w:pStyle w:val="null3"/>
            </w:pPr>
            <w:r>
              <w:rPr>
                <w:sz w:val="24"/>
              </w:rPr>
              <w:t>十一、其他要求</w:t>
            </w:r>
          </w:p>
          <w:p>
            <w:pPr>
              <w:pStyle w:val="null3"/>
            </w:pPr>
            <w:r>
              <w:rPr>
                <w:sz w:val="24"/>
              </w:rPr>
              <w:t>1.对韶关市中心城区现状及规划的熟悉程度：投标人需结合本项目2.技术标准与要求中“三、工作范围”情况，提供针对本项目对韶关市中心城区现状及规划的熟悉程度的阐述说明，包含对项目所在地现状分析</w:t>
            </w:r>
            <w:r>
              <w:rPr>
                <w:sz w:val="24"/>
              </w:rPr>
              <w:t>、</w:t>
            </w:r>
            <w:r>
              <w:rPr>
                <w:sz w:val="24"/>
              </w:rPr>
              <w:t>规划要求熟悉程度。项目所在地现状分析评价非常深入，熟悉规划区域的规划要求，确保项目的顺利实施和高质量完成。</w:t>
            </w:r>
          </w:p>
          <w:p>
            <w:pPr>
              <w:pStyle w:val="null3"/>
            </w:pPr>
            <w:r>
              <w:rPr>
                <w:sz w:val="24"/>
              </w:rPr>
              <w:t>2.对项目背景和相关基础情况的理解与掌握：投标人需结合本项目2.技术标准与要求中“一、项目背景”“二、工作目标”“三、工作范围”情况，提供对项目背景和相关基础情况的理解与掌握内容，内容包括对本项目背景、发展趋势与目标的理解认识，对本区域的了解、相关基础资料（包括但不限于用地功能、产业发展、建设情况、配套设施、景观环境等现状）的掌握，对本项目所在地区现行城乡规划、国土空间规划、详细规划、城市设计技术标准与准则</w:t>
            </w:r>
            <w:r>
              <w:rPr>
                <w:sz w:val="24"/>
              </w:rPr>
              <w:t>的熟悉程度</w:t>
            </w:r>
            <w:r>
              <w:rPr>
                <w:sz w:val="24"/>
              </w:rPr>
              <w:t>。对本项目背景、发展趋势与目标的理解认识清晰；对本区域的了解透彻，准确掌握相关基础资料（包括但不限于用地功能、产业发展、建设情况、配套设施、景观环境等现状）；</w:t>
            </w:r>
            <w:r>
              <w:rPr>
                <w:sz w:val="24"/>
              </w:rPr>
              <w:t>对</w:t>
            </w:r>
            <w:r>
              <w:rPr>
                <w:sz w:val="24"/>
              </w:rPr>
              <w:t>本项目所在地区现行城乡规划、国土空间规划、详细规划、城市设计技术标准与准则</w:t>
            </w:r>
            <w:r>
              <w:rPr>
                <w:sz w:val="24"/>
              </w:rPr>
              <w:t>等</w:t>
            </w:r>
            <w:r>
              <w:rPr>
                <w:sz w:val="24"/>
              </w:rPr>
              <w:t>熟悉，确保项目的顺利实施和高质量完成。</w:t>
            </w:r>
          </w:p>
          <w:p>
            <w:pPr>
              <w:pStyle w:val="null3"/>
            </w:pPr>
            <w:r>
              <w:rPr>
                <w:sz w:val="24"/>
              </w:rPr>
              <w:t>3.项目技术方案情况：投标人需结合本项目2.技术标准与要求中“四、法律法规和相关规划”“五、规划原则”“六、工作内容”情况，提供项目技术方案情况说明，包括技术方案</w:t>
            </w:r>
            <w:r>
              <w:rPr>
                <w:sz w:val="24"/>
              </w:rPr>
              <w:t>、</w:t>
            </w:r>
            <w:r>
              <w:rPr>
                <w:sz w:val="24"/>
              </w:rPr>
              <w:t>规划理念</w:t>
            </w:r>
            <w:r>
              <w:rPr>
                <w:sz w:val="24"/>
              </w:rPr>
              <w:t>、</w:t>
            </w:r>
            <w:r>
              <w:rPr>
                <w:sz w:val="24"/>
              </w:rPr>
              <w:t>初步的规划内容。技术方案达到有关规范要求，内容详细全面、科学合理</w:t>
            </w:r>
            <w:r>
              <w:rPr>
                <w:sz w:val="24"/>
              </w:rPr>
              <w:t>；</w:t>
            </w:r>
            <w:r>
              <w:rPr>
                <w:sz w:val="24"/>
              </w:rPr>
              <w:t>规划理念能结合地方和项目实际，方案具体可行，在研究思路、方法上有创新，在初步的规划内容与招标文件要求的基础上有合理增补，确保项目的顺利实施和高质量完成。</w:t>
            </w:r>
          </w:p>
          <w:p>
            <w:pPr>
              <w:pStyle w:val="null3"/>
            </w:pPr>
            <w:r>
              <w:rPr>
                <w:sz w:val="24"/>
              </w:rPr>
              <w:t>4.项目重点难点分析：投标人需结合本项目2.技术标准与要求</w:t>
            </w:r>
            <w:r>
              <w:rPr>
                <w:sz w:val="24"/>
              </w:rPr>
              <w:t>中</w:t>
            </w:r>
            <w:r>
              <w:rPr>
                <w:sz w:val="24"/>
              </w:rPr>
              <w:t>“二、工作目标”“三、工作范围”“六、工作内容”“七、成果要求”</w:t>
            </w:r>
            <w:r>
              <w:rPr>
                <w:sz w:val="24"/>
              </w:rPr>
              <w:t>情况，提供项目重点难点分析，内容包括：重点难点分析；应对重点难点的措施。重点难点分析深入、准确到位，应对重点难点的措施合理、切实可行，确保项目的顺利实施和高质量完成。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重点片区城市空间品质提升研究采购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采购包1（韶关市重点片区城市空间品质提升研究采购服务项目）：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3</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采购包1（韶关市重点片区城市空间品质提升研究采购服务项目）：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承担本项目涉及国土空间规划中的“规划”编制工作内容的投标人应当具备特定行业法定准入要求，投标人必须具有城乡规划（国土空间规划）编制资质甲级证书。（提供有效的城乡规划编制资质证书复印件）（注：①若独立投标，投标人应具备上述资质；②若联合体投标，多方共同承担“规划”工作，则各方均须具备上述资质；③若联合体投标，其中仅一方承担“规划”工作，则该方须具备上述资质，另一方未承担“规划”工作的无上述资质要求。须在《联合体共同投标协议书》上明确各方承担的工作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采购接受联合体投标，联合体以一个投标人的身份共同投标。①联合体成员数量不超过2个；②联合体各方均需满足“1.投标人应具备《中华人民共和国政府采购法》第二十二条规定的条件，提供下列材料”的要求，投标文件中联合体各方分别提供证明材料并分别加盖其单位公章。③联合体成员必须各方共同签署《联合体共同投标协议书》明确联合体牵头人和各方权利、义务，且投标时必须提交《联合体共同投标协议书》。④联合体各方不得再以自己名义单独或参加其他联合体在本采购项目中投标，否则各相关投标均无效。</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采购包1（韶关市重点片区城市空间品质提升研究采购服务项目）：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采购包1(韶关市重点片区城市空间品质提升研究采购服务项目):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对韶关市中心城区现状及规划的熟悉程度 (5.0分)</w:t>
            </w:r>
          </w:p>
        </w:tc>
        <w:tc>
          <w:tcPr>
            <w:tcW w:type="dxa" w:w="5076"/>
          </w:tcPr>
          <w:p>
            <w:pPr>
              <w:pStyle w:val="null3"/>
              <w:jc w:val="left"/>
            </w:pPr>
            <w:r>
              <w:rPr/>
              <w:t>根据投标人针对2.技术标准与要求中“三、工作范围”提供的“对韶关市中心城区现状及规划的熟悉程度”（内容包括①项目所在地现状分析；②规划要求熟悉程度）进行评审： 1.项目所在地中心城区现状分析评价非常深入，熟悉规划区域的规划要求，得5分； 2.项目所在地中心城区现状分析评价比较深入，基本了解规划区域的规划要求，得3分； 3.对韶关市中心城区现状不够深入，规划区域的熟悉程度不高，得1分； 4.其他或无效响应，得0分。</w:t>
            </w:r>
          </w:p>
        </w:tc>
      </w:tr>
      <w:tr>
        <w:tc>
          <w:tcPr>
            <w:tcW w:type="dxa" w:w="922"/>
            <w:gridSpan w:val="2"/>
            <w:vMerge/>
          </w:tcPr>
          <w:p/>
        </w:tc>
        <w:tc>
          <w:tcPr>
            <w:tcW w:type="dxa" w:w="2307"/>
          </w:tcPr>
          <w:p>
            <w:pPr>
              <w:pStyle w:val="null3"/>
              <w:jc w:val="left"/>
            </w:pPr>
            <w:r>
              <w:rPr/>
              <w:t>对项目背景和相关基础情况的理解与掌握 (10.0分)</w:t>
            </w:r>
          </w:p>
        </w:tc>
        <w:tc>
          <w:tcPr>
            <w:tcW w:type="dxa" w:w="5076"/>
          </w:tcPr>
          <w:p>
            <w:pPr>
              <w:pStyle w:val="null3"/>
              <w:jc w:val="left"/>
            </w:pPr>
            <w:r>
              <w:rPr/>
              <w:t>根据投标人针对2.技术标准与要求中“一、项目背景”“二、工作目标”“三、工作范围”提供的“对项目背景和相关基础情况的理解与掌握”（内容包括①对本项目背景、发展趋势与目标的理解认识，②对本区域的了解、相关基础资料（包括但不限于用地功能、产业发展、建设情况、配套设施、景观环境等现状）的掌握，③对本项目所在地区现行城乡规划、国土空间规划、详细规划、城市设计技术标准与准则）进行评审： 1.对本项目背景、发展趋势与目标的理解认识清晰；对本区域的了解透彻，准确掌握相关基础资料（包括但不限于用地功能、产业发展、建设情况、配套设施、景观环境等现状）；熟悉本项目所在地区现行城乡规划、国土空间规划、详细规划、城市设计技术标准与准则，优于采购需求，得10分； 2.对本项目背景、发展趋势与目标的理解认识较清晰；对本区域的了解较透彻，掌握相关基础资料（包括但不限于用地功能、产业发展、建设情况、配套设施、景观环境等现状）；对本项目所在地区现行城乡规划、国土空间规划、详细规划、城市设计技术标准与准则较了解。满足采购需求，得7分； 3.对本项目背景、发展趋势与目标的理解认识一般；对本区域的了解一般，基本掌握相关基础资料（包括但不限于用地功能、产业发展、建设情况、配套设施、景观环境等现状）；对本项目所在地区现行城乡规划、国土空间规划、详细规划、城市设计技术标准与准则较了解。基本满足采购需求，得4分； 4.对项目背景和相关基础情况的理解与掌握不够全面，方案不够清晰，不完全满足采购需求，得1分； 5.其他或无效响应，得0分。</w:t>
            </w:r>
          </w:p>
        </w:tc>
      </w:tr>
      <w:tr>
        <w:tc>
          <w:tcPr>
            <w:tcW w:type="dxa" w:w="922"/>
            <w:gridSpan w:val="2"/>
            <w:vMerge/>
          </w:tcPr>
          <w:p/>
        </w:tc>
        <w:tc>
          <w:tcPr>
            <w:tcW w:type="dxa" w:w="2307"/>
          </w:tcPr>
          <w:p>
            <w:pPr>
              <w:pStyle w:val="null3"/>
              <w:jc w:val="left"/>
            </w:pPr>
            <w:r>
              <w:rPr/>
              <w:t>项目技术方案情况 (15.0分)</w:t>
            </w:r>
          </w:p>
        </w:tc>
        <w:tc>
          <w:tcPr>
            <w:tcW w:type="dxa" w:w="5076"/>
          </w:tcPr>
          <w:p>
            <w:pPr>
              <w:pStyle w:val="null3"/>
              <w:jc w:val="left"/>
            </w:pPr>
            <w:r>
              <w:rPr/>
              <w:t>根据投标人针对2.技术标准与要求中“四、法律法规和相关规划”“五、规划原则”“六、工作内容”提供的“项目技术方案情况”（内容包括①技术方案；②规划理念；③初步的规划内容）进行评审： 1.技术方案达到有关规范要求，内容详细全面、科学合理。规划理念能结合地方和项目实际，方案具体可行，在研究思路、方法上有创新，在初步的规划内容与招标文件要求的基础上有合理增补，得15分； 2.技术方案达到有关规范要求，内容较为详细全面、科学合理。规划理念能结合地方和项目实际，方案具体可行，在研究思路、方法上有一定创新，在初步的规划内容与招标文件要求的基础上有增补，得10分； 3.技术方案基本达到有关规范要求，内容基本合理。规划理念基本能结合地方和项目实际，方案可行性一般，在研究思路、方法上不够创新，在初步的规划内容与招标文件要求的基础上有一定增补，得5分； 4.项目技术方案情况不够全面，方案不够清晰，不能完全满足采购需求，得1分； 5.其他或无效响应，得0分。</w:t>
            </w:r>
          </w:p>
        </w:tc>
      </w:tr>
      <w:tr>
        <w:tc>
          <w:tcPr>
            <w:tcW w:type="dxa" w:w="922"/>
            <w:gridSpan w:val="2"/>
            <w:vMerge/>
          </w:tcPr>
          <w:p/>
        </w:tc>
        <w:tc>
          <w:tcPr>
            <w:tcW w:type="dxa" w:w="2307"/>
          </w:tcPr>
          <w:p>
            <w:pPr>
              <w:pStyle w:val="null3"/>
              <w:jc w:val="left"/>
            </w:pPr>
            <w:r>
              <w:rPr/>
              <w:t>项目重点难点分析 (10.0分)</w:t>
            </w:r>
          </w:p>
        </w:tc>
        <w:tc>
          <w:tcPr>
            <w:tcW w:type="dxa" w:w="5076"/>
          </w:tcPr>
          <w:p>
            <w:pPr>
              <w:pStyle w:val="null3"/>
              <w:jc w:val="left"/>
            </w:pPr>
            <w:r>
              <w:rPr/>
              <w:t>根据投标人针对2.技术标准与要求中“二、工作目标”“三、工作范围”“六、工作内容”“七、成果要求”提供的“项目重点难点分析”（内容包括①重点难点分析；②应对重点难点的措施）进行评审： 1.重点难点分析深入、准确到位，应对重点难点的措施合理、切实可行，完全贴合本项目采购需求，得10分； 2.重点难点分析较深入、较准确，应对重点难点的措施较合理、切实可行，符合本项目采购需求，得7分； 3.重点难点分析基本准确，应对重点难点的措施基本合理、可行性一般，基本符合本项目采购需求，得4分； 4.项目重点难点分析不够准确到位，不完全满足采购需求，得1分； 5.其他或无效响应，得0分。</w:t>
            </w:r>
          </w:p>
        </w:tc>
      </w:tr>
      <w:tr>
        <w:tc>
          <w:tcPr>
            <w:tcW w:type="dxa" w:w="922"/>
            <w:gridSpan w:val="2"/>
            <w:vMerge/>
          </w:tcPr>
          <w:p/>
        </w:tc>
        <w:tc>
          <w:tcPr>
            <w:tcW w:type="dxa" w:w="2307"/>
          </w:tcPr>
          <w:p>
            <w:pPr>
              <w:pStyle w:val="null3"/>
              <w:jc w:val="left"/>
            </w:pPr>
            <w:r>
              <w:rPr/>
              <w:t>计划安排方案的合理性 (10.0分)</w:t>
            </w:r>
          </w:p>
        </w:tc>
        <w:tc>
          <w:tcPr>
            <w:tcW w:type="dxa" w:w="5076"/>
          </w:tcPr>
          <w:p>
            <w:pPr>
              <w:pStyle w:val="null3"/>
              <w:jc w:val="left"/>
            </w:pPr>
            <w:r>
              <w:rPr/>
              <w:t>根据投标人针对2.技术标准与要求中“九、进度要求”提供的“计划安排方案的合理性”（内容包括①工作计划；②工作时间；③紧急事件应急预案）进行评审： 1.投标人制定的工作计划详细、完整，进度计划科学合理且可行性强，能优化成果时间，紧急事件应急预案完善，优于采购需求，得10分； 2.投标人制定的工作计划较详细，进度计划较科学合理，能按时交付成果，紧急事件应急预案较完善，完全符合采购需求，得7分； 3.投标人制定的工作计划完整，有紧急事件应急预案，能按时交付成果，满足采购需求，得4分； 4.投标人制定的工作计划简单，合理程度一般，不能保障按时交付成果，得1分； 5.其他或无效响应，得0分。</w:t>
            </w:r>
          </w:p>
        </w:tc>
      </w:tr>
      <w:tr>
        <w:tc>
          <w:tcPr>
            <w:tcW w:type="dxa" w:w="922"/>
            <w:gridSpan w:val="2"/>
            <w:vMerge/>
          </w:tcPr>
          <w:p/>
        </w:tc>
        <w:tc>
          <w:tcPr>
            <w:tcW w:type="dxa" w:w="2307"/>
          </w:tcPr>
          <w:p>
            <w:pPr>
              <w:pStyle w:val="null3"/>
              <w:jc w:val="left"/>
            </w:pPr>
            <w:r>
              <w:rPr/>
              <w:t>质量和技术保障措施、后期服务保障方案 (5.0分)</w:t>
            </w:r>
          </w:p>
        </w:tc>
        <w:tc>
          <w:tcPr>
            <w:tcW w:type="dxa" w:w="5076"/>
          </w:tcPr>
          <w:p>
            <w:pPr>
              <w:pStyle w:val="null3"/>
              <w:jc w:val="left"/>
            </w:pPr>
            <w:r>
              <w:rPr/>
              <w:t>根据投标人针对2.技术标准与要求中“十、质量保障措施”提供的“质量和技术保障措施、后期服务保障方案”（内容包括①专业技术团队保障、②质量管理措施及制度保障）进行评审： 1.专业技术团队配备齐全，质量管理措施及制度科学合理，后期服务保障方案可行性高，完全满足或优于采购需求，得5分； 2.专业技术团队基本配备齐全，质量管理措施及制度较合理，后期服务保障方案可行性一般，基本满足采购需求，得3分； 3.质量和技术保障措施、后期服务保障方案内容不够清晰，不完全满足采购需求，得1分； 4.其他或无效响应，得0分。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投标人自2022年1月1日以来承担过同类项目（同类是指城市设计类项目或控制性详细规划类项目），每项得2分，本分项最高得8分。 注：1. 同一个项目业绩不可累计得分，以合同签订时间为准，提供合同关键页（显示签订合同双方的单位名称、合同项目名称与签订合同双方的落款盖章、签订日期）复印件加盖投标人公章，否则不得分。2.联合体投标的，上述所有评审内容依据联合体牵头方提供有效文件作为评审依据。</w:t>
            </w:r>
          </w:p>
        </w:tc>
      </w:tr>
      <w:tr>
        <w:tc>
          <w:tcPr>
            <w:tcW w:type="dxa" w:w="922"/>
            <w:gridSpan w:val="2"/>
            <w:vMerge/>
          </w:tcPr>
          <w:p/>
        </w:tc>
        <w:tc>
          <w:tcPr>
            <w:tcW w:type="dxa" w:w="2307"/>
          </w:tcPr>
          <w:p>
            <w:pPr>
              <w:pStyle w:val="null3"/>
              <w:jc w:val="left"/>
            </w:pPr>
            <w:r>
              <w:rPr/>
              <w:t>项目总负责人专业技术能力 (4.0分)</w:t>
            </w:r>
          </w:p>
        </w:tc>
        <w:tc>
          <w:tcPr>
            <w:tcW w:type="dxa" w:w="5076"/>
          </w:tcPr>
          <w:p>
            <w:pPr>
              <w:pStyle w:val="null3"/>
              <w:jc w:val="left"/>
            </w:pPr>
            <w:r>
              <w:rPr/>
              <w:t>根据投标人拟派本项目总负责人（限1人）情况进行评审： 1.具备城市（乡）规划正高级（教授级）工程师职称，得4分； 2.具备城市（乡）规划高级工程师职称，得2分； 3.具备城市（乡）规划工程师职称或注册城乡规划师资格，得0.5分。 注：1.需提供职称复印件或网页查询截图（显示查询链接）及在投标人单位任职证明文件（投标截止日之前3个月内任意1个月的社保证明材料）复印件并加盖公章，否则不得分。 2.联合体投标的，上述所有评审内容依据联合体牵头方提供有效文件作为评审依据。</w:t>
            </w:r>
          </w:p>
        </w:tc>
      </w:tr>
      <w:tr>
        <w:tc>
          <w:tcPr>
            <w:tcW w:type="dxa" w:w="922"/>
            <w:gridSpan w:val="2"/>
            <w:vMerge/>
          </w:tcPr>
          <w:p/>
        </w:tc>
        <w:tc>
          <w:tcPr>
            <w:tcW w:type="dxa" w:w="2307"/>
          </w:tcPr>
          <w:p>
            <w:pPr>
              <w:pStyle w:val="null3"/>
              <w:jc w:val="left"/>
            </w:pPr>
            <w:r>
              <w:rPr/>
              <w:t>技术服务团队的专业能力 (16.0分)</w:t>
            </w:r>
          </w:p>
        </w:tc>
        <w:tc>
          <w:tcPr>
            <w:tcW w:type="dxa" w:w="5076"/>
          </w:tcPr>
          <w:p>
            <w:pPr>
              <w:pStyle w:val="null3"/>
              <w:jc w:val="left"/>
            </w:pPr>
            <w:r>
              <w:rPr/>
              <w:t>投标人拟派项目团队配备（除项目总负责人）情况： 1.项目团队具有城市（乡）规划教授级高级（或正高级）工程师职称，得4分；具有城市（乡）规划高级职称的，得2分；具有城市（乡）规划中级职称的，得0.5分。本小项最高得4分。 2.项目团队具有建筑设计或建筑学教授级高级（或正高级）工程师职称，得4分；具有建筑设计或建筑学高级职称，得2分；具有建筑设计或建筑学中级职称的，得0.5分。本小项最高得4分。 3.项目团队具有风景园林设计教授级高级（或正高级）工程师职称，得4分；具有风景园林设计高级职称，得2分；具有风景园林设计中级职称的，得0.5分。本小项最高得4分。 4.项目团队具有市政或交通专业的教授级高级（或正高级）工程师职称，得4分；具有市政或交通专业的高级职称，得2分；具有市政或交通专业中级职称的，得0.5分。本小项最高得4分。 每个人只计1个专业，以上四项累计最高得16分。 注：1.需提供职称复印件或网页查询截图（显示查询链接）及在投标人单位任职证明文件（投标截止日之前3个月内任意1个月的社保证明材料）复印件并加盖公章，否则不得分。同一人具备多个专业的，按一个专业计算，不重复计分。 2.联合体投标的，上述所有评审内容依据联合体牵头方提供有效文件作为评审依据。</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投标人具备有效期内质量管理体系认证证书的，得2分。 注：（1）提供通过认证或在有效期内的：①组成联合体投标的，则联合体任何一方具有均可、②认证证书复印件、③在国家认监委网站（网址：http://www.cnca.gov.cn/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 号）文件要求，本项目采取“评审扣分”诚信管理运用措施，即投标供应商该项目评审因素得分=诚信记录得分×5%。 注：1.在评审活动开始前，由采购代理机构通过广东政府采购网“其他监管检查公告”栏和韶关市财政局政务信息公开网站“政府采购”栏查询投标（响应）供应商诚信状况（即有效期内的诚信记录得分），提供给评审委员会，由评审委员会根据采购文件的规定进行评审。 2.首次参加韶关市政府采购活动的供应商诚信管理基础得分为100 分，在广东政府采购网“其他监管检查公告”栏和韶关市财政局政务信息公开网站“政府采购”栏查询不到相关供应商扣分记录的，视为该供应商年度诚信记录得分为100 分。 3.两个以上的自然人、法人或者其他组织组成一个联合体，以一个供应商的身份共同参加政府采购活动的，应当对所有联合体成员进行诚信记录查询，诚信记录得分以联合体成员的诚信记录平均得分参与评审。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sz w:val="24"/>
          <w:b/>
          <w:u w:val="single"/>
        </w:rPr>
        <w:t xml:space="preserve">                           </w:t>
      </w:r>
    </w:p>
    <w:p>
      <w:pPr>
        <w:pStyle w:val="null3"/>
        <w:ind w:firstLine="482"/>
        <w:jc w:val="both"/>
      </w:pPr>
      <w:r>
        <w:rPr>
          <w:sz w:val="24"/>
          <w:b/>
        </w:rPr>
        <w:t>乙方：</w:t>
      </w:r>
      <w:r>
        <w:rPr>
          <w:sz w:val="24"/>
          <w:b/>
          <w:u w:val="single"/>
        </w:rPr>
        <w:t xml:space="preserve">                           </w:t>
      </w:r>
      <w:r>
        <w:rPr>
          <w:sz w:val="24"/>
        </w:rPr>
        <w:t xml:space="preserve">   </w:t>
      </w:r>
    </w:p>
    <w:p>
      <w:pPr>
        <w:pStyle w:val="null3"/>
        <w:ind w:firstLine="470"/>
        <w:jc w:val="both"/>
      </w:pPr>
      <w:r>
        <w:rPr>
          <w:sz w:val="24"/>
        </w:rPr>
        <w:t>根据</w:t>
      </w:r>
      <w:r>
        <w:rPr>
          <w:sz w:val="24"/>
          <w:b/>
          <w:u w:val="single"/>
        </w:rPr>
        <w:t xml:space="preserve">                         </w:t>
      </w:r>
      <w:r>
        <w:rPr>
          <w:sz w:val="24"/>
        </w:rPr>
        <w:t xml:space="preserve"> 采购结果，按照《中华人民共和国政府采购法》和《中华人民共和国民法典</w:t>
      </w:r>
      <w:r>
        <w:rPr>
          <w:sz w:val="24"/>
        </w:rPr>
        <w:t>（合同编）</w:t>
      </w:r>
      <w:r>
        <w:rPr>
          <w:sz w:val="24"/>
        </w:rPr>
        <w:t>》的规定，经双方协商，本着平等互利和诚实信用的原则，一致同意签订本合同如下。</w:t>
      </w:r>
    </w:p>
    <w:p>
      <w:pPr>
        <w:pStyle w:val="null3"/>
        <w:jc w:val="both"/>
      </w:pPr>
      <w:r>
        <w:rPr>
          <w:sz w:val="24"/>
          <w:b/>
        </w:rPr>
        <w:t>一、合同金额</w:t>
      </w:r>
      <w:r>
        <w:rPr>
          <w:sz w:val="24"/>
        </w:rPr>
        <w:t>：</w:t>
      </w:r>
      <w:r>
        <w:rPr>
          <w:sz w:val="24"/>
          <w:u w:val="single"/>
        </w:rPr>
        <w:t xml:space="preserve">                   </w:t>
      </w:r>
      <w:r>
        <w:rPr>
          <w:sz w:val="24"/>
        </w:rPr>
        <w:t>元，大写金额：</w:t>
      </w:r>
      <w:r>
        <w:rPr>
          <w:sz w:val="24"/>
          <w:u w:val="single"/>
        </w:rPr>
        <w:t xml:space="preserve">                   </w:t>
      </w:r>
      <w:r>
        <w:rPr>
          <w:sz w:val="24"/>
        </w:rPr>
        <w:t>。</w:t>
      </w:r>
    </w:p>
    <w:p>
      <w:pPr>
        <w:pStyle w:val="null3"/>
        <w:ind w:firstLine="470"/>
        <w:jc w:val="both"/>
      </w:pPr>
      <w:r>
        <w:rPr>
          <w:sz w:val="24"/>
        </w:rPr>
        <w:t>注：合同价包括履行本合同的一切直接和间接费用，在项目实施所需的资料打印产生的费用，以及实地考察、会务费用、归档等与该项目相关工作产生的费用。</w:t>
      </w:r>
    </w:p>
    <w:p>
      <w:pPr>
        <w:pStyle w:val="null3"/>
        <w:jc w:val="both"/>
      </w:pPr>
      <w:r>
        <w:rPr>
          <w:sz w:val="24"/>
          <w:b/>
        </w:rPr>
        <w:t>二、服务时间：</w:t>
      </w:r>
      <w:r>
        <w:rPr>
          <w:sz w:val="24"/>
        </w:rPr>
        <w:t>自双方签订合同之日起一年。</w:t>
      </w:r>
    </w:p>
    <w:p>
      <w:pPr>
        <w:pStyle w:val="null3"/>
        <w:jc w:val="both"/>
      </w:pPr>
      <w:r>
        <w:rPr>
          <w:sz w:val="24"/>
          <w:b/>
        </w:rPr>
        <w:t>三、服务地点</w:t>
      </w:r>
      <w:r>
        <w:rPr>
          <w:sz w:val="24"/>
        </w:rPr>
        <w:t>：甲方指定地点</w:t>
      </w:r>
    </w:p>
    <w:p>
      <w:pPr>
        <w:pStyle w:val="null3"/>
        <w:jc w:val="both"/>
      </w:pPr>
      <w:r>
        <w:rPr>
          <w:sz w:val="24"/>
          <w:b/>
        </w:rPr>
        <w:t>四、工作范围</w:t>
      </w:r>
    </w:p>
    <w:p>
      <w:pPr>
        <w:pStyle w:val="null3"/>
        <w:ind w:firstLine="480"/>
        <w:jc w:val="both"/>
      </w:pPr>
      <w:r>
        <w:rPr>
          <w:sz w:val="24"/>
        </w:rPr>
        <w:t>规划研究范围位于武江区芙蓉新城滨江区域，范围总面积约240公顷。具体范围结合项目实际情况，以甲方意见为准。</w:t>
      </w:r>
    </w:p>
    <w:p>
      <w:pPr>
        <w:pStyle w:val="null3"/>
      </w:pPr>
      <w:r>
        <w:rPr>
          <w:sz w:val="24"/>
          <w:b/>
        </w:rPr>
        <w:t>五、法律法规和相关规划</w:t>
      </w:r>
    </w:p>
    <w:p>
      <w:pPr>
        <w:pStyle w:val="null3"/>
        <w:ind w:firstLine="480"/>
        <w:jc w:val="both"/>
      </w:pPr>
      <w:r>
        <w:rPr>
          <w:sz w:val="24"/>
        </w:rPr>
        <w:t>1.《中华人民共和国城乡规划法》（2019）</w:t>
      </w:r>
    </w:p>
    <w:p>
      <w:pPr>
        <w:pStyle w:val="null3"/>
        <w:ind w:firstLine="480"/>
        <w:jc w:val="both"/>
      </w:pPr>
      <w:r>
        <w:rPr>
          <w:sz w:val="24"/>
        </w:rPr>
        <w:t>2.《中华人民共和国土地管理法》（2019年修订）</w:t>
      </w:r>
    </w:p>
    <w:p>
      <w:pPr>
        <w:pStyle w:val="null3"/>
        <w:ind w:firstLine="480"/>
        <w:jc w:val="both"/>
      </w:pPr>
      <w:r>
        <w:rPr>
          <w:sz w:val="24"/>
        </w:rPr>
        <w:t>3.《中华人民共和国环境保护法》（2015年）</w:t>
      </w:r>
    </w:p>
    <w:p>
      <w:pPr>
        <w:pStyle w:val="null3"/>
        <w:ind w:firstLine="480"/>
        <w:jc w:val="both"/>
      </w:pPr>
      <w:r>
        <w:rPr>
          <w:sz w:val="24"/>
        </w:rPr>
        <w:t>4.《基本农田保护条例》（2011年修订）</w:t>
      </w:r>
    </w:p>
    <w:p>
      <w:pPr>
        <w:pStyle w:val="null3"/>
        <w:ind w:firstLine="480"/>
        <w:jc w:val="both"/>
      </w:pPr>
      <w:r>
        <w:rPr>
          <w:sz w:val="24"/>
        </w:rPr>
        <w:t>5.《韶关市国土空间总体规划（2021—2035年）》</w:t>
      </w:r>
    </w:p>
    <w:p>
      <w:pPr>
        <w:pStyle w:val="null3"/>
        <w:ind w:firstLine="480"/>
        <w:jc w:val="both"/>
      </w:pPr>
      <w:r>
        <w:rPr>
          <w:sz w:val="24"/>
        </w:rPr>
        <w:t>6.其他相关规划</w:t>
      </w:r>
    </w:p>
    <w:p>
      <w:pPr>
        <w:pStyle w:val="null3"/>
      </w:pPr>
      <w:r>
        <w:rPr>
          <w:sz w:val="24"/>
          <w:b/>
        </w:rPr>
        <w:t>六、规划原则</w:t>
      </w:r>
    </w:p>
    <w:p>
      <w:pPr>
        <w:pStyle w:val="null3"/>
        <w:ind w:firstLine="480"/>
        <w:jc w:val="both"/>
      </w:pPr>
      <w:r>
        <w:rPr>
          <w:sz w:val="24"/>
        </w:rPr>
        <w:t>1.坚持规划引领，以人为本</w:t>
      </w:r>
    </w:p>
    <w:p>
      <w:pPr>
        <w:pStyle w:val="null3"/>
        <w:ind w:firstLine="480"/>
        <w:jc w:val="both"/>
      </w:pPr>
      <w:r>
        <w:rPr>
          <w:sz w:val="24"/>
        </w:rPr>
        <w:t>从规划、交通、景观、建筑等多专业出发，深入研究项目范围空间区位、交通条件、历史文化、生态资源、产业基础和发展需求，以人为核心，多角度提出针对性的规划策略。结合国内外先进城市建设经验，对片区发展定位、业态分析及功能布局、空间进行引导。</w:t>
      </w:r>
    </w:p>
    <w:p>
      <w:pPr>
        <w:pStyle w:val="null3"/>
        <w:ind w:firstLine="480"/>
        <w:jc w:val="both"/>
      </w:pPr>
      <w:r>
        <w:rPr>
          <w:sz w:val="24"/>
        </w:rPr>
        <w:t>2.坚持统筹协调，落地实施</w:t>
      </w:r>
    </w:p>
    <w:p>
      <w:pPr>
        <w:pStyle w:val="null3"/>
        <w:ind w:firstLine="480"/>
        <w:jc w:val="both"/>
      </w:pPr>
      <w:r>
        <w:rPr>
          <w:sz w:val="24"/>
        </w:rPr>
        <w:t>在深入摸查现状资源条件、建筑物及用地权属情况的基础上，因地制宜完成规划方案，谋划可实施项目，为后续建设实施落地提供保障。加强与已编制控规、城市设计的协调，加强规划管控，引导片区项目有序建设实施。</w:t>
      </w:r>
    </w:p>
    <w:p>
      <w:pPr>
        <w:pStyle w:val="null3"/>
        <w:ind w:firstLine="480"/>
        <w:jc w:val="both"/>
      </w:pPr>
      <w:r>
        <w:rPr>
          <w:sz w:val="24"/>
        </w:rPr>
        <w:t>3.坚持功能提升，创新集聚</w:t>
      </w:r>
    </w:p>
    <w:p>
      <w:pPr>
        <w:pStyle w:val="null3"/>
        <w:ind w:firstLine="480"/>
        <w:jc w:val="both"/>
      </w:pPr>
      <w:r>
        <w:rPr>
          <w:sz w:val="24"/>
        </w:rPr>
        <w:t>坚持创新在高质量发展中的核心地位，谋划创新平台，进一步集聚新要素、新业态、新功能，优化空间布局。</w:t>
      </w:r>
    </w:p>
    <w:p>
      <w:pPr>
        <w:pStyle w:val="null3"/>
      </w:pPr>
      <w:r>
        <w:rPr>
          <w:sz w:val="24"/>
          <w:b/>
        </w:rPr>
        <w:t>七、工作内容</w:t>
      </w:r>
    </w:p>
    <w:p>
      <w:pPr>
        <w:pStyle w:val="null3"/>
        <w:ind w:firstLine="480"/>
        <w:jc w:val="both"/>
      </w:pPr>
      <w:r>
        <w:rPr>
          <w:sz w:val="24"/>
        </w:rPr>
        <w:t>结合地块实际建设情况与规划情况，开展城市设计规划研究，通过科学策划和精细化设计整体提升片区空间环境和风貌品质，引领片区发展。主要内容如下：</w:t>
      </w:r>
    </w:p>
    <w:p>
      <w:pPr>
        <w:pStyle w:val="null3"/>
        <w:ind w:firstLine="480"/>
        <w:jc w:val="both"/>
      </w:pPr>
      <w:r>
        <w:rPr>
          <w:sz w:val="24"/>
        </w:rPr>
        <w:t>1.现状及规划研究</w:t>
      </w:r>
    </w:p>
    <w:p>
      <w:pPr>
        <w:pStyle w:val="null3"/>
        <w:ind w:firstLine="480"/>
        <w:jc w:val="both"/>
      </w:pPr>
      <w:r>
        <w:rPr>
          <w:sz w:val="24"/>
        </w:rPr>
        <w:t>针对片区发展现状开展分析研究，综合分析片区区位特点、建设现状、资源禀赋、交通市政公服设施现状、区域发展需求等内容。开展片区相关规划梳理，分析研究国土空间总体规划、生态廊道总体规划、河涌水系规划、工业产业区块规划等上位规划和相关规划要求，并对现行控制性详细规划实施情况开展评估，分析规划实施过程中存在问题及需优化提升的相关要点。</w:t>
      </w:r>
    </w:p>
    <w:p>
      <w:pPr>
        <w:pStyle w:val="null3"/>
        <w:ind w:firstLine="480"/>
        <w:jc w:val="both"/>
      </w:pPr>
      <w:r>
        <w:rPr>
          <w:sz w:val="24"/>
        </w:rPr>
        <w:t>2.产业发展研究</w:t>
      </w:r>
    </w:p>
    <w:p>
      <w:pPr>
        <w:pStyle w:val="null3"/>
        <w:ind w:firstLine="480"/>
        <w:jc w:val="both"/>
      </w:pPr>
      <w:r>
        <w:rPr>
          <w:sz w:val="24"/>
        </w:rPr>
        <w:t>对市域及片区产业基础、产业发展方向进行综合研究，分析片区未来产业发展体系。结合国内外其他城市案例及经验，提出片区产业发展目标、功能定位、发展规模等相关建议。</w:t>
      </w:r>
    </w:p>
    <w:p>
      <w:pPr>
        <w:pStyle w:val="null3"/>
        <w:ind w:firstLine="480"/>
        <w:jc w:val="both"/>
      </w:pPr>
      <w:r>
        <w:rPr>
          <w:sz w:val="24"/>
        </w:rPr>
        <w:t>3.片区整体城市设计</w:t>
      </w:r>
    </w:p>
    <w:p>
      <w:pPr>
        <w:pStyle w:val="null3"/>
        <w:ind w:firstLine="480"/>
        <w:jc w:val="both"/>
      </w:pPr>
      <w:r>
        <w:rPr>
          <w:sz w:val="24"/>
        </w:rPr>
        <w:t>为保障片区城市空间高质量、精细规划建设，提高片区控制性详细规划落地实施性，参照修规深度开展片区城市设计。</w:t>
      </w:r>
    </w:p>
    <w:p>
      <w:pPr>
        <w:pStyle w:val="null3"/>
        <w:ind w:firstLine="480"/>
        <w:jc w:val="both"/>
      </w:pPr>
      <w:r>
        <w:rPr>
          <w:sz w:val="24"/>
        </w:rPr>
        <w:t>（1）整体空间形态：总体把控片区城市空间形态，突出体现该地区在城市中的重要地位，处理好各类公共区域、开敞空间、视点、视廊等的空间关系，创造富有活力的空间层次和形态肌理。</w:t>
      </w:r>
    </w:p>
    <w:p>
      <w:pPr>
        <w:pStyle w:val="null3"/>
        <w:ind w:firstLine="480"/>
        <w:jc w:val="both"/>
      </w:pPr>
      <w:r>
        <w:rPr>
          <w:sz w:val="24"/>
        </w:rPr>
        <w:t>（2）开放空间体系：以人为本，尊重现状滨水和绿地空间要素，构建富有区域特色、体系完整且具有标识性的绿地景观系统及公共空间系统。</w:t>
      </w:r>
    </w:p>
    <w:p>
      <w:pPr>
        <w:pStyle w:val="null3"/>
        <w:ind w:firstLine="480"/>
        <w:jc w:val="both"/>
      </w:pPr>
      <w:r>
        <w:rPr>
          <w:sz w:val="24"/>
        </w:rPr>
        <w:t>（3）城市界面和天际线：加强街道、滨水空间及其他开敞空间的界面控制，分析界面构成要素，明确界面景观特征，对界面基准线、沿线建筑的风貌和体量布局等提出引导控制要求。</w:t>
      </w:r>
    </w:p>
    <w:p>
      <w:pPr>
        <w:pStyle w:val="null3"/>
        <w:ind w:firstLine="480"/>
        <w:jc w:val="both"/>
      </w:pPr>
      <w:r>
        <w:rPr>
          <w:sz w:val="24"/>
        </w:rPr>
        <w:t>（4）建筑形态控制：分析规划范围内城市和建筑风貌特征，对建筑布局方式、群体形象、体量、高度、建筑退界等提出引导控制要求。</w:t>
      </w:r>
    </w:p>
    <w:p>
      <w:pPr>
        <w:pStyle w:val="null3"/>
        <w:ind w:firstLine="480"/>
        <w:jc w:val="both"/>
      </w:pPr>
      <w:r>
        <w:rPr>
          <w:sz w:val="24"/>
        </w:rPr>
        <w:t>（5）景观环境优化：提出景观环境整体风格和重要节点、路径布局，提出环境设施的布局、风格等引导控制要求。</w:t>
      </w:r>
    </w:p>
    <w:p>
      <w:pPr>
        <w:pStyle w:val="null3"/>
        <w:ind w:firstLine="480"/>
        <w:jc w:val="both"/>
      </w:pPr>
      <w:r>
        <w:rPr>
          <w:sz w:val="24"/>
        </w:rPr>
        <w:t>（6）交通组织：组织片区交通，形成主次分明、快慢有序的片区综合交通体系。</w:t>
      </w:r>
    </w:p>
    <w:p>
      <w:pPr>
        <w:pStyle w:val="null3"/>
        <w:ind w:firstLine="480"/>
        <w:jc w:val="both"/>
      </w:pPr>
      <w:r>
        <w:rPr>
          <w:sz w:val="24"/>
        </w:rPr>
        <w:t>4.片区发展实施策划</w:t>
      </w:r>
    </w:p>
    <w:p>
      <w:pPr>
        <w:pStyle w:val="null3"/>
        <w:ind w:firstLine="480"/>
        <w:jc w:val="both"/>
      </w:pPr>
      <w:r>
        <w:rPr>
          <w:sz w:val="24"/>
        </w:rPr>
        <w:t>结合土地储备情况及开发需求，提出土地储备与发展策略，结合产业发展、道路交通、市政及公共服务配套、景观提升等方面梳理片区内实施项目清单，制定片区开发实施计划。</w:t>
      </w:r>
    </w:p>
    <w:p>
      <w:pPr>
        <w:pStyle w:val="null3"/>
        <w:jc w:val="both"/>
      </w:pPr>
      <w:r>
        <w:rPr>
          <w:sz w:val="24"/>
          <w:b/>
        </w:rPr>
        <w:t>八、成果要求</w:t>
      </w:r>
    </w:p>
    <w:p>
      <w:pPr>
        <w:pStyle w:val="null3"/>
        <w:ind w:firstLine="480"/>
        <w:jc w:val="both"/>
      </w:pPr>
      <w:r>
        <w:rPr>
          <w:sz w:val="24"/>
        </w:rPr>
        <w:t>成果必须符合本项目采购需求要求。成果内容要点清晰、完整，具备实操性，应符合任务书规定的深度要求，能够发挥设计对实施的指导作用。</w:t>
      </w:r>
    </w:p>
    <w:p>
      <w:pPr>
        <w:pStyle w:val="null3"/>
        <w:jc w:val="both"/>
      </w:pPr>
      <w:r>
        <w:rPr>
          <w:sz w:val="24"/>
          <w:b/>
        </w:rPr>
        <w:t>九、成果格式要求</w:t>
      </w:r>
    </w:p>
    <w:p>
      <w:pPr>
        <w:pStyle w:val="null3"/>
        <w:ind w:firstLine="480"/>
        <w:jc w:val="both"/>
      </w:pPr>
      <w:r>
        <w:rPr>
          <w:sz w:val="24"/>
        </w:rPr>
        <w:t>成果形式包括纸质文件、电子文件两种形式提供，具体要求如下：</w:t>
      </w:r>
    </w:p>
    <w:p>
      <w:pPr>
        <w:pStyle w:val="null3"/>
        <w:ind w:firstLine="480"/>
        <w:jc w:val="both"/>
      </w:pPr>
      <w:r>
        <w:rPr>
          <w:sz w:val="24"/>
        </w:rPr>
        <w:t>（1）汇报文件、规划文本规格以A3（297mm×420mm）为主，相关图件和表格规格根据表达需要合理确定，力求清晰、完整，标注齐全、准确，同类图纸规格尽量统一。文本和图表合订为一本完整的书面成果。</w:t>
      </w:r>
    </w:p>
    <w:p>
      <w:pPr>
        <w:pStyle w:val="null3"/>
        <w:ind w:firstLine="480"/>
        <w:jc w:val="both"/>
      </w:pPr>
      <w:r>
        <w:rPr>
          <w:sz w:val="24"/>
        </w:rPr>
        <w:t>（2）电子文件以光盘或U盘的形式提供，图形文件按甲方要求格式提供。</w:t>
      </w:r>
    </w:p>
    <w:p>
      <w:pPr>
        <w:pStyle w:val="null3"/>
        <w:jc w:val="both"/>
      </w:pPr>
      <w:r>
        <w:rPr>
          <w:sz w:val="24"/>
          <w:b/>
        </w:rPr>
        <w:t>十、进度要求</w:t>
      </w:r>
    </w:p>
    <w:p>
      <w:pPr>
        <w:pStyle w:val="null3"/>
        <w:ind w:firstLine="480"/>
        <w:jc w:val="both"/>
      </w:pPr>
      <w:r>
        <w:rPr>
          <w:sz w:val="24"/>
        </w:rPr>
        <w:t>1.总体分为以下三个阶段：</w:t>
      </w:r>
    </w:p>
    <w:p>
      <w:pPr>
        <w:pStyle w:val="null3"/>
        <w:ind w:firstLine="480"/>
        <w:jc w:val="both"/>
      </w:pPr>
      <w:r>
        <w:rPr>
          <w:sz w:val="24"/>
        </w:rPr>
        <w:t>（1）合同签订后 60日历天内提交初步方案；</w:t>
      </w:r>
    </w:p>
    <w:p>
      <w:pPr>
        <w:pStyle w:val="null3"/>
        <w:ind w:firstLine="480"/>
        <w:jc w:val="both"/>
      </w:pPr>
      <w:r>
        <w:rPr>
          <w:sz w:val="24"/>
        </w:rPr>
        <w:t>（2）初步方案经与甲方沟通并修改完善后 60日历天内提交中期成果；</w:t>
      </w:r>
    </w:p>
    <w:p>
      <w:pPr>
        <w:pStyle w:val="null3"/>
        <w:ind w:firstLine="480"/>
        <w:jc w:val="both"/>
      </w:pPr>
      <w:r>
        <w:rPr>
          <w:sz w:val="24"/>
        </w:rPr>
        <w:t>（3）中期成果通过专家评审会后 60日历天内修改完善提交最终成果。</w:t>
      </w:r>
    </w:p>
    <w:p>
      <w:pPr>
        <w:pStyle w:val="null3"/>
        <w:ind w:firstLine="480"/>
        <w:jc w:val="both"/>
      </w:pPr>
      <w:r>
        <w:rPr>
          <w:sz w:val="24"/>
        </w:rPr>
        <w:t>2.最终项目成果已完成提交但合同履行期限未结束的，若有发生国家、广东省相关政策变动调整的情况，乙方仍需及时对已完成的项目研究成果进行更新、修改、完善并提交甲方使用。</w:t>
      </w:r>
    </w:p>
    <w:p>
      <w:pPr>
        <w:pStyle w:val="null3"/>
      </w:pPr>
      <w:r>
        <w:rPr>
          <w:sz w:val="24"/>
          <w:b/>
        </w:rPr>
        <w:t>十一、人员配置</w:t>
      </w:r>
    </w:p>
    <w:p>
      <w:pPr>
        <w:pStyle w:val="null3"/>
        <w:ind w:firstLine="480"/>
        <w:jc w:val="both"/>
      </w:pPr>
      <w:r>
        <w:rPr>
          <w:sz w:val="24"/>
        </w:rPr>
        <w:t>1.本项目需配备一名具有较强组织协调能力和较高分析、解决问题能力的项目负责人，能够统筹项目管理、技术管理。项目负责人具有城市（乡）规划高级工程师职称。</w:t>
      </w:r>
    </w:p>
    <w:p>
      <w:pPr>
        <w:pStyle w:val="null3"/>
        <w:ind w:firstLine="480"/>
        <w:jc w:val="both"/>
      </w:pPr>
      <w:r>
        <w:rPr>
          <w:sz w:val="24"/>
        </w:rPr>
        <w:t>2.配备城市（乡）规划、建筑设计或建筑学、风景园林设计、市政类、交通等专业职称人员开展本项目并提供技术支持，能够充分理解项目需求，完成工作任务。</w:t>
      </w:r>
    </w:p>
    <w:p>
      <w:pPr>
        <w:pStyle w:val="null3"/>
        <w:ind w:firstLine="480"/>
        <w:jc w:val="both"/>
      </w:pPr>
      <w:r>
        <w:rPr>
          <w:sz w:val="24"/>
        </w:rPr>
        <w:t>3.项目负责人应是该项目实施全过程的真正组织者和指导者，担负实质性工作，挂名或不担负实质性工作的人不得作为项目负责人参与本项目。关键节点，如专题汇报、技术审查等需项目负责人本人到场。</w:t>
      </w:r>
    </w:p>
    <w:p>
      <w:pPr>
        <w:pStyle w:val="null3"/>
      </w:pPr>
      <w:r>
        <w:rPr>
          <w:sz w:val="24"/>
          <w:b/>
        </w:rPr>
        <w:t>十二、保密要求</w:t>
      </w:r>
    </w:p>
    <w:p>
      <w:pPr>
        <w:pStyle w:val="null3"/>
        <w:ind w:firstLine="480"/>
        <w:jc w:val="both"/>
      </w:pPr>
      <w:r>
        <w:rPr>
          <w:sz w:val="24"/>
        </w:rPr>
        <w:t>1.乙方制定安全保障措施、项目保密管理制度，对在工作过程中接触到的甲方的任何资料、文件、数据（无论是书面形式的还是电子版的），以及为甲方服务形成的任何交付物，负有保密的责任。未经甲方书面同意，乙方不得以任何方式向任何第三方提供或透露。</w:t>
      </w:r>
    </w:p>
    <w:p>
      <w:pPr>
        <w:pStyle w:val="null3"/>
        <w:ind w:firstLine="480"/>
        <w:jc w:val="both"/>
      </w:pPr>
      <w:r>
        <w:rPr>
          <w:sz w:val="24"/>
        </w:rPr>
        <w:t>2.乙方不得将涉密资料在计算机互联网、政务网等非涉密网络上传输、登载。</w:t>
      </w:r>
    </w:p>
    <w:p>
      <w:pPr>
        <w:pStyle w:val="null3"/>
        <w:ind w:firstLine="480"/>
        <w:jc w:val="both"/>
      </w:pPr>
      <w:r>
        <w:rPr>
          <w:sz w:val="24"/>
        </w:rPr>
        <w:t>3.乙方发生涉密资料外传、丢失、被盗或者造成泄密事故的，应采取有效措施，及时补救，并及时向甲方报告；否则所造成的后果均由乙方承担。</w:t>
      </w:r>
    </w:p>
    <w:p>
      <w:pPr>
        <w:pStyle w:val="null3"/>
      </w:pPr>
      <w:r>
        <w:rPr>
          <w:sz w:val="24"/>
          <w:b/>
        </w:rPr>
        <w:t>十三、验收要求</w:t>
      </w:r>
    </w:p>
    <w:p>
      <w:pPr>
        <w:pStyle w:val="null3"/>
        <w:ind w:firstLine="480"/>
        <w:jc w:val="both"/>
      </w:pPr>
      <w:r>
        <w:rPr>
          <w:sz w:val="24"/>
        </w:rPr>
        <w:t>1.履约验收主体：甲方。</w:t>
      </w:r>
    </w:p>
    <w:p>
      <w:pPr>
        <w:pStyle w:val="null3"/>
        <w:ind w:firstLine="480"/>
        <w:jc w:val="both"/>
      </w:pPr>
      <w:r>
        <w:rPr>
          <w:sz w:val="24"/>
        </w:rPr>
        <w:t>2.履约验收时间：乙方应按照约定时间节点提交成果文件，甲方在收到文件后应及时开展审核验收工作。</w:t>
      </w:r>
    </w:p>
    <w:p>
      <w:pPr>
        <w:pStyle w:val="null3"/>
        <w:ind w:firstLine="480"/>
        <w:jc w:val="both"/>
      </w:pPr>
      <w:r>
        <w:rPr>
          <w:sz w:val="24"/>
        </w:rPr>
        <w:t>3.履约验收方式：分阶段验收。</w:t>
      </w:r>
    </w:p>
    <w:p>
      <w:pPr>
        <w:pStyle w:val="null3"/>
        <w:ind w:firstLine="480"/>
        <w:jc w:val="both"/>
      </w:pPr>
      <w:r>
        <w:rPr>
          <w:sz w:val="24"/>
        </w:rPr>
        <w:t>4.验收程序：乙方应按照约定时间节点提交成果文件，甲方在收到文件后应及时开展审核验收工作。成果文件经甲方验收通过的，即视为乙方已全面履行本合同项下相应义务。若文件存在需补充完善之处，乙方应按照甲方合理要求予以整改，整改完成并通过验收后，甲方应按合同约定足额支付对应款项。因不可抗力或其他合理事由导致乙方无法在规定期限内完成整改并通过验收的，经双方友好协商且取得甲方书面同意后，整改期限可相应顺延，顺延期间不影响乙方后续款项的正常支付。未经双方协商一致，甲方不得单方解除合同或拒绝支付相应款项。</w:t>
      </w:r>
    </w:p>
    <w:p>
      <w:pPr>
        <w:pStyle w:val="null3"/>
        <w:ind w:firstLine="480"/>
        <w:jc w:val="both"/>
      </w:pPr>
      <w:r>
        <w:rPr>
          <w:sz w:val="24"/>
        </w:rPr>
        <w:t>5.履约验收内容：依据招标文件的服务要求、乙方的投标文件及承诺与本合同约定进行验收。</w:t>
      </w:r>
    </w:p>
    <w:p>
      <w:pPr>
        <w:pStyle w:val="null3"/>
        <w:ind w:firstLine="480"/>
        <w:jc w:val="both"/>
      </w:pPr>
      <w:r>
        <w:rPr>
          <w:sz w:val="24"/>
        </w:rPr>
        <w:t>6.验收标准：审核由甲方组织相关人员依照有关标准、项目及合同要求进行。</w:t>
      </w:r>
    </w:p>
    <w:p>
      <w:pPr>
        <w:pStyle w:val="null3"/>
        <w:ind w:firstLine="480"/>
        <w:jc w:val="both"/>
      </w:pPr>
      <w:r>
        <w:rPr>
          <w:sz w:val="24"/>
        </w:rPr>
        <w:t>7.争议处理：因验收发生争议时，由验收小组报甲方党组会审定。</w:t>
      </w:r>
    </w:p>
    <w:p>
      <w:pPr>
        <w:pStyle w:val="null3"/>
      </w:pPr>
      <w:r>
        <w:rPr>
          <w:sz w:val="24"/>
          <w:b/>
        </w:rPr>
        <w:t>十四、付款方式</w:t>
      </w:r>
    </w:p>
    <w:p>
      <w:pPr>
        <w:pStyle w:val="null3"/>
        <w:ind w:firstLine="480"/>
        <w:jc w:val="both"/>
      </w:pPr>
      <w:r>
        <w:rPr>
          <w:sz w:val="24"/>
        </w:rPr>
        <w:t>第1期：支付比例30%，合同签订后5个工作日内，甲方向乙方支付合同总金额30%作为预付款。</w:t>
      </w:r>
    </w:p>
    <w:p>
      <w:pPr>
        <w:pStyle w:val="null3"/>
        <w:ind w:firstLine="480"/>
        <w:jc w:val="both"/>
      </w:pPr>
      <w:r>
        <w:rPr>
          <w:sz w:val="24"/>
        </w:rPr>
        <w:t>第2期：支付比例40%，项目通过专家评审后10个工作日内支付乙方合同总额的40%。</w:t>
      </w:r>
    </w:p>
    <w:p>
      <w:pPr>
        <w:pStyle w:val="null3"/>
        <w:ind w:firstLine="480"/>
        <w:jc w:val="both"/>
      </w:pPr>
      <w:r>
        <w:rPr>
          <w:sz w:val="24"/>
        </w:rPr>
        <w:t>第3期：支付比例30%，项目通过市国土空间规划委员会审议，并修改完善、提交最终成果， 经甲方同意结题且甲方收到发票后10个工作日内支付乙方合同总额的30%。</w:t>
      </w:r>
    </w:p>
    <w:p>
      <w:pPr>
        <w:pStyle w:val="null3"/>
        <w:ind w:firstLine="480"/>
        <w:jc w:val="both"/>
      </w:pPr>
      <w:r>
        <w:rPr>
          <w:sz w:val="24"/>
        </w:rPr>
        <w:t>注：1.上述每期款项支付前，乙方均应向甲方提供请款申报材料（如需）及相应金额的合法有效的发票，否则，甲方有权拒绝支付相应的款项，并不构成违约。</w:t>
      </w:r>
    </w:p>
    <w:p>
      <w:pPr>
        <w:pStyle w:val="null3"/>
        <w:ind w:firstLine="480"/>
        <w:jc w:val="both"/>
      </w:pPr>
      <w:r>
        <w:rPr>
          <w:sz w:val="24"/>
        </w:rPr>
        <w:t>2.因甲方用的是财政资金，甲方在前款规定的付款时间向政府采购支付部门提出办理财政支付申请手续的时间（不含政府支付部门审核的时间），在前述规定时间内提出办理支付申请手续后，甲方不承担逾期支付的违约责任。</w:t>
      </w:r>
    </w:p>
    <w:p>
      <w:pPr>
        <w:pStyle w:val="null3"/>
      </w:pPr>
      <w:r>
        <w:rPr>
          <w:sz w:val="24"/>
          <w:b/>
        </w:rPr>
        <w:t>十五、违约责任及损失赔偿</w:t>
      </w:r>
    </w:p>
    <w:p>
      <w:pPr>
        <w:pStyle w:val="null3"/>
        <w:ind w:firstLine="480"/>
        <w:jc w:val="both"/>
      </w:pPr>
      <w:r>
        <w:rPr>
          <w:sz w:val="24"/>
        </w:rPr>
        <w:t>1.乙方未能按本采购文件要求的时间提供服务的，从逾期之日起，每日按成交金额的</w:t>
      </w:r>
      <w:r>
        <w:rPr>
          <w:sz w:val="24"/>
          <w:u w:val="single"/>
        </w:rPr>
        <w:t xml:space="preserve">    </w:t>
      </w:r>
      <w:r>
        <w:rPr>
          <w:sz w:val="24"/>
        </w:rPr>
        <w:t>‰向甲方支付违约金；逾期半月以上的，甲方有权终止合同，由此对甲方造成的由乙方承担。</w:t>
      </w:r>
    </w:p>
    <w:p>
      <w:pPr>
        <w:pStyle w:val="null3"/>
        <w:ind w:firstLine="480"/>
        <w:jc w:val="both"/>
      </w:pPr>
      <w:r>
        <w:rPr>
          <w:sz w:val="24"/>
        </w:rPr>
        <w:t>2.甲方无正当理由拒绝接受服务的，甲方向乙方赔付成交金额的</w:t>
      </w:r>
      <w:r>
        <w:rPr>
          <w:sz w:val="24"/>
          <w:u w:val="single"/>
        </w:rPr>
        <w:t xml:space="preserve">    </w:t>
      </w:r>
      <w:r>
        <w:rPr>
          <w:sz w:val="24"/>
        </w:rPr>
        <w:t>%作为违约金；甲方到期拒付合同款项的，则每日按逾期金额的</w:t>
      </w:r>
      <w:r>
        <w:rPr>
          <w:sz w:val="24"/>
          <w:u w:val="single"/>
        </w:rPr>
        <w:t xml:space="preserve">    </w:t>
      </w:r>
      <w:r>
        <w:rPr>
          <w:sz w:val="24"/>
        </w:rPr>
        <w:t>‰向乙方支付违约金。</w:t>
      </w:r>
    </w:p>
    <w:p>
      <w:pPr>
        <w:pStyle w:val="null3"/>
        <w:ind w:firstLine="480"/>
        <w:jc w:val="both"/>
      </w:pPr>
      <w:r>
        <w:rPr>
          <w:sz w:val="24"/>
        </w:rPr>
        <w:t>3.乙方在进行本项目的服务过程中，应严格恪守保密原则，如发现商业泄密，甲方将扣除乙方成交金额的</w:t>
      </w:r>
      <w:r>
        <w:rPr>
          <w:sz w:val="24"/>
          <w:u w:val="single"/>
        </w:rPr>
        <w:t xml:space="preserve">    </w:t>
      </w:r>
      <w:r>
        <w:rPr>
          <w:sz w:val="24"/>
        </w:rPr>
        <w:t>%作为违约金，同时追究其法律责任。</w:t>
      </w:r>
    </w:p>
    <w:p>
      <w:pPr>
        <w:pStyle w:val="null3"/>
      </w:pPr>
      <w:r>
        <w:rPr>
          <w:sz w:val="24"/>
          <w:b/>
        </w:rPr>
        <w:t>十六、争议的解决</w:t>
      </w:r>
    </w:p>
    <w:p>
      <w:pPr>
        <w:pStyle w:val="null3"/>
        <w:ind w:left="210" w:firstLine="480"/>
        <w:jc w:val="both"/>
      </w:pPr>
      <w:r>
        <w:rPr>
          <w:sz w:val="24"/>
        </w:rPr>
        <w:t>合同执行过程中发生的任何争议，如双方不能通过友好协商解决，均同意提交甲方所在地人民法院诉讼。</w:t>
      </w:r>
    </w:p>
    <w:p>
      <w:pPr>
        <w:pStyle w:val="null3"/>
      </w:pPr>
      <w:r>
        <w:rPr>
          <w:sz w:val="24"/>
          <w:b/>
        </w:rPr>
        <w:t>十七、不可抗力</w:t>
      </w:r>
    </w:p>
    <w:p>
      <w:pPr>
        <w:pStyle w:val="null3"/>
        <w:ind w:left="210"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十八、税费</w:t>
      </w:r>
    </w:p>
    <w:p>
      <w:pPr>
        <w:pStyle w:val="null3"/>
        <w:ind w:firstLine="420"/>
        <w:jc w:val="both"/>
      </w:pPr>
      <w:r>
        <w:rPr>
          <w:sz w:val="24"/>
        </w:rPr>
        <w:t>在中国境内、外发生的与本合同执行有关的一切税费均由乙方负担。</w:t>
      </w:r>
    </w:p>
    <w:p>
      <w:pPr>
        <w:pStyle w:val="null3"/>
      </w:pPr>
      <w:r>
        <w:rPr>
          <w:sz w:val="24"/>
          <w:b/>
        </w:rPr>
        <w:t>十九、其他</w:t>
      </w:r>
    </w:p>
    <w:p>
      <w:pPr>
        <w:pStyle w:val="null3"/>
        <w:ind w:firstLine="480"/>
        <w:jc w:val="both"/>
      </w:pPr>
      <w:r>
        <w:rPr>
          <w:sz w:val="24"/>
        </w:rPr>
        <w:t>1.本合同所有附件、采购文件、投标文件、中标通知书均为本合同的有效组成部分，与本合同具有同等法律效力。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pPr>
      <w:r>
        <w:rPr>
          <w:sz w:val="24"/>
          <w:b/>
        </w:rPr>
        <w:t>二十、合同生效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份，均具有同等法律效力。</w:t>
      </w:r>
    </w:p>
    <w:p>
      <w:pPr>
        <w:pStyle w:val="null3"/>
        <w:jc w:val="both"/>
      </w:pPr>
      <w:r>
        <w:rPr>
          <w:sz w:val="24"/>
        </w:rPr>
        <w:t xml:space="preserve">       甲方（公章）：                 乙方（公章）：</w:t>
      </w:r>
    </w:p>
    <w:p>
      <w:pPr>
        <w:pStyle w:val="null3"/>
        <w:ind w:firstLine="480"/>
      </w:pPr>
      <w:r>
        <w:rPr>
          <w:sz w:val="24"/>
        </w:rPr>
        <w:t>签约人（签字）：              签约人（签字）：</w:t>
      </w:r>
    </w:p>
    <w:p>
      <w:pPr>
        <w:pStyle w:val="null3"/>
        <w:ind w:firstLine="480"/>
        <w:jc w:val="both"/>
      </w:pPr>
      <w:r>
        <w:rPr>
          <w:sz w:val="24"/>
        </w:rPr>
        <w:t xml:space="preserve">地址：                              地址：                          </w:t>
      </w:r>
    </w:p>
    <w:p>
      <w:pPr>
        <w:pStyle w:val="null3"/>
        <w:ind w:firstLine="480"/>
        <w:jc w:val="both"/>
      </w:pPr>
      <w:r>
        <w:rPr>
          <w:sz w:val="24"/>
        </w:rPr>
        <w:t xml:space="preserve">联系人：                           联系人：                        </w:t>
      </w:r>
    </w:p>
    <w:p>
      <w:pPr>
        <w:pStyle w:val="null3"/>
        <w:ind w:firstLine="480"/>
        <w:jc w:val="both"/>
      </w:pPr>
      <w:r>
        <w:rPr>
          <w:sz w:val="24"/>
        </w:rPr>
        <w:t xml:space="preserve">电话：                              电话：                          </w:t>
      </w:r>
    </w:p>
    <w:p>
      <w:pPr>
        <w:pStyle w:val="null3"/>
        <w:ind w:firstLine="480"/>
        <w:jc w:val="both"/>
      </w:pPr>
      <w:r>
        <w:rPr>
          <w:sz w:val="24"/>
        </w:rPr>
        <w:t xml:space="preserve">传真：                              传真：                          </w:t>
      </w:r>
    </w:p>
    <w:p>
      <w:pPr>
        <w:pStyle w:val="null3"/>
        <w:ind w:firstLine="480"/>
        <w:jc w:val="both"/>
      </w:pPr>
      <w:r>
        <w:rPr>
          <w:sz w:val="24"/>
        </w:rPr>
        <w:t xml:space="preserve">邮编：                              邮编：                          </w:t>
      </w:r>
    </w:p>
    <w:p>
      <w:pPr>
        <w:pStyle w:val="null3"/>
        <w:jc w:val="both"/>
      </w:pPr>
      <w:r>
        <w:rPr>
          <w:sz w:val="24"/>
        </w:rPr>
        <w:t xml:space="preserve">      日期：      年    月    日      日期：      年    月    日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440201-2026-02132</w:t>
      </w:r>
    </w:p>
    <w:p>
      <w:pPr>
        <w:pStyle w:val="null3"/>
        <w:jc w:val="center"/>
        <w:outlineLvl w:val="3"/>
      </w:pPr>
      <w:r>
        <w:rPr>
          <w:sz w:val="24"/>
          <w:b/>
        </w:rPr>
        <w:t>采购项目编号：</w:t>
      </w:r>
      <w:r>
        <w:rPr>
          <w:sz w:val="24"/>
          <w:b/>
        </w:rPr>
        <w:t>GDYD260298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韶关市重点片区城市空间品质提升研究采购服务项目</w:t>
      </w:r>
      <w:r>
        <w:rPr>
          <w:u w:val="single"/>
        </w:rPr>
        <w:t>”</w:t>
      </w:r>
      <w:r>
        <w:rPr/>
        <w:t>项目的招标[采购项目编号为：</w:t>
      </w:r>
      <w:r>
        <w:rPr>
          <w:u w:val="single"/>
        </w:rPr>
        <w:t>GDYD260298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韶关市重点片区城市空间品质提升研究采购服务项目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韶关市重点片区城市空间品质提升研究采购服务项目</w:t>
      </w:r>
      <w:r>
        <w:rPr/>
        <w:t>”项目采购[采购项目编号为</w:t>
      </w:r>
      <w:r>
        <w:rPr/>
        <w:t>GDYD260298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韶关市重点片区城市空间品质提升研究采购服务项目</w:t>
      </w:r>
      <w:r>
        <w:rPr/>
        <w:t>招标中获中标（采购项目编号：</w:t>
      </w:r>
      <w:r>
        <w:rPr/>
        <w:t>GDYD260298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韶关市重点片区城市空间品质提升研究采购服务项目</w:t>
      </w:r>
      <w:r>
        <w:rPr/>
        <w:t>”项目（采购项目编号：</w:t>
      </w:r>
      <w:r>
        <w:rPr/>
        <w:t>GDYD260298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