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440201-2022-01841</w:t>
      </w:r>
    </w:p>
    <w:p>
      <w:pPr>
        <w:jc w:val="center"/>
      </w:pPr>
      <w:r>
        <w:rPr>
          <w:b/>
          <w:sz w:val="24"/>
        </w:rPr>
        <w:t>采购项目编号：</w:t>
      </w:r>
      <w:r>
        <w:rPr>
          <w:b/>
          <w:sz w:val="24"/>
        </w:rPr>
        <w:t>GDYD220885</w:t>
      </w:r>
    </w:p>
    <w:p>
      <w:pPr>
        <w:jc w:val="center"/>
      </w:pPr>
      <w:r>
        <w:rPr>
          <w:b/>
          <w:sz w:val="24"/>
        </w:rPr>
        <w:t>项目名称：</w:t>
      </w:r>
      <w:r>
        <w:rPr>
          <w:b/>
          <w:sz w:val="24"/>
        </w:rPr>
        <w:t>韶州中学教育教学设施设备采购之课室纳米黑板、课室云班牌、办公室云办公系统项目</w:t>
      </w:r>
    </w:p>
    <w:p>
      <w:pPr>
        <w:jc w:val="center"/>
      </w:pPr>
      <w:r>
        <w:rPr>
          <w:b/>
          <w:sz w:val="24"/>
        </w:rPr>
        <w:t>采购人：</w:t>
      </w:r>
      <w:r>
        <w:rPr>
          <w:b/>
          <w:sz w:val="24"/>
        </w:rPr>
        <w:t>韶州中学</w:t>
      </w:r>
    </w:p>
    <w:p>
      <w:pPr>
        <w:jc w:val="center"/>
      </w:pPr>
      <w:r>
        <w:rPr>
          <w:b/>
          <w:sz w:val="24"/>
        </w:rPr>
        <w:t>采购代理机构：</w:t>
      </w:r>
      <w:r>
        <w:rPr>
          <w:b/>
          <w:sz w:val="24"/>
        </w:rPr>
        <w:t>广东远东招标代理有限公司韶关分公司</w:t>
      </w:r>
    </w:p>
    <w:p>
      <w:pPr>
        <w:ind w:firstLine="480"/>
      </w:pPr>
    </w:p>
    <w:p>
      <w:r>
        <w:rPr/>
        <w:t xml:space="preserve"> </w:t>
      </w:r>
    </w:p>
    <w:p/>
    <w:p>
      <w:pPr>
        <w:jc w:val="center"/>
      </w:pPr>
      <w:r>
        <w:rPr>
          <w:b/>
          <w:sz w:val="36"/>
        </w:rPr>
        <w:t>第一章 磋商邀请</w:t>
      </w:r>
    </w:p>
    <w:p>
      <w:pPr>
        <w:ind w:firstLine="480"/>
      </w:pPr>
      <w:r>
        <w:rPr/>
        <w:t>广东远东招标代理有限公司韶关分公司</w:t>
      </w:r>
      <w:r>
        <w:rPr/>
        <w:t>受</w:t>
      </w:r>
      <w:r>
        <w:rPr/>
        <w:t>韶州中学</w:t>
      </w:r>
      <w:r>
        <w:rPr/>
        <w:t>的委托，采用</w:t>
      </w:r>
      <w:r>
        <w:rPr/>
        <w:t>竞争性磋商</w:t>
      </w:r>
      <w:r>
        <w:rPr/>
        <w:t>方式组织采购</w:t>
      </w:r>
      <w:r>
        <w:rPr/>
        <w:t>韶州中学教育教学设施设备采购之课室纳米黑板、课室云班牌、办公室云办公系统项目</w:t>
      </w:r>
      <w:r>
        <w:rPr/>
        <w:t>。欢迎符合资格条件的供应商参加。</w:t>
      </w:r>
    </w:p>
    <w:p>
      <w:r>
        <w:rPr>
          <w:b/>
          <w:sz w:val="28"/>
        </w:rPr>
        <w:t>一.项目概述</w:t>
      </w:r>
    </w:p>
    <w:p>
      <w:r>
        <w:rPr>
          <w:b/>
          <w:sz w:val="24"/>
        </w:rPr>
        <w:t>1.名称与编号</w:t>
      </w:r>
    </w:p>
    <w:p>
      <w:pPr>
        <w:ind w:firstLine="480"/>
      </w:pPr>
      <w:r>
        <w:rPr/>
        <w:t>采购项目名称：</w:t>
      </w:r>
      <w:r>
        <w:rPr/>
        <w:t>韶州中学教育教学设施设备采购之课室纳米黑板、课室云班牌、办公室云办公系统项目</w:t>
      </w:r>
    </w:p>
    <w:p>
      <w:pPr>
        <w:ind w:firstLine="480"/>
      </w:pPr>
      <w:r>
        <w:rPr/>
        <w:t>采购计划编号：</w:t>
      </w:r>
      <w:r>
        <w:rPr/>
        <w:t>440201-2022-01841</w:t>
      </w:r>
    </w:p>
    <w:p>
      <w:pPr>
        <w:ind w:firstLine="480"/>
      </w:pPr>
      <w:r>
        <w:rPr/>
        <w:t>采购项目编号：</w:t>
      </w:r>
      <w:r>
        <w:rPr/>
        <w:t>GDYD220885</w:t>
      </w:r>
    </w:p>
    <w:p>
      <w:pPr>
        <w:ind w:firstLine="480"/>
      </w:pPr>
      <w:r>
        <w:rPr/>
        <w:t>采购方式：</w:t>
      </w:r>
      <w:r>
        <w:rPr/>
        <w:t>竞争性磋商</w:t>
      </w:r>
    </w:p>
    <w:p>
      <w:pPr>
        <w:ind w:firstLine="480"/>
      </w:pPr>
      <w:r>
        <w:rPr/>
        <w:t>预算金额：</w:t>
      </w:r>
      <w:r>
        <w:rPr/>
        <w:t>2,330,000.00</w:t>
      </w:r>
      <w:r>
        <w:rPr/>
        <w:t>元</w:t>
      </w:r>
    </w:p>
    <w:p>
      <w:r>
        <w:rPr>
          <w:b/>
          <w:sz w:val="24"/>
        </w:rPr>
        <w:t>2.项目内容及需求情况（采购项目技术规格、参数及要求）</w:t>
      </w:r>
    </w:p>
    <w:p>
      <w:pPr>
        <w:ind w:firstLine="480"/>
      </w:pPr>
    </w:p>
    <w:p/>
    <w:p>
      <w:r>
        <w:rPr/>
        <w:t>采购包1(韶州中学教育教学设施设备采购之课室纳米黑板、课室云班牌、办公室云办公系统项目):</w:t>
      </w:r>
    </w:p>
    <w:p>
      <w:r>
        <w:rPr/>
        <w:t>采购包预算金额：2,330,000.00元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教学专用仪器</w:t>
            </w:r>
          </w:p>
        </w:tc>
        <w:tc>
          <w:tcPr>
            <w:tcW w:type="dxa" w:w="2136"/>
          </w:tcPr>
          <w:p>
            <w:r>
              <w:rPr/>
              <w:t>纳米黑板、课室云班牌、办公室云办公系统</w:t>
            </w:r>
          </w:p>
        </w:tc>
        <w:tc>
          <w:tcPr>
            <w:tcW w:type="dxa" w:w="1187"/>
          </w:tcPr>
          <w:p>
            <w:r>
              <w:rPr/>
              <w:t>1.0000(批)</w:t>
            </w:r>
          </w:p>
        </w:tc>
        <w:tc>
          <w:tcPr>
            <w:tcW w:type="dxa" w:w="1187"/>
          </w:tcPr>
          <w:p>
            <w:r>
              <w:rPr/>
              <w:t>详见第二章</w:t>
            </w:r>
          </w:p>
        </w:tc>
        <w:tc>
          <w:tcPr>
            <w:tcW w:type="dxa" w:w="1187"/>
          </w:tcPr>
          <w:p>
            <w:r>
              <w:rPr/>
              <w:t>否</w:t>
            </w:r>
          </w:p>
        </w:tc>
      </w:tr>
    </w:tbl>
    <w:p/>
    <w:p>
      <w:r>
        <w:rPr/>
        <w:t>本采购包不接受联合体响应</w:t>
      </w:r>
    </w:p>
    <w:p/>
    <w:p>
      <w:r>
        <w:rPr/>
        <w:t>合同履行期限：2022年8月25日前完成整个项目的供货、安装调试、验收合格</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2）有依法缴纳税收和社会保障资金的良好记录：提供投标截止日前6个月内任意1个月依法缴纳税收和社会保障资金的相关材料。 如依法免税或不需要缴纳社会保障资金的， 提供相应证明材料。</w:t>
      </w:r>
    </w:p>
    <w:p/>
    <w:p>
      <w:r>
        <w:rPr/>
        <w:t>3）具有良好的商业信誉和健全的财务会计制度：供应商必须提供2020年度或2021年度财务状况报告或2022年任意1个月的财务报表或基本开户行出具的资信证明。</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采购包1（韶州中学教育教学设施设备采购之课室纳米黑板、课室云班牌、办公室云办公系统项目）：</w:t>
      </w:r>
      <w:r>
        <w:rPr/>
        <w:t>本项目不属于专门面向中小企业采购的项目</w:t>
      </w:r>
    </w:p>
    <w:p/>
    <w:p>
      <w:r>
        <w:rPr>
          <w:b/>
          <w:sz w:val="24"/>
        </w:rPr>
        <w:t>3.本项目特定的资格要求：</w:t>
      </w:r>
    </w:p>
    <w:p>
      <w:pPr>
        <w:ind w:firstLine="480"/>
      </w:pPr>
    </w:p>
    <w:p/>
    <w:p>
      <w:r>
        <w:rPr/>
        <w:t>采购包1（韶州中学教育教学设施设备采购之课室纳米黑板、课室云班牌、办公室云办公系统项目）：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广东远东招标代理有限公司（http://www.gdydzb.com）</w:t>
      </w:r>
    </w:p>
    <w:p>
      <w:r>
        <w:rPr>
          <w:b/>
          <w:sz w:val="28"/>
        </w:rPr>
        <w:t>六.本项目联系方式：</w:t>
      </w:r>
    </w:p>
    <w:p>
      <w:r>
        <w:rPr>
          <w:b/>
          <w:sz w:val="24"/>
        </w:rPr>
        <w:t>1.采购人信息</w:t>
      </w:r>
    </w:p>
    <w:p>
      <w:pPr>
        <w:ind w:firstLine="480"/>
      </w:pPr>
      <w:r>
        <w:rPr/>
        <w:t>名称：</w:t>
      </w:r>
      <w:r>
        <w:rPr/>
        <w:t>韶州中学</w:t>
      </w:r>
    </w:p>
    <w:p>
      <w:pPr>
        <w:ind w:firstLine="480"/>
      </w:pPr>
      <w:r>
        <w:rPr/>
        <w:t>地址：</w:t>
      </w:r>
      <w:r>
        <w:rPr/>
        <w:t>韶关市武江区丹霞大道中18号</w:t>
      </w:r>
    </w:p>
    <w:p>
      <w:pPr>
        <w:ind w:firstLine="480"/>
      </w:pPr>
      <w:r>
        <w:rPr/>
        <w:t>联系方式：</w:t>
      </w:r>
      <w:r>
        <w:rPr/>
        <w:t>0751-8899591</w:t>
      </w:r>
    </w:p>
    <w:p>
      <w:r>
        <w:rPr>
          <w:b/>
          <w:sz w:val="24"/>
        </w:rPr>
        <w:t>2.采购代理机构信息</w:t>
      </w:r>
    </w:p>
    <w:p>
      <w:pPr>
        <w:ind w:firstLine="480"/>
      </w:pPr>
      <w:r>
        <w:rPr/>
        <w:t>名称：</w:t>
      </w:r>
      <w:r>
        <w:rPr/>
        <w:t>广东远东招标代理有限公司韶关分公司</w:t>
      </w:r>
    </w:p>
    <w:p>
      <w:pPr>
        <w:ind w:firstLine="480"/>
      </w:pPr>
      <w:r>
        <w:rPr/>
        <w:t>地址：</w:t>
      </w:r>
      <w:r>
        <w:rPr/>
        <w:t>广东省广州市越秀区越秀北路222号608-612室， 韶关市武江区西联镇小阳山沐芙路扬成名门综合楼三楼(韶关分公司)</w:t>
      </w:r>
    </w:p>
    <w:p>
      <w:pPr>
        <w:ind w:firstLine="480"/>
      </w:pPr>
      <w:r>
        <w:rPr/>
        <w:t>联系方式：</w:t>
      </w:r>
      <w:r>
        <w:rPr/>
        <w:t>0751-8115118</w:t>
      </w:r>
    </w:p>
    <w:p>
      <w:r>
        <w:rPr>
          <w:b/>
          <w:sz w:val="24"/>
        </w:rPr>
        <w:t>3.项目联系方式</w:t>
      </w:r>
    </w:p>
    <w:p>
      <w:pPr>
        <w:ind w:firstLine="480"/>
      </w:pPr>
      <w:r>
        <w:rPr/>
        <w:t>项目联系人：</w:t>
      </w:r>
      <w:r>
        <w:rPr/>
        <w:t>雷小姐</w:t>
      </w:r>
    </w:p>
    <w:p>
      <w:pPr>
        <w:ind w:firstLine="480"/>
      </w:pPr>
      <w:r>
        <w:rPr/>
        <w:t>电话：</w:t>
      </w:r>
      <w:r>
        <w:rPr/>
        <w:t>0751-8115118</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广东远东招标代理有限公司韶关分公司</w:t>
      </w:r>
    </w:p>
    <w:p>
      <w:pPr>
        <w:ind w:firstLine="480"/>
      </w:pPr>
    </w:p>
    <w:p>
      <w:r>
        <w:rPr/>
        <w:t xml:space="preserve"> </w:t>
      </w:r>
    </w:p>
    <w:p/>
    <w:p>
      <w:pPr>
        <w:jc w:val="center"/>
      </w:pPr>
      <w:r>
        <w:rPr>
          <w:b/>
          <w:sz w:val="36"/>
        </w:rPr>
        <w:t>第二章 采购需求</w:t>
      </w:r>
    </w:p>
    <w:p>
      <w:r>
        <w:rPr>
          <w:b/>
          <w:sz w:val="28"/>
        </w:rPr>
        <w:t>一、项目概况：</w:t>
      </w:r>
    </w:p>
    <w:p>
      <w:pPr>
        <w:ind w:firstLine="480"/>
      </w:pPr>
    </w:p>
    <w:p/>
    <w:p>
      <w:r>
        <w:rPr>
          <w:b/>
          <w:sz w:val="24"/>
        </w:rPr>
        <w:t>一、采购项目简况和内容</w:t>
      </w:r>
    </w:p>
    <w:p>
      <w:pPr>
        <w:ind w:firstLine="420"/>
        <w:jc w:val="both"/>
      </w:pPr>
      <w:r>
        <w:rPr>
          <w:sz w:val="24"/>
        </w:rPr>
        <w:t>1、项目名称：韶州中学教育教学设施设备采购之课室纳米黑板、课室云班牌、办公室云办公系统项目。</w:t>
      </w:r>
    </w:p>
    <w:p>
      <w:pPr>
        <w:ind w:firstLine="420"/>
        <w:jc w:val="both"/>
      </w:pPr>
      <w:r>
        <w:rPr>
          <w:sz w:val="24"/>
        </w:rPr>
        <w:t>2、采购内容：详见采购项目需求。</w:t>
      </w:r>
    </w:p>
    <w:p>
      <w:pPr>
        <w:ind w:firstLine="420"/>
        <w:jc w:val="both"/>
      </w:pPr>
      <w:r>
        <w:rPr>
          <w:sz w:val="24"/>
        </w:rPr>
        <w:t>3、采购项目预算（最高限价，人民币）：2,330,000.00元。</w:t>
      </w:r>
    </w:p>
    <w:p>
      <w:pPr>
        <w:ind w:firstLine="420"/>
        <w:jc w:val="both"/>
      </w:pPr>
      <w:r>
        <w:rPr>
          <w:sz w:val="24"/>
        </w:rPr>
        <w:t>4、交付使用期：2022年8月25日前完成整个项目的供货、安装调试、验收合格并交付采购人合法使用。</w:t>
      </w:r>
    </w:p>
    <w:p>
      <w:pPr>
        <w:ind w:firstLine="420"/>
        <w:jc w:val="both"/>
      </w:pPr>
      <w:r>
        <w:rPr>
          <w:sz w:val="24"/>
        </w:rPr>
        <w:t>5、供应商应对同一个项目的全部货物和服务磋商，不允许对项目内部分内容进行磋商。</w:t>
      </w:r>
    </w:p>
    <w:p/>
    <w:p>
      <w:r>
        <w:rPr>
          <w:b/>
          <w:sz w:val="24"/>
        </w:rPr>
        <w:t>二、供货要求</w:t>
      </w:r>
    </w:p>
    <w:p>
      <w:pPr>
        <w:ind w:firstLine="420"/>
        <w:jc w:val="both"/>
      </w:pPr>
      <w:r>
        <w:rPr>
          <w:sz w:val="24"/>
        </w:rPr>
        <w:t>1、供应商提供的货物必须是定型的成熟产品，已批量生产并经广泛使用验证，并根据使用地区的自然环境特点相应设有三防措施（防潮、防腐、防锈）。产品为全新的厂家产品，提供货物的相关合格证书, 整机无污染，无侵权行为、表面无划损、无任何缺陷隐患，在中国境内可依常规安全合法使用，具出厂合格证，按产品要求配备所有附件和完整的使用说明书。</w:t>
      </w:r>
    </w:p>
    <w:p>
      <w:pPr>
        <w:ind w:firstLine="420"/>
        <w:jc w:val="both"/>
      </w:pPr>
      <w:r>
        <w:rPr>
          <w:sz w:val="24"/>
        </w:rPr>
        <w:t>2、对于影响货物正常使用的必要组成部分，无论在技术规范中指出与否，供应商都应提供并在竞争性磋商文件中明确列出。</w:t>
      </w:r>
    </w:p>
    <w:p>
      <w:pPr>
        <w:ind w:firstLine="420"/>
        <w:jc w:val="both"/>
      </w:pPr>
      <w:r>
        <w:rPr>
          <w:sz w:val="24"/>
        </w:rPr>
        <w:t>3、本项目包括设计、生产、送货及相关配套服务等。</w:t>
      </w:r>
    </w:p>
    <w:p>
      <w:pPr>
        <w:ind w:firstLine="420"/>
        <w:jc w:val="both"/>
      </w:pPr>
      <w:r>
        <w:rPr>
          <w:sz w:val="24"/>
        </w:rPr>
        <w:t>4、供应商必须在竞争性磋商文件中列表说明主要货物和材料的产地、参数等相关资料。</w:t>
      </w:r>
    </w:p>
    <w:p>
      <w:pPr>
        <w:ind w:firstLine="420"/>
        <w:jc w:val="both"/>
      </w:pPr>
      <w:r>
        <w:rPr>
          <w:sz w:val="24"/>
        </w:rPr>
        <w:t>5、本项目为交钥匙项目。本项目报价应包含但不限于以下全部费用，供应商不得再向采购人收取任何费用。主要包含（产品价款、备品备件价、易损件价、专用工具价、相关配件、附件、及零配件价）及其它的所有费用，包含物料购置费、制作费、检验费、保险费用、检测费、检定费、仓储费、运输费、装卸费、商检费用、银行费用、税费及一切技术和售后服务费（含相关技术指导与培训费）等所有不可预见的隐含费用（以上费用如涉及到多次需求，所有 费用都包含在内），此项必须由供应商在报价一览表中注明，如涉及软件许可使用或技术指导、人员培训，还应包括软件许可费以及一切技术服务费、人员培训费。</w:t>
      </w:r>
    </w:p>
    <w:p>
      <w:pPr>
        <w:ind w:firstLine="420"/>
        <w:jc w:val="both"/>
      </w:pPr>
      <w:r>
        <w:rPr>
          <w:sz w:val="24"/>
        </w:rPr>
        <w:t>6、本章提出的是最低限度的要求，并未对一切细节作出规定，也未充分引述全部有关标准和规范的条文，供应商提供的所有货物（包括设计、制造、验收）都应符合磋商时已颁布的现行中国国家或其他公认的部颁、行业标准和国际标准化组织以及等效或更优的其他国家的权威性标准和规范的有关条文。如果这些标准内容有矛盾时，应按最高标准的条款执行。若在设计和制造中应用的某项标准或规范在本章中没有规定或有超出，则供应商详细说明其所采用的标准和规范，并提供该标准或规范的完整原件给采购人，国内标准应提供中文文本，国外标准应提供中、英文对照的文本，并以中文解释为准。只有当采用的标准和规范是国际公认的、惯用的，且等于或优于本章的要求时，此标准或规范才可能被接受。</w:t>
      </w:r>
    </w:p>
    <w:p>
      <w:pPr>
        <w:jc w:val="both"/>
      </w:pPr>
      <w:r>
        <w:rPr>
          <w:sz w:val="24"/>
        </w:rPr>
        <w:t>7、供应商必须确保货物的完整性且必须是全新未使用过的合格货物，供应商在实际供货时，若被发现提供的货物未能达到竞争性磋商文件和响应文件中的有关要求，将按有关法规进行处罚，采购人将有权单方面中止合同的执行,并追究因成交供应商所提供的未达到所承诺准确率产品而产生的所有损失和责任。</w:t>
      </w:r>
    </w:p>
    <w:p/>
    <w:p>
      <w:pPr>
        <w:ind w:firstLine="480"/>
      </w:pPr>
    </w:p>
    <w:p/>
    <w:p>
      <w:r>
        <w:rPr/>
        <w:t>采购包1（韶州中学教育教学设施设备采购之课室纳米黑板、课室云班牌、办公室云办公系统项目）：</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2022年8月25日前完成整个项目的供货、安装调试、验收合格并交付采购人合法使用</w:t>
            </w:r>
          </w:p>
        </w:tc>
      </w:tr>
      <w:tr>
        <w:tc>
          <w:tcPr>
            <w:tcW w:type="dxa" w:w="4153"/>
          </w:tcPr>
          <w:p>
            <w:r>
              <w:rPr/>
              <w:t>标的提供的地点</w:t>
            </w:r>
          </w:p>
        </w:tc>
        <w:tc>
          <w:tcPr>
            <w:tcW w:type="dxa" w:w="4153"/>
          </w:tcPr>
          <w:p>
            <w:pPr>
              <w:jc w:val="left"/>
            </w:pPr>
          </w:p>
          <w:p>
            <w:r>
              <w:rPr/>
              <w:t>采购人指定地点</w:t>
            </w:r>
          </w:p>
        </w:tc>
      </w:tr>
      <w:tr>
        <w:tc>
          <w:tcPr>
            <w:tcW w:type="dxa" w:w="4153"/>
          </w:tcPr>
          <w:p>
            <w:r>
              <w:rPr/>
              <w:t>响应有效期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1期：支付比例30%，（1）签订合同后，采购人向成交供应商支付30%的预付款； （2）成交供应商凭以下有效文件与采购人结算: ①合同； ②成交供应商开具的正式发票； ③验收报告(加盖采购人公章)； ④成交通知书。 （3）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
            <w:r>
              <w:rPr/>
              <w:t>2期：支付比例20%，（1）项目实施完成验收后支付20%的进度款； （2）成交供应商凭以下有效文件与采购人结算: ①合同； ②成交供应商开具的正式发票； ③验收报告(加盖采购人公章)； ④成交通知书。 （3）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
            <w:r>
              <w:rPr/>
              <w:t>3期：支付比例50%，（1）剩余资金将在2023年6月30号之前安排付清； （2）成交供应商凭以下有效文件与采购人结算: ①合同； ②成交供应商开具的正式发票； ③验收报告(加盖采购人公章)； ④成交通知书。 （3）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4153"/>
          </w:tcPr>
          <w:p>
            <w:r>
              <w:rPr/>
              <w:t>验收要求</w:t>
            </w:r>
          </w:p>
        </w:tc>
        <w:tc>
          <w:tcPr>
            <w:tcW w:type="dxa" w:w="4153"/>
          </w:tcPr>
          <w:p>
            <w:pPr>
              <w:jc w:val="left"/>
            </w:pPr>
          </w:p>
          <w:p/>
          <w:p/>
          <w:p>
            <w:r>
              <w:rPr/>
              <w:t>1期：1、设备安装时，成交供应商保证所提供的产品是原装正品，未开封使用。 2、成交供应商必须在合同规定的时间内，以完工验收申请报告形式书面通知采购人以声明工程交付完毕，采购人确认申请报告的第三个工作日为验收开始日，7个工作日内验收完毕。 3、采购人与成交供应商一起对整个项目依据招标文件和合同要求进行验收； 4、验收合格后由成交供应商出具验收报告，成交供应商和采购人代表签字并加盖公章。</w:t>
            </w:r>
          </w:p>
        </w:tc>
      </w:tr>
      <w:tr>
        <w:tc>
          <w:tcPr>
            <w:tcW w:type="dxa" w:w="4153"/>
          </w:tcPr>
          <w:p>
            <w:r>
              <w:rPr/>
              <w:t>履约保证金</w:t>
            </w:r>
          </w:p>
        </w:tc>
        <w:tc>
          <w:tcPr>
            <w:tcW w:type="dxa" w:w="4153"/>
          </w:tcPr>
          <w:p>
            <w:pPr>
              <w:jc w:val="left"/>
            </w:pPr>
          </w:p>
          <w:p/>
          <w:p>
            <w:r>
              <w:rPr/>
              <w:t>不收取</w:t>
            </w:r>
          </w:p>
        </w:tc>
      </w:tr>
      <w:tr>
        <w:tc>
          <w:tcPr>
            <w:tcW w:type="dxa" w:w="4153"/>
          </w:tcPr>
          <w:p>
            <w:r>
              <w:rPr/>
              <w:t>其他</w:t>
            </w:r>
          </w:p>
        </w:tc>
        <w:tc>
          <w:tcPr>
            <w:tcW w:type="dxa" w:w="4153"/>
          </w:tcPr>
          <w:p>
            <w:pPr>
              <w:jc w:val="left"/>
            </w:pPr>
          </w:p>
          <w:p/>
          <w:p>
            <w:r>
              <w:rPr/>
              <w:t>供货要求:货物为本次采购前原制造商制造的非淘汰类全新产品，整机无污染，无侵权行为、表面无划损、无任何缺陷隐患，在中国境内可依常规安全合法使用。货物为原厂商未启封全新包装，具出厂合格证，序列号、包装箱号与出厂批号一致，并可追索查阅。应附关键主机设备的用户手册、保修手册、有关单证资料及配备件、随机工具等，设备使用操作及安全须知等重要资料应附有中文说明。</w:t>
            </w:r>
          </w:p>
          <w:p/>
          <w:p>
            <w:r>
              <w:rPr/>
              <w:t>安装与调试:按照采购人要求安装设备并调试到稳定运行。</w:t>
            </w:r>
          </w:p>
          <w:p/>
          <w:p>
            <w:r>
              <w:rPr/>
              <w:t>质保期及售后服务:1、质保期：从项目验收合格之日起计算，成交供应商对所提供的设备要求提供三年免费上门保修服务（含厂家未提供保修的设备及其配件），原厂家有更长保修期限的以厂家提供为准。 2、售后服务： （1）供应商须提供详细的售后服务承诺，并提供7ⅹ24小时技术支持服务，保修期内设备出现故障，成交供应商必须在收到使用单位通知后2小时内到达现场处理故障。报修48小时内不能修复的提供不低于相同档次的备用机。 （2）自验收合格日起，成交供应商负责所有产品的维修、维护和保养等跟踪服务，保修期内不再收取任何费用，维修不能解决的，由成交供应商按原型号或升级型号进行更换。 （3）所有产品保修服务方式均为成交供应商上门保修，由此产生的一切费用均由成交供应商承担。 （4）成交供应商提供终身上门维修服务，保修期满后需进行维修的只收取材料成本费。 （5）成交供应商应为用户提供设备的使用和管理的培训。</w:t>
            </w:r>
          </w:p>
        </w:tc>
      </w:tr>
    </w:tbl>
    <w:p>
      <w:r>
        <w:rPr>
          <w:b/>
          <w:sz w:val="24"/>
        </w:rPr>
        <w:t>2.技术标准与要求</w:t>
      </w:r>
    </w:p>
    <w:tbl>
      <w:tblPr>
        <w:tblW w:w="0" w:type="auto"/>
        <w:tblBorders>
          <w:top w:val="single"/>
          <w:left w:val="single"/>
          <w:bottom w:val="single"/>
          <w:right w:val="single"/>
          <w:insideH w:val="single"/>
          <w:insideV w:val="single"/>
        </w:tblBorders>
      </w:tblPr>
      <w:tblGrid>
        <w:gridCol w:w="231"/>
        <w:gridCol w:w="385"/>
        <w:gridCol w:w="1923"/>
        <w:gridCol w:w="1923"/>
        <w:gridCol w:w="385"/>
        <w:gridCol w:w="769"/>
        <w:gridCol w:w="769"/>
        <w:gridCol w:w="769"/>
        <w:gridCol w:w="769"/>
        <w:gridCol w:w="385"/>
      </w:tblGrid>
      <w:tr>
        <w:tc>
          <w:tcPr>
            <w:tcW w:type="dxa" w:w="231"/>
          </w:tcPr>
          <w:p>
            <w:r>
              <w:rPr/>
              <w:t>序号</w:t>
            </w:r>
          </w:p>
        </w:tc>
        <w:tc>
          <w:tcPr>
            <w:tcW w:type="dxa" w:w="385"/>
          </w:tcPr>
          <w:p>
            <w:r>
              <w:rPr/>
              <w:t>核心产品（“△”）</w:t>
            </w:r>
          </w:p>
        </w:tc>
        <w:tc>
          <w:tcPr>
            <w:tcW w:type="dxa" w:w="1923"/>
          </w:tcPr>
          <w:p>
            <w:r>
              <w:rPr/>
              <w:t>品目名称</w:t>
            </w:r>
          </w:p>
        </w:tc>
        <w:tc>
          <w:tcPr>
            <w:tcW w:type="dxa" w:w="1923"/>
          </w:tcPr>
          <w:p>
            <w:r>
              <w:rPr/>
              <w:t>标的名称</w:t>
            </w:r>
          </w:p>
        </w:tc>
        <w:tc>
          <w:tcPr>
            <w:tcW w:type="dxa" w:w="385"/>
          </w:tcPr>
          <w:p>
            <w:r>
              <w:rPr/>
              <w:t>单位</w:t>
            </w:r>
          </w:p>
        </w:tc>
        <w:tc>
          <w:tcPr>
            <w:tcW w:type="dxa" w:w="769"/>
          </w:tcPr>
          <w:p>
            <w:r>
              <w:rPr/>
              <w:t>数量</w:t>
            </w:r>
          </w:p>
        </w:tc>
        <w:tc>
          <w:tcPr>
            <w:tcW w:type="dxa" w:w="769"/>
          </w:tcPr>
          <w:p>
            <w:r>
              <w:rPr/>
              <w:t>分项预算单价（元）</w:t>
            </w:r>
          </w:p>
        </w:tc>
        <w:tc>
          <w:tcPr>
            <w:tcW w:type="dxa" w:w="769"/>
          </w:tcPr>
          <w:p>
            <w:r>
              <w:rPr/>
              <w:t>分项预算总价（元）</w:t>
            </w:r>
          </w:p>
        </w:tc>
        <w:tc>
          <w:tcPr>
            <w:tcW w:type="dxa" w:w="769"/>
          </w:tcPr>
          <w:p>
            <w:r>
              <w:rPr/>
              <w:t>所属行业</w:t>
            </w:r>
          </w:p>
        </w:tc>
        <w:tc>
          <w:tcPr>
            <w:tcW w:type="dxa" w:w="385"/>
          </w:tcPr>
          <w:p>
            <w:r>
              <w:rPr/>
              <w:t>技术要求</w:t>
            </w:r>
          </w:p>
        </w:tc>
      </w:tr>
      <w:tr>
        <w:tc>
          <w:tcPr>
            <w:tcW w:type="dxa" w:w="231"/>
          </w:tcPr>
          <w:p>
            <w:r>
              <w:rPr/>
              <w:t>1</w:t>
            </w:r>
          </w:p>
        </w:tc>
        <w:tc>
          <w:tcPr>
            <w:tcW w:type="dxa" w:w="385"/>
          </w:tcPr>
          <w:p/>
        </w:tc>
        <w:tc>
          <w:tcPr>
            <w:tcW w:type="dxa" w:w="1923"/>
          </w:tcPr>
          <w:p>
            <w:r>
              <w:rPr/>
              <w:t>教学专用仪器</w:t>
            </w:r>
          </w:p>
        </w:tc>
        <w:tc>
          <w:tcPr>
            <w:tcW w:type="dxa" w:w="1923"/>
          </w:tcPr>
          <w:p>
            <w:r>
              <w:rPr/>
              <w:t>纳米黑板、课室云班牌、办公室云办公系统</w:t>
            </w:r>
          </w:p>
        </w:tc>
        <w:tc>
          <w:tcPr>
            <w:tcW w:type="dxa" w:w="385"/>
          </w:tcPr>
          <w:p>
            <w:r>
              <w:rPr/>
              <w:t>批</w:t>
            </w:r>
          </w:p>
        </w:tc>
        <w:tc>
          <w:tcPr>
            <w:tcW w:type="dxa" w:w="769"/>
          </w:tcPr>
          <w:p>
            <w:pPr>
              <w:jc w:val="right"/>
            </w:pPr>
            <w:r>
              <w:rPr/>
              <w:t>1.0000</w:t>
            </w:r>
          </w:p>
        </w:tc>
        <w:tc>
          <w:tcPr>
            <w:tcW w:type="dxa" w:w="769"/>
          </w:tcPr>
          <w:p>
            <w:pPr>
              <w:jc w:val="right"/>
            </w:pPr>
            <w:r>
              <w:rPr/>
              <w:t>2,330,000.00</w:t>
            </w:r>
          </w:p>
        </w:tc>
        <w:tc>
          <w:tcPr>
            <w:tcW w:type="dxa" w:w="769"/>
          </w:tcPr>
          <w:p>
            <w:pPr>
              <w:jc w:val="right"/>
            </w:pPr>
            <w:r>
              <w:rPr/>
              <w:t>2,330,000.00</w:t>
            </w:r>
          </w:p>
        </w:tc>
        <w:tc>
          <w:tcPr>
            <w:tcW w:type="dxa" w:w="769"/>
          </w:tcPr>
          <w:p>
            <w:r>
              <w:rPr/>
              <w:t>零售业</w:t>
            </w:r>
          </w:p>
        </w:tc>
        <w:tc>
          <w:tcPr>
            <w:tcW w:type="dxa" w:w="385"/>
          </w:tcPr>
          <w:p>
            <w:r>
              <w:rPr/>
              <w:t>详见附表一</w:t>
            </w:r>
          </w:p>
        </w:tc>
      </w:tr>
    </w:tbl>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纳米黑板、课室云班牌、办公室云办公系统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b/>
                <w:sz w:val="24"/>
              </w:rPr>
              <w:t>（一）采购项目需求一览表</w:t>
            </w:r>
          </w:p>
          <w:tbl>
            <w:tblPr>
              <w:tblBorders>
                <w:top w:val="none" w:color="000000" w:sz="4"/>
                <w:left w:val="none" w:color="000000" w:sz="4"/>
                <w:bottom w:val="none" w:color="000000" w:sz="4"/>
                <w:right w:val="none" w:color="000000" w:sz="4"/>
                <w:insideH w:val="none"/>
                <w:insideV w:val="none"/>
              </w:tblBorders>
            </w:tblPr>
            <w:tblGrid>
              <w:gridCol w:w="1774"/>
              <w:gridCol w:w="845"/>
              <w:gridCol w:w="1525"/>
              <w:gridCol w:w="1001"/>
              <w:gridCol w:w="441"/>
            </w:tblGrid>
            <w:tr>
              <w:tc>
                <w:tcPr>
                  <w:tcW w:type="dxa" w:w="1774"/>
                  <w:tcBorders>
                    <w:top w:val="single" w:color="000000" w:sz="4"/>
                    <w:left w:val="single" w:color="000000" w:sz="4"/>
                    <w:bottom w:val="single" w:color="000000" w:sz="4"/>
                    <w:right w:val="single" w:color="000000" w:sz="4"/>
                  </w:tcBorders>
                  <w:vAlign w:val="top"/>
                </w:tcPr>
                <w:p>
                  <w:pPr>
                    <w:jc w:val="center"/>
                  </w:pPr>
                  <w:r>
                    <w:rPr>
                      <w:b/>
                      <w:sz w:val="24"/>
                    </w:rPr>
                    <w:t>采购项目名称</w:t>
                  </w:r>
                </w:p>
              </w:tc>
              <w:tc>
                <w:tcPr>
                  <w:tcW w:type="dxa" w:w="845"/>
                  <w:tcBorders>
                    <w:top w:val="single" w:color="000000" w:sz="4"/>
                    <w:left w:val="single" w:color="000000" w:sz="4"/>
                    <w:bottom w:val="single" w:color="000000" w:sz="4"/>
                    <w:right w:val="single" w:color="000000" w:sz="4"/>
                  </w:tcBorders>
                  <w:vAlign w:val="top"/>
                </w:tcPr>
                <w:p>
                  <w:pPr>
                    <w:jc w:val="center"/>
                  </w:pPr>
                  <w:r>
                    <w:rPr>
                      <w:b/>
                      <w:sz w:val="24"/>
                    </w:rPr>
                    <w:t>数量</w:t>
                  </w:r>
                </w:p>
              </w:tc>
              <w:tc>
                <w:tcPr>
                  <w:tcW w:type="dxa" w:w="1525"/>
                  <w:tcBorders>
                    <w:top w:val="single" w:color="000000" w:sz="4"/>
                    <w:left w:val="single" w:color="000000" w:sz="4"/>
                    <w:bottom w:val="single" w:color="000000" w:sz="4"/>
                    <w:right w:val="single" w:color="000000" w:sz="4"/>
                  </w:tcBorders>
                  <w:vAlign w:val="top"/>
                </w:tcPr>
                <w:p>
                  <w:pPr>
                    <w:jc w:val="center"/>
                  </w:pPr>
                  <w:r>
                    <w:rPr>
                      <w:b/>
                      <w:sz w:val="24"/>
                    </w:rPr>
                    <w:t>主要技术规格</w:t>
                  </w:r>
                </w:p>
              </w:tc>
              <w:tc>
                <w:tcPr>
                  <w:tcW w:type="dxa" w:w="1001"/>
                  <w:tcBorders>
                    <w:top w:val="single" w:color="000000" w:sz="4"/>
                    <w:left w:val="single" w:color="000000" w:sz="4"/>
                    <w:bottom w:val="single" w:color="000000" w:sz="4"/>
                    <w:right w:val="single" w:color="000000" w:sz="4"/>
                  </w:tcBorders>
                  <w:vAlign w:val="top"/>
                </w:tcPr>
                <w:p>
                  <w:pPr>
                    <w:jc w:val="center"/>
                  </w:pPr>
                  <w:r>
                    <w:rPr>
                      <w:b/>
                      <w:sz w:val="24"/>
                    </w:rPr>
                    <w:t>预算金额（元）</w:t>
                  </w:r>
                </w:p>
              </w:tc>
              <w:tc>
                <w:tcPr>
                  <w:tcW w:type="dxa" w:w="441"/>
                  <w:tcBorders>
                    <w:top w:val="single" w:color="000000" w:sz="4"/>
                    <w:left w:val="single" w:color="000000" w:sz="4"/>
                    <w:bottom w:val="single" w:color="000000" w:sz="4"/>
                    <w:right w:val="single" w:color="000000" w:sz="4"/>
                  </w:tcBorders>
                  <w:vAlign w:val="top"/>
                </w:tcPr>
                <w:p>
                  <w:pPr>
                    <w:jc w:val="center"/>
                  </w:pPr>
                  <w:r>
                    <w:rPr>
                      <w:b/>
                      <w:sz w:val="24"/>
                    </w:rPr>
                    <w:t>备注</w:t>
                  </w:r>
                </w:p>
              </w:tc>
            </w:tr>
            <w:tr>
              <w:tc>
                <w:tcPr>
                  <w:tcW w:type="dxa" w:w="1774"/>
                  <w:tcBorders>
                    <w:top w:val="none" w:color="000000" w:sz="4"/>
                    <w:left w:val="single" w:color="000000" w:sz="4"/>
                    <w:bottom w:val="single" w:color="000000" w:sz="4"/>
                    <w:right w:val="single" w:color="000000" w:sz="4"/>
                  </w:tcBorders>
                  <w:vAlign w:val="top"/>
                </w:tcPr>
                <w:p>
                  <w:pPr>
                    <w:jc w:val="center"/>
                  </w:pPr>
                  <w:r>
                    <w:rPr>
                      <w:sz w:val="24"/>
                    </w:rPr>
                    <w:t>韶州中学教育教学设施设备采购之课室纳米黑板、课室云班牌、办公室云办公系统项目</w:t>
                  </w:r>
                </w:p>
              </w:tc>
              <w:tc>
                <w:tcPr>
                  <w:tcW w:type="dxa" w:w="845"/>
                  <w:tcBorders>
                    <w:top w:val="none" w:color="000000" w:sz="4"/>
                    <w:left w:val="single" w:color="000000" w:sz="4"/>
                    <w:bottom w:val="single" w:color="000000" w:sz="4"/>
                    <w:right w:val="single" w:color="000000" w:sz="4"/>
                  </w:tcBorders>
                  <w:vAlign w:val="top"/>
                </w:tcPr>
                <w:p>
                  <w:pPr>
                    <w:jc w:val="center"/>
                  </w:pPr>
                  <w:r>
                    <w:rPr>
                      <w:sz w:val="24"/>
                    </w:rPr>
                    <w:t>1批</w:t>
                  </w:r>
                </w:p>
              </w:tc>
              <w:tc>
                <w:tcPr>
                  <w:tcW w:type="dxa" w:w="1525"/>
                  <w:tcBorders>
                    <w:top w:val="none" w:color="000000" w:sz="4"/>
                    <w:left w:val="single" w:color="000000" w:sz="4"/>
                    <w:bottom w:val="single" w:color="000000" w:sz="4"/>
                    <w:right w:val="single" w:color="000000" w:sz="4"/>
                  </w:tcBorders>
                  <w:vAlign w:val="top"/>
                </w:tcPr>
                <w:p>
                  <w:pPr>
                    <w:jc w:val="center"/>
                  </w:pPr>
                  <w:r>
                    <w:rPr>
                      <w:sz w:val="24"/>
                    </w:rPr>
                    <w:t>详见 “采购项目详细技术要求”</w:t>
                  </w:r>
                </w:p>
              </w:tc>
              <w:tc>
                <w:tcPr>
                  <w:tcW w:type="dxa" w:w="1001"/>
                  <w:tcBorders>
                    <w:top w:val="none" w:color="000000" w:sz="4"/>
                    <w:left w:val="single" w:color="000000" w:sz="4"/>
                    <w:bottom w:val="single" w:color="000000" w:sz="4"/>
                    <w:right w:val="single" w:color="000000" w:sz="4"/>
                  </w:tcBorders>
                  <w:vAlign w:val="top"/>
                </w:tcPr>
                <w:p>
                  <w:pPr>
                    <w:jc w:val="center"/>
                  </w:pPr>
                  <w:r>
                    <w:rPr>
                      <w:sz w:val="24"/>
                    </w:rPr>
                    <w:t>2,330,000.00</w:t>
                  </w:r>
                </w:p>
              </w:tc>
              <w:tc>
                <w:tcPr>
                  <w:tcW w:type="dxa" w:w="441"/>
                  <w:tcBorders>
                    <w:top w:val="none" w:color="000000" w:sz="4"/>
                    <w:left w:val="single" w:color="000000" w:sz="4"/>
                    <w:bottom w:val="single" w:color="000000" w:sz="4"/>
                    <w:right w:val="single" w:color="000000" w:sz="4"/>
                  </w:tcBorders>
                  <w:vAlign w:val="top"/>
                </w:tcPr>
                <w:p>
                  <w:pPr>
                    <w:jc w:val="center"/>
                  </w:pPr>
                  <w:r>
                    <w:rPr>
                      <w:sz w:val="24"/>
                    </w:rPr>
                    <w:t>/</w:t>
                  </w:r>
                </w:p>
              </w:tc>
            </w:tr>
          </w:tbl>
          <w:p>
            <w:pPr>
              <w:jc w:val="both"/>
            </w:pPr>
            <w:r>
              <w:rPr>
                <w:sz w:val="24"/>
              </w:rPr>
              <w:t>注：1、报价超出预算金额或有缺漏的，磋商小组将对其响应文件作无效响应处理。</w:t>
            </w:r>
          </w:p>
          <w:p>
            <w:pPr>
              <w:ind w:firstLine="420"/>
              <w:jc w:val="both"/>
            </w:pPr>
            <w:r>
              <w:rPr>
                <w:sz w:val="24"/>
              </w:rPr>
              <w:t>2、磋商报价应为人民币含税全包价，包括测试、运输、安装调试、验收、培训等一切费用。</w:t>
            </w:r>
          </w:p>
          <w:p>
            <w:pPr>
              <w:jc w:val="both"/>
            </w:pPr>
            <w:r>
              <w:rPr>
                <w:b/>
                <w:sz w:val="24"/>
              </w:rPr>
              <w:t>（二）核心产品一览表</w:t>
            </w:r>
          </w:p>
          <w:tbl>
            <w:tblPr>
              <w:tblBorders>
                <w:top w:val="none" w:color="000000" w:sz="4"/>
                <w:left w:val="none" w:color="000000" w:sz="4"/>
                <w:bottom w:val="none" w:color="000000" w:sz="4"/>
                <w:right w:val="none" w:color="000000" w:sz="4"/>
                <w:insideH w:val="none"/>
                <w:insideV w:val="none"/>
              </w:tblBorders>
            </w:tblPr>
            <w:tblGrid>
              <w:gridCol w:w="1209"/>
              <w:gridCol w:w="2419"/>
              <w:gridCol w:w="1960"/>
            </w:tblGrid>
            <w:tr>
              <w:tc>
                <w:tcPr>
                  <w:tcW w:type="dxa" w:w="1209"/>
                  <w:tcBorders>
                    <w:top w:val="single" w:color="000000" w:sz="4"/>
                    <w:left w:val="single" w:color="000000" w:sz="4"/>
                    <w:bottom w:val="single" w:color="000000" w:sz="4"/>
                    <w:right w:val="single" w:color="000000" w:sz="4"/>
                  </w:tcBorders>
                  <w:vAlign w:val="top"/>
                </w:tcPr>
                <w:p>
                  <w:pPr>
                    <w:jc w:val="center"/>
                  </w:pPr>
                  <w:r>
                    <w:rPr>
                      <w:b/>
                      <w:sz w:val="24"/>
                    </w:rPr>
                    <w:t>序号</w:t>
                  </w:r>
                </w:p>
              </w:tc>
              <w:tc>
                <w:tcPr>
                  <w:tcW w:type="dxa" w:w="2419"/>
                  <w:tcBorders>
                    <w:top w:val="single" w:color="000000" w:sz="4"/>
                    <w:left w:val="single" w:color="000000" w:sz="4"/>
                    <w:bottom w:val="single" w:color="000000" w:sz="4"/>
                    <w:right w:val="single" w:color="000000" w:sz="4"/>
                  </w:tcBorders>
                  <w:vAlign w:val="top"/>
                </w:tcPr>
                <w:p>
                  <w:pPr>
                    <w:jc w:val="center"/>
                  </w:pPr>
                  <w:r>
                    <w:rPr>
                      <w:b/>
                      <w:sz w:val="24"/>
                    </w:rPr>
                    <w:t>设备名称</w:t>
                  </w:r>
                </w:p>
              </w:tc>
              <w:tc>
                <w:tcPr>
                  <w:tcW w:type="dxa" w:w="1960"/>
                  <w:tcBorders>
                    <w:top w:val="single" w:color="000000" w:sz="4"/>
                    <w:left w:val="single" w:color="000000" w:sz="4"/>
                    <w:bottom w:val="single" w:color="000000" w:sz="4"/>
                    <w:right w:val="single" w:color="000000" w:sz="4"/>
                  </w:tcBorders>
                  <w:vAlign w:val="top"/>
                </w:tcPr>
                <w:p>
                  <w:pPr>
                    <w:jc w:val="center"/>
                  </w:pPr>
                  <w:r>
                    <w:rPr>
                      <w:b/>
                      <w:sz w:val="24"/>
                    </w:rPr>
                    <w:t>是否核心产品</w:t>
                  </w:r>
                </w:p>
              </w:tc>
            </w:tr>
            <w:tr>
              <w:tc>
                <w:tcPr>
                  <w:tcW w:type="dxa" w:w="1209"/>
                  <w:tcBorders>
                    <w:top w:val="none" w:color="000000" w:sz="4"/>
                    <w:left w:val="single" w:color="000000" w:sz="4"/>
                    <w:bottom w:val="single" w:color="000000" w:sz="4"/>
                    <w:right w:val="single" w:color="000000" w:sz="4"/>
                  </w:tcBorders>
                  <w:vAlign w:val="top"/>
                </w:tcPr>
                <w:p>
                  <w:pPr>
                    <w:jc w:val="center"/>
                  </w:pPr>
                  <w:r>
                    <w:rPr>
                      <w:sz w:val="24"/>
                    </w:rPr>
                    <w:t>1</w:t>
                  </w:r>
                </w:p>
              </w:tc>
              <w:tc>
                <w:tcPr>
                  <w:tcW w:type="dxa" w:w="2419"/>
                  <w:tcBorders>
                    <w:top w:val="none" w:color="000000" w:sz="4"/>
                    <w:left w:val="single" w:color="000000" w:sz="4"/>
                    <w:bottom w:val="single" w:color="000000" w:sz="4"/>
                    <w:right w:val="single" w:color="000000" w:sz="4"/>
                  </w:tcBorders>
                  <w:vAlign w:val="top"/>
                </w:tcPr>
                <w:p>
                  <w:pPr>
                    <w:jc w:val="center"/>
                  </w:pPr>
                  <w:r>
                    <w:rPr>
                      <w:sz w:val="24"/>
                    </w:rPr>
                    <w:t>纳米黑板</w:t>
                  </w:r>
                </w:p>
              </w:tc>
              <w:tc>
                <w:tcPr>
                  <w:tcW w:type="dxa" w:w="1960"/>
                  <w:tcBorders>
                    <w:top w:val="none" w:color="000000" w:sz="4"/>
                    <w:left w:val="single" w:color="000000" w:sz="4"/>
                    <w:bottom w:val="single" w:color="000000" w:sz="4"/>
                    <w:right w:val="single" w:color="000000" w:sz="4"/>
                  </w:tcBorders>
                  <w:vAlign w:val="top"/>
                </w:tcPr>
                <w:p>
                  <w:pPr>
                    <w:jc w:val="center"/>
                  </w:pPr>
                  <w:r>
                    <w:rPr>
                      <w:sz w:val="24"/>
                    </w:rPr>
                    <w:t>是</w:t>
                  </w:r>
                </w:p>
              </w:tc>
            </w:tr>
            <w:tr>
              <w:tc>
                <w:tcPr>
                  <w:tcW w:type="dxa" w:w="1209"/>
                  <w:tcBorders>
                    <w:top w:val="none" w:color="000000" w:sz="4"/>
                    <w:left w:val="single" w:color="000000" w:sz="4"/>
                    <w:bottom w:val="single" w:color="000000" w:sz="4"/>
                    <w:right w:val="single" w:color="000000" w:sz="4"/>
                  </w:tcBorders>
                  <w:vAlign w:val="top"/>
                </w:tcPr>
                <w:p>
                  <w:pPr>
                    <w:jc w:val="center"/>
                  </w:pPr>
                  <w:r>
                    <w:rPr>
                      <w:sz w:val="24"/>
                    </w:rPr>
                    <w:t>2</w:t>
                  </w:r>
                </w:p>
              </w:tc>
              <w:tc>
                <w:tcPr>
                  <w:tcW w:type="dxa" w:w="2419"/>
                  <w:tcBorders>
                    <w:top w:val="none" w:color="000000" w:sz="4"/>
                    <w:left w:val="single" w:color="000000" w:sz="4"/>
                    <w:bottom w:val="single" w:color="000000" w:sz="4"/>
                    <w:right w:val="single" w:color="000000" w:sz="4"/>
                  </w:tcBorders>
                  <w:vAlign w:val="top"/>
                </w:tcPr>
                <w:p>
                  <w:pPr>
                    <w:jc w:val="center"/>
                  </w:pPr>
                  <w:r>
                    <w:rPr>
                      <w:sz w:val="24"/>
                    </w:rPr>
                    <w:t>智能云终端</w:t>
                  </w:r>
                </w:p>
              </w:tc>
              <w:tc>
                <w:tcPr>
                  <w:tcW w:type="dxa" w:w="1960"/>
                  <w:tcBorders>
                    <w:top w:val="none" w:color="000000" w:sz="4"/>
                    <w:left w:val="single" w:color="000000" w:sz="4"/>
                    <w:bottom w:val="single" w:color="000000" w:sz="4"/>
                    <w:right w:val="single" w:color="000000" w:sz="4"/>
                  </w:tcBorders>
                  <w:vAlign w:val="top"/>
                </w:tcPr>
                <w:p>
                  <w:pPr>
                    <w:jc w:val="center"/>
                  </w:pPr>
                  <w:r>
                    <w:rPr>
                      <w:sz w:val="24"/>
                    </w:rPr>
                    <w:t>是</w:t>
                  </w:r>
                </w:p>
              </w:tc>
            </w:tr>
            <w:tr>
              <w:tc>
                <w:tcPr>
                  <w:tcW w:type="dxa" w:w="1209"/>
                  <w:tcBorders>
                    <w:top w:val="none" w:color="000000" w:sz="4"/>
                    <w:left w:val="single" w:color="000000" w:sz="4"/>
                    <w:bottom w:val="single" w:color="000000" w:sz="4"/>
                    <w:right w:val="single" w:color="000000" w:sz="4"/>
                  </w:tcBorders>
                  <w:vAlign w:val="top"/>
                </w:tcPr>
                <w:p>
                  <w:pPr>
                    <w:jc w:val="center"/>
                  </w:pPr>
                  <w:r>
                    <w:rPr>
                      <w:sz w:val="24"/>
                    </w:rPr>
                    <w:t>3</w:t>
                  </w:r>
                </w:p>
              </w:tc>
              <w:tc>
                <w:tcPr>
                  <w:tcW w:type="dxa" w:w="2419"/>
                  <w:tcBorders>
                    <w:top w:val="none" w:color="000000" w:sz="4"/>
                    <w:left w:val="single" w:color="000000" w:sz="4"/>
                    <w:bottom w:val="single" w:color="000000" w:sz="4"/>
                    <w:right w:val="single" w:color="000000" w:sz="4"/>
                  </w:tcBorders>
                  <w:vAlign w:val="top"/>
                </w:tcPr>
                <w:p>
                  <w:pPr>
                    <w:jc w:val="center"/>
                  </w:pPr>
                  <w:r>
                    <w:rPr>
                      <w:sz w:val="24"/>
                    </w:rPr>
                    <w:t>云班牌</w:t>
                  </w:r>
                </w:p>
              </w:tc>
              <w:tc>
                <w:tcPr>
                  <w:tcW w:type="dxa" w:w="1960"/>
                  <w:tcBorders>
                    <w:top w:val="none" w:color="000000" w:sz="4"/>
                    <w:left w:val="single" w:color="000000" w:sz="4"/>
                    <w:bottom w:val="single" w:color="000000" w:sz="4"/>
                    <w:right w:val="single" w:color="000000" w:sz="4"/>
                  </w:tcBorders>
                  <w:vAlign w:val="top"/>
                </w:tcPr>
                <w:p>
                  <w:pPr>
                    <w:jc w:val="center"/>
                  </w:pPr>
                  <w:r>
                    <w:rPr>
                      <w:sz w:val="24"/>
                    </w:rPr>
                    <w:t>是</w:t>
                  </w:r>
                </w:p>
              </w:tc>
            </w:tr>
          </w:tbl>
          <w:p>
            <w:pPr>
              <w:jc w:val="both"/>
            </w:pPr>
          </w:p>
          <w:p>
            <w:pPr>
              <w:jc w:val="both"/>
            </w:pPr>
            <w:r>
              <w:rPr>
                <w:b/>
                <w:sz w:val="24"/>
              </w:rPr>
              <w:t>（三）采购项目需求清单表</w:t>
            </w:r>
          </w:p>
          <w:tbl>
            <w:tblPr>
              <w:tblBorders>
                <w:top w:val="none" w:color="000000" w:sz="4"/>
                <w:left w:val="none" w:color="000000" w:sz="4"/>
                <w:bottom w:val="none" w:color="000000" w:sz="4"/>
                <w:right w:val="none" w:color="000000" w:sz="4"/>
                <w:insideH w:val="none"/>
                <w:insideV w:val="none"/>
              </w:tblBorders>
            </w:tblPr>
            <w:tblGrid>
              <w:gridCol w:w="439"/>
              <w:gridCol w:w="815"/>
              <w:gridCol w:w="2956"/>
              <w:gridCol w:w="430"/>
              <w:gridCol w:w="457"/>
              <w:gridCol w:w="502"/>
            </w:tblGrid>
            <w:tr>
              <w:tc>
                <w:tcPr>
                  <w:tcW w:type="dxa" w:w="439"/>
                  <w:tcBorders>
                    <w:top w:val="single" w:color="000000" w:sz="4"/>
                    <w:left w:val="single" w:color="000000" w:sz="4"/>
                    <w:bottom w:val="single" w:color="000000" w:sz="4"/>
                    <w:right w:val="single" w:color="000000" w:sz="4"/>
                  </w:tcBorders>
                  <w:vAlign w:val="top"/>
                </w:tcPr>
                <w:p>
                  <w:pPr>
                    <w:jc w:val="center"/>
                  </w:pPr>
                  <w:r>
                    <w:rPr>
                      <w:b/>
                      <w:sz w:val="24"/>
                    </w:rPr>
                    <w:t>序号</w:t>
                  </w:r>
                </w:p>
              </w:tc>
              <w:tc>
                <w:tcPr>
                  <w:tcW w:type="dxa" w:w="815"/>
                  <w:tcBorders>
                    <w:top w:val="single" w:color="000000" w:sz="4"/>
                    <w:left w:val="none" w:color="000000" w:sz="4"/>
                    <w:bottom w:val="single" w:color="000000" w:sz="4"/>
                    <w:right w:val="single" w:color="000000" w:sz="4"/>
                  </w:tcBorders>
                  <w:vAlign w:val="top"/>
                </w:tcPr>
                <w:p>
                  <w:pPr>
                    <w:jc w:val="center"/>
                  </w:pPr>
                  <w:r>
                    <w:rPr>
                      <w:b/>
                      <w:sz w:val="24"/>
                    </w:rPr>
                    <w:t>采购标的</w:t>
                  </w:r>
                </w:p>
              </w:tc>
              <w:tc>
                <w:tcPr>
                  <w:tcW w:type="dxa" w:w="2956"/>
                  <w:tcBorders>
                    <w:top w:val="single" w:color="000000" w:sz="4"/>
                    <w:left w:val="none" w:color="000000" w:sz="4"/>
                    <w:bottom w:val="single" w:color="000000" w:sz="4"/>
                    <w:right w:val="single" w:color="000000" w:sz="4"/>
                  </w:tcBorders>
                  <w:vAlign w:val="top"/>
                </w:tcPr>
                <w:p>
                  <w:pPr>
                    <w:jc w:val="center"/>
                  </w:pPr>
                  <w:r>
                    <w:rPr>
                      <w:b/>
                      <w:sz w:val="24"/>
                    </w:rPr>
                    <w:t>功能概述</w:t>
                  </w:r>
                </w:p>
              </w:tc>
              <w:tc>
                <w:tcPr>
                  <w:tcW w:type="dxa" w:w="430"/>
                  <w:tcBorders>
                    <w:top w:val="single" w:color="000000" w:sz="4"/>
                    <w:left w:val="none" w:color="000000" w:sz="4"/>
                    <w:bottom w:val="single" w:color="000000" w:sz="4"/>
                    <w:right w:val="single" w:color="000000" w:sz="4"/>
                  </w:tcBorders>
                  <w:vAlign w:val="top"/>
                </w:tcPr>
                <w:p>
                  <w:pPr>
                    <w:jc w:val="center"/>
                  </w:pPr>
                  <w:r>
                    <w:rPr>
                      <w:b/>
                      <w:sz w:val="24"/>
                    </w:rPr>
                    <w:t>单位</w:t>
                  </w:r>
                </w:p>
              </w:tc>
              <w:tc>
                <w:tcPr>
                  <w:tcW w:type="dxa" w:w="457"/>
                  <w:tcBorders>
                    <w:top w:val="single" w:color="000000" w:sz="4"/>
                    <w:left w:val="none" w:color="000000" w:sz="4"/>
                    <w:bottom w:val="single" w:color="000000" w:sz="4"/>
                    <w:right w:val="single" w:color="000000" w:sz="4"/>
                  </w:tcBorders>
                  <w:vAlign w:val="top"/>
                </w:tcPr>
                <w:p>
                  <w:pPr>
                    <w:jc w:val="center"/>
                  </w:pPr>
                  <w:r>
                    <w:rPr>
                      <w:b/>
                      <w:sz w:val="24"/>
                    </w:rPr>
                    <w:t>数量</w:t>
                  </w:r>
                </w:p>
              </w:tc>
              <w:tc>
                <w:tcPr>
                  <w:tcW w:type="dxa" w:w="502"/>
                  <w:tcBorders>
                    <w:top w:val="single" w:color="000000" w:sz="4"/>
                    <w:left w:val="none" w:color="000000" w:sz="4"/>
                    <w:bottom w:val="single" w:color="000000" w:sz="4"/>
                    <w:right w:val="single" w:color="000000" w:sz="4"/>
                  </w:tcBorders>
                  <w:vAlign w:val="top"/>
                </w:tcPr>
                <w:p>
                  <w:pPr>
                    <w:jc w:val="center"/>
                  </w:pPr>
                  <w:r>
                    <w:rPr>
                      <w:b/>
                      <w:sz w:val="24"/>
                    </w:rPr>
                    <w:t>备注</w:t>
                  </w:r>
                </w:p>
              </w:tc>
            </w:tr>
            <w:tr>
              <w:tc>
                <w:tcPr>
                  <w:tcW w:type="dxa" w:w="5599"/>
                  <w:gridSpan w:val="6"/>
                  <w:tcBorders>
                    <w:top w:val="none" w:color="000000" w:sz="4"/>
                    <w:left w:val="single" w:color="000000" w:sz="4"/>
                    <w:bottom w:val="single" w:color="000000" w:sz="4"/>
                    <w:right w:val="single" w:color="000000" w:sz="4"/>
                  </w:tcBorders>
                  <w:vAlign w:val="top"/>
                </w:tcPr>
                <w:p>
                  <w:pPr>
                    <w:jc w:val="center"/>
                  </w:pPr>
                  <w:r>
                    <w:rPr>
                      <w:b/>
                      <w:sz w:val="24"/>
                    </w:rPr>
                    <w:t>课室纳米黑板</w:t>
                  </w:r>
                </w:p>
              </w:tc>
            </w:tr>
            <w:tr>
              <w:tc>
                <w:tcPr>
                  <w:tcW w:type="dxa" w:w="439"/>
                  <w:tcBorders>
                    <w:top w:val="none" w:color="000000" w:sz="4"/>
                    <w:left w:val="single" w:color="000000" w:sz="4"/>
                    <w:bottom w:val="single" w:color="000000" w:sz="4"/>
                    <w:right w:val="single" w:color="000000" w:sz="4"/>
                  </w:tcBorders>
                  <w:vAlign w:val="top"/>
                </w:tcPr>
                <w:p>
                  <w:pPr>
                    <w:jc w:val="center"/>
                  </w:pPr>
                  <w:r>
                    <w:rPr>
                      <w:sz w:val="24"/>
                    </w:rPr>
                    <w:t>1</w:t>
                  </w:r>
                </w:p>
              </w:tc>
              <w:tc>
                <w:tcPr>
                  <w:tcW w:type="dxa" w:w="815"/>
                  <w:tcBorders>
                    <w:top w:val="single" w:color="000000" w:sz="4"/>
                    <w:left w:val="none" w:color="000000" w:sz="4"/>
                    <w:bottom w:val="single" w:color="000000" w:sz="4"/>
                    <w:right w:val="single" w:color="000000" w:sz="4"/>
                  </w:tcBorders>
                  <w:vAlign w:val="top"/>
                </w:tcPr>
                <w:p>
                  <w:pPr>
                    <w:jc w:val="center"/>
                  </w:pPr>
                  <w:r>
                    <w:rPr>
                      <w:sz w:val="24"/>
                    </w:rPr>
                    <w:t>纳米黑板</w:t>
                  </w:r>
                </w:p>
              </w:tc>
              <w:tc>
                <w:tcPr>
                  <w:tcW w:type="dxa" w:w="2956"/>
                  <w:tcBorders>
                    <w:top w:val="single" w:color="000000" w:sz="4"/>
                    <w:left w:val="none" w:color="000000" w:sz="4"/>
                    <w:bottom w:val="single" w:color="000000" w:sz="4"/>
                    <w:right w:val="single" w:color="000000" w:sz="4"/>
                  </w:tcBorders>
                  <w:vAlign w:val="top"/>
                </w:tcPr>
                <w:p>
                  <w:pPr>
                    <w:jc w:val="both"/>
                  </w:pPr>
                  <w:r>
                    <w:rPr>
                      <w:sz w:val="24"/>
                    </w:rPr>
                    <w:t>显示特性：</w:t>
                  </w:r>
                </w:p>
                <w:p>
                  <w:pPr>
                    <w:numPr>
                      <w:ilvl w:val="0"/>
                      <w:numId w:val="1"/>
                    </w:numPr>
                    <w:jc w:val="both"/>
                  </w:pPr>
                  <w:r>
                    <w:rPr>
                      <w:sz w:val="24"/>
                    </w:rPr>
                    <w:t>显示屏尺寸≥86英寸， UHD超高清显示屏，显示比例16:9，具备防眩光效果显示比例16:9；</w:t>
                  </w:r>
                </w:p>
                <w:p>
                  <w:pPr>
                    <w:numPr>
                      <w:ilvl w:val="0"/>
                      <w:numId w:val="1"/>
                    </w:numPr>
                    <w:jc w:val="both"/>
                  </w:pPr>
                  <w:r>
                    <w:rPr>
                      <w:sz w:val="24"/>
                    </w:rPr>
                    <w:t>物理高清分辨率≥3840×2160；</w:t>
                  </w:r>
                </w:p>
                <w:p>
                  <w:pPr>
                    <w:numPr>
                      <w:ilvl w:val="0"/>
                      <w:numId w:val="1"/>
                    </w:numPr>
                    <w:jc w:val="both"/>
                  </w:pPr>
                  <w:r>
                    <w:rPr>
                      <w:sz w:val="24"/>
                    </w:rPr>
                    <w:t>亮度≥350cd/m2；</w:t>
                  </w:r>
                </w:p>
                <w:p>
                  <w:pPr>
                    <w:numPr>
                      <w:ilvl w:val="0"/>
                      <w:numId w:val="1"/>
                    </w:numPr>
                    <w:jc w:val="both"/>
                  </w:pPr>
                  <w:r>
                    <w:rPr>
                      <w:sz w:val="24"/>
                    </w:rPr>
                    <w:t>对比度≥4000：1；</w:t>
                  </w:r>
                </w:p>
                <w:p>
                  <w:pPr>
                    <w:numPr>
                      <w:ilvl w:val="0"/>
                      <w:numId w:val="1"/>
                    </w:numPr>
                    <w:jc w:val="both"/>
                  </w:pPr>
                  <w:r>
                    <w:rPr>
                      <w:sz w:val="24"/>
                    </w:rPr>
                    <w:t>4口U盘拓展坞×1。（详细参数要求见附表一）</w:t>
                  </w:r>
                </w:p>
              </w:tc>
              <w:tc>
                <w:tcPr>
                  <w:tcW w:type="dxa" w:w="430"/>
                  <w:tcBorders>
                    <w:top w:val="single" w:color="000000" w:sz="4"/>
                    <w:left w:val="none" w:color="000000" w:sz="4"/>
                    <w:bottom w:val="single" w:color="000000" w:sz="4"/>
                    <w:right w:val="single" w:color="000000" w:sz="4"/>
                  </w:tcBorders>
                  <w:vAlign w:val="top"/>
                </w:tcPr>
                <w:p>
                  <w:pPr>
                    <w:jc w:val="center"/>
                  </w:pPr>
                  <w:r>
                    <w:rPr>
                      <w:sz w:val="24"/>
                    </w:rPr>
                    <w:t>套</w:t>
                  </w:r>
                </w:p>
              </w:tc>
              <w:tc>
                <w:tcPr>
                  <w:tcW w:type="dxa" w:w="457"/>
                  <w:tcBorders>
                    <w:top w:val="single" w:color="000000" w:sz="4"/>
                    <w:left w:val="none" w:color="000000" w:sz="4"/>
                    <w:bottom w:val="single" w:color="000000" w:sz="4"/>
                    <w:right w:val="single" w:color="000000" w:sz="4"/>
                  </w:tcBorders>
                  <w:vAlign w:val="top"/>
                </w:tcPr>
                <w:p>
                  <w:pPr>
                    <w:jc w:val="center"/>
                  </w:pPr>
                  <w:r>
                    <w:rPr>
                      <w:sz w:val="24"/>
                    </w:rPr>
                    <w:t>38</w:t>
                  </w:r>
                </w:p>
              </w:tc>
              <w:tc>
                <w:tcPr>
                  <w:tcW w:type="dxa" w:w="502"/>
                  <w:tcBorders>
                    <w:top w:val="single" w:color="000000" w:sz="4"/>
                    <w:left w:val="none" w:color="000000" w:sz="4"/>
                    <w:bottom w:val="single" w:color="000000" w:sz="4"/>
                    <w:right w:val="single" w:color="000000" w:sz="4"/>
                  </w:tcBorders>
                  <w:vAlign w:val="top"/>
                </w:tcPr>
                <w:p>
                  <w:pPr>
                    <w:jc w:val="center"/>
                  </w:pPr>
                </w:p>
              </w:tc>
            </w:tr>
            <w:tr>
              <w:tc>
                <w:tcPr>
                  <w:tcW w:type="dxa" w:w="439"/>
                  <w:tcBorders>
                    <w:top w:val="none" w:color="000000" w:sz="4"/>
                    <w:left w:val="single" w:color="000000" w:sz="4"/>
                    <w:bottom w:val="single" w:color="000000" w:sz="4"/>
                    <w:right w:val="single" w:color="000000" w:sz="4"/>
                  </w:tcBorders>
                  <w:vAlign w:val="top"/>
                </w:tcPr>
                <w:p>
                  <w:pPr>
                    <w:jc w:val="center"/>
                  </w:pPr>
                  <w:r>
                    <w:rPr>
                      <w:sz w:val="24"/>
                    </w:rPr>
                    <w:t>2</w:t>
                  </w:r>
                </w:p>
              </w:tc>
              <w:tc>
                <w:tcPr>
                  <w:tcW w:type="dxa" w:w="815"/>
                  <w:tcBorders>
                    <w:top w:val="none" w:color="000000" w:sz="4"/>
                    <w:left w:val="none" w:color="000000" w:sz="4"/>
                    <w:bottom w:val="single" w:color="000000" w:sz="4"/>
                    <w:right w:val="single" w:color="000000" w:sz="4"/>
                  </w:tcBorders>
                  <w:vAlign w:val="top"/>
                </w:tcPr>
                <w:p>
                  <w:pPr>
                    <w:jc w:val="center"/>
                  </w:pPr>
                  <w:r>
                    <w:rPr>
                      <w:sz w:val="24"/>
                    </w:rPr>
                    <w:t>实物展台</w:t>
                  </w:r>
                </w:p>
              </w:tc>
              <w:tc>
                <w:tcPr>
                  <w:tcW w:type="dxa" w:w="2956"/>
                  <w:tcBorders>
                    <w:top w:val="none" w:color="000000" w:sz="4"/>
                    <w:left w:val="none" w:color="000000" w:sz="4"/>
                    <w:bottom w:val="single" w:color="000000" w:sz="4"/>
                    <w:right w:val="single" w:color="000000" w:sz="4"/>
                  </w:tcBorders>
                  <w:vAlign w:val="top"/>
                </w:tcPr>
                <w:p>
                  <w:pPr>
                    <w:jc w:val="both"/>
                  </w:pPr>
                  <w:r>
                    <w:rPr>
                      <w:sz w:val="24"/>
                    </w:rPr>
                    <w:t>铝合金外壳，无锐角无利边设计，采用三折叠开合式托板，展开后托板尺寸≥A4面积，USB3.0高速接口，800W像素自动对焦摄像头，可拍摄A4画幅。</w:t>
                  </w:r>
                </w:p>
              </w:tc>
              <w:tc>
                <w:tcPr>
                  <w:tcW w:type="dxa" w:w="430"/>
                  <w:tcBorders>
                    <w:top w:val="none" w:color="000000" w:sz="4"/>
                    <w:left w:val="none" w:color="000000" w:sz="4"/>
                    <w:bottom w:val="single" w:color="000000" w:sz="4"/>
                    <w:right w:val="single" w:color="000000" w:sz="4"/>
                  </w:tcBorders>
                  <w:vAlign w:val="top"/>
                </w:tcPr>
                <w:p>
                  <w:pPr>
                    <w:jc w:val="center"/>
                  </w:pPr>
                  <w:r>
                    <w:rPr>
                      <w:sz w:val="24"/>
                    </w:rPr>
                    <w:t>台</w:t>
                  </w:r>
                </w:p>
              </w:tc>
              <w:tc>
                <w:tcPr>
                  <w:tcW w:type="dxa" w:w="457"/>
                  <w:tcBorders>
                    <w:top w:val="none" w:color="000000" w:sz="4"/>
                    <w:left w:val="none" w:color="000000" w:sz="4"/>
                    <w:bottom w:val="single" w:color="000000" w:sz="4"/>
                    <w:right w:val="single" w:color="000000" w:sz="4"/>
                  </w:tcBorders>
                  <w:vAlign w:val="top"/>
                </w:tcPr>
                <w:p>
                  <w:pPr>
                    <w:jc w:val="center"/>
                  </w:pPr>
                  <w:r>
                    <w:rPr>
                      <w:sz w:val="24"/>
                    </w:rPr>
                    <w:t>38</w:t>
                  </w:r>
                </w:p>
              </w:tc>
              <w:tc>
                <w:tcPr>
                  <w:tcW w:type="dxa" w:w="502"/>
                  <w:tcBorders>
                    <w:top w:val="none" w:color="000000" w:sz="4"/>
                    <w:left w:val="none" w:color="000000" w:sz="4"/>
                    <w:bottom w:val="single" w:color="000000" w:sz="4"/>
                    <w:right w:val="single" w:color="000000" w:sz="4"/>
                  </w:tcBorders>
                  <w:vAlign w:val="top"/>
                </w:tcPr>
                <w:p>
                  <w:pPr>
                    <w:jc w:val="center"/>
                  </w:pPr>
                </w:p>
              </w:tc>
            </w:tr>
            <w:tr>
              <w:tc>
                <w:tcPr>
                  <w:tcW w:type="dxa" w:w="439"/>
                  <w:tcBorders>
                    <w:top w:val="none" w:color="000000" w:sz="4"/>
                    <w:left w:val="single" w:color="000000" w:sz="4"/>
                    <w:bottom w:val="single" w:color="000000" w:sz="4"/>
                    <w:right w:val="single" w:color="000000" w:sz="4"/>
                  </w:tcBorders>
                  <w:vAlign w:val="top"/>
                </w:tcPr>
                <w:p>
                  <w:pPr>
                    <w:jc w:val="center"/>
                  </w:pPr>
                  <w:r>
                    <w:rPr>
                      <w:sz w:val="24"/>
                    </w:rPr>
                    <w:t>3</w:t>
                  </w:r>
                </w:p>
              </w:tc>
              <w:tc>
                <w:tcPr>
                  <w:tcW w:type="dxa" w:w="815"/>
                  <w:tcBorders>
                    <w:top w:val="none" w:color="000000" w:sz="4"/>
                    <w:left w:val="none" w:color="000000" w:sz="4"/>
                    <w:bottom w:val="single" w:color="000000" w:sz="4"/>
                    <w:right w:val="single" w:color="000000" w:sz="4"/>
                  </w:tcBorders>
                  <w:vAlign w:val="top"/>
                </w:tcPr>
                <w:p>
                  <w:pPr>
                    <w:jc w:val="center"/>
                  </w:pPr>
                  <w:r>
                    <w:rPr>
                      <w:sz w:val="24"/>
                    </w:rPr>
                    <w:t>设备集中控制管理平台</w:t>
                  </w:r>
                </w:p>
              </w:tc>
              <w:tc>
                <w:tcPr>
                  <w:tcW w:type="dxa" w:w="2956"/>
                  <w:tcBorders>
                    <w:top w:val="none" w:color="000000" w:sz="4"/>
                    <w:left w:val="none" w:color="000000" w:sz="4"/>
                    <w:bottom w:val="single" w:color="000000" w:sz="4"/>
                    <w:right w:val="single" w:color="000000" w:sz="4"/>
                  </w:tcBorders>
                  <w:vAlign w:val="top"/>
                </w:tcPr>
                <w:p>
                  <w:pPr>
                    <w:jc w:val="left"/>
                  </w:pPr>
                  <w:r>
                    <w:rPr>
                      <w:sz w:val="24"/>
                    </w:rPr>
                    <w:t>设备运维管理平台系统软件</w:t>
                  </w:r>
                </w:p>
              </w:tc>
              <w:tc>
                <w:tcPr>
                  <w:tcW w:type="dxa" w:w="430"/>
                  <w:tcBorders>
                    <w:top w:val="none" w:color="000000" w:sz="4"/>
                    <w:left w:val="none" w:color="000000" w:sz="4"/>
                    <w:bottom w:val="single" w:color="000000" w:sz="4"/>
                    <w:right w:val="single" w:color="000000" w:sz="4"/>
                  </w:tcBorders>
                  <w:vAlign w:val="top"/>
                </w:tcPr>
                <w:p>
                  <w:pPr>
                    <w:jc w:val="center"/>
                  </w:pPr>
                  <w:r>
                    <w:rPr>
                      <w:sz w:val="24"/>
                    </w:rPr>
                    <w:t>套</w:t>
                  </w:r>
                </w:p>
              </w:tc>
              <w:tc>
                <w:tcPr>
                  <w:tcW w:type="dxa" w:w="457"/>
                  <w:tcBorders>
                    <w:top w:val="none" w:color="000000" w:sz="4"/>
                    <w:left w:val="none" w:color="000000" w:sz="4"/>
                    <w:bottom w:val="single" w:color="000000" w:sz="4"/>
                    <w:right w:val="single" w:color="000000" w:sz="4"/>
                  </w:tcBorders>
                  <w:vAlign w:val="top"/>
                </w:tcPr>
                <w:p>
                  <w:pPr>
                    <w:jc w:val="center"/>
                  </w:pPr>
                  <w:r>
                    <w:rPr>
                      <w:sz w:val="24"/>
                    </w:rPr>
                    <w:t>38</w:t>
                  </w:r>
                </w:p>
              </w:tc>
              <w:tc>
                <w:tcPr>
                  <w:tcW w:type="dxa" w:w="502"/>
                  <w:tcBorders>
                    <w:top w:val="none" w:color="000000" w:sz="4"/>
                    <w:left w:val="none" w:color="000000" w:sz="4"/>
                    <w:bottom w:val="single" w:color="000000" w:sz="4"/>
                    <w:right w:val="single" w:color="000000" w:sz="4"/>
                  </w:tcBorders>
                  <w:vAlign w:val="top"/>
                </w:tcPr>
                <w:p>
                  <w:pPr>
                    <w:jc w:val="both"/>
                  </w:pPr>
                </w:p>
              </w:tc>
            </w:tr>
            <w:tr>
              <w:tc>
                <w:tcPr>
                  <w:tcW w:type="dxa" w:w="439"/>
                  <w:tcBorders>
                    <w:top w:val="none" w:color="000000" w:sz="4"/>
                    <w:left w:val="single" w:color="000000" w:sz="4"/>
                    <w:bottom w:val="single" w:color="000000" w:sz="4"/>
                    <w:right w:val="single" w:color="000000" w:sz="4"/>
                  </w:tcBorders>
                  <w:vAlign w:val="top"/>
                </w:tcPr>
                <w:p>
                  <w:pPr>
                    <w:jc w:val="center"/>
                  </w:pPr>
                  <w:r>
                    <w:rPr>
                      <w:sz w:val="24"/>
                    </w:rPr>
                    <w:t>4</w:t>
                  </w:r>
                </w:p>
              </w:tc>
              <w:tc>
                <w:tcPr>
                  <w:tcW w:type="dxa" w:w="815"/>
                  <w:tcBorders>
                    <w:top w:val="none" w:color="000000" w:sz="4"/>
                    <w:left w:val="none" w:color="000000" w:sz="4"/>
                    <w:bottom w:val="single" w:color="000000" w:sz="4"/>
                    <w:right w:val="single" w:color="000000" w:sz="4"/>
                  </w:tcBorders>
                  <w:shd w:fill="FFFFFF"/>
                  <w:vAlign w:val="top"/>
                </w:tcPr>
                <w:p>
                  <w:pPr>
                    <w:jc w:val="center"/>
                  </w:pPr>
                  <w:r>
                    <w:rPr>
                      <w:sz w:val="24"/>
                    </w:rPr>
                    <w:t>智能书写笔</w:t>
                  </w:r>
                </w:p>
              </w:tc>
              <w:tc>
                <w:tcPr>
                  <w:tcW w:type="dxa" w:w="2956"/>
                  <w:tcBorders>
                    <w:top w:val="none" w:color="000000" w:sz="4"/>
                    <w:left w:val="none" w:color="000000" w:sz="4"/>
                    <w:bottom w:val="single" w:color="000000" w:sz="4"/>
                    <w:right w:val="single" w:color="000000" w:sz="4"/>
                  </w:tcBorders>
                  <w:vAlign w:val="top"/>
                </w:tcPr>
                <w:p>
                  <w:pPr>
                    <w:jc w:val="left"/>
                  </w:pPr>
                  <w:r>
                    <w:rPr>
                      <w:sz w:val="24"/>
                    </w:rPr>
                    <w:t>主动电容笔，智能翻页、具备模拟激光笔功能</w:t>
                  </w:r>
                </w:p>
              </w:tc>
              <w:tc>
                <w:tcPr>
                  <w:tcW w:type="dxa" w:w="430"/>
                  <w:tcBorders>
                    <w:top w:val="none" w:color="000000" w:sz="4"/>
                    <w:left w:val="none" w:color="000000" w:sz="4"/>
                    <w:bottom w:val="single" w:color="000000" w:sz="4"/>
                    <w:right w:val="single" w:color="000000" w:sz="4"/>
                  </w:tcBorders>
                  <w:vAlign w:val="top"/>
                </w:tcPr>
                <w:p>
                  <w:pPr>
                    <w:jc w:val="center"/>
                  </w:pPr>
                  <w:r>
                    <w:rPr>
                      <w:sz w:val="24"/>
                    </w:rPr>
                    <w:t>支</w:t>
                  </w:r>
                </w:p>
              </w:tc>
              <w:tc>
                <w:tcPr>
                  <w:tcW w:type="dxa" w:w="457"/>
                  <w:tcBorders>
                    <w:top w:val="none" w:color="000000" w:sz="4"/>
                    <w:left w:val="none" w:color="000000" w:sz="4"/>
                    <w:bottom w:val="single" w:color="000000" w:sz="4"/>
                    <w:right w:val="single" w:color="000000" w:sz="4"/>
                  </w:tcBorders>
                  <w:vAlign w:val="top"/>
                </w:tcPr>
                <w:p>
                  <w:pPr>
                    <w:jc w:val="center"/>
                  </w:pPr>
                  <w:r>
                    <w:rPr>
                      <w:sz w:val="24"/>
                    </w:rPr>
                    <w:t>38</w:t>
                  </w:r>
                </w:p>
              </w:tc>
              <w:tc>
                <w:tcPr>
                  <w:tcW w:type="dxa" w:w="502"/>
                  <w:tcBorders>
                    <w:top w:val="none" w:color="000000" w:sz="4"/>
                    <w:left w:val="none" w:color="000000" w:sz="4"/>
                    <w:bottom w:val="single" w:color="000000" w:sz="4"/>
                    <w:right w:val="single" w:color="000000" w:sz="4"/>
                  </w:tcBorders>
                  <w:vAlign w:val="top"/>
                </w:tcPr>
                <w:p>
                  <w:pPr>
                    <w:jc w:val="both"/>
                  </w:pPr>
                </w:p>
              </w:tc>
            </w:tr>
            <w:tr>
              <w:tc>
                <w:tcPr>
                  <w:tcW w:type="dxa" w:w="439"/>
                  <w:tcBorders>
                    <w:top w:val="none" w:color="000000" w:sz="4"/>
                    <w:left w:val="single" w:color="000000" w:sz="4"/>
                    <w:bottom w:val="single" w:color="000000" w:sz="4"/>
                    <w:right w:val="single" w:color="000000" w:sz="4"/>
                  </w:tcBorders>
                  <w:vAlign w:val="top"/>
                </w:tcPr>
                <w:p>
                  <w:pPr>
                    <w:jc w:val="center"/>
                  </w:pPr>
                  <w:r>
                    <w:rPr>
                      <w:sz w:val="24"/>
                    </w:rPr>
                    <w:t>5</w:t>
                  </w:r>
                </w:p>
              </w:tc>
              <w:tc>
                <w:tcPr>
                  <w:tcW w:type="dxa" w:w="815"/>
                  <w:tcBorders>
                    <w:top w:val="none" w:color="000000" w:sz="4"/>
                    <w:left w:val="none" w:color="000000" w:sz="4"/>
                    <w:bottom w:val="single" w:color="000000" w:sz="4"/>
                    <w:right w:val="single" w:color="000000" w:sz="4"/>
                  </w:tcBorders>
                  <w:vAlign w:val="top"/>
                </w:tcPr>
                <w:p>
                  <w:pPr>
                    <w:jc w:val="center"/>
                  </w:pPr>
                  <w:r>
                    <w:rPr>
                      <w:sz w:val="24"/>
                    </w:rPr>
                    <w:t>电容一体机</w:t>
                  </w:r>
                </w:p>
              </w:tc>
              <w:tc>
                <w:tcPr>
                  <w:tcW w:type="dxa" w:w="2956"/>
                  <w:tcBorders>
                    <w:top w:val="none" w:color="000000" w:sz="4"/>
                    <w:left w:val="none" w:color="000000" w:sz="4"/>
                    <w:bottom w:val="single" w:color="000000" w:sz="4"/>
                    <w:right w:val="single" w:color="000000" w:sz="4"/>
                  </w:tcBorders>
                  <w:vAlign w:val="top"/>
                </w:tcPr>
                <w:p>
                  <w:pPr>
                    <w:numPr>
                      <w:ilvl w:val="0"/>
                      <w:numId w:val="1"/>
                    </w:numPr>
                    <w:jc w:val="left"/>
                  </w:pPr>
                  <w:r>
                    <w:rPr>
                      <w:sz w:val="24"/>
                    </w:rPr>
                    <w:t>供交互式智能平板≥86英寸4K显示触控多媒体教学一体机，支持20点触控，安卓8.0，前置全通道3.0接口；</w:t>
                  </w:r>
                </w:p>
                <w:p>
                  <w:pPr>
                    <w:numPr>
                      <w:ilvl w:val="0"/>
                      <w:numId w:val="1"/>
                    </w:numPr>
                    <w:jc w:val="left"/>
                  </w:pPr>
                  <w:r>
                    <w:rPr>
                      <w:sz w:val="24"/>
                    </w:rPr>
                    <w:t>配合OPS插拔式电脑、普教白板软件RG-Boardmate-B使用；</w:t>
                  </w:r>
                </w:p>
                <w:p>
                  <w:pPr>
                    <w:numPr>
                      <w:ilvl w:val="0"/>
                      <w:numId w:val="1"/>
                    </w:numPr>
                    <w:jc w:val="left"/>
                  </w:pPr>
                  <w:r>
                    <w:rPr>
                      <w:sz w:val="24"/>
                    </w:rPr>
                    <w:t>X86架构处理器 4核8线程/≥2.3GHz主频/DDR4内存 ≥8GB /固态硬盘≥256GB，标准OPS-C接口（不含正版操作系统）教学管理软件、投屏软件。</w:t>
                  </w:r>
                </w:p>
                <w:p>
                  <w:pPr>
                    <w:jc w:val="left"/>
                  </w:pPr>
                  <w:r>
                    <w:rPr>
                      <w:sz w:val="24"/>
                    </w:rPr>
                    <w:t>（详细参数要求见附表二）</w:t>
                  </w:r>
                </w:p>
              </w:tc>
              <w:tc>
                <w:tcPr>
                  <w:tcW w:type="dxa" w:w="430"/>
                  <w:tcBorders>
                    <w:top w:val="none" w:color="000000" w:sz="4"/>
                    <w:left w:val="none" w:color="000000" w:sz="4"/>
                    <w:bottom w:val="single" w:color="000000" w:sz="4"/>
                    <w:right w:val="single" w:color="000000" w:sz="4"/>
                  </w:tcBorders>
                  <w:vAlign w:val="top"/>
                </w:tcPr>
                <w:p>
                  <w:pPr>
                    <w:jc w:val="center"/>
                  </w:pPr>
                  <w:r>
                    <w:rPr>
                      <w:sz w:val="24"/>
                    </w:rPr>
                    <w:t>台</w:t>
                  </w:r>
                </w:p>
              </w:tc>
              <w:tc>
                <w:tcPr>
                  <w:tcW w:type="dxa" w:w="457"/>
                  <w:tcBorders>
                    <w:top w:val="none" w:color="000000" w:sz="4"/>
                    <w:left w:val="none" w:color="000000" w:sz="4"/>
                    <w:bottom w:val="single" w:color="000000" w:sz="4"/>
                    <w:right w:val="single" w:color="000000" w:sz="4"/>
                  </w:tcBorders>
                  <w:vAlign w:val="top"/>
                </w:tcPr>
                <w:p>
                  <w:pPr>
                    <w:jc w:val="center"/>
                  </w:pPr>
                  <w:r>
                    <w:rPr>
                      <w:sz w:val="24"/>
                    </w:rPr>
                    <w:t>5</w:t>
                  </w:r>
                </w:p>
              </w:tc>
              <w:tc>
                <w:tcPr>
                  <w:tcW w:type="dxa" w:w="502"/>
                  <w:tcBorders>
                    <w:top w:val="none" w:color="000000" w:sz="4"/>
                    <w:left w:val="none" w:color="000000" w:sz="4"/>
                    <w:bottom w:val="single" w:color="000000" w:sz="4"/>
                    <w:right w:val="single" w:color="000000" w:sz="4"/>
                  </w:tcBorders>
                  <w:vAlign w:val="top"/>
                </w:tcPr>
                <w:p>
                  <w:pPr>
                    <w:jc w:val="both"/>
                  </w:pPr>
                </w:p>
              </w:tc>
            </w:tr>
            <w:tr>
              <w:tc>
                <w:tcPr>
                  <w:tcW w:type="dxa" w:w="439"/>
                  <w:tcBorders>
                    <w:top w:val="none" w:color="000000" w:sz="4"/>
                    <w:left w:val="single" w:color="000000" w:sz="4"/>
                    <w:bottom w:val="single" w:color="000000" w:sz="4"/>
                    <w:right w:val="single" w:color="000000" w:sz="4"/>
                  </w:tcBorders>
                  <w:vAlign w:val="top"/>
                </w:tcPr>
                <w:p>
                  <w:pPr>
                    <w:jc w:val="center"/>
                  </w:pPr>
                  <w:r>
                    <w:rPr>
                      <w:sz w:val="24"/>
                    </w:rPr>
                    <w:t>6</w:t>
                  </w:r>
                </w:p>
              </w:tc>
              <w:tc>
                <w:tcPr>
                  <w:tcW w:type="dxa" w:w="815"/>
                  <w:tcBorders>
                    <w:top w:val="none" w:color="000000" w:sz="4"/>
                    <w:left w:val="none" w:color="000000" w:sz="4"/>
                    <w:bottom w:val="single" w:color="000000" w:sz="4"/>
                    <w:right w:val="single" w:color="000000" w:sz="4"/>
                  </w:tcBorders>
                  <w:vAlign w:val="top"/>
                </w:tcPr>
                <w:p>
                  <w:pPr>
                    <w:jc w:val="center"/>
                  </w:pPr>
                  <w:r>
                    <w:rPr>
                      <w:sz w:val="24"/>
                    </w:rPr>
                    <w:t>移动支架</w:t>
                  </w:r>
                </w:p>
              </w:tc>
              <w:tc>
                <w:tcPr>
                  <w:tcW w:type="dxa" w:w="2956"/>
                  <w:tcBorders>
                    <w:top w:val="none" w:color="000000" w:sz="4"/>
                    <w:left w:val="none" w:color="000000" w:sz="4"/>
                    <w:bottom w:val="single" w:color="000000" w:sz="4"/>
                    <w:right w:val="single" w:color="000000" w:sz="4"/>
                  </w:tcBorders>
                  <w:vAlign w:val="top"/>
                </w:tcPr>
                <w:p>
                  <w:pPr>
                    <w:numPr>
                      <w:ilvl w:val="0"/>
                      <w:numId w:val="1"/>
                    </w:numPr>
                    <w:jc w:val="left"/>
                  </w:pPr>
                  <w:r>
                    <w:rPr>
                      <w:sz w:val="24"/>
                    </w:rPr>
                    <w:t>移动支架通过防倾斜实验，正负10度倾斜角度下不能翻倒；</w:t>
                  </w:r>
                </w:p>
                <w:p>
                  <w:pPr>
                    <w:numPr>
                      <w:ilvl w:val="0"/>
                      <w:numId w:val="1"/>
                    </w:numPr>
                    <w:jc w:val="left"/>
                  </w:pPr>
                  <w:r>
                    <w:rPr>
                      <w:sz w:val="24"/>
                    </w:rPr>
                    <w:t>承挂≥100kg，壁挂高度可调；整体高度≥1597mm；</w:t>
                  </w:r>
                </w:p>
                <w:p>
                  <w:pPr>
                    <w:numPr>
                      <w:ilvl w:val="0"/>
                      <w:numId w:val="1"/>
                    </w:numPr>
                    <w:jc w:val="left"/>
                  </w:pPr>
                  <w:r>
                    <w:rPr>
                      <w:sz w:val="24"/>
                    </w:rPr>
                    <w:t>托盘承重25KG,模具设置U型置物槽，方便触摸笔、遥控器等物品放置；</w:t>
                  </w:r>
                </w:p>
                <w:p>
                  <w:pPr>
                    <w:numPr>
                      <w:ilvl w:val="0"/>
                      <w:numId w:val="1"/>
                    </w:numPr>
                    <w:jc w:val="left"/>
                  </w:pPr>
                  <w:r>
                    <w:rPr>
                      <w:sz w:val="24"/>
                    </w:rPr>
                    <w:t>支撑立杆采用壁厚≥1.8mm方通冷轧钢材质，表面黑色喷涂；</w:t>
                  </w:r>
                </w:p>
                <w:p>
                  <w:pPr>
                    <w:numPr>
                      <w:ilvl w:val="0"/>
                      <w:numId w:val="1"/>
                    </w:numPr>
                    <w:jc w:val="left"/>
                  </w:pPr>
                  <w:r>
                    <w:rPr>
                      <w:sz w:val="24"/>
                    </w:rPr>
                    <w:t>脚轮为万向轮，聚氨酯（PU）材质，均带脚刹，直径不小于∮75mm；脚轮中心距横向≥1115mm，纵向≥627mm。</w:t>
                  </w:r>
                </w:p>
              </w:tc>
              <w:tc>
                <w:tcPr>
                  <w:tcW w:type="dxa" w:w="430"/>
                  <w:tcBorders>
                    <w:top w:val="none" w:color="000000" w:sz="4"/>
                    <w:left w:val="none" w:color="000000" w:sz="4"/>
                    <w:bottom w:val="single" w:color="000000" w:sz="4"/>
                    <w:right w:val="single" w:color="000000" w:sz="4"/>
                  </w:tcBorders>
                  <w:vAlign w:val="top"/>
                </w:tcPr>
                <w:p>
                  <w:pPr>
                    <w:jc w:val="center"/>
                  </w:pPr>
                  <w:r>
                    <w:rPr>
                      <w:sz w:val="24"/>
                    </w:rPr>
                    <w:t xml:space="preserve">套  </w:t>
                  </w:r>
                </w:p>
              </w:tc>
              <w:tc>
                <w:tcPr>
                  <w:tcW w:type="dxa" w:w="457"/>
                  <w:tcBorders>
                    <w:top w:val="none" w:color="000000" w:sz="4"/>
                    <w:left w:val="none" w:color="000000" w:sz="4"/>
                    <w:bottom w:val="single" w:color="000000" w:sz="4"/>
                    <w:right w:val="single" w:color="000000" w:sz="4"/>
                  </w:tcBorders>
                  <w:vAlign w:val="top"/>
                </w:tcPr>
                <w:p>
                  <w:pPr>
                    <w:jc w:val="center"/>
                  </w:pPr>
                  <w:r>
                    <w:rPr>
                      <w:sz w:val="24"/>
                    </w:rPr>
                    <w:t>5</w:t>
                  </w:r>
                </w:p>
              </w:tc>
              <w:tc>
                <w:tcPr>
                  <w:tcW w:type="dxa" w:w="502"/>
                  <w:tcBorders>
                    <w:top w:val="none" w:color="000000" w:sz="4"/>
                    <w:left w:val="none" w:color="000000" w:sz="4"/>
                    <w:bottom w:val="single" w:color="000000" w:sz="4"/>
                    <w:right w:val="single" w:color="000000" w:sz="4"/>
                  </w:tcBorders>
                  <w:vAlign w:val="top"/>
                </w:tcPr>
                <w:p>
                  <w:pPr>
                    <w:jc w:val="both"/>
                  </w:pPr>
                </w:p>
              </w:tc>
            </w:tr>
            <w:tr>
              <w:tc>
                <w:tcPr>
                  <w:tcW w:type="dxa" w:w="439"/>
                  <w:tcBorders>
                    <w:top w:val="none" w:color="000000" w:sz="4"/>
                    <w:left w:val="single" w:color="000000" w:sz="4"/>
                    <w:bottom w:val="single" w:color="000000" w:sz="4"/>
                    <w:right w:val="single" w:color="000000" w:sz="4"/>
                  </w:tcBorders>
                  <w:vAlign w:val="top"/>
                </w:tcPr>
                <w:p>
                  <w:pPr>
                    <w:jc w:val="center"/>
                  </w:pPr>
                  <w:r>
                    <w:rPr>
                      <w:sz w:val="24"/>
                    </w:rPr>
                    <w:t>7</w:t>
                  </w:r>
                </w:p>
              </w:tc>
              <w:tc>
                <w:tcPr>
                  <w:tcW w:type="dxa" w:w="815"/>
                  <w:tcBorders>
                    <w:top w:val="none" w:color="000000" w:sz="4"/>
                    <w:left w:val="none" w:color="000000" w:sz="4"/>
                    <w:bottom w:val="single" w:color="000000" w:sz="4"/>
                    <w:right w:val="single" w:color="000000" w:sz="4"/>
                  </w:tcBorders>
                  <w:shd w:fill="FFFFFF"/>
                  <w:vAlign w:val="top"/>
                </w:tcPr>
                <w:p>
                  <w:pPr>
                    <w:jc w:val="center"/>
                  </w:pPr>
                  <w:r>
                    <w:rPr>
                      <w:sz w:val="24"/>
                    </w:rPr>
                    <w:t>鼠标键盘</w:t>
                  </w:r>
                </w:p>
              </w:tc>
              <w:tc>
                <w:tcPr>
                  <w:tcW w:type="dxa" w:w="2956"/>
                  <w:tcBorders>
                    <w:top w:val="none" w:color="000000" w:sz="4"/>
                    <w:left w:val="none" w:color="000000" w:sz="4"/>
                    <w:bottom w:val="single" w:color="000000" w:sz="4"/>
                    <w:right w:val="single" w:color="000000" w:sz="4"/>
                  </w:tcBorders>
                  <w:vAlign w:val="top"/>
                </w:tcPr>
                <w:p>
                  <w:pPr>
                    <w:jc w:val="left"/>
                  </w:pPr>
                  <w:r>
                    <w:rPr>
                      <w:sz w:val="24"/>
                    </w:rPr>
                    <w:t>标配无线鼠标键盘套装</w:t>
                  </w:r>
                </w:p>
              </w:tc>
              <w:tc>
                <w:tcPr>
                  <w:tcW w:type="dxa" w:w="430"/>
                  <w:tcBorders>
                    <w:top w:val="none" w:color="000000" w:sz="4"/>
                    <w:left w:val="none" w:color="000000" w:sz="4"/>
                    <w:bottom w:val="single" w:color="000000" w:sz="4"/>
                    <w:right w:val="single" w:color="000000" w:sz="4"/>
                  </w:tcBorders>
                  <w:vAlign w:val="top"/>
                </w:tcPr>
                <w:p>
                  <w:pPr>
                    <w:jc w:val="center"/>
                  </w:pPr>
                  <w:r>
                    <w:rPr>
                      <w:sz w:val="24"/>
                    </w:rPr>
                    <w:t>套</w:t>
                  </w:r>
                </w:p>
              </w:tc>
              <w:tc>
                <w:tcPr>
                  <w:tcW w:type="dxa" w:w="457"/>
                  <w:tcBorders>
                    <w:top w:val="none" w:color="000000" w:sz="4"/>
                    <w:left w:val="none" w:color="000000" w:sz="4"/>
                    <w:bottom w:val="single" w:color="000000" w:sz="4"/>
                    <w:right w:val="single" w:color="000000" w:sz="4"/>
                  </w:tcBorders>
                  <w:vAlign w:val="top"/>
                </w:tcPr>
                <w:p>
                  <w:pPr>
                    <w:jc w:val="center"/>
                  </w:pPr>
                  <w:r>
                    <w:rPr>
                      <w:sz w:val="24"/>
                    </w:rPr>
                    <w:t>43</w:t>
                  </w:r>
                </w:p>
              </w:tc>
              <w:tc>
                <w:tcPr>
                  <w:tcW w:type="dxa" w:w="502"/>
                  <w:tcBorders>
                    <w:top w:val="none" w:color="000000" w:sz="4"/>
                    <w:left w:val="none" w:color="000000" w:sz="4"/>
                    <w:bottom w:val="single" w:color="000000" w:sz="4"/>
                    <w:right w:val="single" w:color="000000" w:sz="4"/>
                  </w:tcBorders>
                  <w:vAlign w:val="top"/>
                </w:tcPr>
                <w:p>
                  <w:pPr>
                    <w:jc w:val="both"/>
                  </w:pPr>
                </w:p>
              </w:tc>
            </w:tr>
            <w:tr>
              <w:tc>
                <w:tcPr>
                  <w:tcW w:type="dxa" w:w="439"/>
                  <w:tcBorders>
                    <w:top w:val="none" w:color="000000" w:sz="4"/>
                    <w:left w:val="single" w:color="000000" w:sz="4"/>
                    <w:bottom w:val="single" w:color="000000" w:sz="4"/>
                    <w:right w:val="single" w:color="000000" w:sz="4"/>
                  </w:tcBorders>
                  <w:vAlign w:val="top"/>
                </w:tcPr>
                <w:p>
                  <w:pPr>
                    <w:jc w:val="center"/>
                  </w:pPr>
                  <w:r>
                    <w:rPr>
                      <w:sz w:val="24"/>
                    </w:rPr>
                    <w:t>8</w:t>
                  </w:r>
                </w:p>
              </w:tc>
              <w:tc>
                <w:tcPr>
                  <w:tcW w:type="dxa" w:w="815"/>
                  <w:tcBorders>
                    <w:top w:val="none" w:color="000000" w:sz="4"/>
                    <w:left w:val="none" w:color="000000" w:sz="4"/>
                    <w:bottom w:val="single" w:color="000000" w:sz="4"/>
                    <w:right w:val="single" w:color="000000" w:sz="4"/>
                  </w:tcBorders>
                  <w:shd w:fill="FFFFFF"/>
                  <w:vAlign w:val="top"/>
                </w:tcPr>
                <w:p>
                  <w:pPr>
                    <w:jc w:val="center"/>
                  </w:pPr>
                  <w:r>
                    <w:rPr>
                      <w:sz w:val="24"/>
                    </w:rPr>
                    <w:t>线材及辅材</w:t>
                  </w:r>
                </w:p>
              </w:tc>
              <w:tc>
                <w:tcPr>
                  <w:tcW w:type="dxa" w:w="2956"/>
                  <w:tcBorders>
                    <w:top w:val="none" w:color="000000" w:sz="4"/>
                    <w:left w:val="none" w:color="000000" w:sz="4"/>
                    <w:bottom w:val="single" w:color="000000" w:sz="4"/>
                    <w:right w:val="single" w:color="000000" w:sz="4"/>
                  </w:tcBorders>
                  <w:vAlign w:val="top"/>
                </w:tcPr>
                <w:p>
                  <w:pPr>
                    <w:jc w:val="left"/>
                  </w:pPr>
                  <w:r>
                    <w:rPr>
                      <w:sz w:val="24"/>
                    </w:rPr>
                    <w:t>网线，电源线、pvc等。</w:t>
                  </w:r>
                </w:p>
              </w:tc>
              <w:tc>
                <w:tcPr>
                  <w:tcW w:type="dxa" w:w="430"/>
                  <w:tcBorders>
                    <w:top w:val="none" w:color="000000" w:sz="4"/>
                    <w:left w:val="none" w:color="000000" w:sz="4"/>
                    <w:bottom w:val="single" w:color="000000" w:sz="4"/>
                    <w:right w:val="single" w:color="000000" w:sz="4"/>
                  </w:tcBorders>
                  <w:vAlign w:val="top"/>
                </w:tcPr>
                <w:p>
                  <w:pPr>
                    <w:jc w:val="center"/>
                  </w:pPr>
                  <w:r>
                    <w:rPr>
                      <w:sz w:val="24"/>
                    </w:rPr>
                    <w:t>批</w:t>
                  </w:r>
                </w:p>
              </w:tc>
              <w:tc>
                <w:tcPr>
                  <w:tcW w:type="dxa" w:w="457"/>
                  <w:tcBorders>
                    <w:top w:val="none" w:color="000000" w:sz="4"/>
                    <w:left w:val="none" w:color="000000" w:sz="4"/>
                    <w:bottom w:val="single" w:color="000000" w:sz="4"/>
                    <w:right w:val="single" w:color="000000" w:sz="4"/>
                  </w:tcBorders>
                  <w:vAlign w:val="top"/>
                </w:tcPr>
                <w:p>
                  <w:pPr>
                    <w:jc w:val="center"/>
                  </w:pPr>
                  <w:r>
                    <w:rPr>
                      <w:sz w:val="24"/>
                    </w:rPr>
                    <w:t>1</w:t>
                  </w:r>
                </w:p>
              </w:tc>
              <w:tc>
                <w:tcPr>
                  <w:tcW w:type="dxa" w:w="502"/>
                  <w:tcBorders>
                    <w:top w:val="none" w:color="000000" w:sz="4"/>
                    <w:left w:val="none" w:color="000000" w:sz="4"/>
                    <w:bottom w:val="single" w:color="000000" w:sz="4"/>
                    <w:right w:val="single" w:color="000000" w:sz="4"/>
                  </w:tcBorders>
                  <w:vAlign w:val="top"/>
                </w:tcPr>
                <w:p>
                  <w:pPr>
                    <w:jc w:val="both"/>
                  </w:pPr>
                </w:p>
              </w:tc>
            </w:tr>
            <w:tr>
              <w:tc>
                <w:tcPr>
                  <w:tcW w:type="dxa" w:w="439"/>
                  <w:tcBorders>
                    <w:top w:val="none" w:color="000000" w:sz="4"/>
                    <w:left w:val="single" w:color="000000" w:sz="4"/>
                    <w:bottom w:val="single" w:color="000000" w:sz="4"/>
                    <w:right w:val="single" w:color="000000" w:sz="4"/>
                  </w:tcBorders>
                  <w:vAlign w:val="top"/>
                </w:tcPr>
                <w:p>
                  <w:pPr>
                    <w:jc w:val="center"/>
                  </w:pPr>
                  <w:r>
                    <w:rPr>
                      <w:sz w:val="24"/>
                    </w:rPr>
                    <w:t>9</w:t>
                  </w:r>
                </w:p>
              </w:tc>
              <w:tc>
                <w:tcPr>
                  <w:tcW w:type="dxa" w:w="815"/>
                  <w:tcBorders>
                    <w:top w:val="none" w:color="000000" w:sz="4"/>
                    <w:left w:val="none" w:color="000000" w:sz="4"/>
                    <w:bottom w:val="single" w:color="000000" w:sz="4"/>
                    <w:right w:val="single" w:color="000000" w:sz="4"/>
                  </w:tcBorders>
                  <w:shd w:fill="FFFFFF"/>
                  <w:vAlign w:val="top"/>
                </w:tcPr>
                <w:p>
                  <w:pPr>
                    <w:jc w:val="center"/>
                  </w:pPr>
                  <w:r>
                    <w:rPr>
                      <w:sz w:val="24"/>
                    </w:rPr>
                    <w:t>安装调试</w:t>
                  </w:r>
                </w:p>
              </w:tc>
              <w:tc>
                <w:tcPr>
                  <w:tcW w:type="dxa" w:w="2956"/>
                  <w:tcBorders>
                    <w:top w:val="none" w:color="000000" w:sz="4"/>
                    <w:left w:val="none" w:color="000000" w:sz="4"/>
                    <w:bottom w:val="single" w:color="000000" w:sz="4"/>
                    <w:right w:val="single" w:color="000000" w:sz="4"/>
                  </w:tcBorders>
                  <w:vAlign w:val="top"/>
                </w:tcPr>
                <w:p>
                  <w:pPr>
                    <w:jc w:val="left"/>
                  </w:pPr>
                  <w:r>
                    <w:rPr>
                      <w:sz w:val="24"/>
                    </w:rPr>
                    <w:t>安装调试人工</w:t>
                  </w:r>
                </w:p>
              </w:tc>
              <w:tc>
                <w:tcPr>
                  <w:tcW w:type="dxa" w:w="430"/>
                  <w:tcBorders>
                    <w:top w:val="none" w:color="000000" w:sz="4"/>
                    <w:left w:val="none" w:color="000000" w:sz="4"/>
                    <w:bottom w:val="single" w:color="000000" w:sz="4"/>
                    <w:right w:val="single" w:color="000000" w:sz="4"/>
                  </w:tcBorders>
                  <w:vAlign w:val="top"/>
                </w:tcPr>
                <w:p>
                  <w:pPr>
                    <w:jc w:val="center"/>
                  </w:pPr>
                  <w:r>
                    <w:rPr>
                      <w:sz w:val="24"/>
                    </w:rPr>
                    <w:t>批</w:t>
                  </w:r>
                </w:p>
              </w:tc>
              <w:tc>
                <w:tcPr>
                  <w:tcW w:type="dxa" w:w="457"/>
                  <w:tcBorders>
                    <w:top w:val="none" w:color="000000" w:sz="4"/>
                    <w:left w:val="none" w:color="000000" w:sz="4"/>
                    <w:bottom w:val="single" w:color="000000" w:sz="4"/>
                    <w:right w:val="single" w:color="000000" w:sz="4"/>
                  </w:tcBorders>
                  <w:vAlign w:val="top"/>
                </w:tcPr>
                <w:p>
                  <w:pPr>
                    <w:jc w:val="center"/>
                  </w:pPr>
                  <w:r>
                    <w:rPr>
                      <w:sz w:val="24"/>
                    </w:rPr>
                    <w:t>1</w:t>
                  </w:r>
                </w:p>
              </w:tc>
              <w:tc>
                <w:tcPr>
                  <w:tcW w:type="dxa" w:w="502"/>
                  <w:tcBorders>
                    <w:top w:val="none" w:color="000000" w:sz="4"/>
                    <w:left w:val="none" w:color="000000" w:sz="4"/>
                    <w:bottom w:val="single" w:color="000000" w:sz="4"/>
                    <w:right w:val="single" w:color="000000" w:sz="4"/>
                  </w:tcBorders>
                  <w:vAlign w:val="top"/>
                </w:tcPr>
                <w:p>
                  <w:pPr>
                    <w:jc w:val="both"/>
                  </w:pPr>
                </w:p>
              </w:tc>
            </w:tr>
            <w:tr>
              <w:tc>
                <w:tcPr>
                  <w:tcW w:type="dxa" w:w="5599"/>
                  <w:gridSpan w:val="6"/>
                  <w:tcBorders>
                    <w:top w:val="none" w:color="000000" w:sz="4"/>
                    <w:left w:val="single" w:color="000000" w:sz="4"/>
                    <w:bottom w:val="single" w:color="000000" w:sz="4"/>
                    <w:right w:val="single" w:color="000000" w:sz="4"/>
                  </w:tcBorders>
                  <w:vAlign w:val="top"/>
                </w:tcPr>
                <w:p>
                  <w:pPr>
                    <w:jc w:val="center"/>
                  </w:pPr>
                  <w:r>
                    <w:rPr>
                      <w:b/>
                      <w:sz w:val="24"/>
                    </w:rPr>
                    <w:t>课室云班牌</w:t>
                  </w:r>
                </w:p>
              </w:tc>
            </w:tr>
            <w:tr>
              <w:tc>
                <w:tcPr>
                  <w:tcW w:type="dxa" w:w="439"/>
                  <w:tcBorders>
                    <w:top w:val="none" w:color="000000" w:sz="4"/>
                    <w:left w:val="single" w:color="000000" w:sz="4"/>
                    <w:bottom w:val="single" w:color="000000" w:sz="4"/>
                    <w:right w:val="single" w:color="000000" w:sz="4"/>
                  </w:tcBorders>
                  <w:vAlign w:val="top"/>
                </w:tcPr>
                <w:p>
                  <w:pPr>
                    <w:jc w:val="center"/>
                  </w:pPr>
                  <w:r>
                    <w:rPr>
                      <w:sz w:val="24"/>
                    </w:rPr>
                    <w:t>1</w:t>
                  </w:r>
                </w:p>
              </w:tc>
              <w:tc>
                <w:tcPr>
                  <w:tcW w:type="dxa" w:w="815"/>
                  <w:tcBorders>
                    <w:top w:val="single" w:color="000000" w:sz="4"/>
                    <w:left w:val="none" w:color="000000" w:sz="4"/>
                    <w:bottom w:val="single" w:color="000000" w:sz="4"/>
                    <w:right w:val="single" w:color="000000" w:sz="4"/>
                  </w:tcBorders>
                  <w:vAlign w:val="top"/>
                </w:tcPr>
                <w:p>
                  <w:pPr>
                    <w:jc w:val="center"/>
                  </w:pPr>
                  <w:r>
                    <w:rPr>
                      <w:sz w:val="24"/>
                    </w:rPr>
                    <w:t>云班牌（横版）</w:t>
                  </w:r>
                </w:p>
              </w:tc>
              <w:tc>
                <w:tcPr>
                  <w:tcW w:type="dxa" w:w="2956"/>
                  <w:tcBorders>
                    <w:top w:val="single" w:color="000000" w:sz="4"/>
                    <w:left w:val="none" w:color="000000" w:sz="4"/>
                    <w:bottom w:val="single" w:color="000000" w:sz="4"/>
                    <w:right w:val="single" w:color="000000" w:sz="4"/>
                  </w:tcBorders>
                  <w:vAlign w:val="top"/>
                </w:tcPr>
                <w:p>
                  <w:pPr>
                    <w:jc w:val="both"/>
                  </w:pPr>
                  <w:r>
                    <w:rPr>
                      <w:sz w:val="24"/>
                    </w:rPr>
                    <w:t>详见用户需求书“主要设备技术参数要求（详细参数要求见附表三）”</w:t>
                  </w:r>
                </w:p>
              </w:tc>
              <w:tc>
                <w:tcPr>
                  <w:tcW w:type="dxa" w:w="430"/>
                  <w:tcBorders>
                    <w:top w:val="single" w:color="000000" w:sz="4"/>
                    <w:left w:val="none" w:color="000000" w:sz="4"/>
                    <w:bottom w:val="single" w:color="000000" w:sz="4"/>
                    <w:right w:val="single" w:color="000000" w:sz="4"/>
                  </w:tcBorders>
                  <w:vAlign w:val="top"/>
                </w:tcPr>
                <w:p>
                  <w:pPr>
                    <w:jc w:val="center"/>
                  </w:pPr>
                  <w:r>
                    <w:rPr>
                      <w:sz w:val="24"/>
                    </w:rPr>
                    <w:t>套</w:t>
                  </w:r>
                </w:p>
              </w:tc>
              <w:tc>
                <w:tcPr>
                  <w:tcW w:type="dxa" w:w="457"/>
                  <w:tcBorders>
                    <w:top w:val="single" w:color="000000" w:sz="4"/>
                    <w:left w:val="none" w:color="000000" w:sz="4"/>
                    <w:bottom w:val="single" w:color="000000" w:sz="4"/>
                    <w:right w:val="single" w:color="000000" w:sz="4"/>
                  </w:tcBorders>
                  <w:vAlign w:val="top"/>
                </w:tcPr>
                <w:p>
                  <w:pPr>
                    <w:jc w:val="center"/>
                  </w:pPr>
                  <w:r>
                    <w:rPr>
                      <w:sz w:val="24"/>
                    </w:rPr>
                    <w:t>33</w:t>
                  </w:r>
                </w:p>
              </w:tc>
              <w:tc>
                <w:tcPr>
                  <w:tcW w:type="dxa" w:w="502"/>
                  <w:tcBorders>
                    <w:top w:val="single" w:color="000000" w:sz="4"/>
                    <w:left w:val="none" w:color="000000" w:sz="4"/>
                    <w:bottom w:val="single" w:color="000000" w:sz="4"/>
                    <w:right w:val="single" w:color="000000" w:sz="4"/>
                  </w:tcBorders>
                  <w:vAlign w:val="top"/>
                </w:tcPr>
                <w:p>
                  <w:pPr>
                    <w:jc w:val="both"/>
                  </w:pPr>
                </w:p>
              </w:tc>
            </w:tr>
            <w:tr>
              <w:tc>
                <w:tcPr>
                  <w:tcW w:type="dxa" w:w="439"/>
                  <w:tcBorders>
                    <w:top w:val="none" w:color="000000" w:sz="4"/>
                    <w:left w:val="single" w:color="000000" w:sz="4"/>
                    <w:bottom w:val="single" w:color="000000" w:sz="4"/>
                    <w:right w:val="single" w:color="000000" w:sz="4"/>
                  </w:tcBorders>
                  <w:vAlign w:val="top"/>
                </w:tcPr>
                <w:p>
                  <w:pPr>
                    <w:jc w:val="center"/>
                  </w:pPr>
                  <w:r>
                    <w:rPr>
                      <w:sz w:val="24"/>
                    </w:rPr>
                    <w:t>2</w:t>
                  </w:r>
                </w:p>
              </w:tc>
              <w:tc>
                <w:tcPr>
                  <w:tcW w:type="dxa" w:w="815"/>
                  <w:tcBorders>
                    <w:top w:val="none" w:color="000000" w:sz="4"/>
                    <w:left w:val="none" w:color="000000" w:sz="4"/>
                    <w:bottom w:val="single" w:color="000000" w:sz="4"/>
                    <w:right w:val="single" w:color="000000" w:sz="4"/>
                  </w:tcBorders>
                  <w:vAlign w:val="top"/>
                </w:tcPr>
                <w:p>
                  <w:pPr>
                    <w:jc w:val="center"/>
                  </w:pPr>
                  <w:r>
                    <w:rPr>
                      <w:sz w:val="24"/>
                    </w:rPr>
                    <w:t>辅材</w:t>
                  </w:r>
                </w:p>
              </w:tc>
              <w:tc>
                <w:tcPr>
                  <w:tcW w:type="dxa" w:w="2956"/>
                  <w:tcBorders>
                    <w:top w:val="none" w:color="000000" w:sz="4"/>
                    <w:left w:val="none" w:color="000000" w:sz="4"/>
                    <w:bottom w:val="single" w:color="000000" w:sz="4"/>
                    <w:right w:val="single" w:color="000000" w:sz="4"/>
                  </w:tcBorders>
                  <w:vAlign w:val="top"/>
                </w:tcPr>
                <w:p>
                  <w:pPr>
                    <w:jc w:val="left"/>
                  </w:pPr>
                  <w:r>
                    <w:rPr>
                      <w:sz w:val="24"/>
                    </w:rPr>
                    <w:t>PVC管槽及网线，电源线、水晶头、二三插等五金配件。</w:t>
                  </w:r>
                </w:p>
              </w:tc>
              <w:tc>
                <w:tcPr>
                  <w:tcW w:type="dxa" w:w="430"/>
                  <w:tcBorders>
                    <w:top w:val="none" w:color="000000" w:sz="4"/>
                    <w:left w:val="none" w:color="000000" w:sz="4"/>
                    <w:bottom w:val="single" w:color="000000" w:sz="4"/>
                    <w:right w:val="single" w:color="000000" w:sz="4"/>
                  </w:tcBorders>
                  <w:vAlign w:val="top"/>
                </w:tcPr>
                <w:p>
                  <w:pPr>
                    <w:jc w:val="center"/>
                  </w:pPr>
                  <w:r>
                    <w:rPr>
                      <w:sz w:val="24"/>
                    </w:rPr>
                    <w:t>套</w:t>
                  </w:r>
                </w:p>
              </w:tc>
              <w:tc>
                <w:tcPr>
                  <w:tcW w:type="dxa" w:w="457"/>
                  <w:tcBorders>
                    <w:top w:val="none" w:color="000000" w:sz="4"/>
                    <w:left w:val="none" w:color="000000" w:sz="4"/>
                    <w:bottom w:val="single" w:color="000000" w:sz="4"/>
                    <w:right w:val="single" w:color="000000" w:sz="4"/>
                  </w:tcBorders>
                  <w:vAlign w:val="top"/>
                </w:tcPr>
                <w:p>
                  <w:pPr>
                    <w:jc w:val="center"/>
                  </w:pPr>
                  <w:r>
                    <w:rPr>
                      <w:sz w:val="24"/>
                    </w:rPr>
                    <w:t>33</w:t>
                  </w:r>
                </w:p>
              </w:tc>
              <w:tc>
                <w:tcPr>
                  <w:tcW w:type="dxa" w:w="502"/>
                  <w:tcBorders>
                    <w:top w:val="none" w:color="000000" w:sz="4"/>
                    <w:left w:val="none" w:color="000000" w:sz="4"/>
                    <w:bottom w:val="single" w:color="000000" w:sz="4"/>
                    <w:right w:val="single" w:color="000000" w:sz="4"/>
                  </w:tcBorders>
                  <w:vAlign w:val="top"/>
                </w:tcPr>
                <w:p>
                  <w:pPr>
                    <w:jc w:val="both"/>
                  </w:pPr>
                </w:p>
              </w:tc>
            </w:tr>
            <w:tr>
              <w:tc>
                <w:tcPr>
                  <w:tcW w:type="dxa" w:w="439"/>
                  <w:tcBorders>
                    <w:top w:val="none" w:color="000000" w:sz="4"/>
                    <w:left w:val="single" w:color="000000" w:sz="4"/>
                    <w:bottom w:val="single" w:color="000000" w:sz="4"/>
                    <w:right w:val="single" w:color="000000" w:sz="4"/>
                  </w:tcBorders>
                  <w:vAlign w:val="top"/>
                </w:tcPr>
                <w:p>
                  <w:pPr>
                    <w:jc w:val="center"/>
                  </w:pPr>
                  <w:r>
                    <w:rPr>
                      <w:sz w:val="24"/>
                    </w:rPr>
                    <w:t>3</w:t>
                  </w:r>
                </w:p>
              </w:tc>
              <w:tc>
                <w:tcPr>
                  <w:tcW w:type="dxa" w:w="815"/>
                  <w:tcBorders>
                    <w:top w:val="none" w:color="000000" w:sz="4"/>
                    <w:left w:val="none" w:color="000000" w:sz="4"/>
                    <w:bottom w:val="single" w:color="000000" w:sz="4"/>
                    <w:right w:val="single" w:color="000000" w:sz="4"/>
                  </w:tcBorders>
                  <w:vAlign w:val="top"/>
                </w:tcPr>
                <w:p>
                  <w:pPr>
                    <w:jc w:val="center"/>
                  </w:pPr>
                  <w:r>
                    <w:rPr>
                      <w:sz w:val="24"/>
                    </w:rPr>
                    <w:t>安装</w:t>
                  </w:r>
                </w:p>
              </w:tc>
              <w:tc>
                <w:tcPr>
                  <w:tcW w:type="dxa" w:w="2956"/>
                  <w:tcBorders>
                    <w:top w:val="none" w:color="000000" w:sz="4"/>
                    <w:left w:val="none" w:color="000000" w:sz="4"/>
                    <w:bottom w:val="single" w:color="000000" w:sz="4"/>
                    <w:right w:val="single" w:color="000000" w:sz="4"/>
                  </w:tcBorders>
                  <w:vAlign w:val="top"/>
                </w:tcPr>
                <w:p>
                  <w:pPr>
                    <w:jc w:val="left"/>
                  </w:pPr>
                  <w:r>
                    <w:rPr>
                      <w:sz w:val="24"/>
                    </w:rPr>
                    <w:t>施工安装调试</w:t>
                  </w:r>
                </w:p>
              </w:tc>
              <w:tc>
                <w:tcPr>
                  <w:tcW w:type="dxa" w:w="430"/>
                  <w:tcBorders>
                    <w:top w:val="none" w:color="000000" w:sz="4"/>
                    <w:left w:val="none" w:color="000000" w:sz="4"/>
                    <w:bottom w:val="single" w:color="000000" w:sz="4"/>
                    <w:right w:val="single" w:color="000000" w:sz="4"/>
                  </w:tcBorders>
                  <w:vAlign w:val="top"/>
                </w:tcPr>
                <w:p>
                  <w:pPr>
                    <w:jc w:val="center"/>
                  </w:pPr>
                  <w:r>
                    <w:rPr>
                      <w:sz w:val="24"/>
                    </w:rPr>
                    <w:t>套</w:t>
                  </w:r>
                </w:p>
              </w:tc>
              <w:tc>
                <w:tcPr>
                  <w:tcW w:type="dxa" w:w="457"/>
                  <w:tcBorders>
                    <w:top w:val="none" w:color="000000" w:sz="4"/>
                    <w:left w:val="none" w:color="000000" w:sz="4"/>
                    <w:bottom w:val="single" w:color="000000" w:sz="4"/>
                    <w:right w:val="single" w:color="000000" w:sz="4"/>
                  </w:tcBorders>
                  <w:vAlign w:val="top"/>
                </w:tcPr>
                <w:p>
                  <w:pPr>
                    <w:jc w:val="center"/>
                  </w:pPr>
                  <w:r>
                    <w:rPr>
                      <w:sz w:val="24"/>
                    </w:rPr>
                    <w:t>33</w:t>
                  </w:r>
                </w:p>
              </w:tc>
              <w:tc>
                <w:tcPr>
                  <w:tcW w:type="dxa" w:w="502"/>
                  <w:tcBorders>
                    <w:top w:val="none" w:color="000000" w:sz="4"/>
                    <w:left w:val="none" w:color="000000" w:sz="4"/>
                    <w:bottom w:val="single" w:color="000000" w:sz="4"/>
                    <w:right w:val="single" w:color="000000" w:sz="4"/>
                  </w:tcBorders>
                  <w:vAlign w:val="top"/>
                </w:tcPr>
                <w:p>
                  <w:pPr>
                    <w:jc w:val="both"/>
                  </w:pPr>
                </w:p>
              </w:tc>
            </w:tr>
            <w:tr>
              <w:tc>
                <w:tcPr>
                  <w:tcW w:type="dxa" w:w="5599"/>
                  <w:gridSpan w:val="6"/>
                  <w:tcBorders>
                    <w:top w:val="none" w:color="000000" w:sz="4"/>
                    <w:left w:val="single" w:color="000000" w:sz="4"/>
                    <w:bottom w:val="single" w:color="000000" w:sz="4"/>
                    <w:right w:val="single" w:color="000000" w:sz="4"/>
                  </w:tcBorders>
                  <w:vAlign w:val="top"/>
                </w:tcPr>
                <w:p>
                  <w:pPr>
                    <w:jc w:val="center"/>
                  </w:pPr>
                  <w:r>
                    <w:rPr>
                      <w:b/>
                      <w:sz w:val="24"/>
                    </w:rPr>
                    <w:t>办公室云办公系统</w:t>
                  </w:r>
                </w:p>
              </w:tc>
            </w:tr>
            <w:tr>
              <w:tc>
                <w:tcPr>
                  <w:tcW w:type="dxa" w:w="439"/>
                  <w:tcBorders>
                    <w:top w:val="none" w:color="000000" w:sz="4"/>
                    <w:left w:val="single" w:color="000000" w:sz="4"/>
                    <w:bottom w:val="single" w:color="000000" w:sz="4"/>
                    <w:right w:val="single" w:color="000000" w:sz="4"/>
                  </w:tcBorders>
                  <w:vAlign w:val="top"/>
                </w:tcPr>
                <w:p>
                  <w:pPr>
                    <w:jc w:val="center"/>
                  </w:pPr>
                  <w:r>
                    <w:rPr>
                      <w:sz w:val="24"/>
                    </w:rPr>
                    <w:t>1</w:t>
                  </w:r>
                </w:p>
              </w:tc>
              <w:tc>
                <w:tcPr>
                  <w:tcW w:type="dxa" w:w="815"/>
                  <w:tcBorders>
                    <w:top w:val="single" w:color="000000" w:sz="4"/>
                    <w:left w:val="none" w:color="000000" w:sz="4"/>
                    <w:bottom w:val="single" w:color="000000" w:sz="4"/>
                    <w:right w:val="single" w:color="000000" w:sz="4"/>
                  </w:tcBorders>
                  <w:vAlign w:val="top"/>
                </w:tcPr>
                <w:p>
                  <w:pPr>
                    <w:jc w:val="center"/>
                  </w:pPr>
                  <w:r>
                    <w:rPr>
                      <w:sz w:val="24"/>
                    </w:rPr>
                    <w:t>智能云终端</w:t>
                  </w:r>
                </w:p>
              </w:tc>
              <w:tc>
                <w:tcPr>
                  <w:tcW w:type="dxa" w:w="2956"/>
                  <w:tcBorders>
                    <w:top w:val="single" w:color="000000" w:sz="4"/>
                    <w:left w:val="none" w:color="000000" w:sz="4"/>
                    <w:bottom w:val="single" w:color="000000" w:sz="4"/>
                    <w:right w:val="single" w:color="000000" w:sz="4"/>
                  </w:tcBorders>
                  <w:vAlign w:val="top"/>
                </w:tcPr>
                <w:p>
                  <w:pPr>
                    <w:numPr>
                      <w:ilvl w:val="0"/>
                      <w:numId w:val="1"/>
                    </w:numPr>
                    <w:jc w:val="both"/>
                  </w:pPr>
                  <w:r>
                    <w:rPr>
                      <w:sz w:val="24"/>
                    </w:rPr>
                    <w:t>云终端， X86架构处理器四核八线程（处理器主频≥3.6GHz），内存≥8GB，固态硬盘≥256GB；</w:t>
                  </w:r>
                </w:p>
                <w:p>
                  <w:pPr>
                    <w:numPr>
                      <w:ilvl w:val="0"/>
                      <w:numId w:val="1"/>
                    </w:numPr>
                    <w:jc w:val="both"/>
                  </w:pPr>
                  <w:r>
                    <w:rPr>
                      <w:sz w:val="24"/>
                    </w:rPr>
                    <w:t>显示屏≥21寸，三年质保。</w:t>
                  </w:r>
                </w:p>
                <w:p>
                  <w:pPr>
                    <w:jc w:val="both"/>
                  </w:pPr>
                  <w:r>
                    <w:rPr>
                      <w:sz w:val="24"/>
                    </w:rPr>
                    <w:t>（详细参数要求见附表四）</w:t>
                  </w:r>
                </w:p>
              </w:tc>
              <w:tc>
                <w:tcPr>
                  <w:tcW w:type="dxa" w:w="430"/>
                  <w:tcBorders>
                    <w:top w:val="single" w:color="000000" w:sz="4"/>
                    <w:left w:val="none" w:color="000000" w:sz="4"/>
                    <w:bottom w:val="single" w:color="000000" w:sz="4"/>
                    <w:right w:val="single" w:color="000000" w:sz="4"/>
                  </w:tcBorders>
                  <w:vAlign w:val="top"/>
                </w:tcPr>
                <w:p>
                  <w:pPr>
                    <w:jc w:val="center"/>
                  </w:pPr>
                  <w:r>
                    <w:rPr>
                      <w:sz w:val="24"/>
                    </w:rPr>
                    <w:t>套</w:t>
                  </w:r>
                </w:p>
              </w:tc>
              <w:tc>
                <w:tcPr>
                  <w:tcW w:type="dxa" w:w="457"/>
                  <w:tcBorders>
                    <w:top w:val="single" w:color="000000" w:sz="4"/>
                    <w:left w:val="none" w:color="000000" w:sz="4"/>
                    <w:bottom w:val="single" w:color="000000" w:sz="4"/>
                    <w:right w:val="single" w:color="000000" w:sz="4"/>
                  </w:tcBorders>
                  <w:vAlign w:val="top"/>
                </w:tcPr>
                <w:p>
                  <w:pPr>
                    <w:jc w:val="center"/>
                  </w:pPr>
                  <w:r>
                    <w:rPr>
                      <w:sz w:val="24"/>
                    </w:rPr>
                    <w:t>70</w:t>
                  </w:r>
                </w:p>
              </w:tc>
              <w:tc>
                <w:tcPr>
                  <w:tcW w:type="dxa" w:w="502"/>
                  <w:tcBorders>
                    <w:top w:val="single" w:color="000000" w:sz="4"/>
                    <w:left w:val="none" w:color="000000" w:sz="4"/>
                    <w:bottom w:val="single" w:color="000000" w:sz="4"/>
                    <w:right w:val="single" w:color="000000" w:sz="4"/>
                  </w:tcBorders>
                  <w:vAlign w:val="top"/>
                </w:tcPr>
                <w:p>
                  <w:pPr>
                    <w:jc w:val="both"/>
                  </w:pPr>
                </w:p>
              </w:tc>
            </w:tr>
            <w:tr>
              <w:tc>
                <w:tcPr>
                  <w:tcW w:type="dxa" w:w="439"/>
                  <w:tcBorders>
                    <w:top w:val="none" w:color="000000" w:sz="4"/>
                    <w:left w:val="single" w:color="000000" w:sz="4"/>
                    <w:bottom w:val="single" w:color="000000" w:sz="4"/>
                    <w:right w:val="single" w:color="000000" w:sz="4"/>
                  </w:tcBorders>
                  <w:vAlign w:val="top"/>
                </w:tcPr>
                <w:p>
                  <w:pPr>
                    <w:jc w:val="center"/>
                  </w:pPr>
                  <w:r>
                    <w:rPr>
                      <w:sz w:val="24"/>
                    </w:rPr>
                    <w:t>2</w:t>
                  </w:r>
                </w:p>
              </w:tc>
              <w:tc>
                <w:tcPr>
                  <w:tcW w:type="dxa" w:w="815"/>
                  <w:tcBorders>
                    <w:top w:val="none" w:color="000000" w:sz="4"/>
                    <w:left w:val="none" w:color="000000" w:sz="4"/>
                    <w:bottom w:val="single" w:color="000000" w:sz="4"/>
                    <w:right w:val="single" w:color="000000" w:sz="4"/>
                  </w:tcBorders>
                  <w:vAlign w:val="top"/>
                </w:tcPr>
                <w:p>
                  <w:pPr>
                    <w:jc w:val="center"/>
                  </w:pPr>
                  <w:r>
                    <w:rPr>
                      <w:sz w:val="24"/>
                    </w:rPr>
                    <w:t>键盘鼠标</w:t>
                  </w:r>
                </w:p>
              </w:tc>
              <w:tc>
                <w:tcPr>
                  <w:tcW w:type="dxa" w:w="2956"/>
                  <w:tcBorders>
                    <w:top w:val="none" w:color="000000" w:sz="4"/>
                    <w:left w:val="none" w:color="000000" w:sz="4"/>
                    <w:bottom w:val="single" w:color="000000" w:sz="4"/>
                    <w:right w:val="single" w:color="000000" w:sz="4"/>
                  </w:tcBorders>
                  <w:vAlign w:val="top"/>
                </w:tcPr>
                <w:p>
                  <w:pPr>
                    <w:jc w:val="left"/>
                  </w:pPr>
                  <w:r>
                    <w:rPr>
                      <w:sz w:val="24"/>
                    </w:rPr>
                    <w:t>标配有线键鼠套装，含有线键盘、鼠标、鼠标垫。</w:t>
                  </w:r>
                </w:p>
              </w:tc>
              <w:tc>
                <w:tcPr>
                  <w:tcW w:type="dxa" w:w="430"/>
                  <w:tcBorders>
                    <w:top w:val="none" w:color="000000" w:sz="4"/>
                    <w:left w:val="none" w:color="000000" w:sz="4"/>
                    <w:bottom w:val="single" w:color="000000" w:sz="4"/>
                    <w:right w:val="single" w:color="000000" w:sz="4"/>
                  </w:tcBorders>
                  <w:vAlign w:val="top"/>
                </w:tcPr>
                <w:p>
                  <w:pPr>
                    <w:jc w:val="center"/>
                  </w:pPr>
                  <w:r>
                    <w:rPr>
                      <w:sz w:val="24"/>
                    </w:rPr>
                    <w:t>只</w:t>
                  </w:r>
                </w:p>
              </w:tc>
              <w:tc>
                <w:tcPr>
                  <w:tcW w:type="dxa" w:w="457"/>
                  <w:tcBorders>
                    <w:top w:val="none" w:color="000000" w:sz="4"/>
                    <w:left w:val="none" w:color="000000" w:sz="4"/>
                    <w:bottom w:val="single" w:color="000000" w:sz="4"/>
                    <w:right w:val="single" w:color="000000" w:sz="4"/>
                  </w:tcBorders>
                  <w:vAlign w:val="top"/>
                </w:tcPr>
                <w:p>
                  <w:pPr>
                    <w:jc w:val="center"/>
                  </w:pPr>
                  <w:r>
                    <w:rPr>
                      <w:sz w:val="24"/>
                    </w:rPr>
                    <w:t>70</w:t>
                  </w:r>
                </w:p>
              </w:tc>
              <w:tc>
                <w:tcPr>
                  <w:tcW w:type="dxa" w:w="502"/>
                  <w:tcBorders>
                    <w:top w:val="none" w:color="000000" w:sz="4"/>
                    <w:left w:val="none" w:color="000000" w:sz="4"/>
                    <w:bottom w:val="single" w:color="000000" w:sz="4"/>
                    <w:right w:val="single" w:color="000000" w:sz="4"/>
                  </w:tcBorders>
                  <w:vAlign w:val="top"/>
                </w:tcPr>
                <w:p>
                  <w:pPr>
                    <w:jc w:val="both"/>
                  </w:pPr>
                </w:p>
              </w:tc>
            </w:tr>
            <w:tr>
              <w:tc>
                <w:tcPr>
                  <w:tcW w:type="dxa" w:w="439"/>
                  <w:tcBorders>
                    <w:top w:val="none" w:color="000000" w:sz="4"/>
                    <w:left w:val="single" w:color="000000" w:sz="4"/>
                    <w:bottom w:val="single" w:color="000000" w:sz="4"/>
                    <w:right w:val="single" w:color="000000" w:sz="4"/>
                  </w:tcBorders>
                  <w:vAlign w:val="top"/>
                </w:tcPr>
                <w:p>
                  <w:pPr>
                    <w:jc w:val="center"/>
                  </w:pPr>
                  <w:r>
                    <w:rPr>
                      <w:sz w:val="24"/>
                    </w:rPr>
                    <w:t>3</w:t>
                  </w:r>
                </w:p>
              </w:tc>
              <w:tc>
                <w:tcPr>
                  <w:tcW w:type="dxa" w:w="815"/>
                  <w:tcBorders>
                    <w:top w:val="none" w:color="000000" w:sz="4"/>
                    <w:left w:val="none" w:color="000000" w:sz="4"/>
                    <w:bottom w:val="single" w:color="000000" w:sz="4"/>
                    <w:right w:val="single" w:color="000000" w:sz="4"/>
                  </w:tcBorders>
                  <w:vAlign w:val="top"/>
                </w:tcPr>
                <w:p>
                  <w:pPr>
                    <w:jc w:val="center"/>
                  </w:pPr>
                  <w:r>
                    <w:rPr>
                      <w:sz w:val="24"/>
                    </w:rPr>
                    <w:t>24口千兆交换机</w:t>
                  </w:r>
                </w:p>
              </w:tc>
              <w:tc>
                <w:tcPr>
                  <w:tcW w:type="dxa" w:w="2956"/>
                  <w:tcBorders>
                    <w:top w:val="none" w:color="000000" w:sz="4"/>
                    <w:left w:val="none" w:color="000000" w:sz="4"/>
                    <w:bottom w:val="single" w:color="000000" w:sz="4"/>
                    <w:right w:val="single" w:color="000000" w:sz="4"/>
                  </w:tcBorders>
                  <w:vAlign w:val="top"/>
                </w:tcPr>
                <w:p>
                  <w:pPr>
                    <w:jc w:val="left"/>
                  </w:pPr>
                  <w:r>
                    <w:rPr>
                      <w:sz w:val="24"/>
                    </w:rPr>
                    <w:t>三层接入交换机，24个10/100/1000M自适应电口，4个1G SFP光口，固化交流电源和风扇（详见用户需求书“主要设备技术参数要求”）</w:t>
                  </w:r>
                </w:p>
              </w:tc>
              <w:tc>
                <w:tcPr>
                  <w:tcW w:type="dxa" w:w="430"/>
                  <w:tcBorders>
                    <w:top w:val="none" w:color="000000" w:sz="4"/>
                    <w:left w:val="none" w:color="000000" w:sz="4"/>
                    <w:bottom w:val="single" w:color="000000" w:sz="4"/>
                    <w:right w:val="single" w:color="000000" w:sz="4"/>
                  </w:tcBorders>
                  <w:vAlign w:val="top"/>
                </w:tcPr>
                <w:p>
                  <w:pPr>
                    <w:jc w:val="center"/>
                  </w:pPr>
                  <w:r>
                    <w:rPr>
                      <w:sz w:val="24"/>
                    </w:rPr>
                    <w:t>台</w:t>
                  </w:r>
                </w:p>
              </w:tc>
              <w:tc>
                <w:tcPr>
                  <w:tcW w:type="dxa" w:w="457"/>
                  <w:tcBorders>
                    <w:top w:val="none" w:color="000000" w:sz="4"/>
                    <w:left w:val="none" w:color="000000" w:sz="4"/>
                    <w:bottom w:val="single" w:color="000000" w:sz="4"/>
                    <w:right w:val="single" w:color="000000" w:sz="4"/>
                  </w:tcBorders>
                  <w:vAlign w:val="top"/>
                </w:tcPr>
                <w:p>
                  <w:pPr>
                    <w:jc w:val="center"/>
                  </w:pPr>
                  <w:r>
                    <w:rPr>
                      <w:sz w:val="24"/>
                    </w:rPr>
                    <w:t>6</w:t>
                  </w:r>
                </w:p>
              </w:tc>
              <w:tc>
                <w:tcPr>
                  <w:tcW w:type="dxa" w:w="502"/>
                  <w:tcBorders>
                    <w:top w:val="none" w:color="000000" w:sz="4"/>
                    <w:left w:val="none" w:color="000000" w:sz="4"/>
                    <w:bottom w:val="single" w:color="000000" w:sz="4"/>
                    <w:right w:val="single" w:color="000000" w:sz="4"/>
                  </w:tcBorders>
                  <w:vAlign w:val="top"/>
                </w:tcPr>
                <w:p>
                  <w:pPr>
                    <w:jc w:val="both"/>
                  </w:pPr>
                </w:p>
              </w:tc>
            </w:tr>
            <w:tr>
              <w:tc>
                <w:tcPr>
                  <w:tcW w:type="dxa" w:w="439"/>
                  <w:tcBorders>
                    <w:top w:val="none" w:color="000000" w:sz="4"/>
                    <w:left w:val="single" w:color="000000" w:sz="4"/>
                    <w:bottom w:val="single" w:color="000000" w:sz="4"/>
                    <w:right w:val="single" w:color="000000" w:sz="4"/>
                  </w:tcBorders>
                  <w:vAlign w:val="top"/>
                </w:tcPr>
                <w:p>
                  <w:pPr>
                    <w:jc w:val="center"/>
                  </w:pPr>
                  <w:r>
                    <w:rPr>
                      <w:sz w:val="24"/>
                    </w:rPr>
                    <w:t>4</w:t>
                  </w:r>
                </w:p>
              </w:tc>
              <w:tc>
                <w:tcPr>
                  <w:tcW w:type="dxa" w:w="815"/>
                  <w:tcBorders>
                    <w:top w:val="none" w:color="000000" w:sz="4"/>
                    <w:left w:val="none" w:color="000000" w:sz="4"/>
                    <w:bottom w:val="single" w:color="000000" w:sz="4"/>
                    <w:right w:val="single" w:color="000000" w:sz="4"/>
                  </w:tcBorders>
                  <w:vAlign w:val="top"/>
                </w:tcPr>
                <w:p>
                  <w:pPr>
                    <w:jc w:val="center"/>
                  </w:pPr>
                  <w:r>
                    <w:rPr>
                      <w:sz w:val="24"/>
                    </w:rPr>
                    <w:t>六类网线</w:t>
                  </w:r>
                </w:p>
              </w:tc>
              <w:tc>
                <w:tcPr>
                  <w:tcW w:type="dxa" w:w="2956"/>
                  <w:tcBorders>
                    <w:top w:val="none" w:color="000000" w:sz="4"/>
                    <w:left w:val="none" w:color="000000" w:sz="4"/>
                    <w:bottom w:val="single" w:color="000000" w:sz="4"/>
                    <w:right w:val="single" w:color="000000" w:sz="4"/>
                  </w:tcBorders>
                  <w:vAlign w:val="top"/>
                </w:tcPr>
                <w:p>
                  <w:pPr>
                    <w:jc w:val="left"/>
                  </w:pPr>
                  <w:r>
                    <w:rPr>
                      <w:sz w:val="24"/>
                    </w:rPr>
                    <w:t>标准305米/箱</w:t>
                  </w:r>
                </w:p>
              </w:tc>
              <w:tc>
                <w:tcPr>
                  <w:tcW w:type="dxa" w:w="430"/>
                  <w:tcBorders>
                    <w:top w:val="none" w:color="000000" w:sz="4"/>
                    <w:left w:val="none" w:color="000000" w:sz="4"/>
                    <w:bottom w:val="single" w:color="000000" w:sz="4"/>
                    <w:right w:val="single" w:color="000000" w:sz="4"/>
                  </w:tcBorders>
                  <w:vAlign w:val="top"/>
                </w:tcPr>
                <w:p>
                  <w:pPr>
                    <w:jc w:val="center"/>
                  </w:pPr>
                  <w:r>
                    <w:rPr>
                      <w:sz w:val="24"/>
                    </w:rPr>
                    <w:t>箱</w:t>
                  </w:r>
                </w:p>
              </w:tc>
              <w:tc>
                <w:tcPr>
                  <w:tcW w:type="dxa" w:w="457"/>
                  <w:tcBorders>
                    <w:top w:val="none" w:color="000000" w:sz="4"/>
                    <w:left w:val="none" w:color="000000" w:sz="4"/>
                    <w:bottom w:val="single" w:color="000000" w:sz="4"/>
                    <w:right w:val="single" w:color="000000" w:sz="4"/>
                  </w:tcBorders>
                  <w:vAlign w:val="top"/>
                </w:tcPr>
                <w:p>
                  <w:pPr>
                    <w:jc w:val="center"/>
                  </w:pPr>
                  <w:r>
                    <w:rPr>
                      <w:sz w:val="24"/>
                    </w:rPr>
                    <w:t>18</w:t>
                  </w:r>
                </w:p>
              </w:tc>
              <w:tc>
                <w:tcPr>
                  <w:tcW w:type="dxa" w:w="502"/>
                  <w:tcBorders>
                    <w:top w:val="none" w:color="000000" w:sz="4"/>
                    <w:left w:val="none" w:color="000000" w:sz="4"/>
                    <w:bottom w:val="single" w:color="000000" w:sz="4"/>
                    <w:right w:val="single" w:color="000000" w:sz="4"/>
                  </w:tcBorders>
                  <w:vAlign w:val="top"/>
                </w:tcPr>
                <w:p>
                  <w:pPr>
                    <w:jc w:val="both"/>
                  </w:pPr>
                </w:p>
              </w:tc>
            </w:tr>
            <w:tr>
              <w:tc>
                <w:tcPr>
                  <w:tcW w:type="dxa" w:w="439"/>
                  <w:tcBorders>
                    <w:top w:val="none" w:color="000000" w:sz="4"/>
                    <w:left w:val="single" w:color="000000" w:sz="4"/>
                    <w:bottom w:val="single" w:color="000000" w:sz="4"/>
                    <w:right w:val="single" w:color="000000" w:sz="4"/>
                  </w:tcBorders>
                  <w:vAlign w:val="top"/>
                </w:tcPr>
                <w:p>
                  <w:pPr>
                    <w:jc w:val="center"/>
                  </w:pPr>
                  <w:r>
                    <w:rPr>
                      <w:sz w:val="24"/>
                    </w:rPr>
                    <w:t>5</w:t>
                  </w:r>
                </w:p>
              </w:tc>
              <w:tc>
                <w:tcPr>
                  <w:tcW w:type="dxa" w:w="815"/>
                  <w:tcBorders>
                    <w:top w:val="none" w:color="000000" w:sz="4"/>
                    <w:left w:val="none" w:color="000000" w:sz="4"/>
                    <w:bottom w:val="single" w:color="000000" w:sz="4"/>
                    <w:right w:val="single" w:color="000000" w:sz="4"/>
                  </w:tcBorders>
                  <w:vAlign w:val="top"/>
                </w:tcPr>
                <w:p>
                  <w:pPr>
                    <w:jc w:val="center"/>
                  </w:pPr>
                  <w:r>
                    <w:rPr>
                      <w:sz w:val="24"/>
                    </w:rPr>
                    <w:t>光模块</w:t>
                  </w:r>
                </w:p>
              </w:tc>
              <w:tc>
                <w:tcPr>
                  <w:tcW w:type="dxa" w:w="2956"/>
                  <w:tcBorders>
                    <w:top w:val="none" w:color="000000" w:sz="4"/>
                    <w:left w:val="none" w:color="000000" w:sz="4"/>
                    <w:bottom w:val="single" w:color="000000" w:sz="4"/>
                    <w:right w:val="single" w:color="000000" w:sz="4"/>
                  </w:tcBorders>
                  <w:vAlign w:val="top"/>
                </w:tcPr>
                <w:p>
                  <w:pPr>
                    <w:jc w:val="left"/>
                  </w:pPr>
                  <w:r>
                    <w:rPr>
                      <w:sz w:val="24"/>
                    </w:rPr>
                    <w:t>SFP千兆光纤模块</w:t>
                  </w:r>
                </w:p>
              </w:tc>
              <w:tc>
                <w:tcPr>
                  <w:tcW w:type="dxa" w:w="430"/>
                  <w:tcBorders>
                    <w:top w:val="none" w:color="000000" w:sz="4"/>
                    <w:left w:val="none" w:color="000000" w:sz="4"/>
                    <w:bottom w:val="single" w:color="000000" w:sz="4"/>
                    <w:right w:val="single" w:color="000000" w:sz="4"/>
                  </w:tcBorders>
                  <w:vAlign w:val="top"/>
                </w:tcPr>
                <w:p>
                  <w:pPr>
                    <w:jc w:val="center"/>
                  </w:pPr>
                  <w:r>
                    <w:rPr>
                      <w:sz w:val="24"/>
                    </w:rPr>
                    <w:t>只</w:t>
                  </w:r>
                </w:p>
              </w:tc>
              <w:tc>
                <w:tcPr>
                  <w:tcW w:type="dxa" w:w="457"/>
                  <w:tcBorders>
                    <w:top w:val="none" w:color="000000" w:sz="4"/>
                    <w:left w:val="none" w:color="000000" w:sz="4"/>
                    <w:bottom w:val="single" w:color="000000" w:sz="4"/>
                    <w:right w:val="single" w:color="000000" w:sz="4"/>
                  </w:tcBorders>
                  <w:vAlign w:val="top"/>
                </w:tcPr>
                <w:p>
                  <w:pPr>
                    <w:jc w:val="center"/>
                  </w:pPr>
                  <w:r>
                    <w:rPr>
                      <w:sz w:val="24"/>
                    </w:rPr>
                    <w:t>12</w:t>
                  </w:r>
                </w:p>
              </w:tc>
              <w:tc>
                <w:tcPr>
                  <w:tcW w:type="dxa" w:w="502"/>
                  <w:tcBorders>
                    <w:top w:val="none" w:color="000000" w:sz="4"/>
                    <w:left w:val="none" w:color="000000" w:sz="4"/>
                    <w:bottom w:val="single" w:color="000000" w:sz="4"/>
                    <w:right w:val="single" w:color="000000" w:sz="4"/>
                  </w:tcBorders>
                  <w:vAlign w:val="top"/>
                </w:tcPr>
                <w:p>
                  <w:pPr>
                    <w:jc w:val="both"/>
                  </w:pPr>
                </w:p>
              </w:tc>
            </w:tr>
            <w:tr>
              <w:tc>
                <w:tcPr>
                  <w:tcW w:type="dxa" w:w="439"/>
                  <w:tcBorders>
                    <w:top w:val="none" w:color="000000" w:sz="4"/>
                    <w:left w:val="single" w:color="000000" w:sz="4"/>
                    <w:bottom w:val="single" w:color="000000" w:sz="4"/>
                    <w:right w:val="single" w:color="000000" w:sz="4"/>
                  </w:tcBorders>
                  <w:vAlign w:val="top"/>
                </w:tcPr>
                <w:p>
                  <w:pPr>
                    <w:jc w:val="center"/>
                  </w:pPr>
                  <w:r>
                    <w:rPr>
                      <w:sz w:val="24"/>
                    </w:rPr>
                    <w:t>6</w:t>
                  </w:r>
                </w:p>
              </w:tc>
              <w:tc>
                <w:tcPr>
                  <w:tcW w:type="dxa" w:w="815"/>
                  <w:tcBorders>
                    <w:top w:val="none" w:color="000000" w:sz="4"/>
                    <w:left w:val="none" w:color="000000" w:sz="4"/>
                    <w:bottom w:val="single" w:color="000000" w:sz="4"/>
                    <w:right w:val="single" w:color="000000" w:sz="4"/>
                  </w:tcBorders>
                  <w:vAlign w:val="top"/>
                </w:tcPr>
                <w:p>
                  <w:pPr>
                    <w:jc w:val="center"/>
                  </w:pPr>
                  <w:r>
                    <w:rPr>
                      <w:sz w:val="24"/>
                    </w:rPr>
                    <w:t>电源线</w:t>
                  </w:r>
                </w:p>
              </w:tc>
              <w:tc>
                <w:tcPr>
                  <w:tcW w:type="dxa" w:w="2956"/>
                  <w:tcBorders>
                    <w:top w:val="none" w:color="000000" w:sz="4"/>
                    <w:left w:val="none" w:color="000000" w:sz="4"/>
                    <w:bottom w:val="single" w:color="000000" w:sz="4"/>
                    <w:right w:val="single" w:color="000000" w:sz="4"/>
                  </w:tcBorders>
                  <w:vAlign w:val="top"/>
                </w:tcPr>
                <w:p>
                  <w:pPr>
                    <w:jc w:val="left"/>
                  </w:pPr>
                  <w:r>
                    <w:rPr>
                      <w:sz w:val="24"/>
                    </w:rPr>
                    <w:t>3×1.5铜芯线</w:t>
                  </w:r>
                </w:p>
              </w:tc>
              <w:tc>
                <w:tcPr>
                  <w:tcW w:type="dxa" w:w="430"/>
                  <w:tcBorders>
                    <w:top w:val="none" w:color="000000" w:sz="4"/>
                    <w:left w:val="none" w:color="000000" w:sz="4"/>
                    <w:bottom w:val="single" w:color="000000" w:sz="4"/>
                    <w:right w:val="single" w:color="000000" w:sz="4"/>
                  </w:tcBorders>
                  <w:vAlign w:val="top"/>
                </w:tcPr>
                <w:p>
                  <w:pPr>
                    <w:jc w:val="center"/>
                  </w:pPr>
                  <w:r>
                    <w:rPr>
                      <w:sz w:val="24"/>
                    </w:rPr>
                    <w:t>米</w:t>
                  </w:r>
                </w:p>
              </w:tc>
              <w:tc>
                <w:tcPr>
                  <w:tcW w:type="dxa" w:w="457"/>
                  <w:tcBorders>
                    <w:top w:val="none" w:color="000000" w:sz="4"/>
                    <w:left w:val="none" w:color="000000" w:sz="4"/>
                    <w:bottom w:val="single" w:color="000000" w:sz="4"/>
                    <w:right w:val="single" w:color="000000" w:sz="4"/>
                  </w:tcBorders>
                  <w:vAlign w:val="top"/>
                </w:tcPr>
                <w:p>
                  <w:pPr>
                    <w:jc w:val="center"/>
                  </w:pPr>
                  <w:r>
                    <w:rPr>
                      <w:sz w:val="24"/>
                    </w:rPr>
                    <w:t>1000</w:t>
                  </w:r>
                </w:p>
              </w:tc>
              <w:tc>
                <w:tcPr>
                  <w:tcW w:type="dxa" w:w="502"/>
                  <w:tcBorders>
                    <w:top w:val="none" w:color="000000" w:sz="4"/>
                    <w:left w:val="none" w:color="000000" w:sz="4"/>
                    <w:bottom w:val="single" w:color="000000" w:sz="4"/>
                    <w:right w:val="single" w:color="000000" w:sz="4"/>
                  </w:tcBorders>
                  <w:vAlign w:val="top"/>
                </w:tcPr>
                <w:p>
                  <w:pPr>
                    <w:jc w:val="both"/>
                  </w:pPr>
                </w:p>
              </w:tc>
            </w:tr>
            <w:tr>
              <w:tc>
                <w:tcPr>
                  <w:tcW w:type="dxa" w:w="439"/>
                  <w:tcBorders>
                    <w:top w:val="none" w:color="000000" w:sz="4"/>
                    <w:left w:val="single" w:color="000000" w:sz="4"/>
                    <w:bottom w:val="single" w:color="000000" w:sz="4"/>
                    <w:right w:val="single" w:color="000000" w:sz="4"/>
                  </w:tcBorders>
                  <w:vAlign w:val="top"/>
                </w:tcPr>
                <w:p>
                  <w:pPr>
                    <w:jc w:val="center"/>
                  </w:pPr>
                  <w:r>
                    <w:rPr>
                      <w:sz w:val="24"/>
                    </w:rPr>
                    <w:t>7</w:t>
                  </w:r>
                </w:p>
              </w:tc>
              <w:tc>
                <w:tcPr>
                  <w:tcW w:type="dxa" w:w="815"/>
                  <w:tcBorders>
                    <w:top w:val="none" w:color="000000" w:sz="4"/>
                    <w:left w:val="none" w:color="000000" w:sz="4"/>
                    <w:bottom w:val="single" w:color="000000" w:sz="4"/>
                    <w:right w:val="single" w:color="000000" w:sz="4"/>
                  </w:tcBorders>
                  <w:vAlign w:val="top"/>
                </w:tcPr>
                <w:p>
                  <w:pPr>
                    <w:jc w:val="center"/>
                  </w:pPr>
                  <w:r>
                    <w:rPr>
                      <w:sz w:val="24"/>
                    </w:rPr>
                    <w:t>PVC</w:t>
                  </w:r>
                </w:p>
              </w:tc>
              <w:tc>
                <w:tcPr>
                  <w:tcW w:type="dxa" w:w="2956"/>
                  <w:tcBorders>
                    <w:top w:val="none" w:color="000000" w:sz="4"/>
                    <w:left w:val="none" w:color="000000" w:sz="4"/>
                    <w:bottom w:val="single" w:color="000000" w:sz="4"/>
                    <w:right w:val="single" w:color="000000" w:sz="4"/>
                  </w:tcBorders>
                  <w:vAlign w:val="top"/>
                </w:tcPr>
                <w:p>
                  <w:pPr>
                    <w:jc w:val="left"/>
                  </w:pPr>
                  <w:r>
                    <w:rPr>
                      <w:sz w:val="24"/>
                    </w:rPr>
                    <w:t>PVC管槽及五金配件</w:t>
                  </w:r>
                </w:p>
              </w:tc>
              <w:tc>
                <w:tcPr>
                  <w:tcW w:type="dxa" w:w="430"/>
                  <w:tcBorders>
                    <w:top w:val="none" w:color="000000" w:sz="4"/>
                    <w:left w:val="none" w:color="000000" w:sz="4"/>
                    <w:bottom w:val="single" w:color="000000" w:sz="4"/>
                    <w:right w:val="single" w:color="000000" w:sz="4"/>
                  </w:tcBorders>
                  <w:vAlign w:val="top"/>
                </w:tcPr>
                <w:p>
                  <w:pPr>
                    <w:jc w:val="center"/>
                  </w:pPr>
                  <w:r>
                    <w:rPr>
                      <w:sz w:val="24"/>
                    </w:rPr>
                    <w:t>项</w:t>
                  </w:r>
                </w:p>
              </w:tc>
              <w:tc>
                <w:tcPr>
                  <w:tcW w:type="dxa" w:w="457"/>
                  <w:tcBorders>
                    <w:top w:val="none" w:color="000000" w:sz="4"/>
                    <w:left w:val="none" w:color="000000" w:sz="4"/>
                    <w:bottom w:val="single" w:color="000000" w:sz="4"/>
                    <w:right w:val="single" w:color="000000" w:sz="4"/>
                  </w:tcBorders>
                  <w:vAlign w:val="top"/>
                </w:tcPr>
                <w:p>
                  <w:pPr>
                    <w:jc w:val="center"/>
                  </w:pPr>
                  <w:r>
                    <w:rPr>
                      <w:sz w:val="24"/>
                    </w:rPr>
                    <w:t>1</w:t>
                  </w:r>
                </w:p>
              </w:tc>
              <w:tc>
                <w:tcPr>
                  <w:tcW w:type="dxa" w:w="502"/>
                  <w:tcBorders>
                    <w:top w:val="none" w:color="000000" w:sz="4"/>
                    <w:left w:val="none" w:color="000000" w:sz="4"/>
                    <w:bottom w:val="single" w:color="000000" w:sz="4"/>
                    <w:right w:val="single" w:color="000000" w:sz="4"/>
                  </w:tcBorders>
                  <w:vAlign w:val="top"/>
                </w:tcPr>
                <w:p>
                  <w:pPr>
                    <w:jc w:val="both"/>
                  </w:pPr>
                </w:p>
              </w:tc>
            </w:tr>
            <w:tr>
              <w:tc>
                <w:tcPr>
                  <w:tcW w:type="dxa" w:w="439"/>
                  <w:tcBorders>
                    <w:top w:val="none" w:color="000000" w:sz="4"/>
                    <w:left w:val="single" w:color="000000" w:sz="4"/>
                    <w:bottom w:val="single" w:color="000000" w:sz="4"/>
                    <w:right w:val="single" w:color="000000" w:sz="4"/>
                  </w:tcBorders>
                  <w:vAlign w:val="top"/>
                </w:tcPr>
                <w:p>
                  <w:pPr>
                    <w:jc w:val="center"/>
                  </w:pPr>
                  <w:r>
                    <w:rPr>
                      <w:sz w:val="24"/>
                    </w:rPr>
                    <w:t>8</w:t>
                  </w:r>
                </w:p>
              </w:tc>
              <w:tc>
                <w:tcPr>
                  <w:tcW w:type="dxa" w:w="815"/>
                  <w:tcBorders>
                    <w:top w:val="none" w:color="000000" w:sz="4"/>
                    <w:left w:val="none" w:color="000000" w:sz="4"/>
                    <w:bottom w:val="single" w:color="000000" w:sz="4"/>
                    <w:right w:val="single" w:color="000000" w:sz="4"/>
                  </w:tcBorders>
                  <w:vAlign w:val="top"/>
                </w:tcPr>
                <w:p>
                  <w:pPr>
                    <w:jc w:val="center"/>
                  </w:pPr>
                  <w:r>
                    <w:rPr>
                      <w:sz w:val="24"/>
                    </w:rPr>
                    <w:t>安装布线</w:t>
                  </w:r>
                </w:p>
              </w:tc>
              <w:tc>
                <w:tcPr>
                  <w:tcW w:type="dxa" w:w="2956"/>
                  <w:tcBorders>
                    <w:top w:val="none" w:color="000000" w:sz="4"/>
                    <w:left w:val="none" w:color="000000" w:sz="4"/>
                    <w:bottom w:val="single" w:color="000000" w:sz="4"/>
                    <w:right w:val="single" w:color="000000" w:sz="4"/>
                  </w:tcBorders>
                  <w:vAlign w:val="top"/>
                </w:tcPr>
                <w:p>
                  <w:pPr>
                    <w:jc w:val="left"/>
                  </w:pPr>
                  <w:r>
                    <w:rPr>
                      <w:sz w:val="24"/>
                    </w:rPr>
                    <w:t>云办公室内安装及布线</w:t>
                  </w:r>
                </w:p>
              </w:tc>
              <w:tc>
                <w:tcPr>
                  <w:tcW w:type="dxa" w:w="430"/>
                  <w:tcBorders>
                    <w:top w:val="none" w:color="000000" w:sz="4"/>
                    <w:left w:val="none" w:color="000000" w:sz="4"/>
                    <w:bottom w:val="single" w:color="000000" w:sz="4"/>
                    <w:right w:val="single" w:color="000000" w:sz="4"/>
                  </w:tcBorders>
                  <w:vAlign w:val="top"/>
                </w:tcPr>
                <w:p>
                  <w:pPr>
                    <w:jc w:val="center"/>
                  </w:pPr>
                  <w:r>
                    <w:rPr>
                      <w:sz w:val="24"/>
                    </w:rPr>
                    <w:t>点</w:t>
                  </w:r>
                </w:p>
              </w:tc>
              <w:tc>
                <w:tcPr>
                  <w:tcW w:type="dxa" w:w="457"/>
                  <w:tcBorders>
                    <w:top w:val="none" w:color="000000" w:sz="4"/>
                    <w:left w:val="none" w:color="000000" w:sz="4"/>
                    <w:bottom w:val="single" w:color="000000" w:sz="4"/>
                    <w:right w:val="single" w:color="000000" w:sz="4"/>
                  </w:tcBorders>
                  <w:vAlign w:val="top"/>
                </w:tcPr>
                <w:p>
                  <w:pPr>
                    <w:jc w:val="center"/>
                  </w:pPr>
                  <w:r>
                    <w:rPr>
                      <w:sz w:val="24"/>
                    </w:rPr>
                    <w:t>70</w:t>
                  </w:r>
                </w:p>
              </w:tc>
              <w:tc>
                <w:tcPr>
                  <w:tcW w:type="dxa" w:w="502"/>
                  <w:tcBorders>
                    <w:top w:val="none" w:color="000000" w:sz="4"/>
                    <w:left w:val="none" w:color="000000" w:sz="4"/>
                    <w:bottom w:val="single" w:color="000000" w:sz="4"/>
                    <w:right w:val="single" w:color="000000" w:sz="4"/>
                  </w:tcBorders>
                  <w:vAlign w:val="top"/>
                </w:tcPr>
                <w:p>
                  <w:pPr>
                    <w:jc w:val="both"/>
                  </w:pPr>
                </w:p>
              </w:tc>
            </w:tr>
          </w:tbl>
          <w:p>
            <w:pPr>
              <w:jc w:val="left"/>
            </w:pPr>
          </w:p>
          <w:p>
            <w:pPr>
              <w:jc w:val="left"/>
            </w:pPr>
            <w:r>
              <w:rPr>
                <w:b/>
                <w:sz w:val="24"/>
              </w:rPr>
              <w:t>（四）采购项目详细技术要求</w:t>
            </w:r>
          </w:p>
          <w:p>
            <w:pPr>
              <w:jc w:val="left"/>
            </w:pPr>
            <w:r>
              <w:rPr>
                <w:b/>
                <w:sz w:val="24"/>
              </w:rPr>
              <w:t>附表一、纳米黑板技术要求：</w:t>
            </w:r>
          </w:p>
          <w:tbl>
            <w:tblPr>
              <w:tblBorders>
                <w:top w:val="none" w:color="000000" w:sz="4"/>
                <w:left w:val="none" w:color="000000" w:sz="4"/>
                <w:bottom w:val="none" w:color="000000" w:sz="4"/>
                <w:right w:val="none" w:color="000000" w:sz="4"/>
                <w:insideH w:val="none"/>
                <w:insideV w:val="none"/>
              </w:tblBorders>
            </w:tblPr>
            <w:tblGrid>
              <w:gridCol w:w="5598"/>
            </w:tblGrid>
            <w:tr>
              <w:tc>
                <w:tcPr>
                  <w:tcW w:type="dxa" w:w="5598"/>
                  <w:tcBorders>
                    <w:top w:val="single" w:color="000000" w:sz="4"/>
                    <w:left w:val="single" w:color="000000" w:sz="4"/>
                    <w:bottom w:val="single" w:color="000000" w:sz="4"/>
                    <w:right w:val="single" w:color="000000" w:sz="4"/>
                  </w:tcBorders>
                  <w:vAlign w:val="top"/>
                </w:tcPr>
                <w:p>
                  <w:pPr>
                    <w:jc w:val="left"/>
                  </w:pPr>
                  <w:r>
                    <w:rPr>
                      <w:b/>
                      <w:sz w:val="24"/>
                    </w:rPr>
                    <w:t>1、整体外观：</w:t>
                  </w:r>
                </w:p>
                <w:p>
                  <w:pPr>
                    <w:jc w:val="left"/>
                  </w:pPr>
                  <w:r>
                    <w:rPr>
                      <w:sz w:val="24"/>
                    </w:rPr>
                    <w:t>（1）整机采用三拼接平面一体化设计，无推拉式结构，外部无任何可见内部功能模块连接线。主副屏过渡平滑并在同一平面，中间无单独边框阻隔。整机尺寸：宽度≥4200mm，高度≥1200mm。</w:t>
                  </w:r>
                </w:p>
                <w:p>
                  <w:pPr>
                    <w:jc w:val="left"/>
                  </w:pPr>
                  <w:r>
                    <w:rPr>
                      <w:sz w:val="24"/>
                    </w:rPr>
                    <w:t>（2）整机屏幕采用≥86英寸显示屏，显示比例16:9，屏幕图像分辨率≥3840×2160，具备防眩光效果。</w:t>
                  </w:r>
                </w:p>
                <w:p>
                  <w:pPr>
                    <w:jc w:val="left"/>
                  </w:pPr>
                  <w:r>
                    <w:rPr>
                      <w:sz w:val="24"/>
                    </w:rPr>
                    <w:t>（3）整机主屏支持普通粉笔直接书写，两侧副屏可支持多种媒介：普通粉笔、液体粉笔、成膜笔进行板书书写。</w:t>
                  </w:r>
                </w:p>
                <w:p>
                  <w:pPr>
                    <w:jc w:val="left"/>
                  </w:pPr>
                  <w:r>
                    <w:rPr>
                      <w:sz w:val="24"/>
                    </w:rPr>
                    <w:t>（4）整机采用全金属外壳设计，有效屏蔽内部电路器件辐射；防潮耐盐雾蚀锈，钢化玻璃表面硬度≥9H，适应多种教学环境。</w:t>
                  </w:r>
                </w:p>
                <w:p>
                  <w:pPr>
                    <w:jc w:val="left"/>
                  </w:pPr>
                  <w:r>
                    <w:rPr>
                      <w:sz w:val="24"/>
                    </w:rPr>
                    <w:t>▲（5）整体采用全贴合设计。</w:t>
                  </w:r>
                  <w:r>
                    <w:rPr>
                      <w:b/>
                      <w:sz w:val="24"/>
                    </w:rPr>
                    <w:t>（注：提供具有国家认可的检测机构出具的检测报告复印件，要求内容能体现满足上述参数要求）</w:t>
                  </w:r>
                </w:p>
                <w:p>
                  <w:pPr>
                    <w:jc w:val="left"/>
                  </w:pPr>
                  <w:r>
                    <w:rPr>
                      <w:sz w:val="24"/>
                    </w:rPr>
                    <w:t>（6）采用电容触控技术，支持Windows系统中进行20点或以上触控，支持在Android系统中进行10点或以上触控。</w:t>
                  </w:r>
                </w:p>
                <w:p>
                  <w:pPr>
                    <w:jc w:val="left"/>
                  </w:pPr>
                  <w:r>
                    <w:rPr>
                      <w:sz w:val="24"/>
                    </w:rPr>
                    <w:t>▲（7）整机具备至少6个前置按键，支持自定义前置“设置"按键，通过自定义设置实现前置面板功能按键一键启用包含但不限于以下全局小工具：批注、截屏、计时、降半屏、放大镜、倒数日、日历；快捷开关：节能模式、纸质护眼模式、经典护眼模式、自动亮度模式。</w:t>
                  </w:r>
                  <w:r>
                    <w:rPr>
                      <w:b/>
                      <w:sz w:val="24"/>
                    </w:rPr>
                    <w:t>（注：提供具有国家认可的检测机构出具的检测报告复印件，要求内容能体现满足上述参数要求）</w:t>
                  </w:r>
                </w:p>
                <w:p>
                  <w:pPr>
                    <w:jc w:val="left"/>
                  </w:pPr>
                  <w:r>
                    <w:rPr>
                      <w:b/>
                      <w:sz w:val="24"/>
                    </w:rPr>
                    <w:t>二、护眼要求：</w:t>
                  </w:r>
                </w:p>
                <w:p>
                  <w:pPr>
                    <w:jc w:val="left"/>
                  </w:pPr>
                  <w:r>
                    <w:rPr>
                      <w:sz w:val="24"/>
                    </w:rPr>
                    <w:t>（1）整机采用硬件低蓝光背光技术，减少有害蓝光波段能量；可感应并自动调节屏幕亮度达到在不同光照环境下的不同亮度显示效果。此功能可自行开启或关闭。</w:t>
                  </w:r>
                </w:p>
                <w:p>
                  <w:pPr>
                    <w:jc w:val="left"/>
                  </w:pPr>
                  <w:r>
                    <w:rPr>
                      <w:sz w:val="24"/>
                    </w:rPr>
                    <w:t>（2）支持经典护眼模式，可通过前置面板物理功能按键一键启用。</w:t>
                  </w:r>
                </w:p>
                <w:p>
                  <w:pPr>
                    <w:jc w:val="left"/>
                  </w:pPr>
                  <w:r>
                    <w:rPr>
                      <w:sz w:val="24"/>
                    </w:rPr>
                    <w:t>▲（3）整机通过由中国标准化研究院制定的视觉舒适度VICO体系认证，并达到视觉舒适度A +级或以上标准。</w:t>
                  </w:r>
                  <w:r>
                    <w:rPr>
                      <w:b/>
                      <w:sz w:val="24"/>
                    </w:rPr>
                    <w:t>（注：提供具有国家认可的检测机构出具的检测报告复印件）</w:t>
                  </w:r>
                </w:p>
                <w:p>
                  <w:pPr>
                    <w:jc w:val="left"/>
                  </w:pPr>
                  <w:r>
                    <w:rPr>
                      <w:sz w:val="24"/>
                    </w:rPr>
                    <w:t>（4）整机支持色彩空间可选，包含但不限于标准模式和sRGB模式，在sRGB模式下可做到高色准△E≤1.5。</w:t>
                  </w:r>
                  <w:r>
                    <w:rPr>
                      <w:b/>
                      <w:sz w:val="24"/>
                    </w:rPr>
                    <w:t>（注：提供具有国家认可的检测机构出具的检测报告复印件，要求内容能体现满足上述参数要求）</w:t>
                  </w:r>
                </w:p>
                <w:p>
                  <w:pPr>
                    <w:jc w:val="left"/>
                  </w:pPr>
                  <w:r>
                    <w:rPr>
                      <w:sz w:val="24"/>
                    </w:rPr>
                    <w:t>▲（5）支持纸质护眼模式，在任意通道任意画面任意软件所在显示内容下可实时调整画面纹理。画面纹理的类型包含但不限于牛皮纸、素描纸、宣纸、水彩纸、水纹纸。同时支持色温调节和透明度调节。</w:t>
                  </w:r>
                  <w:r>
                    <w:rPr>
                      <w:b/>
                      <w:sz w:val="24"/>
                    </w:rPr>
                    <w:t>（注：提供具有国家认可的检测机构出具的检测报告复印件，要求内容能体现满足上述参数要求）</w:t>
                  </w:r>
                </w:p>
                <w:p>
                  <w:pPr>
                    <w:jc w:val="left"/>
                  </w:pPr>
                  <w:r>
                    <w:rPr>
                      <w:sz w:val="24"/>
                    </w:rPr>
                    <w:t>（6）整机显示屏幕贴合方式采用全贴合工艺。</w:t>
                  </w:r>
                </w:p>
                <w:p>
                  <w:pPr>
                    <w:jc w:val="left"/>
                  </w:pPr>
                  <w:r>
                    <w:rPr>
                      <w:b/>
                      <w:sz w:val="24"/>
                    </w:rPr>
                    <w:t>三、音效与麦克风要求：</w:t>
                  </w:r>
                </w:p>
                <w:p>
                  <w:pPr>
                    <w:jc w:val="left"/>
                  </w:pPr>
                  <w:r>
                    <w:rPr>
                      <w:sz w:val="24"/>
                    </w:rPr>
                    <w:t>（1）采用内置摄像头、麦克风。</w:t>
                  </w:r>
                </w:p>
                <w:p>
                  <w:pPr>
                    <w:jc w:val="left"/>
                  </w:pPr>
                  <w:r>
                    <w:rPr>
                      <w:sz w:val="24"/>
                    </w:rPr>
                    <w:t>▲（2）整机内置2.2声道扬声器，朝前发声，10W高音扬声器≥2个，20W中低音扬声器≥2个，总功率≥60W。（</w:t>
                  </w:r>
                  <w:r>
                    <w:rPr>
                      <w:b/>
                      <w:sz w:val="24"/>
                    </w:rPr>
                    <w:t>注：提供具有国家认可的检测机构出具的检测报告复印件</w:t>
                  </w:r>
                  <w:r>
                    <w:rPr>
                      <w:b/>
                      <w:sz w:val="24"/>
                    </w:rPr>
                    <w:t>，要求内容能体现满足上述参数要求</w:t>
                  </w:r>
                  <w:r>
                    <w:rPr>
                      <w:sz w:val="24"/>
                    </w:rPr>
                    <w:t>）</w:t>
                  </w:r>
                </w:p>
                <w:p>
                  <w:pPr>
                    <w:jc w:val="left"/>
                  </w:pPr>
                  <w:r>
                    <w:rPr>
                      <w:sz w:val="24"/>
                    </w:rPr>
                    <w:t>（3）整机内置4阵列麦克风，可用于对教室环境音频进行采集，拾音距离≥12m。</w:t>
                  </w:r>
                </w:p>
                <w:p>
                  <w:pPr>
                    <w:jc w:val="left"/>
                  </w:pPr>
                  <w:r>
                    <w:rPr>
                      <w:sz w:val="24"/>
                    </w:rPr>
                    <w:t>（4）整机内置扬声器采用缝隙发声技术，喇叭采用槽式开口设计，不大于5.8mm；支持标准、听力、观影三种音效模式调节。</w:t>
                  </w:r>
                </w:p>
                <w:p>
                  <w:pPr>
                    <w:jc w:val="left"/>
                  </w:pPr>
                  <w:r>
                    <w:rPr>
                      <w:b/>
                      <w:sz w:val="24"/>
                    </w:rPr>
                    <w:t>四、主要功能要求：</w:t>
                  </w:r>
                </w:p>
                <w:p>
                  <w:pPr>
                    <w:jc w:val="left"/>
                  </w:pPr>
                  <w:r>
                    <w:rPr>
                      <w:sz w:val="24"/>
                    </w:rPr>
                    <w:t>（1）整机开机后自动进入教学桌面，支持账号登录/退出。可自动获取个人云端教学课件列表、同时可以进入校本资源库。</w:t>
                  </w:r>
                </w:p>
                <w:p>
                  <w:pPr>
                    <w:jc w:val="left"/>
                  </w:pPr>
                  <w:r>
                    <w:rPr>
                      <w:sz w:val="24"/>
                    </w:rPr>
                    <w:t>（2）整机内置全通道侧边栏快捷菜单，支持实时显示天气情况、日期、小工具、快捷设置、应用软件、亮度/音量调节、教室物联入口。在任意显示通道下均可通过侧边栏一键进入该触摸菜单；有PC模块时，具有快捷应用入口的显示和快捷切换。</w:t>
                  </w:r>
                </w:p>
                <w:p>
                  <w:pPr>
                    <w:jc w:val="left"/>
                  </w:pPr>
                  <w:r>
                    <w:rPr>
                      <w:sz w:val="24"/>
                    </w:rPr>
                    <w:t>▲（3）整机嵌入式系统版本不低于Android 11，内存≥2GB，存储空间≥8GB。</w:t>
                  </w:r>
                  <w:r>
                    <w:rPr>
                      <w:b/>
                      <w:sz w:val="24"/>
                    </w:rPr>
                    <w:t>（注：提供具有国家认可的检测机构出具的检测报告复印件，要求内容能体现满足上述参数要求）</w:t>
                  </w:r>
                </w:p>
                <w:p>
                  <w:pPr>
                    <w:jc w:val="left"/>
                  </w:pPr>
                  <w:r>
                    <w:rPr>
                      <w:sz w:val="24"/>
                    </w:rPr>
                    <w:t>（4）无PC状态下，Android系统内置互动白板支持十笔书写及手掌擦除，手掌擦除的面积根据手掌与屏幕的接触面大小自动调整，白板书写内容可以PDF、IWB和SVG格式导出。支持10种以上平面图形工具。支持8种以上立体图形工具。</w:t>
                  </w:r>
                </w:p>
                <w:p>
                  <w:pPr>
                    <w:jc w:val="left"/>
                  </w:pPr>
                  <w:r>
                    <w:rPr>
                      <w:sz w:val="24"/>
                    </w:rPr>
                    <w:t>（5）内置无线传屏接收端，无需外接接收部件，无线传屏发射器与整机匹配后即可实现传屏功能，可以将外部电脑的屏幕画面通过无线方式传输到整机上显示。</w:t>
                  </w:r>
                </w:p>
                <w:p>
                  <w:pPr>
                    <w:jc w:val="left"/>
                  </w:pPr>
                  <w:r>
                    <w:rPr>
                      <w:sz w:val="24"/>
                    </w:rPr>
                    <w:t>▲（6）整机支持搭配具有NFC功能的手机、平板，通过接触NFC标签，接触即可实现手机与大屏的连接并同步画面，无需其它操作设置，支持不少于4台手机、平板同时连接并显示。</w:t>
                  </w:r>
                  <w:r>
                    <w:rPr>
                      <w:b/>
                      <w:sz w:val="24"/>
                    </w:rPr>
                    <w:t>（注：提供具有国家认可的检测机构出具的检测报告复印件，要求内容能体现满足上述参数要求）</w:t>
                  </w:r>
                </w:p>
                <w:p>
                  <w:pPr>
                    <w:jc w:val="left"/>
                  </w:pPr>
                  <w:r>
                    <w:rPr>
                      <w:sz w:val="24"/>
                    </w:rPr>
                    <w:t>（7）整机支持蓝牙Bluetooth 5.2标准，固件版本号HCI11.2/LMP11.2。</w:t>
                  </w:r>
                  <w:r>
                    <w:rPr>
                      <w:b/>
                      <w:sz w:val="24"/>
                    </w:rPr>
                    <w:t>（注：提供国家级检测机构所出具的权威检测报告复印件并加盖厂家公章）</w:t>
                  </w:r>
                </w:p>
                <w:p>
                  <w:pPr>
                    <w:jc w:val="left"/>
                  </w:pPr>
                  <w:r>
                    <w:rPr>
                      <w:sz w:val="24"/>
                    </w:rPr>
                    <w:t>▲（8）整机Wi-Fi和AP热点工作距离≥12m；Wi-Fi制式支持802.11 a/b/g/n/ac/ax；支持Wi-Fi6版本。</w:t>
                  </w:r>
                  <w:r>
                    <w:rPr>
                      <w:b/>
                      <w:sz w:val="24"/>
                    </w:rPr>
                    <w:t>（注：提供具有国家认可的检测机构出具的检测报告复印件，要求内容能体现满足上述参数要求）</w:t>
                  </w:r>
                </w:p>
                <w:p>
                  <w:pPr>
                    <w:jc w:val="left"/>
                  </w:pPr>
                  <w:r>
                    <w:rPr>
                      <w:sz w:val="24"/>
                    </w:rPr>
                    <w:t>▲（9）整机内置非独立摄像头（非外扩），摄像头视场角≥135度，可拍摄≥1300万像素数的照片；同时可用于远程巡课，可AI识别人像，人像识别距离≥10米。</w:t>
                  </w:r>
                  <w:r>
                    <w:rPr>
                      <w:b/>
                      <w:sz w:val="24"/>
                    </w:rPr>
                    <w:t>（注：提供具有国家认可的检测机构出具的检测报告复印件，要求内容能体现满足上述参数要求）</w:t>
                  </w:r>
                </w:p>
                <w:p>
                  <w:pPr>
                    <w:jc w:val="left"/>
                  </w:pPr>
                  <w:r>
                    <w:rPr>
                      <w:sz w:val="24"/>
                    </w:rPr>
                    <w:t>（10）整机摄像头支持人脸识别、帮助教师快速点人数、随机抽人，可识别镜头前的所有学生，并显示人脸标记、随机抽选。支持同时显示标记不少于60人。</w:t>
                  </w:r>
                  <w:r>
                    <w:rPr>
                      <w:b/>
                      <w:sz w:val="24"/>
                    </w:rPr>
                    <w:t>（注：提供具有国家认可的检测机构出具的检测报告复印件，要求内容能体现满足上述参数要求）</w:t>
                  </w:r>
                </w:p>
                <w:p>
                  <w:pPr>
                    <w:jc w:val="left"/>
                  </w:pPr>
                  <w:r>
                    <w:rPr>
                      <w:sz w:val="24"/>
                    </w:rPr>
                    <w:t>（11）整机内置专业硬件自检维护工具（非第三方工具），支持对触摸框和PC模块进行检测，并针对不同模块给出问题代码提示。</w:t>
                  </w:r>
                </w:p>
                <w:p>
                  <w:pPr>
                    <w:jc w:val="left"/>
                  </w:pPr>
                  <w:r>
                    <w:rPr>
                      <w:sz w:val="24"/>
                    </w:rPr>
                    <w:t>（12）整机全通道侧边栏快捷菜单包含但不限于小工具有：批注、截屏、计时、降半屏、放大镜、日历。在Android通道和全部外接通道（HDMI、Type-C），还具备答题、倒数日、节拍器小工具。</w:t>
                  </w:r>
                </w:p>
                <w:p>
                  <w:pPr>
                    <w:jc w:val="left"/>
                  </w:pPr>
                  <w:r>
                    <w:rPr>
                      <w:sz w:val="24"/>
                    </w:rPr>
                    <w:t>（13）整机全通道侧边栏快捷菜单中可实时查看物联设备的连接情况，点击任意一台设备图标即可调出中控菜单进行管控。</w:t>
                  </w:r>
                </w:p>
                <w:p>
                  <w:pPr>
                    <w:jc w:val="left"/>
                  </w:pPr>
                  <w:r>
                    <w:rPr>
                      <w:sz w:val="24"/>
                    </w:rPr>
                    <w:t>（14）整机支持同一品牌智能笔，通过BLE、BT、等方式连接，当整机和智能笔均支持BLE功能时，支持指定区域内智能笔自动发现、自动连接，并支持读取智能笔型号，对应显示设备实物图片。</w:t>
                  </w:r>
                </w:p>
                <w:p>
                  <w:pPr>
                    <w:jc w:val="left"/>
                  </w:pPr>
                  <w:r>
                    <w:rPr>
                      <w:sz w:val="24"/>
                    </w:rPr>
                    <w:t>（15）整机支持同一品牌音箱音量的智能调节，当麦克风接入时，自动调整合适的音箱音量且带有麦克风电量智能提醒，当麦克风电量过低时，提供低电量反馈提示，支持麦克风自动判断同一房间内的整机和音箱，自动匹配连接。</w:t>
                  </w:r>
                </w:p>
                <w:p>
                  <w:pPr>
                    <w:jc w:val="left"/>
                  </w:pPr>
                  <w:r>
                    <w:rPr>
                      <w:sz w:val="24"/>
                    </w:rPr>
                    <w:t>五、内置电脑要求：</w:t>
                  </w:r>
                </w:p>
                <w:p>
                  <w:pPr>
                    <w:jc w:val="left"/>
                  </w:pPr>
                  <w:r>
                    <w:rPr>
                      <w:sz w:val="24"/>
                    </w:rPr>
                    <w:t>（1）PC模块支持不断电情况下热插拔，以便快速维护或替换模块；</w:t>
                  </w:r>
                </w:p>
                <w:p>
                  <w:pPr>
                    <w:jc w:val="left"/>
                  </w:pPr>
                  <w:r>
                    <w:rPr>
                      <w:sz w:val="24"/>
                    </w:rPr>
                    <w:t>（2）为传输速率满足教学使用需求，与整机的连接采用万兆级接口，传输速率≥10Gbps；</w:t>
                  </w:r>
                </w:p>
                <w:p>
                  <w:pPr>
                    <w:jc w:val="left"/>
                  </w:pPr>
                  <w:r>
                    <w:rPr>
                      <w:sz w:val="24"/>
                    </w:rPr>
                    <w:t>（3）内存：DDR4内存 8GB 或以上配置；</w:t>
                  </w:r>
                </w:p>
                <w:p>
                  <w:pPr>
                    <w:jc w:val="left"/>
                  </w:pPr>
                  <w:r>
                    <w:rPr>
                      <w:sz w:val="24"/>
                    </w:rPr>
                    <w:t>（4）硬盘：256 GB或以上SSD固态硬盘；</w:t>
                  </w:r>
                </w:p>
                <w:p>
                  <w:pPr>
                    <w:jc w:val="left"/>
                  </w:pPr>
                  <w:r>
                    <w:rPr>
                      <w:sz w:val="24"/>
                    </w:rPr>
                    <w:t>（5）电脑模块采用按压式卡扣，可快速拆卸，具有标准PC防盗锁孔；</w:t>
                  </w:r>
                </w:p>
                <w:p>
                  <w:pPr>
                    <w:jc w:val="left"/>
                  </w:pPr>
                  <w:r>
                    <w:rPr>
                      <w:sz w:val="24"/>
                    </w:rPr>
                    <w:t>▲（6）PC模块可抽拉式插入整机，采用按压式卡扣，可快速拆卸。整机的连接接口针脚数≤40pin。（提供模块接口照片并加盖厂家公章）</w:t>
                  </w:r>
                </w:p>
                <w:p>
                  <w:pPr>
                    <w:jc w:val="left"/>
                  </w:pPr>
                  <w:r>
                    <w:rPr>
                      <w:sz w:val="24"/>
                    </w:rPr>
                    <w:t>六、接口要求：</w:t>
                  </w:r>
                </w:p>
                <w:p>
                  <w:pPr>
                    <w:jc w:val="left"/>
                  </w:pPr>
                  <w:r>
                    <w:rPr>
                      <w:sz w:val="24"/>
                    </w:rPr>
                    <w:t>（1）整机侧置输入至少具备2路HDMI、1路RS232接口；侧置输出至少具备1路音频、1路触控USB接口；前置输入至少具备3路USB：包含1路Type-C、2路USB接口。</w:t>
                  </w:r>
                </w:p>
                <w:p>
                  <w:pPr>
                    <w:jc w:val="left"/>
                  </w:pPr>
                  <w:r>
                    <w:rPr>
                      <w:sz w:val="24"/>
                    </w:rPr>
                    <w:t>（2）整机具备前置Type-C接口，通过Type-C接口实现音视频输入，外接电脑设备经双头Type-C线连接至整机，可把外接电脑设备画面投到整机上，同时可在整机上操作画面，可实现触摸电脑的操作，无需再连接触控USB线。</w:t>
                  </w:r>
                </w:p>
                <w:p>
                  <w:pPr>
                    <w:jc w:val="left"/>
                  </w:pPr>
                  <w:r>
                    <w:rPr>
                      <w:sz w:val="24"/>
                    </w:rPr>
                    <w:t>（3）外接电脑设备连接整机且触摸信号连通时，外接电脑设备可直接读取整机前置USB接口的移动存储设备数据，连接整机前置USB接口的翻页笔和无线键鼠外接设备可直接使用于外接电脑。</w:t>
                  </w:r>
                </w:p>
                <w:p>
                  <w:pPr>
                    <w:jc w:val="left"/>
                  </w:pPr>
                  <w:r>
                    <w:rPr>
                      <w:sz w:val="24"/>
                    </w:rPr>
                    <w:t>（4）外接电脑设备通过双头Type-C数据线连接至整机，可调用整机内置的摄像头、麦克风、扬声器，可在外接电脑上控制整机拍摄教室画面。</w:t>
                  </w:r>
                </w:p>
                <w:p>
                  <w:pPr>
                    <w:jc w:val="left"/>
                  </w:pPr>
                  <w:r>
                    <w:rPr>
                      <w:sz w:val="24"/>
                    </w:rPr>
                    <w:t>七、智能笔要求：</w:t>
                  </w:r>
                </w:p>
                <w:p>
                  <w:pPr>
                    <w:jc w:val="left"/>
                  </w:pPr>
                  <w:r>
                    <w:rPr>
                      <w:sz w:val="24"/>
                    </w:rPr>
                    <w:t>（1）支持主动电容笔书写。</w:t>
                  </w:r>
                </w:p>
                <w:p>
                  <w:pPr>
                    <w:jc w:val="left"/>
                  </w:pPr>
                  <w:r>
                    <w:rPr>
                      <w:sz w:val="24"/>
                    </w:rPr>
                    <w:t>（2）笔身翻转矫正，笔身轻微倾斜时，水平移动智能笔，可瞬时矫正识别光标动作为水平移动。</w:t>
                  </w:r>
                </w:p>
                <w:p>
                  <w:pPr>
                    <w:jc w:val="left"/>
                  </w:pPr>
                  <w:r>
                    <w:rPr>
                      <w:sz w:val="24"/>
                    </w:rPr>
                    <w:t>（3）电容笔笔身配置不少于四个物理按键，具备翻页、模拟激光笔、智能语音控制功能，兼顾触摸书写以及远程操控的握持姿态，兼容白板软件、PPT、PDF等多种演示软件课件的远程翻页控制。</w:t>
                  </w:r>
                </w:p>
                <w:p>
                  <w:pPr>
                    <w:jc w:val="left"/>
                  </w:pPr>
                  <w:r>
                    <w:rPr>
                      <w:sz w:val="24"/>
                    </w:rPr>
                    <w:t>（4）电容笔内置高精度陀螺仪，具备模拟激光笔功能，可通过笔身按钮激活陀螺仪模拟激光功能，适用于加载防眩光设计的教学显示设备。</w:t>
                  </w:r>
                </w:p>
                <w:p>
                  <w:pPr>
                    <w:jc w:val="left"/>
                  </w:pPr>
                  <w:r>
                    <w:rPr>
                      <w:sz w:val="24"/>
                    </w:rPr>
                    <w:t>（5）电容笔支持按键唤醒语音识别，唤醒语音识别时，可直接通过语音打开PC内已安装的应用，可直接通过语音调用网络搜索引擎搜索查询相应资料，可进行语音转写输入，支持语音控制屏幕黑屏、亮屏，音量大小调整，返回桌面，截屏，关机等操作。</w:t>
                  </w:r>
                </w:p>
                <w:p>
                  <w:pPr>
                    <w:jc w:val="left"/>
                  </w:pPr>
                  <w:r>
                    <w:rPr>
                      <w:sz w:val="24"/>
                    </w:rPr>
                    <w:t>八、配套软件功能要求：</w:t>
                  </w:r>
                </w:p>
                <w:p>
                  <w:pPr>
                    <w:jc w:val="left"/>
                  </w:pPr>
                  <w:r>
                    <w:rPr>
                      <w:sz w:val="24"/>
                    </w:rPr>
                    <w:t>（1）教学白板软件</w:t>
                  </w:r>
                </w:p>
                <w:p>
                  <w:pPr>
                    <w:jc w:val="left"/>
                  </w:pPr>
                  <w:r>
                    <w:rPr>
                      <w:sz w:val="24"/>
                    </w:rPr>
                    <w:t>1）互动教学软件能够帮助教师备课、授课；根据每名教师使用时长与教学资料制作频率提供可扩展升级至不小于200G的个人云空间。</w:t>
                  </w:r>
                </w:p>
                <w:p>
                  <w:pPr>
                    <w:jc w:val="left"/>
                  </w:pPr>
                  <w:r>
                    <w:rPr>
                      <w:sz w:val="24"/>
                    </w:rPr>
                    <w:t>2）互动教学软件要求为使用方全体教师配备个人账号，形成一体的信息化教学账号体系；根据教师账号信息将教师云空间匹配至对应学校、学科校本资源库。支持通过数字账号、微信二维码、硬件密钥方式登录教师个人账号。</w:t>
                  </w:r>
                </w:p>
                <w:p>
                  <w:pPr>
                    <w:jc w:val="left"/>
                  </w:pPr>
                  <w:r>
                    <w:rPr>
                      <w:sz w:val="24"/>
                    </w:rPr>
                    <w:t>3）互动教学课件支持定向精准分享：分享者可将互动课件、课件组精准推送至指定接收方账号云空间，接收方可在云空间接收并打开分享课件。</w:t>
                  </w:r>
                </w:p>
                <w:p>
                  <w:pPr>
                    <w:jc w:val="left"/>
                  </w:pPr>
                  <w:r>
                    <w:rPr>
                      <w:sz w:val="24"/>
                    </w:rPr>
                    <w:t>4）▲互动教学课件支持开放式云分享：分享者可将互动课件、课件组以公开或加密的web链接和二维码形式进行分享，分享链接可设置访问有效期。</w:t>
                  </w:r>
                  <w:r>
                    <w:rPr>
                      <w:b/>
                      <w:sz w:val="24"/>
                    </w:rPr>
                    <w:t>（注：提供具有国家认可的检测机构出具的检测报告复印件，要求内容能体现满足上述参数要求）</w:t>
                  </w:r>
                </w:p>
                <w:p>
                  <w:pPr>
                    <w:jc w:val="left"/>
                  </w:pPr>
                  <w:r>
                    <w:rPr>
                      <w:sz w:val="24"/>
                    </w:rPr>
                    <w:t>5）互动教学软件要求表格具备遮罩功能，表格中任一单元格可添加遮罩掩盖单元格内容，授课模式点击即可取消遮罩，便于教师交互式教学；</w:t>
                  </w:r>
                </w:p>
                <w:p>
                  <w:pPr>
                    <w:jc w:val="left"/>
                  </w:pPr>
                  <w:r>
                    <w:rPr>
                      <w:sz w:val="24"/>
                    </w:rPr>
                    <w:t>6）互动教学软件具有立体几何工具：可自由绘制长方体、立方体、圆柱体、圆锥等立体几何图形。任意调节几何体的大小尺寸，支持几何图形按比例放大缩小和通过单独调整长宽高（半径/高）改变几何体大小。</w:t>
                  </w:r>
                </w:p>
                <w:p>
                  <w:pPr>
                    <w:jc w:val="left"/>
                  </w:pPr>
                  <w:r>
                    <w:rPr>
                      <w:sz w:val="24"/>
                    </w:rPr>
                    <w:t>7）互动教学软件支持中英文、数学公式的编辑输入，可快速输入方程组、脱式运算，提供不少于70个数学符号及模板；预置不少于40个常用数学公式，无需编辑一键插入，输入内容可用不同颜色标记及重复编辑。</w:t>
                  </w:r>
                </w:p>
                <w:p>
                  <w:pPr>
                    <w:jc w:val="left"/>
                  </w:pPr>
                  <w:r>
                    <w:rPr>
                      <w:sz w:val="24"/>
                    </w:rPr>
                    <w:t>8）互动教学软件要求支持为长方体、圆柱体、圆锥等几何体的各面、棱分别填涂颜色，并且可通过360°旋转观察涂色面与未涂色面；几何体支持平面展开，预置长方体、立方体“141、132、222、33”型展开方式，展开后可对涂色面进行查看，有助于学生的空间想象。</w:t>
                  </w:r>
                </w:p>
                <w:p>
                  <w:pPr>
                    <w:jc w:val="left"/>
                  </w:pPr>
                  <w:r>
                    <w:rPr>
                      <w:sz w:val="24"/>
                    </w:rPr>
                    <w:t>9）互动教学软件需要提供覆盖初中、高中的古诗词、古文教学资源：包含原文、翻译、背景介绍、作者介绍、朗诵音频。内嵌诗词百科链接，一键跳转展示诗词及作者详细背景介绍；全部古诗词资源按照年级学段、朝代、诗人进行精细分类，教师仅需点击分类关键词即可快速跳转至对应诗词资源，备课时可对原文进行注释、标重点等操作；提供原文朗读音频，全部诗词、古文均配备专业朗读配音，朗读音频支持关键帧打点标记。</w:t>
                  </w:r>
                </w:p>
                <w:p>
                  <w:pPr>
                    <w:jc w:val="left"/>
                  </w:pPr>
                  <w:r>
                    <w:rPr>
                      <w:sz w:val="24"/>
                    </w:rPr>
                    <w:t>10）多学科课件库：提供涵盖小学语文、数学、英语全部教学章节的不少于80000份的交互式课件。课件支持直接预览并下载，预览时支持拖动课堂活动、形状、几何、文本等元素；下载时课件可同步至教师个人云课件存储空间；课件支持教师在线评分。</w:t>
                  </w:r>
                </w:p>
                <w:p>
                  <w:pPr>
                    <w:jc w:val="left"/>
                  </w:pPr>
                  <w:r>
                    <w:rPr>
                      <w:sz w:val="24"/>
                    </w:rPr>
                    <w:t>（2）集控管理软件</w:t>
                  </w:r>
                </w:p>
                <w:p>
                  <w:pPr>
                    <w:jc w:val="left"/>
                  </w:pPr>
                  <w:r>
                    <w:rPr>
                      <w:sz w:val="24"/>
                    </w:rPr>
                    <w:t>1）系统采用B/S混合云架构设计，支持在Windows、Linux、Android、IOS等多种操作系统通过网页浏览器登录使用。</w:t>
                  </w:r>
                </w:p>
                <w:p>
                  <w:pPr>
                    <w:jc w:val="left"/>
                  </w:pPr>
                  <w:r>
                    <w:rPr>
                      <w:sz w:val="24"/>
                    </w:rPr>
                    <w:t>2）系统提供多种身份识别方式，支持通过账号登录、手机扫码登录，并提供账号安全登录检测。</w:t>
                  </w:r>
                </w:p>
                <w:p>
                  <w:pPr>
                    <w:jc w:val="left"/>
                  </w:pPr>
                  <w:r>
                    <w:rPr>
                      <w:sz w:val="24"/>
                    </w:rPr>
                    <w:t>3）精准管理：支持根据实际使用场景按照产品类型、建筑物、班级、设备开关机状态分级管理，并可模糊搜索定位管理设备。</w:t>
                  </w:r>
                </w:p>
                <w:p>
                  <w:pPr>
                    <w:jc w:val="left"/>
                  </w:pPr>
                  <w:r>
                    <w:rPr>
                      <w:sz w:val="24"/>
                    </w:rPr>
                    <w:t>4）权限管理：支持根据具体设备、功能菜单进行权限划分，方便根据管理者职能分配管理权限。</w:t>
                  </w:r>
                </w:p>
                <w:p>
                  <w:pPr>
                    <w:jc w:val="left"/>
                  </w:pPr>
                  <w:r>
                    <w:rPr>
                      <w:sz w:val="24"/>
                    </w:rPr>
                    <w:t>5）实时反馈：支持实时查看指令执行状态，并且可监管指令发送日志，对发送失败的指令进行远程重发。</w:t>
                  </w:r>
                </w:p>
                <w:p>
                  <w:pPr>
                    <w:jc w:val="left"/>
                  </w:pPr>
                  <w:r>
                    <w:rPr>
                      <w:sz w:val="24"/>
                    </w:rPr>
                    <w:t>6）批量部署：支持同网段下，只需部署一台设备，即可将同网段下所有设备纳入管控，方便管理者直接向全校设备进行批量管理。</w:t>
                  </w:r>
                </w:p>
                <w:p>
                  <w:pPr>
                    <w:jc w:val="left"/>
                  </w:pPr>
                  <w:r>
                    <w:rPr>
                      <w:sz w:val="24"/>
                    </w:rPr>
                    <w:t>7）支持实时展示所有设备的使用状态及设备运行画面，并可监控单台设备的开机情况、软件使用情况、硬盘使用、内存使用率、设备辅助管理软件版本号、设备ID等数据，便于远程定位及维护设备。</w:t>
                  </w:r>
                </w:p>
                <w:p>
                  <w:pPr>
                    <w:jc w:val="left"/>
                  </w:pPr>
                  <w:r>
                    <w:rPr>
                      <w:sz w:val="24"/>
                    </w:rPr>
                    <w:t>8）基础指令：支持自定义循环周期，执行远程关机、重启、打铃指令；支持远程切换通道、声音模式、图像模式。</w:t>
                  </w:r>
                </w:p>
                <w:p>
                  <w:pPr>
                    <w:jc w:val="left"/>
                  </w:pPr>
                  <w:r>
                    <w:rPr>
                      <w:sz w:val="24"/>
                    </w:rPr>
                    <w:t>9）智慧管控：支持长时间无人使用，自动锁屏/屏保/关机。</w:t>
                  </w:r>
                </w:p>
                <w:p>
                  <w:pPr>
                    <w:jc w:val="left"/>
                  </w:pPr>
                  <w:r>
                    <w:rPr>
                      <w:sz w:val="24"/>
                    </w:rPr>
                    <w:t>10）信息发布：支持远程发送消息通知、文件传输、静默安装软件、倒计时。</w:t>
                  </w:r>
                </w:p>
                <w:p>
                  <w:pPr>
                    <w:jc w:val="left"/>
                  </w:pPr>
                  <w:r>
                    <w:rPr>
                      <w:sz w:val="24"/>
                    </w:rPr>
                    <w:t>11）远程控制：支持远程实时控制设备，可监测设备当前运行界面，并远程操作设备界面，适用于远程维护和修复设备软件问题。</w:t>
                  </w:r>
                </w:p>
                <w:p>
                  <w:pPr>
                    <w:jc w:val="left"/>
                  </w:pPr>
                  <w:r>
                    <w:rPr>
                      <w:sz w:val="24"/>
                    </w:rPr>
                    <w:t>12）冰点还原：支持远程查看所有设备的冰点使用状态，并可针对开机状态下的设备批量修改系统还原点。</w:t>
                  </w:r>
                </w:p>
                <w:p>
                  <w:pPr>
                    <w:jc w:val="left"/>
                  </w:pPr>
                  <w:r>
                    <w:rPr>
                      <w:sz w:val="24"/>
                    </w:rPr>
                    <w:t>13）弹窗拦截：支持后台远程一键开启/关闭弹窗拦截功能，并可针对不良弹窗设置黑白名单，更加精确的拦截。</w:t>
                  </w:r>
                </w:p>
                <w:p>
                  <w:pPr>
                    <w:jc w:val="left"/>
                  </w:pPr>
                  <w:r>
                    <w:rPr>
                      <w:sz w:val="24"/>
                    </w:rPr>
                    <w:t>14）异常消息：支持自动发现设备运行过程中的异常问题，并可远程推送至移动端，便于管理者处理异常。</w:t>
                  </w:r>
                </w:p>
                <w:p>
                  <w:pPr>
                    <w:jc w:val="left"/>
                  </w:pPr>
                  <w:r>
                    <w:rPr>
                      <w:sz w:val="24"/>
                    </w:rPr>
                    <w:t>15）数据分析：支持查看并导出设备使用数据、软件活跃数据、教学应用数据、健康度分析数据.</w:t>
                  </w:r>
                </w:p>
              </w:tc>
            </w:tr>
          </w:tbl>
          <w:p>
            <w:pPr>
              <w:jc w:val="left"/>
            </w:pPr>
          </w:p>
          <w:p>
            <w:pPr>
              <w:jc w:val="left"/>
            </w:pPr>
            <w:r>
              <w:rPr>
                <w:b/>
                <w:sz w:val="24"/>
              </w:rPr>
              <w:t>附表二、86寸一体机技术要求：</w:t>
            </w:r>
          </w:p>
          <w:tbl>
            <w:tblPr>
              <w:tblBorders>
                <w:top w:val="none" w:color="000000" w:sz="4"/>
                <w:left w:val="none" w:color="000000" w:sz="4"/>
                <w:bottom w:val="none" w:color="000000" w:sz="4"/>
                <w:right w:val="none" w:color="000000" w:sz="4"/>
                <w:insideH w:val="none"/>
                <w:insideV w:val="none"/>
              </w:tblBorders>
            </w:tblPr>
            <w:tblGrid>
              <w:gridCol w:w="826"/>
              <w:gridCol w:w="4772"/>
            </w:tblGrid>
            <w:tr>
              <w:tc>
                <w:tcPr>
                  <w:tcW w:type="dxa" w:w="826"/>
                  <w:tcBorders>
                    <w:top w:val="single" w:color="000000" w:sz="4"/>
                    <w:left w:val="single" w:color="000000" w:sz="4"/>
                    <w:bottom w:val="single" w:color="000000" w:sz="4"/>
                    <w:right w:val="single" w:color="000000" w:sz="4"/>
                  </w:tcBorders>
                  <w:shd w:fill="FFFFFF"/>
                  <w:vAlign w:val="top"/>
                </w:tcPr>
                <w:p>
                  <w:pPr>
                    <w:jc w:val="center"/>
                  </w:pPr>
                  <w:r>
                    <w:rPr>
                      <w:b/>
                      <w:sz w:val="24"/>
                    </w:rPr>
                    <w:t>指标项</w:t>
                  </w:r>
                </w:p>
              </w:tc>
              <w:tc>
                <w:tcPr>
                  <w:tcW w:type="dxa" w:w="4772"/>
                  <w:tcBorders>
                    <w:top w:val="single" w:color="000000" w:sz="4"/>
                    <w:left w:val="single" w:color="000000" w:sz="4"/>
                    <w:bottom w:val="single" w:color="000000" w:sz="4"/>
                    <w:right w:val="single" w:color="000000" w:sz="4"/>
                  </w:tcBorders>
                  <w:shd w:fill="FFFFFF"/>
                  <w:vAlign w:val="top"/>
                </w:tcPr>
                <w:p>
                  <w:pPr>
                    <w:jc w:val="center"/>
                  </w:pPr>
                  <w:r>
                    <w:rPr>
                      <w:b/>
                      <w:sz w:val="24"/>
                    </w:rPr>
                    <w:t>参数要求</w:t>
                  </w:r>
                </w:p>
              </w:tc>
            </w:tr>
            <w:tr>
              <w:tc>
                <w:tcPr>
                  <w:tcW w:type="dxa" w:w="826"/>
                  <w:vMerge w:val="restart"/>
                  <w:tcBorders>
                    <w:top w:val="none" w:color="000000" w:sz="4"/>
                    <w:left w:val="single" w:color="000000" w:sz="4"/>
                    <w:bottom w:val="single" w:color="000000" w:sz="4"/>
                    <w:right w:val="single" w:color="000000" w:sz="4"/>
                  </w:tcBorders>
                  <w:vAlign w:val="top"/>
                </w:tcPr>
                <w:p>
                  <w:pPr>
                    <w:jc w:val="both"/>
                  </w:pPr>
                  <w:r>
                    <w:rPr>
                      <w:sz w:val="24"/>
                    </w:rPr>
                    <w:t>硬件规格</w:t>
                  </w:r>
                </w:p>
              </w:tc>
              <w:tc>
                <w:tcPr>
                  <w:tcW w:type="dxa" w:w="4772"/>
                  <w:tcBorders>
                    <w:top w:val="none" w:color="000000" w:sz="4"/>
                    <w:left w:val="single" w:color="000000" w:sz="4"/>
                    <w:bottom w:val="single" w:color="000000" w:sz="4"/>
                    <w:right w:val="single" w:color="000000" w:sz="4"/>
                  </w:tcBorders>
                  <w:vAlign w:val="top"/>
                </w:tcPr>
                <w:p>
                  <w:r>
                    <w:rPr>
                      <w:sz w:val="24"/>
                    </w:rPr>
                    <w:t>1、显示尺寸：≥86英寸；显示比例16:9，可视角度≥178°，具备防眩光效果；贴合技术：0贴合。</w:t>
                  </w:r>
                </w:p>
              </w:tc>
            </w:tr>
            <w:tr>
              <w:tc>
                <w:tcPr>
                  <w:tcW w:type="dxa" w:w="826"/>
                  <w:vMerge/>
                  <w:tcBorders>
                    <w:top w:val="none" w:color="000000" w:sz="4"/>
                    <w:left w:val="single" w:color="000000" w:sz="4"/>
                    <w:bottom w:val="single" w:color="000000" w:sz="4"/>
                    <w:right w:val="single" w:color="000000" w:sz="4"/>
                  </w:tcBorders>
                </w:tcPr>
                <w:p/>
              </w:tc>
              <w:tc>
                <w:tcPr>
                  <w:tcW w:type="dxa" w:w="4772"/>
                  <w:tcBorders>
                    <w:top w:val="none" w:color="000000" w:sz="4"/>
                    <w:left w:val="single" w:color="000000" w:sz="4"/>
                    <w:bottom w:val="single" w:color="000000" w:sz="4"/>
                    <w:right w:val="single" w:color="000000" w:sz="4"/>
                  </w:tcBorders>
                  <w:vAlign w:val="top"/>
                </w:tcPr>
                <w:p>
                  <w:r>
                    <w:rPr>
                      <w:sz w:val="24"/>
                    </w:rPr>
                    <w:t>2、▲触控技术：支持Windows系统中最大20点触控，Android系统中最大16点触控。</w:t>
                  </w:r>
                </w:p>
                <w:p>
                  <w:r>
                    <w:rPr>
                      <w:b/>
                      <w:sz w:val="24"/>
                    </w:rPr>
                    <w:t>注：提供具有国家认可的检测机构出具的检测报告复印件。</w:t>
                  </w:r>
                </w:p>
              </w:tc>
            </w:tr>
            <w:tr>
              <w:tc>
                <w:tcPr>
                  <w:tcW w:type="dxa" w:w="826"/>
                  <w:vMerge/>
                  <w:tcBorders>
                    <w:top w:val="none" w:color="000000" w:sz="4"/>
                    <w:left w:val="single" w:color="000000" w:sz="4"/>
                    <w:bottom w:val="single" w:color="000000" w:sz="4"/>
                    <w:right w:val="single" w:color="000000" w:sz="4"/>
                  </w:tcBorders>
                </w:tcPr>
                <w:p/>
              </w:tc>
              <w:tc>
                <w:tcPr>
                  <w:tcW w:type="dxa" w:w="4772"/>
                  <w:tcBorders>
                    <w:top w:val="none" w:color="000000" w:sz="4"/>
                    <w:left w:val="single" w:color="000000" w:sz="4"/>
                    <w:bottom w:val="single" w:color="000000" w:sz="4"/>
                    <w:right w:val="single" w:color="000000" w:sz="4"/>
                  </w:tcBorders>
                  <w:vAlign w:val="top"/>
                </w:tcPr>
                <w:p>
                  <w:r>
                    <w:rPr>
                      <w:sz w:val="24"/>
                    </w:rPr>
                    <w:t>3、屏幕分辨率：≥3840×2160。</w:t>
                  </w:r>
                </w:p>
              </w:tc>
            </w:tr>
            <w:tr>
              <w:tc>
                <w:tcPr>
                  <w:tcW w:type="dxa" w:w="826"/>
                  <w:vMerge/>
                  <w:tcBorders>
                    <w:top w:val="none" w:color="000000" w:sz="4"/>
                    <w:left w:val="single" w:color="000000" w:sz="4"/>
                    <w:bottom w:val="single" w:color="000000" w:sz="4"/>
                    <w:right w:val="single" w:color="000000" w:sz="4"/>
                  </w:tcBorders>
                </w:tcPr>
                <w:p/>
              </w:tc>
              <w:tc>
                <w:tcPr>
                  <w:tcW w:type="dxa" w:w="4772"/>
                  <w:tcBorders>
                    <w:top w:val="none" w:color="000000" w:sz="4"/>
                    <w:left w:val="single" w:color="000000" w:sz="4"/>
                    <w:bottom w:val="single" w:color="000000" w:sz="4"/>
                    <w:right w:val="single" w:color="000000" w:sz="4"/>
                  </w:tcBorders>
                  <w:vAlign w:val="top"/>
                </w:tcPr>
                <w:p>
                  <w:r>
                    <w:rPr>
                      <w:sz w:val="24"/>
                    </w:rPr>
                    <w:t>4、屏幕对比度≥1200：1，亮度≥350cd/m²，颜色深度10bit，显示灰度等级1024。</w:t>
                  </w:r>
                </w:p>
              </w:tc>
            </w:tr>
            <w:tr>
              <w:tc>
                <w:tcPr>
                  <w:tcW w:type="dxa" w:w="826"/>
                  <w:vMerge/>
                  <w:tcBorders>
                    <w:top w:val="none" w:color="000000" w:sz="4"/>
                    <w:left w:val="single" w:color="000000" w:sz="4"/>
                    <w:bottom w:val="single" w:color="000000" w:sz="4"/>
                    <w:right w:val="single" w:color="000000" w:sz="4"/>
                  </w:tcBorders>
                </w:tcPr>
                <w:p/>
              </w:tc>
              <w:tc>
                <w:tcPr>
                  <w:tcW w:type="dxa" w:w="4772"/>
                  <w:tcBorders>
                    <w:top w:val="none" w:color="000000" w:sz="4"/>
                    <w:left w:val="single" w:color="000000" w:sz="4"/>
                    <w:bottom w:val="single" w:color="000000" w:sz="4"/>
                    <w:right w:val="single" w:color="000000" w:sz="4"/>
                  </w:tcBorders>
                  <w:vAlign w:val="top"/>
                </w:tcPr>
                <w:p>
                  <w:r>
                    <w:rPr>
                      <w:sz w:val="24"/>
                    </w:rPr>
                    <w:t>5、整机后置接口HDMI in≥2组，RS232≥1组，USB≥1组，Touch USB≥1组，Audio in≥1组，Audio out≥1组</w:t>
                  </w:r>
                </w:p>
              </w:tc>
            </w:tr>
            <w:tr>
              <w:tc>
                <w:tcPr>
                  <w:tcW w:type="dxa" w:w="826"/>
                  <w:vMerge w:val="restart"/>
                  <w:tcBorders>
                    <w:top w:val="none" w:color="000000" w:sz="4"/>
                    <w:left w:val="single" w:color="000000" w:sz="4"/>
                    <w:bottom w:val="single" w:color="000000" w:sz="4"/>
                    <w:right w:val="single" w:color="000000" w:sz="4"/>
                  </w:tcBorders>
                  <w:vAlign w:val="top"/>
                </w:tcPr>
                <w:p>
                  <w:pPr>
                    <w:jc w:val="both"/>
                  </w:pPr>
                  <w:r>
                    <w:rPr>
                      <w:sz w:val="24"/>
                    </w:rPr>
                    <w:t>基本功能</w:t>
                  </w:r>
                </w:p>
              </w:tc>
              <w:tc>
                <w:tcPr>
                  <w:tcW w:type="dxa" w:w="4772"/>
                  <w:tcBorders>
                    <w:top w:val="none" w:color="000000" w:sz="4"/>
                    <w:left w:val="single" w:color="000000" w:sz="4"/>
                    <w:bottom w:val="single" w:color="000000" w:sz="4"/>
                    <w:right w:val="single" w:color="000000" w:sz="4"/>
                  </w:tcBorders>
                  <w:vAlign w:val="top"/>
                </w:tcPr>
                <w:p>
                  <w:r>
                    <w:rPr>
                      <w:sz w:val="24"/>
                    </w:rPr>
                    <w:t>1、▲在Windows系统4K分辨率下，通过书写加速技术，使用教学软件书写延迟时间≤50ms，并提供CNAS、CMA认证机构提供的检测报告。</w:t>
                  </w:r>
                </w:p>
              </w:tc>
            </w:tr>
            <w:tr>
              <w:tc>
                <w:tcPr>
                  <w:tcW w:type="dxa" w:w="826"/>
                  <w:vMerge/>
                  <w:tcBorders>
                    <w:top w:val="none" w:color="000000" w:sz="4"/>
                    <w:left w:val="single" w:color="000000" w:sz="4"/>
                    <w:bottom w:val="single" w:color="000000" w:sz="4"/>
                    <w:right w:val="single" w:color="000000" w:sz="4"/>
                  </w:tcBorders>
                </w:tcPr>
                <w:p/>
              </w:tc>
              <w:tc>
                <w:tcPr>
                  <w:tcW w:type="dxa" w:w="4772"/>
                  <w:tcBorders>
                    <w:top w:val="none" w:color="000000" w:sz="4"/>
                    <w:left w:val="single" w:color="000000" w:sz="4"/>
                    <w:bottom w:val="single" w:color="000000" w:sz="4"/>
                    <w:right w:val="single" w:color="000000" w:sz="4"/>
                  </w:tcBorders>
                  <w:vAlign w:val="top"/>
                </w:tcPr>
                <w:p>
                  <w:r>
                    <w:rPr>
                      <w:sz w:val="24"/>
                    </w:rPr>
                    <w:t>2、▲屏幕显示画面可通过手势交互实现任意大小缩放，且缩放画面支持拖动至任意位置，在缩放画面内可进行触控操作，并提供CNAS、CMA认证机构提供的检测报告。</w:t>
                  </w:r>
                </w:p>
              </w:tc>
            </w:tr>
            <w:tr>
              <w:tc>
                <w:tcPr>
                  <w:tcW w:type="dxa" w:w="826"/>
                  <w:vMerge/>
                  <w:tcBorders>
                    <w:top w:val="none" w:color="000000" w:sz="4"/>
                    <w:left w:val="single" w:color="000000" w:sz="4"/>
                    <w:bottom w:val="single" w:color="000000" w:sz="4"/>
                    <w:right w:val="single" w:color="000000" w:sz="4"/>
                  </w:tcBorders>
                </w:tcPr>
                <w:p/>
              </w:tc>
              <w:tc>
                <w:tcPr>
                  <w:tcW w:type="dxa" w:w="4772"/>
                  <w:tcBorders>
                    <w:top w:val="none" w:color="000000" w:sz="4"/>
                    <w:left w:val="single" w:color="000000" w:sz="4"/>
                    <w:bottom w:val="single" w:color="000000" w:sz="4"/>
                    <w:right w:val="single" w:color="000000" w:sz="4"/>
                  </w:tcBorders>
                  <w:vAlign w:val="top"/>
                </w:tcPr>
                <w:p>
                  <w:r>
                    <w:rPr>
                      <w:sz w:val="24"/>
                    </w:rPr>
                    <w:t>3、主屏机身与插拔式电脑的接口为行业标准的80pin OPS-C接口，不接受企业私有接口。</w:t>
                  </w:r>
                </w:p>
              </w:tc>
            </w:tr>
            <w:tr>
              <w:tc>
                <w:tcPr>
                  <w:tcW w:type="dxa" w:w="826"/>
                  <w:vMerge/>
                  <w:tcBorders>
                    <w:top w:val="none" w:color="000000" w:sz="4"/>
                    <w:left w:val="single" w:color="000000" w:sz="4"/>
                    <w:bottom w:val="single" w:color="000000" w:sz="4"/>
                    <w:right w:val="single" w:color="000000" w:sz="4"/>
                  </w:tcBorders>
                </w:tcPr>
                <w:p/>
              </w:tc>
              <w:tc>
                <w:tcPr>
                  <w:tcW w:type="dxa" w:w="4772"/>
                  <w:tcBorders>
                    <w:top w:val="none" w:color="000000" w:sz="4"/>
                    <w:left w:val="single" w:color="000000" w:sz="4"/>
                    <w:bottom w:val="single" w:color="000000" w:sz="4"/>
                    <w:right w:val="single" w:color="000000" w:sz="4"/>
                  </w:tcBorders>
                  <w:vAlign w:val="top"/>
                </w:tcPr>
                <w:p>
                  <w:r>
                    <w:rPr>
                      <w:sz w:val="24"/>
                    </w:rPr>
                    <w:t>4、前置物理按键可唤起设置菜单。</w:t>
                  </w:r>
                </w:p>
              </w:tc>
            </w:tr>
            <w:tr>
              <w:tc>
                <w:tcPr>
                  <w:tcW w:type="dxa" w:w="826"/>
                  <w:vMerge/>
                  <w:tcBorders>
                    <w:top w:val="none" w:color="000000" w:sz="4"/>
                    <w:left w:val="single" w:color="000000" w:sz="4"/>
                    <w:bottom w:val="single" w:color="000000" w:sz="4"/>
                    <w:right w:val="single" w:color="000000" w:sz="4"/>
                  </w:tcBorders>
                </w:tcPr>
                <w:p/>
              </w:tc>
              <w:tc>
                <w:tcPr>
                  <w:tcW w:type="dxa" w:w="4772"/>
                  <w:tcBorders>
                    <w:top w:val="none" w:color="000000" w:sz="4"/>
                    <w:left w:val="single" w:color="000000" w:sz="4"/>
                    <w:bottom w:val="single" w:color="000000" w:sz="4"/>
                    <w:right w:val="single" w:color="000000" w:sz="4"/>
                  </w:tcBorders>
                  <w:vAlign w:val="top"/>
                </w:tcPr>
                <w:p>
                  <w:r>
                    <w:rPr>
                      <w:sz w:val="24"/>
                    </w:rPr>
                    <w:t>5、支持从课件、白板、实物展台中直接拾取汉字，即可展示汉字的读音、笔顺、部首、笔画。</w:t>
                  </w:r>
                </w:p>
              </w:tc>
            </w:tr>
            <w:tr>
              <w:tc>
                <w:tcPr>
                  <w:tcW w:type="dxa" w:w="826"/>
                  <w:vMerge/>
                  <w:tcBorders>
                    <w:top w:val="none" w:color="000000" w:sz="4"/>
                    <w:left w:val="single" w:color="000000" w:sz="4"/>
                    <w:bottom w:val="single" w:color="000000" w:sz="4"/>
                    <w:right w:val="single" w:color="000000" w:sz="4"/>
                  </w:tcBorders>
                </w:tcPr>
                <w:p/>
              </w:tc>
              <w:tc>
                <w:tcPr>
                  <w:tcW w:type="dxa" w:w="4772"/>
                  <w:tcBorders>
                    <w:top w:val="none" w:color="000000" w:sz="4"/>
                    <w:left w:val="single" w:color="000000" w:sz="4"/>
                    <w:bottom w:val="single" w:color="000000" w:sz="4"/>
                    <w:right w:val="single" w:color="000000" w:sz="4"/>
                  </w:tcBorders>
                  <w:vAlign w:val="top"/>
                </w:tcPr>
                <w:p>
                  <w:r>
                    <w:rPr>
                      <w:sz w:val="24"/>
                    </w:rPr>
                    <w:t>6、整机前面板具有手写笔磁吸区域，具备双通道USB接口≥3组，type-C接口≥1组，需同时支持Windows与Android。</w:t>
                  </w:r>
                </w:p>
              </w:tc>
            </w:tr>
            <w:tr>
              <w:tc>
                <w:tcPr>
                  <w:tcW w:type="dxa" w:w="826"/>
                  <w:vMerge/>
                  <w:tcBorders>
                    <w:top w:val="none" w:color="000000" w:sz="4"/>
                    <w:left w:val="single" w:color="000000" w:sz="4"/>
                    <w:bottom w:val="single" w:color="000000" w:sz="4"/>
                    <w:right w:val="single" w:color="000000" w:sz="4"/>
                  </w:tcBorders>
                </w:tcPr>
                <w:p/>
              </w:tc>
              <w:tc>
                <w:tcPr>
                  <w:tcW w:type="dxa" w:w="4772"/>
                  <w:tcBorders>
                    <w:top w:val="none" w:color="000000" w:sz="4"/>
                    <w:left w:val="single" w:color="000000" w:sz="4"/>
                    <w:bottom w:val="single" w:color="000000" w:sz="4"/>
                    <w:right w:val="single" w:color="000000" w:sz="4"/>
                  </w:tcBorders>
                  <w:vAlign w:val="top"/>
                </w:tcPr>
                <w:p>
                  <w:r>
                    <w:rPr>
                      <w:sz w:val="24"/>
                    </w:rPr>
                    <w:t>7、支持从课件或实物展台中直接拾取内容后进行百度搜索，无需单独打开浏览器做输入后搜索。</w:t>
                  </w:r>
                </w:p>
              </w:tc>
            </w:tr>
            <w:tr>
              <w:tc>
                <w:tcPr>
                  <w:tcW w:type="dxa" w:w="826"/>
                  <w:vMerge/>
                  <w:tcBorders>
                    <w:top w:val="none" w:color="000000" w:sz="4"/>
                    <w:left w:val="single" w:color="000000" w:sz="4"/>
                    <w:bottom w:val="single" w:color="000000" w:sz="4"/>
                    <w:right w:val="single" w:color="000000" w:sz="4"/>
                  </w:tcBorders>
                </w:tcPr>
                <w:p/>
              </w:tc>
              <w:tc>
                <w:tcPr>
                  <w:tcW w:type="dxa" w:w="4772"/>
                  <w:tcBorders>
                    <w:top w:val="none" w:color="000000" w:sz="4"/>
                    <w:left w:val="single" w:color="000000" w:sz="4"/>
                    <w:bottom w:val="single" w:color="000000" w:sz="4"/>
                    <w:right w:val="single" w:color="000000" w:sz="4"/>
                  </w:tcBorders>
                  <w:vAlign w:val="top"/>
                </w:tcPr>
                <w:p>
                  <w:r>
                    <w:rPr>
                      <w:sz w:val="24"/>
                    </w:rPr>
                    <w:t>8、屏支持2.4G/5G双频wifi，支持802.11ac，并且支持释放热点。</w:t>
                  </w:r>
                </w:p>
              </w:tc>
            </w:tr>
            <w:tr>
              <w:tc>
                <w:tcPr>
                  <w:tcW w:type="dxa" w:w="826"/>
                  <w:vMerge/>
                  <w:tcBorders>
                    <w:top w:val="none" w:color="000000" w:sz="4"/>
                    <w:left w:val="single" w:color="000000" w:sz="4"/>
                    <w:bottom w:val="single" w:color="000000" w:sz="4"/>
                    <w:right w:val="single" w:color="000000" w:sz="4"/>
                  </w:tcBorders>
                </w:tcPr>
                <w:p/>
              </w:tc>
              <w:tc>
                <w:tcPr>
                  <w:tcW w:type="dxa" w:w="4772"/>
                  <w:tcBorders>
                    <w:top w:val="none" w:color="000000" w:sz="4"/>
                    <w:left w:val="single" w:color="000000" w:sz="4"/>
                    <w:bottom w:val="single" w:color="000000" w:sz="4"/>
                    <w:right w:val="single" w:color="000000" w:sz="4"/>
                  </w:tcBorders>
                  <w:vAlign w:val="top"/>
                </w:tcPr>
                <w:p>
                  <w:r>
                    <w:rPr>
                      <w:sz w:val="24"/>
                    </w:rPr>
                    <w:t>9、触摸中控菜单上信号源名称支持自定义，支持中、英、数字、标点符号自定义。</w:t>
                  </w:r>
                </w:p>
              </w:tc>
            </w:tr>
            <w:tr>
              <w:tc>
                <w:tcPr>
                  <w:tcW w:type="dxa" w:w="826"/>
                  <w:vMerge/>
                  <w:tcBorders>
                    <w:top w:val="none" w:color="000000" w:sz="4"/>
                    <w:left w:val="single" w:color="000000" w:sz="4"/>
                    <w:bottom w:val="single" w:color="000000" w:sz="4"/>
                    <w:right w:val="single" w:color="000000" w:sz="4"/>
                  </w:tcBorders>
                </w:tcPr>
                <w:p/>
              </w:tc>
              <w:tc>
                <w:tcPr>
                  <w:tcW w:type="dxa" w:w="4772"/>
                  <w:tcBorders>
                    <w:top w:val="none" w:color="000000" w:sz="4"/>
                    <w:left w:val="single" w:color="000000" w:sz="4"/>
                    <w:bottom w:val="single" w:color="000000" w:sz="4"/>
                    <w:right w:val="single" w:color="000000" w:sz="4"/>
                  </w:tcBorders>
                  <w:vAlign w:val="top"/>
                </w:tcPr>
                <w:p>
                  <w:r>
                    <w:rPr>
                      <w:sz w:val="24"/>
                    </w:rPr>
                    <w:t>10、支持在课件、白板、实物展台中，在笔模式下直接绘制生成规整的几何图形（需要支持常用的几何图形，如直线、三角形、圆形、矩形、梯形及多边形），无需在工具栏中寻找选择几何图形。</w:t>
                  </w:r>
                </w:p>
              </w:tc>
            </w:tr>
            <w:tr>
              <w:tc>
                <w:tcPr>
                  <w:tcW w:type="dxa" w:w="826"/>
                  <w:vMerge/>
                  <w:tcBorders>
                    <w:top w:val="none" w:color="000000" w:sz="4"/>
                    <w:left w:val="single" w:color="000000" w:sz="4"/>
                    <w:bottom w:val="single" w:color="000000" w:sz="4"/>
                    <w:right w:val="single" w:color="000000" w:sz="4"/>
                  </w:tcBorders>
                </w:tcPr>
                <w:p/>
              </w:tc>
              <w:tc>
                <w:tcPr>
                  <w:tcW w:type="dxa" w:w="4772"/>
                  <w:tcBorders>
                    <w:top w:val="none" w:color="000000" w:sz="4"/>
                    <w:left w:val="single" w:color="000000" w:sz="4"/>
                    <w:bottom w:val="single" w:color="000000" w:sz="4"/>
                    <w:right w:val="single" w:color="000000" w:sz="4"/>
                  </w:tcBorders>
                  <w:vAlign w:val="top"/>
                </w:tcPr>
                <w:p>
                  <w:r>
                    <w:rPr>
                      <w:sz w:val="24"/>
                    </w:rPr>
                    <w:t>11、侧边栏应用：在Android、PC或其他通道下快捷调取白板、批注、截屏、设置等功能。</w:t>
                  </w:r>
                </w:p>
              </w:tc>
            </w:tr>
            <w:tr>
              <w:tc>
                <w:tcPr>
                  <w:tcW w:type="dxa" w:w="826"/>
                  <w:vMerge/>
                  <w:tcBorders>
                    <w:top w:val="none" w:color="000000" w:sz="4"/>
                    <w:left w:val="single" w:color="000000" w:sz="4"/>
                    <w:bottom w:val="single" w:color="000000" w:sz="4"/>
                    <w:right w:val="single" w:color="000000" w:sz="4"/>
                  </w:tcBorders>
                </w:tcPr>
                <w:p/>
              </w:tc>
              <w:tc>
                <w:tcPr>
                  <w:tcW w:type="dxa" w:w="4772"/>
                  <w:tcBorders>
                    <w:top w:val="none" w:color="000000" w:sz="4"/>
                    <w:left w:val="single" w:color="000000" w:sz="4"/>
                    <w:bottom w:val="single" w:color="000000" w:sz="4"/>
                    <w:right w:val="single" w:color="000000" w:sz="4"/>
                  </w:tcBorders>
                  <w:vAlign w:val="top"/>
                </w:tcPr>
                <w:p>
                  <w:r>
                    <w:rPr>
                      <w:sz w:val="24"/>
                    </w:rPr>
                    <w:t>12、内置Android系统，系统版本Android8.0或以上。</w:t>
                  </w:r>
                </w:p>
              </w:tc>
            </w:tr>
            <w:tr>
              <w:tc>
                <w:tcPr>
                  <w:tcW w:type="dxa" w:w="826"/>
                  <w:vMerge/>
                  <w:tcBorders>
                    <w:top w:val="none" w:color="000000" w:sz="4"/>
                    <w:left w:val="single" w:color="000000" w:sz="4"/>
                    <w:bottom w:val="single" w:color="000000" w:sz="4"/>
                    <w:right w:val="single" w:color="000000" w:sz="4"/>
                  </w:tcBorders>
                </w:tcPr>
                <w:p/>
              </w:tc>
              <w:tc>
                <w:tcPr>
                  <w:tcW w:type="dxa" w:w="4772"/>
                  <w:tcBorders>
                    <w:top w:val="none" w:color="000000" w:sz="4"/>
                    <w:left w:val="single" w:color="000000" w:sz="4"/>
                    <w:bottom w:val="single" w:color="000000" w:sz="4"/>
                    <w:right w:val="single" w:color="000000" w:sz="4"/>
                  </w:tcBorders>
                  <w:vAlign w:val="top"/>
                </w:tcPr>
                <w:p>
                  <w:r>
                    <w:rPr>
                      <w:sz w:val="24"/>
                    </w:rPr>
                    <w:t>13、内置Android系统，运行内存≥3GB，系统存储空间≥16G。</w:t>
                  </w:r>
                </w:p>
              </w:tc>
            </w:tr>
            <w:tr>
              <w:tc>
                <w:tcPr>
                  <w:tcW w:type="dxa" w:w="826"/>
                  <w:vMerge/>
                  <w:tcBorders>
                    <w:top w:val="none" w:color="000000" w:sz="4"/>
                    <w:left w:val="single" w:color="000000" w:sz="4"/>
                    <w:bottom w:val="single" w:color="000000" w:sz="4"/>
                    <w:right w:val="single" w:color="000000" w:sz="4"/>
                  </w:tcBorders>
                </w:tcPr>
                <w:p/>
              </w:tc>
              <w:tc>
                <w:tcPr>
                  <w:tcW w:type="dxa" w:w="4772"/>
                  <w:tcBorders>
                    <w:top w:val="none" w:color="000000" w:sz="4"/>
                    <w:left w:val="single" w:color="000000" w:sz="4"/>
                    <w:bottom w:val="single" w:color="000000" w:sz="4"/>
                    <w:right w:val="single" w:color="000000" w:sz="4"/>
                  </w:tcBorders>
                  <w:vAlign w:val="top"/>
                </w:tcPr>
                <w:p>
                  <w:r>
                    <w:rPr>
                      <w:sz w:val="24"/>
                    </w:rPr>
                    <w:t>14、支持在2k和4K的屏幕分辨率下，课件批注与白板书写的延时不高于50ms，并具备书写的笔锋效果。</w:t>
                  </w:r>
                </w:p>
              </w:tc>
            </w:tr>
            <w:tr>
              <w:tc>
                <w:tcPr>
                  <w:tcW w:type="dxa" w:w="826"/>
                  <w:vMerge/>
                  <w:tcBorders>
                    <w:top w:val="none" w:color="000000" w:sz="4"/>
                    <w:left w:val="single" w:color="000000" w:sz="4"/>
                    <w:bottom w:val="single" w:color="000000" w:sz="4"/>
                    <w:right w:val="single" w:color="000000" w:sz="4"/>
                  </w:tcBorders>
                </w:tcPr>
                <w:p/>
              </w:tc>
              <w:tc>
                <w:tcPr>
                  <w:tcW w:type="dxa" w:w="4772"/>
                  <w:tcBorders>
                    <w:top w:val="none" w:color="000000" w:sz="4"/>
                    <w:left w:val="single" w:color="000000" w:sz="4"/>
                    <w:bottom w:val="single" w:color="000000" w:sz="4"/>
                    <w:right w:val="single" w:color="000000" w:sz="4"/>
                  </w:tcBorders>
                  <w:vAlign w:val="top"/>
                </w:tcPr>
                <w:p>
                  <w:r>
                    <w:rPr>
                      <w:sz w:val="24"/>
                    </w:rPr>
                    <w:t>15、所投产品外观精简且易于用户操作，需具备“开机、关机、息屏待机”三合一按键的功能。</w:t>
                  </w:r>
                </w:p>
              </w:tc>
            </w:tr>
            <w:tr>
              <w:tc>
                <w:tcPr>
                  <w:tcW w:type="dxa" w:w="826"/>
                  <w:vMerge w:val="restart"/>
                  <w:tcBorders>
                    <w:top w:val="none" w:color="000000" w:sz="4"/>
                    <w:left w:val="single" w:color="000000" w:sz="4"/>
                    <w:bottom w:val="single" w:color="000000" w:sz="4"/>
                    <w:right w:val="single" w:color="000000" w:sz="4"/>
                  </w:tcBorders>
                  <w:vAlign w:val="top"/>
                </w:tcPr>
                <w:p>
                  <w:pPr>
                    <w:jc w:val="both"/>
                  </w:pPr>
                  <w:r>
                    <w:rPr>
                      <w:sz w:val="24"/>
                    </w:rPr>
                    <w:t>产品资质</w:t>
                  </w:r>
                </w:p>
              </w:tc>
              <w:tc>
                <w:tcPr>
                  <w:tcW w:type="dxa" w:w="4772"/>
                  <w:tcBorders>
                    <w:top w:val="none" w:color="000000" w:sz="4"/>
                    <w:left w:val="single" w:color="000000" w:sz="4"/>
                    <w:bottom w:val="single" w:color="000000" w:sz="4"/>
                    <w:right w:val="single" w:color="000000" w:sz="4"/>
                  </w:tcBorders>
                  <w:vAlign w:val="top"/>
                </w:tcPr>
                <w:p>
                  <w:r>
                    <w:rPr>
                      <w:sz w:val="24"/>
                    </w:rPr>
                    <w:t>1、▲设备平均故障间隔时间（MTBF）不低于190000小时，并提供测试报告复印件并原厂盖章证明。</w:t>
                  </w:r>
                </w:p>
              </w:tc>
            </w:tr>
            <w:tr>
              <w:tc>
                <w:tcPr>
                  <w:tcW w:type="dxa" w:w="826"/>
                  <w:vMerge/>
                  <w:tcBorders>
                    <w:top w:val="none" w:color="000000" w:sz="4"/>
                    <w:left w:val="single" w:color="000000" w:sz="4"/>
                    <w:bottom w:val="single" w:color="000000" w:sz="4"/>
                    <w:right w:val="single" w:color="000000" w:sz="4"/>
                  </w:tcBorders>
                </w:tcPr>
                <w:p/>
              </w:tc>
              <w:tc>
                <w:tcPr>
                  <w:tcW w:type="dxa" w:w="4772"/>
                  <w:tcBorders>
                    <w:top w:val="none" w:color="000000" w:sz="4"/>
                    <w:left w:val="single" w:color="000000" w:sz="4"/>
                    <w:bottom w:val="single" w:color="000000" w:sz="4"/>
                    <w:right w:val="single" w:color="000000" w:sz="4"/>
                  </w:tcBorders>
                  <w:vAlign w:val="top"/>
                </w:tcPr>
                <w:p>
                  <w:r>
                    <w:rPr>
                      <w:sz w:val="24"/>
                    </w:rPr>
                    <w:t>2、▲所投产品“静电放电抗扰度”、“浪涌（冲击）抗扰度”、“连续波传导骚扰抗扰度”、“连续波辐射骚扰抗扰度”符合依据GB/T17626.2-2018、GB/T17626.3-2016、GB/T 17626.5-2008、GB/T17626.6-2017的相关要求且测试结果达到性能判据A的标准，针对以上要求需提供国家级权威测试机构（如：国家电子计算机质量监督检验中心、国家电子标签产品质量监督检验中心、国家电子计算机外部设备质量监督检验中心等）出具的证书复印件并原厂盖章证明。</w:t>
                  </w:r>
                </w:p>
              </w:tc>
            </w:tr>
          </w:tbl>
          <w:p>
            <w:pPr>
              <w:jc w:val="left"/>
            </w:pPr>
          </w:p>
          <w:p>
            <w:pPr>
              <w:jc w:val="left"/>
            </w:pPr>
            <w:r>
              <w:rPr>
                <w:b/>
                <w:sz w:val="24"/>
              </w:rPr>
              <w:t>附表三、电子班牌技术要求：</w:t>
            </w:r>
          </w:p>
          <w:tbl>
            <w:tblPr>
              <w:tblBorders>
                <w:top w:val="none" w:color="000000" w:sz="4"/>
                <w:left w:val="none" w:color="000000" w:sz="4"/>
                <w:bottom w:val="none" w:color="000000" w:sz="4"/>
                <w:right w:val="none" w:color="000000" w:sz="4"/>
                <w:insideH w:val="none"/>
                <w:insideV w:val="none"/>
              </w:tblBorders>
            </w:tblPr>
            <w:tblGrid>
              <w:gridCol w:w="5598"/>
            </w:tblGrid>
            <w:tr>
              <w:tc>
                <w:tcPr>
                  <w:tcW w:type="dxa" w:w="5598"/>
                  <w:tcBorders>
                    <w:top w:val="single" w:color="000000" w:sz="4"/>
                    <w:left w:val="single" w:color="000000" w:sz="4"/>
                    <w:bottom w:val="single" w:color="000000" w:sz="4"/>
                    <w:right w:val="single" w:color="000000" w:sz="4"/>
                  </w:tcBorders>
                  <w:vAlign w:val="top"/>
                </w:tcPr>
                <w:p>
                  <w:pPr>
                    <w:jc w:val="center"/>
                  </w:pPr>
                  <w:r>
                    <w:rPr>
                      <w:b/>
                      <w:sz w:val="24"/>
                    </w:rPr>
                    <w:t>技术参数要求</w:t>
                  </w:r>
                </w:p>
              </w:tc>
            </w:tr>
            <w:tr>
              <w:tc>
                <w:tcPr>
                  <w:tcW w:type="dxa" w:w="5598"/>
                  <w:tcBorders>
                    <w:top w:val="none" w:color="000000" w:sz="4"/>
                    <w:left w:val="single" w:color="000000" w:sz="4"/>
                    <w:bottom w:val="single" w:color="000000" w:sz="4"/>
                    <w:right w:val="single" w:color="000000" w:sz="4"/>
                  </w:tcBorders>
                  <w:vAlign w:val="top"/>
                </w:tcPr>
                <w:p>
                  <w:pPr>
                    <w:jc w:val="left"/>
                  </w:pPr>
                  <w:r>
                    <w:rPr>
                      <w:sz w:val="24"/>
                    </w:rPr>
                    <w:t>硬件设计</w:t>
                  </w:r>
                </w:p>
                <w:p>
                  <w:pPr>
                    <w:jc w:val="left"/>
                  </w:pPr>
                  <w:r>
                    <w:rPr>
                      <w:sz w:val="24"/>
                    </w:rPr>
                    <w:t>1、采用≥21英寸横屏式电容显示屏，支持10点触控，屏幕分辨率≥1920×1080，显示比例16:9；屏幕亮度≥500cd/㎡。</w:t>
                  </w:r>
                </w:p>
                <w:p>
                  <w:pPr>
                    <w:jc w:val="left"/>
                  </w:pPr>
                  <w:r>
                    <w:rPr>
                      <w:sz w:val="24"/>
                    </w:rPr>
                    <w:t>2、屏体采用宽温显示屏，屏体工作温度区间跨度不小于零下20°C-80°C。</w:t>
                  </w:r>
                </w:p>
                <w:p>
                  <w:pPr>
                    <w:jc w:val="left"/>
                  </w:pPr>
                  <w:r>
                    <w:rPr>
                      <w:sz w:val="24"/>
                    </w:rPr>
                    <w:t>3、整机采用防水防尘结构设计，适用于学校教室半户外环境，防护等级不低于IP65。</w:t>
                  </w:r>
                </w:p>
                <w:p>
                  <w:pPr>
                    <w:jc w:val="left"/>
                  </w:pPr>
                  <w:r>
                    <w:rPr>
                      <w:sz w:val="24"/>
                    </w:rPr>
                    <w:t>4、整机背部与墙面微距全贴合，背面与平整墙面间隙最大处≤2.5mm，保障教学环境的安全性。</w:t>
                  </w:r>
                </w:p>
                <w:p>
                  <w:pPr>
                    <w:jc w:val="left"/>
                  </w:pPr>
                  <w:r>
                    <w:rPr>
                      <w:sz w:val="24"/>
                    </w:rPr>
                    <w:t>5、▲整机最大厚度不大于30mm。（</w:t>
                  </w:r>
                  <w:r>
                    <w:rPr>
                      <w:b/>
                      <w:sz w:val="24"/>
                    </w:rPr>
                    <w:t>注：</w:t>
                  </w:r>
                  <w:r>
                    <w:rPr>
                      <w:b/>
                      <w:sz w:val="24"/>
                    </w:rPr>
                    <w:t>提供具有国家认可的检测机构出具的检测报告复印件</w:t>
                  </w:r>
                  <w:r>
                    <w:rPr>
                      <w:sz w:val="24"/>
                    </w:rPr>
                    <w:t>）</w:t>
                  </w:r>
                </w:p>
                <w:p>
                  <w:pPr>
                    <w:jc w:val="left"/>
                  </w:pPr>
                  <w:r>
                    <w:rPr>
                      <w:sz w:val="24"/>
                    </w:rPr>
                    <w:t>6、整机正面覆盖钢化玻璃</w:t>
                  </w:r>
                </w:p>
                <w:p>
                  <w:pPr>
                    <w:jc w:val="left"/>
                  </w:pPr>
                  <w:r>
                    <w:rPr>
                      <w:sz w:val="24"/>
                    </w:rPr>
                    <w:t>7、▲整机正面不采用贴膜方式具备防眩光功能（注：提供国家广播电视产品质量监督检验中心所出具的权威检测报告）</w:t>
                  </w:r>
                </w:p>
                <w:p>
                  <w:pPr>
                    <w:jc w:val="left"/>
                  </w:pPr>
                  <w:r>
                    <w:rPr>
                      <w:sz w:val="24"/>
                    </w:rPr>
                    <w:t>8、可拍摄不低于200W像素的照片，支持不少于10人同时进行人脸识别。可支持学生无卡考勤签到、查看个人课程表、家长留言等个人信息。</w:t>
                  </w:r>
                </w:p>
                <w:p>
                  <w:pPr>
                    <w:jc w:val="left"/>
                  </w:pPr>
                  <w:r>
                    <w:rPr>
                      <w:sz w:val="24"/>
                    </w:rPr>
                    <w:t>9、整机在逆光（人像处于背景照度≥80000Lux）环境下距离≤0.5m可正常进行人脸识别</w:t>
                  </w:r>
                </w:p>
                <w:p>
                  <w:pPr>
                    <w:jc w:val="left"/>
                  </w:pPr>
                  <w:r>
                    <w:rPr>
                      <w:sz w:val="24"/>
                    </w:rPr>
                    <w:t>10、▲整机内置红外补光灯和双目摄像头，能同时打开彩色和黑白照片，具备活体检测功能</w:t>
                  </w:r>
                </w:p>
                <w:p>
                  <w:pPr>
                    <w:jc w:val="left"/>
                  </w:pPr>
                  <w:r>
                    <w:rPr>
                      <w:sz w:val="24"/>
                    </w:rPr>
                    <w:t>11、▲整机支持外接门禁控制。</w:t>
                  </w:r>
                  <w:r>
                    <w:rPr>
                      <w:b/>
                      <w:sz w:val="24"/>
                    </w:rPr>
                    <w:t>（注：</w:t>
                  </w:r>
                  <w:r>
                    <w:rPr>
                      <w:b/>
                      <w:sz w:val="24"/>
                    </w:rPr>
                    <w:t>提供具有国家认可的检测机构出具的检测报告复印件</w:t>
                  </w:r>
                  <w:r>
                    <w:rPr>
                      <w:b/>
                      <w:sz w:val="24"/>
                    </w:rPr>
                    <w:t>）</w:t>
                  </w:r>
                </w:p>
                <w:p>
                  <w:pPr>
                    <w:jc w:val="left"/>
                  </w:pPr>
                  <w:r>
                    <w:rPr>
                      <w:sz w:val="24"/>
                    </w:rPr>
                    <w:t>12、▲系统运行内存不低于2GB，存储容量不低于16GB；操作系统版本不低于Android 9.0。</w:t>
                  </w:r>
                  <w:r>
                    <w:rPr>
                      <w:b/>
                      <w:sz w:val="24"/>
                    </w:rPr>
                    <w:t>（</w:t>
                  </w:r>
                  <w:r>
                    <w:rPr>
                      <w:b/>
                      <w:sz w:val="24"/>
                    </w:rPr>
                    <w:t>注：提供具有国家认可的检测机构出具的检测报告复印件</w:t>
                  </w:r>
                  <w:r>
                    <w:rPr>
                      <w:b/>
                      <w:sz w:val="24"/>
                    </w:rPr>
                    <w:t>）</w:t>
                  </w:r>
                </w:p>
                <w:p>
                  <w:pPr>
                    <w:jc w:val="left"/>
                  </w:pPr>
                  <w:r>
                    <w:rPr>
                      <w:sz w:val="24"/>
                    </w:rPr>
                    <w:t>13、可跟校园一卡通配合使用考勤。</w:t>
                  </w:r>
                </w:p>
              </w:tc>
            </w:tr>
          </w:tbl>
          <w:p>
            <w:pPr>
              <w:jc w:val="left"/>
            </w:pPr>
          </w:p>
          <w:p>
            <w:pPr>
              <w:jc w:val="left"/>
            </w:pPr>
            <w:r>
              <w:rPr>
                <w:b/>
                <w:sz w:val="24"/>
              </w:rPr>
              <w:t>附表四、智能云终端技术要求：</w:t>
            </w:r>
          </w:p>
          <w:tbl>
            <w:tblPr>
              <w:tblBorders>
                <w:top w:val="none" w:color="000000" w:sz="4"/>
                <w:left w:val="none" w:color="000000" w:sz="4"/>
                <w:bottom w:val="none" w:color="000000" w:sz="4"/>
                <w:right w:val="none" w:color="000000" w:sz="4"/>
                <w:insideH w:val="none"/>
                <w:insideV w:val="none"/>
              </w:tblBorders>
            </w:tblPr>
            <w:tblGrid>
              <w:gridCol w:w="880"/>
              <w:gridCol w:w="4718"/>
            </w:tblGrid>
            <w:tr>
              <w:tc>
                <w:tcPr>
                  <w:tcW w:type="dxa" w:w="880"/>
                  <w:tcBorders>
                    <w:top w:val="single" w:color="000000" w:sz="4"/>
                    <w:left w:val="single" w:color="000000" w:sz="4"/>
                    <w:bottom w:val="single" w:color="000000" w:sz="4"/>
                    <w:right w:val="single" w:color="000000" w:sz="4"/>
                  </w:tcBorders>
                  <w:shd w:fill="FFFFFF"/>
                  <w:vAlign w:val="top"/>
                </w:tcPr>
                <w:p>
                  <w:pPr>
                    <w:jc w:val="center"/>
                  </w:pPr>
                  <w:r>
                    <w:rPr>
                      <w:b/>
                      <w:sz w:val="24"/>
                    </w:rPr>
                    <w:t>指标项</w:t>
                  </w:r>
                </w:p>
              </w:tc>
              <w:tc>
                <w:tcPr>
                  <w:tcW w:type="dxa" w:w="4718"/>
                  <w:tcBorders>
                    <w:top w:val="single" w:color="000000" w:sz="4"/>
                    <w:left w:val="single" w:color="000000" w:sz="4"/>
                    <w:bottom w:val="single" w:color="000000" w:sz="4"/>
                    <w:right w:val="single" w:color="000000" w:sz="4"/>
                  </w:tcBorders>
                  <w:shd w:fill="FFFFFF"/>
                  <w:vAlign w:val="top"/>
                </w:tcPr>
                <w:p>
                  <w:pPr>
                    <w:jc w:val="center"/>
                  </w:pPr>
                  <w:r>
                    <w:rPr>
                      <w:b/>
                      <w:sz w:val="24"/>
                    </w:rPr>
                    <w:t>参数要求</w:t>
                  </w:r>
                </w:p>
              </w:tc>
            </w:tr>
            <w:tr>
              <w:tc>
                <w:tcPr>
                  <w:tcW w:type="dxa" w:w="880"/>
                  <w:tcBorders>
                    <w:top w:val="none" w:color="000000" w:sz="4"/>
                    <w:left w:val="single" w:color="000000" w:sz="4"/>
                    <w:bottom w:val="single" w:color="000000" w:sz="4"/>
                    <w:right w:val="single" w:color="000000" w:sz="4"/>
                  </w:tcBorders>
                  <w:shd w:fill="FFFFFF"/>
                  <w:vAlign w:val="top"/>
                </w:tcPr>
                <w:p>
                  <w:pPr>
                    <w:jc w:val="both"/>
                  </w:pPr>
                  <w:r>
                    <w:rPr>
                      <w:sz w:val="24"/>
                    </w:rPr>
                    <w:t>硬件要求</w:t>
                  </w:r>
                </w:p>
              </w:tc>
              <w:tc>
                <w:tcPr>
                  <w:tcW w:type="dxa" w:w="4718"/>
                  <w:tcBorders>
                    <w:top w:val="none" w:color="000000" w:sz="4"/>
                    <w:left w:val="single" w:color="000000" w:sz="4"/>
                    <w:bottom w:val="single" w:color="000000" w:sz="4"/>
                    <w:right w:val="single" w:color="000000" w:sz="4"/>
                  </w:tcBorders>
                  <w:shd w:fill="FFFFFF"/>
                  <w:vAlign w:val="top"/>
                </w:tcPr>
                <w:p>
                  <w:pPr>
                    <w:jc w:val="left"/>
                  </w:pPr>
                  <w:r>
                    <w:rPr>
                      <w:sz w:val="24"/>
                    </w:rPr>
                    <w:t>1、软硬件一体化设备，内置虚拟化系统和软件。提供虚拟化系统软件著作权证书复印件，需加盖供应商公章；</w:t>
                  </w:r>
                </w:p>
                <w:p>
                  <w:pPr>
                    <w:jc w:val="left"/>
                  </w:pPr>
                  <w:r>
                    <w:rPr>
                      <w:sz w:val="24"/>
                    </w:rPr>
                    <w:t>2、X86架构处理器四核八线程（处理器主频≥3.6GHz）；内存≥8GB，集成显卡；本地存储≥256GBSSD；</w:t>
                  </w:r>
                </w:p>
                <w:p>
                  <w:pPr>
                    <w:jc w:val="left"/>
                  </w:pPr>
                  <w:r>
                    <w:rPr>
                      <w:sz w:val="24"/>
                    </w:rPr>
                    <w:t>3、为节约桌面空间，终端主体尺寸部分(L×W×H)≤20cm×20cm×4.44cm；</w:t>
                  </w:r>
                </w:p>
                <w:p>
                  <w:pPr>
                    <w:jc w:val="left"/>
                  </w:pPr>
                  <w:r>
                    <w:rPr>
                      <w:sz w:val="24"/>
                    </w:rPr>
                    <w:t>4、USB接口≥8个（包含≥4个USB3.0接口），≥1个千兆网口，≥1个VGA接口，≥1个HDMI接口，≥1对音频输入输出接口，且支持4段式耳机音频输入及输出；</w:t>
                  </w:r>
                </w:p>
                <w:p>
                  <w:pPr>
                    <w:jc w:val="left"/>
                  </w:pPr>
                  <w:r>
                    <w:rPr>
                      <w:sz w:val="24"/>
                    </w:rPr>
                    <w:t>5、配置≥1个内存扩展槽；</w:t>
                  </w:r>
                </w:p>
                <w:p>
                  <w:pPr>
                    <w:jc w:val="left"/>
                  </w:pPr>
                  <w:r>
                    <w:rPr>
                      <w:sz w:val="24"/>
                    </w:rPr>
                    <w:t>6、配置≥1个硬盘扩展槽；</w:t>
                  </w:r>
                </w:p>
                <w:p>
                  <w:pPr>
                    <w:jc w:val="left"/>
                  </w:pPr>
                  <w:r>
                    <w:rPr>
                      <w:sz w:val="24"/>
                    </w:rPr>
                    <w:t>7、与云主机及显示器同一品牌；</w:t>
                  </w:r>
                </w:p>
                <w:p>
                  <w:pPr>
                    <w:jc w:val="left"/>
                  </w:pPr>
                  <w:r>
                    <w:rPr>
                      <w:sz w:val="24"/>
                    </w:rPr>
                    <w:t>8、▲设备平均故障间隔时间（MTBF）不低于120000小时，并提供第三方权威证书和测试报告复印件并加盖供应商公章，其中证书需官方可查并提供官方查询链接，测试报告需具备CNAS标识；</w:t>
                  </w:r>
                </w:p>
                <w:p>
                  <w:pPr>
                    <w:jc w:val="left"/>
                  </w:pPr>
                  <w:r>
                    <w:rPr>
                      <w:sz w:val="24"/>
                    </w:rPr>
                    <w:t>9、投标所选终端需提供3C证书及节能证书。提供证书复印件，需加盖供应商公章；</w:t>
                  </w:r>
                </w:p>
                <w:p>
                  <w:pPr>
                    <w:jc w:val="left"/>
                  </w:pPr>
                  <w:r>
                    <w:rPr>
                      <w:sz w:val="24"/>
                    </w:rPr>
                    <w:t>10、设备终端首次上电后支持终端配置向导，无需管理员账号即可实现终端配置，降低配置难度；</w:t>
                  </w:r>
                </w:p>
                <w:p>
                  <w:pPr>
                    <w:jc w:val="left"/>
                  </w:pPr>
                  <w:r>
                    <w:rPr>
                      <w:sz w:val="24"/>
                    </w:rPr>
                    <w:t>11、设备终端支持多种模式切换，包含但不限于个人桌面使用的个人桌面、公共桌面使用的公共模式；</w:t>
                  </w:r>
                </w:p>
                <w:p>
                  <w:pPr>
                    <w:jc w:val="left"/>
                  </w:pPr>
                  <w:r>
                    <w:rPr>
                      <w:sz w:val="24"/>
                    </w:rPr>
                    <w:t>12、支持上电自启动功能，并能够根据实际使用情况选择关闭或开启。要求提供实际操作截图；</w:t>
                  </w:r>
                </w:p>
                <w:p>
                  <w:pPr>
                    <w:jc w:val="left"/>
                  </w:pPr>
                  <w:r>
                    <w:rPr>
                      <w:sz w:val="24"/>
                    </w:rPr>
                    <w:t>13、终端支持完全离线模式，即在云终端控制器连接中断时，依然可使用当前正在使用的镜像环境，保障业务连续性；</w:t>
                  </w:r>
                </w:p>
                <w:p>
                  <w:pPr>
                    <w:jc w:val="left"/>
                  </w:pPr>
                  <w:r>
                    <w:rPr>
                      <w:sz w:val="24"/>
                    </w:rPr>
                    <w:t>14、▲要求所投产品支持个性化配置保存功能，在还原桌面的情况下，可以将个性化信息（比如输入法个性程序）保存至个人数据盘中。提供个性化配置文件管理界面截图证明；</w:t>
                  </w:r>
                </w:p>
                <w:p>
                  <w:pPr>
                    <w:jc w:val="left"/>
                  </w:pPr>
                  <w:r>
                    <w:rPr>
                      <w:sz w:val="24"/>
                    </w:rPr>
                    <w:t>15、▲云终端可运行windows7（32位）系统；</w:t>
                  </w:r>
                </w:p>
                <w:p>
                  <w:pPr>
                    <w:jc w:val="left"/>
                  </w:pPr>
                  <w:r>
                    <w:rPr>
                      <w:sz w:val="24"/>
                    </w:rPr>
                    <w:t>16、支持双屏扩展显示，双屏异显（扩展屏）、双屏同显（复制屏）；</w:t>
                  </w:r>
                </w:p>
                <w:p>
                  <w:pPr>
                    <w:jc w:val="left"/>
                  </w:pPr>
                  <w:r>
                    <w:rPr>
                      <w:sz w:val="24"/>
                    </w:rPr>
                    <w:t>17、▲支持802.1x认证。</w:t>
                  </w:r>
                </w:p>
              </w:tc>
            </w:tr>
          </w:tbl>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1.采购代理机构：本项目是指广东远东招标代理有限公司韶关分公司，负责整个采购活动的组织，依法负责编制和发布磋商文件，对磋商文件拥有最终的解释权，不以任何身份出任磋商小组成员。</w:t>
      </w:r>
    </w:p>
    <w:p>
      <w:pPr>
        <w:ind w:firstLine="480"/>
      </w:pPr>
      <w:r>
        <w:rPr/>
        <w:t>2.采购人：本项目是指</w:t>
      </w:r>
      <w:r>
        <w:rPr/>
        <w:t>韶州中学</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远程电子开标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r>
              <w:rPr/>
              <w:t>采购机构代理服务收费标准：成交服务费由成交供应商向采购代理机构一次性支付，参照《关于进一步放开建设项目专业服务价格的通知》（发改价格[2015]299号）、国家计委颁布的《招标代理服务收费管理暂行办法》（计价格[2002]1980号）和国家发改委办公厅颁布的《国家发改委办公厅关于招标代理服务收费有关问题的通知》（发改价格[2011]534号）的规定标准收取成交服务费。</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r>
              <w:rPr/>
              <w:t>（1）加密的电子响应文件 1 份（需在递交响应文件截止时间前成功上传至“云平台项目采购系统”）。</w:t>
            </w:r>
          </w:p>
          <w:p>
            <w:r>
              <w:rPr/>
              <w:t>（2）若现场无法使用系统进行电子开启、评审的，供应商须在开启现场递交非加密电子版响应文件U盘（或光盘）</w:t>
            </w:r>
            <w:r>
              <w:rPr/>
              <w:t>0</w:t>
            </w:r>
            <w:r>
              <w:rPr/>
              <w:t>份。供应商保证该后备步骤。</w:t>
            </w:r>
          </w:p>
          <w:p>
            <w:r>
              <w:rPr/>
              <w:t>（3）纸质响应文件正本</w:t>
            </w:r>
            <w:r>
              <w:rPr/>
              <w:t>0</w:t>
            </w:r>
            <w:r>
              <w:rPr/>
              <w:t>份，纸质响应文件副本</w:t>
            </w:r>
            <w:r>
              <w:rPr/>
              <w:t>0</w:t>
            </w:r>
            <w:r>
              <w:rPr/>
              <w:t>份。供应商须满足上述事项“一、电子响应文件”中（1）或（2）的要求，和“二、纸质响应文件”的要求。请保证电子投标文件应与纸质投标文件（如有）一致，如不一致时以电子投标文件为准。</w:t>
            </w:r>
          </w:p>
        </w:tc>
      </w:tr>
      <w:tr>
        <w:tc>
          <w:tcPr>
            <w:tcW w:type="dxa" w:w="1051"/>
          </w:tcPr>
          <w:p>
            <w:pPr>
              <w:jc w:val="center"/>
            </w:pPr>
            <w:r>
              <w:rPr/>
              <w:t>18</w:t>
            </w:r>
          </w:p>
        </w:tc>
        <w:tc>
          <w:tcPr>
            <w:tcW w:type="dxa" w:w="2252"/>
          </w:tcPr>
          <w:p>
            <w:r>
              <w:rPr/>
              <w:t>其他</w:t>
            </w:r>
          </w:p>
        </w:tc>
        <w:tc>
          <w:tcPr>
            <w:tcW w:type="dxa" w:w="5004"/>
          </w:tcPr>
          <w:p/>
        </w:tc>
      </w:tr>
      <w:tr>
        <w:tc>
          <w:tcPr>
            <w:tcW w:type="dxa" w:w="1051"/>
          </w:tcPr>
          <w:p>
            <w:pPr>
              <w:jc w:val="center"/>
            </w:pPr>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采购包1：否</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pPr>
        <w:ind w:firstLine="480"/>
      </w:pPr>
      <w:r>
        <w:rPr/>
        <w:t>5.7联合体各方均为小型、微型企业的，各方均应提供《中小微企业声明函》；中小微企业作为联合体一方参与政府采购活动，且联合体协议书中约定，小型、微型企业的协议合同金额占到联合体协议合同总金额30%以上的，应附中小微企业的《中小微企业声明函》。</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微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广东远东招标代理有限公司韶关分公司</w:t>
      </w:r>
      <w:r>
        <w:rPr/>
        <w:t>代收。具体操作要求详见</w:t>
      </w:r>
      <w:r>
        <w:rPr/>
        <w:t>广东远东招标代理有限公司韶关分公司</w:t>
      </w:r>
      <w:r>
        <w:rPr/>
        <w:t>有关指引，递交事宜请自行咨询</w:t>
      </w:r>
      <w:r>
        <w:rPr/>
        <w:t>广东远东招标代理有限公司韶关分公司</w:t>
      </w:r>
      <w:r>
        <w:rPr/>
        <w:t>；请各供应商在响应文件递交截止时间前按须知前附表规定的金额递交至</w:t>
      </w:r>
      <w:r>
        <w:rPr/>
        <w:t>广东远东招标代理有限公司韶关分公司</w:t>
      </w:r>
      <w:r>
        <w:rPr/>
        <w:t>，到账情况以开启时</w:t>
      </w:r>
      <w:r>
        <w:rPr/>
        <w:t>广东远东招标代理有限公司韶关分公司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编制响应文件同时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（3）如需使用备用电子响应文件解密时，在规定的解密时间内无法提供备用电子响应文件或提供的备用电子响应文件与加密的电子响应文件版本不一致（即两份文件不是投标客户端编制同时生成的）。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广东远东招标代理有限公司（http://www.gdydzb.com）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广东远东招标代理有限公司（http://www.gdydzb.com）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雷小姐</w:t>
      </w:r>
    </w:p>
    <w:p>
      <w:pPr>
        <w:ind w:firstLine="480"/>
      </w:pPr>
      <w:r>
        <w:rPr/>
        <w:t>电话：</w:t>
      </w:r>
      <w:r>
        <w:rPr/>
        <w:t>0751-8115118</w:t>
      </w:r>
    </w:p>
    <w:p>
      <w:pPr>
        <w:ind w:firstLine="480"/>
      </w:pPr>
      <w:r>
        <w:rPr/>
        <w:t>传真：</w:t>
      </w:r>
      <w:r>
        <w:rPr/>
        <w:t>/</w:t>
      </w:r>
    </w:p>
    <w:p>
      <w:pPr>
        <w:ind w:firstLine="480"/>
      </w:pPr>
      <w:r>
        <w:rPr/>
        <w:t>邮箱：</w:t>
      </w:r>
      <w:r>
        <w:rPr/>
        <w:t>shaoguan_yuandong@163.com</w:t>
      </w:r>
    </w:p>
    <w:p>
      <w:pPr>
        <w:ind w:firstLine="480"/>
      </w:pPr>
      <w:r>
        <w:rPr/>
        <w:t>地址：</w:t>
      </w:r>
      <w:r>
        <w:rPr/>
        <w:t>广东省广州市越秀区越秀北路222号608-612室， 韶关市武江区西联镇小阳山沐芙路扬成名门综合楼三楼(韶关分公司)</w:t>
      </w:r>
    </w:p>
    <w:p>
      <w:pPr>
        <w:ind w:firstLine="480"/>
      </w:pPr>
      <w:r>
        <w:rPr/>
        <w:t>邮编：</w:t>
      </w:r>
      <w:r>
        <w:rPr/>
        <w:t>512000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政府采购监督管理机构名称：韶关市财政局</w:t>
      </w:r>
    </w:p>
    <w:p>
      <w:r>
        <w:rPr/>
        <w:t>地  址：韶关市武江区惠民北路18号</w:t>
      </w:r>
    </w:p>
    <w:p>
      <w:r>
        <w:rPr/>
        <w:t>电  话：0751-8177227</w:t>
      </w:r>
    </w:p>
    <w:p>
      <w:r>
        <w:rPr/>
        <w:t>邮  编：512000</w:t>
      </w:r>
    </w:p>
    <w:p>
      <w:r>
        <w:rPr/>
        <w:t>传  真：</w:t>
      </w:r>
    </w:p>
    <w:p/>
    <w:p>
      <w:r>
        <w:rPr>
          <w:b/>
          <w:sz w:val="28"/>
        </w:rPr>
        <w:t>八、合同签订和履行</w:t>
      </w:r>
    </w:p>
    <w:p>
      <w:r>
        <w:rPr>
          <w:b/>
          <w:sz w:val="24"/>
        </w:rPr>
        <w:t>1.合同签订</w:t>
      </w:r>
    </w:p>
    <w:p>
      <w:pPr>
        <w:ind w:firstLine="480"/>
      </w:pPr>
      <w:r>
        <w:rPr/>
        <w:t>1.1采购人应当自《成交通知书》发出之日起三十日内（广州市规定自《成交通知书》发出之日起二十日内签订合同），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韶州中学教育教学设施设备采购之课室纳米黑板、课室云班牌、办公室云办公系统项目)：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广东远东招标代理有限公司韶关分公司</w:t>
      </w:r>
      <w:r>
        <w:rPr/>
        <w:t>统一对外发布。</w:t>
      </w:r>
    </w:p>
    <w:p>
      <w:pPr>
        <w:ind w:firstLine="480"/>
      </w:pPr>
      <w:r>
        <w:rPr/>
        <w:t>（2）对</w:t>
      </w:r>
      <w:r>
        <w:rPr/>
        <w:t>广东远东招标代理有限公司韶关分公司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4.7不同投标人的电子投标文件制作计算机的网卡MAC地址硬件信息相同的。</w:t>
      </w:r>
    </w:p>
    <w:p>
      <w:pPr>
        <w:ind w:firstLine="480"/>
      </w:pPr>
      <w:r>
        <w:rPr/>
        <w:t>4.8供应商上传的电子响应文件使用该项目其他响应供应商的数字证书加密的或加盖该项目的其他响应供应商的电子印章的。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采购包1（韶州中学教育教学设施设备采购之课室纳米黑板、课室云班牌、办公室云办公系统项目）：</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投标（响应）产品均由小微企业生产且使用该小微企业商号或者注册商标</w:t>
            </w:r>
          </w:p>
        </w:tc>
        <w:tc>
          <w:tcPr>
            <w:tcW w:type="dxa" w:w="1246"/>
          </w:tcPr>
          <w:p>
            <w:r>
              <w:rPr/>
              <w:t>15%</w:t>
            </w:r>
          </w:p>
        </w:tc>
        <w:tc>
          <w:tcPr>
            <w:tcW w:type="dxa" w:w="2160"/>
          </w:tcPr>
          <w:p>
            <w:pPr>
              <w:jc w:val="left"/>
            </w:pPr>
            <w:r>
              <w:rPr/>
              <w:t>货物由小微企业制造，即货物由小微企业生产且使用该小微企业商号或者注册商标时，给予15%的价格扣除C1，即：评标价=核实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系统抓取并记录到供应商与同项目（采购包）其他投标（响应）供应商电子投标文件上传计算机的网卡MAC地址硬件信息相同（开标现场上传电子投标文件的除外）的情形，评标委员会应认定其投标（响应）无效。</w:t>
      </w:r>
    </w:p>
    <w:p>
      <w:pPr>
        <w:ind w:firstLine="480"/>
      </w:pPr>
      <w:r>
        <w:rPr/>
        <w:t>表一资格性审查表：</w:t>
      </w:r>
    </w:p>
    <w:p>
      <w:pPr>
        <w:ind w:firstLine="480"/>
      </w:pPr>
    </w:p>
    <w:p/>
    <w:p>
      <w:r>
        <w:rPr/>
        <w:t>采购包1（韶州中学教育教学设施设备采购之课室纳米黑板、课室云班牌、办公室云办公系统项目）：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供应商必须提供2020年度或2021年度财务状况报告或2022年任意1个月的财务报表或基本开户行出具的资信证明。</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落实政府采购政策需满足的资格要求</w:t>
            </w:r>
          </w:p>
        </w:tc>
        <w:tc>
          <w:tcPr>
            <w:tcW w:type="dxa" w:w="4238"/>
          </w:tcPr>
          <w:p>
            <w:r>
              <w:rPr/>
              <w:t>本项目不属于专门面向中小企业采购的项目</w:t>
            </w:r>
          </w:p>
        </w:tc>
      </w:tr>
    </w:tbl>
    <w:p/>
    <w:p>
      <w:pPr>
        <w:ind w:firstLine="480"/>
      </w:pPr>
      <w:r>
        <w:rPr/>
        <w:t>表二符合性审查表：</w:t>
      </w:r>
    </w:p>
    <w:p>
      <w:pPr>
        <w:ind w:firstLine="480"/>
      </w:pPr>
    </w:p>
    <w:p/>
    <w:p>
      <w:r>
        <w:rPr/>
        <w:t>采购包1（韶州中学教育教学设施设备采购之课室纳米黑板、课室云班牌、办公室云办公系统项目）：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磋商报价不超过最高限价</w:t>
            </w:r>
          </w:p>
        </w:tc>
        <w:tc>
          <w:tcPr>
            <w:tcW w:type="dxa" w:w="4238"/>
          </w:tcPr>
          <w:p>
            <w:r>
              <w:rPr/>
              <w:t>磋商报价不超过最高限价</w:t>
            </w:r>
          </w:p>
        </w:tc>
      </w:tr>
      <w:tr>
        <w:tc>
          <w:tcPr>
            <w:tcW w:type="dxa" w:w="890"/>
          </w:tcPr>
          <w:p>
            <w:r>
              <w:rPr/>
              <w:t>2</w:t>
            </w:r>
          </w:p>
        </w:tc>
        <w:tc>
          <w:tcPr>
            <w:tcW w:type="dxa" w:w="3178"/>
          </w:tcPr>
          <w:p>
            <w:r>
              <w:rPr/>
              <w:t>报价方案是唯一确定</w:t>
            </w:r>
          </w:p>
        </w:tc>
        <w:tc>
          <w:tcPr>
            <w:tcW w:type="dxa" w:w="4238"/>
          </w:tcPr>
          <w:p>
            <w:r>
              <w:rPr/>
              <w:t>报价方案是唯一确定</w:t>
            </w:r>
          </w:p>
        </w:tc>
      </w:tr>
      <w:tr>
        <w:tc>
          <w:tcPr>
            <w:tcW w:type="dxa" w:w="890"/>
          </w:tcPr>
          <w:p>
            <w:r>
              <w:rPr/>
              <w:t>3</w:t>
            </w:r>
          </w:p>
        </w:tc>
        <w:tc>
          <w:tcPr>
            <w:tcW w:type="dxa" w:w="3178"/>
          </w:tcPr>
          <w:p>
            <w:r>
              <w:rPr/>
              <w:t>没有被磋商小组认定报价人低于成本报价</w:t>
            </w:r>
          </w:p>
        </w:tc>
        <w:tc>
          <w:tcPr>
            <w:tcW w:type="dxa" w:w="4238"/>
          </w:tcPr>
          <w:p>
            <w:r>
              <w:rPr/>
              <w:t>没有被磋商小组认定报价人低于成本报价</w:t>
            </w:r>
          </w:p>
        </w:tc>
      </w:tr>
      <w:tr>
        <w:tc>
          <w:tcPr>
            <w:tcW w:type="dxa" w:w="890"/>
          </w:tcPr>
          <w:p>
            <w:r>
              <w:rPr/>
              <w:t>4</w:t>
            </w:r>
          </w:p>
        </w:tc>
        <w:tc>
          <w:tcPr>
            <w:tcW w:type="dxa" w:w="3178"/>
          </w:tcPr>
          <w:p>
            <w:r>
              <w:rPr/>
              <w:t>磋商商务技术没有实质性不响应</w:t>
            </w:r>
          </w:p>
        </w:tc>
        <w:tc>
          <w:tcPr>
            <w:tcW w:type="dxa" w:w="4238"/>
          </w:tcPr>
          <w:p>
            <w:r>
              <w:rPr/>
              <w:t>磋商商务技术没有实质性不响应</w:t>
            </w:r>
          </w:p>
        </w:tc>
      </w:tr>
      <w:tr>
        <w:tc>
          <w:tcPr>
            <w:tcW w:type="dxa" w:w="890"/>
          </w:tcPr>
          <w:p>
            <w:r>
              <w:rPr/>
              <w:t>5</w:t>
            </w:r>
          </w:p>
        </w:tc>
        <w:tc>
          <w:tcPr>
            <w:tcW w:type="dxa" w:w="3178"/>
          </w:tcPr>
          <w:p>
            <w:r>
              <w:rPr/>
              <w:t>交付使用期符合磋商要求</w:t>
            </w:r>
          </w:p>
        </w:tc>
        <w:tc>
          <w:tcPr>
            <w:tcW w:type="dxa" w:w="4238"/>
          </w:tcPr>
          <w:p>
            <w:r>
              <w:rPr/>
              <w:t>交付使用期符合磋商要求</w:t>
            </w:r>
          </w:p>
        </w:tc>
      </w:tr>
      <w:tr>
        <w:tc>
          <w:tcPr>
            <w:tcW w:type="dxa" w:w="890"/>
          </w:tcPr>
          <w:p>
            <w:r>
              <w:rPr/>
              <w:t>6</w:t>
            </w:r>
          </w:p>
        </w:tc>
        <w:tc>
          <w:tcPr>
            <w:tcW w:type="dxa" w:w="3178"/>
          </w:tcPr>
          <w:p>
            <w:r>
              <w:rPr/>
              <w:t>无磋商文件规定的响应无效情况</w:t>
            </w:r>
          </w:p>
        </w:tc>
        <w:tc>
          <w:tcPr>
            <w:tcW w:type="dxa" w:w="4238"/>
          </w:tcPr>
          <w:p>
            <w:r>
              <w:rPr/>
              <w:t>无磋商文件规定的响应无效情况</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韶州中学教育教学设施设备采购之课室纳米黑板、课室云班牌、办公室云办公系统项目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商务部分25.0分</w:t>
            </w:r>
          </w:p>
          <w:p>
            <w:r>
              <w:rPr/>
              <w:t>技术部分45.0分</w:t>
            </w:r>
          </w:p>
          <w:p>
            <w:r>
              <w:rPr/>
              <w:t>报价得分30.0分</w:t>
            </w:r>
          </w:p>
        </w:tc>
      </w:tr>
      <w:tr>
        <w:tc>
          <w:tcPr>
            <w:tcW w:type="dxa" w:w="922"/>
            <w:gridSpan w:val="2"/>
            <w:vMerge w:val="restart"/>
          </w:tcPr>
          <w:p>
            <w:pPr>
              <w:jc w:val="center"/>
            </w:pPr>
            <w:r>
              <w:rPr/>
              <w:t>技术部分</w:t>
            </w:r>
          </w:p>
        </w:tc>
        <w:tc>
          <w:tcPr>
            <w:tcW w:type="dxa" w:w="2307"/>
          </w:tcPr>
          <w:p>
            <w:pPr>
              <w:jc w:val="left"/>
            </w:pPr>
            <w:r>
              <w:rPr/>
              <w:t>投标设备技术性能指标的响应程度 (30.0分)</w:t>
            </w:r>
          </w:p>
        </w:tc>
        <w:tc>
          <w:tcPr>
            <w:tcW w:type="dxa" w:w="5076"/>
          </w:tcPr>
          <w:p>
            <w:pPr>
              <w:jc w:val="left"/>
            </w:pPr>
            <w:r>
              <w:rPr/>
              <w:t>1、供应商提供的产品完全满足或优于《用户需求书》标“▲”重要技术参数指标要求的，得15分，每一项不满足的扣0.6分，扣完为止。 注：用户需求书中条款标注“▲”条款中明确要求提供证明资料的，以供应商提供的证明资料加盖供应商公章为准，用户需求中没有明确要求提供证明资料的，则以供应商提供技术偏离表作为证明材料复印件加盖供应商公章。 2、供应商提供的产品完全满足或优于《用户需求书》不带“▲”的一般技术参数指标要求的，得15分。 （1）有1～10项条款为负偏离/无响应的，得10分； （2）有11～20项条款为负偏离/无响应的，得5分； （3）有21项及以上条款为负偏离/无响应的，得0分。 注：用户需求书中不带“▲”的一般技术参数条款中明确要求提供证明资料的，以供应商提供的证明资料加盖供应商公章为准，用户需求中没有明确要求提供证明资料的，则以供应商提供技术偏离表作为证明材料复印件加盖供应商公章。</w:t>
            </w:r>
          </w:p>
        </w:tc>
      </w:tr>
      <w:tr>
        <w:tc>
          <w:tcPr>
            <w:tcW w:type="dxa" w:w="922"/>
            <w:gridSpan w:val="2"/>
            <w:vMerge/>
          </w:tcPr>
          <w:p/>
        </w:tc>
        <w:tc>
          <w:tcPr>
            <w:tcW w:type="dxa" w:w="2307"/>
          </w:tcPr>
          <w:p>
            <w:pPr>
              <w:jc w:val="left"/>
            </w:pPr>
            <w:r>
              <w:rPr/>
              <w:t>整体技术方案 (5.0分)</w:t>
            </w:r>
          </w:p>
        </w:tc>
        <w:tc>
          <w:tcPr>
            <w:tcW w:type="dxa" w:w="5076"/>
          </w:tcPr>
          <w:p>
            <w:pPr>
              <w:jc w:val="left"/>
            </w:pPr>
            <w:r>
              <w:rPr/>
              <w:t>根据供应商的整体系统技术方案是否对需求理解准确，方案描述是否详细、合理，架构清晰程度，对系统结构及功能应用描述详尽、准确性等进行综合评审： 1、整体系统技术方案对需求理解准确，方案描述详细、合理，架构清晰，对系统结构及功能应用描述详尽、准确得5分； 2、整体系统技术方案对需求理解比较准确，方案描述比较详细、比较合理，架构比较清晰，对系统结构及功能应用描述比较详尽、比较准确得3分； 3、整体系统技术方案对需求理解欠准确，方案描述欠详细、欠合理，架构欠清晰，对系统结构及功能应用描述欠详细、欠准确得1分。 4、无或其他得0分。</w:t>
            </w:r>
          </w:p>
        </w:tc>
      </w:tr>
      <w:tr>
        <w:tc>
          <w:tcPr>
            <w:tcW w:type="dxa" w:w="922"/>
            <w:gridSpan w:val="2"/>
            <w:vMerge/>
          </w:tcPr>
          <w:p/>
        </w:tc>
        <w:tc>
          <w:tcPr>
            <w:tcW w:type="dxa" w:w="2307"/>
          </w:tcPr>
          <w:p>
            <w:pPr>
              <w:jc w:val="left"/>
            </w:pPr>
            <w:r>
              <w:rPr/>
              <w:t>项目实施管理方案 (5.0分)</w:t>
            </w:r>
          </w:p>
        </w:tc>
        <w:tc>
          <w:tcPr>
            <w:tcW w:type="dxa" w:w="5076"/>
          </w:tcPr>
          <w:p>
            <w:pPr>
              <w:jc w:val="left"/>
            </w:pPr>
            <w:r>
              <w:rPr/>
              <w:t>对项目实施管理方案的可行性可靠性、供货安排的合理性、安装调试组织的科学性、验收的可操作性、平滑过渡响应情况等进行评审: 1、项目实施管理方案可行、供货安排合理、安装调试组织科学、验收的可操作强得5分； 2、项目实施管理方案比较可行、供货安排比较合理、安装调试组织比较科学、验收可操作性比较好得3分； 3、项目实施管理方案可行性一般、供货安排合理性一般、安装调试组织科学性一般、验收可操作一般得1分； 4、无或其他不得分。</w:t>
            </w:r>
          </w:p>
        </w:tc>
      </w:tr>
      <w:tr>
        <w:tc>
          <w:tcPr>
            <w:tcW w:type="dxa" w:w="922"/>
            <w:gridSpan w:val="2"/>
            <w:vMerge/>
          </w:tcPr>
          <w:p/>
        </w:tc>
        <w:tc>
          <w:tcPr>
            <w:tcW w:type="dxa" w:w="2307"/>
          </w:tcPr>
          <w:p>
            <w:pPr>
              <w:jc w:val="left"/>
            </w:pPr>
            <w:r>
              <w:rPr/>
              <w:t>产品质量及安全保证措施 (5.0分)</w:t>
            </w:r>
          </w:p>
        </w:tc>
        <w:tc>
          <w:tcPr>
            <w:tcW w:type="dxa" w:w="5076"/>
          </w:tcPr>
          <w:p>
            <w:pPr>
              <w:jc w:val="left"/>
            </w:pPr>
            <w:r>
              <w:rPr/>
              <w:t>供应商有合理可行的维护计划、完善的质量保证体系、质量保证及服务承诺等方案进行综合评审： 1、供应商质量保证措施、方案具体详实、可行性高得 5分； 2、供应商 质量保证措施方案基本完整、可行性-般得 3分； 3、供应商质量保证措 施方案较差得 1分。 4、无或其他不得分。</w:t>
            </w:r>
          </w:p>
        </w:tc>
      </w:tr>
      <w:tr>
        <w:tc>
          <w:tcPr>
            <w:tcW w:type="dxa" w:w="922"/>
            <w:gridSpan w:val="2"/>
            <w:vMerge w:val="restart"/>
          </w:tcPr>
          <w:p>
            <w:pPr>
              <w:jc w:val="center"/>
            </w:pPr>
            <w:r>
              <w:rPr/>
              <w:t>商务部分</w:t>
            </w:r>
          </w:p>
        </w:tc>
        <w:tc>
          <w:tcPr>
            <w:tcW w:type="dxa" w:w="2307"/>
          </w:tcPr>
          <w:p>
            <w:pPr>
              <w:jc w:val="left"/>
            </w:pPr>
            <w:r>
              <w:rPr/>
              <w:t>供应商综合实力 (5.0分)</w:t>
            </w:r>
          </w:p>
        </w:tc>
        <w:tc>
          <w:tcPr>
            <w:tcW w:type="dxa" w:w="5076"/>
          </w:tcPr>
          <w:p>
            <w:pPr>
              <w:jc w:val="left"/>
            </w:pPr>
            <w:r>
              <w:rPr/>
              <w:t>1、供应商具有《安全生产许可证》，得2分。 2、供应商具有信息系统安全集成服务资质（CCRC）二级或以上证书得1分；三级的得0.5分；不提供或不满足的不得分。 3、电子与智能化工程专业承包壹级得1分，电子与智能化工程专业承包贰级得0.5分。 4、供应商具有省级或以上防雷企业能力评价证书A级证书的，得1分。 注：提供证明材料复印件并加盖公章。</w:t>
            </w:r>
          </w:p>
        </w:tc>
      </w:tr>
      <w:tr>
        <w:tc>
          <w:tcPr>
            <w:tcW w:type="dxa" w:w="922"/>
            <w:gridSpan w:val="2"/>
            <w:vMerge/>
          </w:tcPr>
          <w:p/>
        </w:tc>
        <w:tc>
          <w:tcPr>
            <w:tcW w:type="dxa" w:w="2307"/>
          </w:tcPr>
          <w:p>
            <w:pPr>
              <w:jc w:val="left"/>
            </w:pPr>
            <w:r>
              <w:rPr/>
              <w:t>供应商综合实力 (5.0分)</w:t>
            </w:r>
          </w:p>
        </w:tc>
        <w:tc>
          <w:tcPr>
            <w:tcW w:type="dxa" w:w="5076"/>
          </w:tcPr>
          <w:p>
            <w:pPr>
              <w:jc w:val="left"/>
            </w:pPr>
            <w:r>
              <w:rPr/>
              <w:t>供应商或供应商所投生产厂家获得： 1、供应商所投纳米黑板产品生产厂家根据市场需求持续进行软件开发、更新、维护，出具CMMI5级及以上证书。符合得2分，不符合得0分。 注：提供证明文件及官网截图并原厂盖章确认的复印件。 2、所投纳米黑板产品制造商通过ISO14064核准认证证书复印件及官网查询截图。符合得1分，不符合得0分。 注：提供证明文件复印件及官网截图并原厂盖章确认的复印件。 3、所投云办公产品制造厂商应在产品的过程进行静电防护管理，具备完善的静电防护管理体系，通过静电防护管理体系认证，符合得1分，不符合得0分。 注：提供证书复印件、全国认证认可信息公共服务平台查询链接及截图并原厂盖章的复印件。 4、云办公设备生产厂商具备完善的知识产权管理体系。符合得1分，不符合得0分。 注：提供知识产权管理体系认证证书，全国认证认可信息公共服务平台查询链接及截图并原厂盖章的复印件。</w:t>
            </w:r>
          </w:p>
        </w:tc>
      </w:tr>
      <w:tr>
        <w:tc>
          <w:tcPr>
            <w:tcW w:type="dxa" w:w="922"/>
            <w:gridSpan w:val="2"/>
            <w:vMerge/>
          </w:tcPr>
          <w:p/>
        </w:tc>
        <w:tc>
          <w:tcPr>
            <w:tcW w:type="dxa" w:w="2307"/>
          </w:tcPr>
          <w:p>
            <w:pPr>
              <w:jc w:val="left"/>
            </w:pPr>
            <w:r>
              <w:rPr/>
              <w:t>供应商企业认证 (5.0分)</w:t>
            </w:r>
          </w:p>
        </w:tc>
        <w:tc>
          <w:tcPr>
            <w:tcW w:type="dxa" w:w="5076"/>
          </w:tcPr>
          <w:p>
            <w:pPr>
              <w:jc w:val="left"/>
            </w:pPr>
            <w:r>
              <w:rPr/>
              <w:t>具备质量管理体系认证、职业健康安全管理体系认证证书、环境管理体系认证证书、IT服务管理体系认证证书、信息安全管理体系认证证书，具备全部证书的，得5分；少一项证书扣1分，不提供不得分。（认证范围需有:计算机信息系统集成） 注：提供证明材料复印件并加盖公章。</w:t>
            </w:r>
          </w:p>
        </w:tc>
      </w:tr>
      <w:tr>
        <w:tc>
          <w:tcPr>
            <w:tcW w:type="dxa" w:w="922"/>
            <w:gridSpan w:val="2"/>
            <w:vMerge/>
          </w:tcPr>
          <w:p/>
        </w:tc>
        <w:tc>
          <w:tcPr>
            <w:tcW w:type="dxa" w:w="2307"/>
          </w:tcPr>
          <w:p>
            <w:pPr>
              <w:jc w:val="left"/>
            </w:pPr>
            <w:r>
              <w:rPr/>
              <w:t>供应商项目经理综合能力 (3.0分)</w:t>
            </w:r>
          </w:p>
        </w:tc>
        <w:tc>
          <w:tcPr>
            <w:tcW w:type="dxa" w:w="5076"/>
          </w:tcPr>
          <w:p>
            <w:pPr>
              <w:jc w:val="left"/>
            </w:pPr>
            <w:r>
              <w:rPr/>
              <w:t>项目经理（1人）同时具有以下证书的得3分： 1、具有ITIL认证证书； 2、具有高级工程师证书； 3、具有PMP证书。 注：提供资质证书扫描件；并提供人员在本公司最近六个月以内任意一个月的社保证明。</w:t>
            </w:r>
          </w:p>
        </w:tc>
      </w:tr>
      <w:tr>
        <w:tc>
          <w:tcPr>
            <w:tcW w:type="dxa" w:w="922"/>
            <w:gridSpan w:val="2"/>
            <w:vMerge/>
          </w:tcPr>
          <w:p/>
        </w:tc>
        <w:tc>
          <w:tcPr>
            <w:tcW w:type="dxa" w:w="2307"/>
          </w:tcPr>
          <w:p>
            <w:pPr>
              <w:jc w:val="left"/>
            </w:pPr>
            <w:r>
              <w:rPr/>
              <w:t>供应商项目经验 (2.0分)</w:t>
            </w:r>
          </w:p>
        </w:tc>
        <w:tc>
          <w:tcPr>
            <w:tcW w:type="dxa" w:w="5076"/>
          </w:tcPr>
          <w:p>
            <w:pPr>
              <w:jc w:val="left"/>
            </w:pPr>
            <w:r>
              <w:rPr/>
              <w:t>响应供应商提供2019年1月1日至今已完成的同类项目，每提供一个案例得1分（以提供中标（成交）通知书、采购合同关键页及验收报告复印件为准），本项最高得2分，未提供不得分。 注：提供证明材料复印件并加盖公章，未提供或未按要求提供不得分。</w:t>
            </w:r>
          </w:p>
        </w:tc>
      </w:tr>
      <w:tr>
        <w:tc>
          <w:tcPr>
            <w:tcW w:type="dxa" w:w="922"/>
            <w:gridSpan w:val="2"/>
            <w:vMerge/>
          </w:tcPr>
          <w:p/>
        </w:tc>
        <w:tc>
          <w:tcPr>
            <w:tcW w:type="dxa" w:w="2307"/>
          </w:tcPr>
          <w:p>
            <w:pPr>
              <w:jc w:val="left"/>
            </w:pPr>
            <w:r>
              <w:rPr/>
              <w:t>售后服务方案 (5.0分)</w:t>
            </w:r>
          </w:p>
        </w:tc>
        <w:tc>
          <w:tcPr>
            <w:tcW w:type="dxa" w:w="5076"/>
          </w:tcPr>
          <w:p>
            <w:pPr>
              <w:jc w:val="left"/>
            </w:pPr>
            <w:r>
              <w:rPr/>
              <w:t>根据供应商提供的售后服务方案进行综合评审： 1、供应商提供售后服务方案的售后服务人员架构合理，服务内容完整，服务响应及时的得5分； 2、供应商提供售后服务方案的售后服务人员架构较合理，服务内容较完整，服务响应较及时的得3分； 3、供应商提供售后服务方案的售后服务人员架构不够合理，服务内容不够完整，服务响应不够及时的得1分； 4、无或其他不得分。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Pr>
        <w:jc w:val="center"/>
      </w:pPr>
      <w:r>
        <w:rPr>
          <w:b/>
          <w:sz w:val="48"/>
        </w:rPr>
        <w:t xml:space="preserve"> </w:t>
      </w:r>
    </w:p>
    <w:p>
      <w:pPr>
        <w:jc w:val="center"/>
      </w:pPr>
      <w:r>
        <w:rPr>
          <w:b/>
          <w:sz w:val="48"/>
        </w:rPr>
        <w:t xml:space="preserve"> </w:t>
      </w:r>
    </w:p>
    <w:p>
      <w:pPr>
        <w:jc w:val="center"/>
      </w:pPr>
      <w:r>
        <w:rPr>
          <w:b/>
          <w:sz w:val="48"/>
        </w:rPr>
        <w:t xml:space="preserve"> </w:t>
      </w:r>
    </w:p>
    <w:p>
      <w:pPr>
        <w:jc w:val="center"/>
      </w:pPr>
      <w:r>
        <w:rPr>
          <w:b/>
          <w:sz w:val="48"/>
        </w:rPr>
        <w:t>广东省政府采购</w:t>
      </w:r>
    </w:p>
    <w:p>
      <w:pPr>
        <w:jc w:val="both"/>
      </w:pPr>
      <w:r>
        <w:rPr>
          <w:b/>
          <w:sz w:val="48"/>
        </w:rPr>
        <w:t xml:space="preserve"> </w:t>
      </w:r>
    </w:p>
    <w:p>
      <w:pPr>
        <w:jc w:val="center"/>
      </w:pPr>
      <w:r>
        <w:rPr>
          <w:b/>
          <w:sz w:val="48"/>
        </w:rPr>
        <w:t>合　同　书</w:t>
      </w:r>
    </w:p>
    <w:p>
      <w:pPr>
        <w:jc w:val="center"/>
      </w:pPr>
      <w:r>
        <w:br/>
      </w:r>
      <w:r>
        <w:br/>
      </w:r>
      <w:r>
        <w:br/>
      </w:r>
      <w:r>
        <w:br/>
      </w:r>
      <w:r>
        <w:br/>
      </w:r>
      <w:r>
        <w:rPr>
          <w:color w:val="222222"/>
          <w:sz w:val="27"/>
        </w:rPr>
        <w:t xml:space="preserve"> </w:t>
      </w:r>
    </w:p>
    <w:p>
      <w:pPr>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both"/>
      </w:pPr>
    </w:p>
    <w:p>
      <w:pPr>
        <w:jc w:val="both"/>
      </w:pPr>
      <w:r>
        <w:rPr>
          <w:b/>
          <w:sz w:val="24"/>
        </w:rPr>
        <w:t>注：本合同仅为合同的参考文本，合同签订双方可根据项目的具体要求进行修订，但不得偏离实质性条款。</w:t>
      </w:r>
    </w:p>
    <w:p>
      <w:pPr>
        <w:ind w:firstLine="422"/>
        <w:jc w:val="both"/>
      </w:pPr>
      <w:r>
        <w:rPr>
          <w:b/>
          <w:sz w:val="24"/>
        </w:rPr>
        <w:t>甲    方：</w:t>
      </w:r>
      <w:r>
        <w:rPr>
          <w:b/>
          <w:sz w:val="24"/>
          <w:u w:val="single"/>
        </w:rPr>
        <w:t xml:space="preserve">                  </w:t>
      </w:r>
    </w:p>
    <w:p>
      <w:pPr>
        <w:ind w:firstLine="422"/>
        <w:jc w:val="left"/>
      </w:pPr>
      <w:r>
        <w:rPr>
          <w:b/>
          <w:sz w:val="24"/>
        </w:rPr>
        <w:t>乙    方：</w:t>
      </w:r>
      <w:r>
        <w:rPr>
          <w:b/>
          <w:sz w:val="24"/>
          <w:u w:val="single"/>
        </w:rPr>
        <w:t xml:space="preserve">                   </w:t>
      </w:r>
    </w:p>
    <w:p>
      <w:pPr>
        <w:ind w:firstLine="420"/>
        <w:jc w:val="left"/>
      </w:pPr>
      <w:r>
        <w:rPr>
          <w:sz w:val="24"/>
        </w:rPr>
        <w:t>根据</w:t>
      </w:r>
      <w:r>
        <w:rPr>
          <w:sz w:val="24"/>
          <w:u w:val="single"/>
        </w:rPr>
        <w:t xml:space="preserve">               </w:t>
      </w:r>
      <w:r>
        <w:rPr>
          <w:sz w:val="24"/>
        </w:rPr>
        <w:t>项目的采购结果，按照《中华人民共和国政府采购法》《中华人民共和国民法典》（合同编）的规定，经双方协商，本着平等互利和诚实信用的原则，一致同意签订本合同如下。</w:t>
      </w:r>
    </w:p>
    <w:p>
      <w:pPr>
        <w:jc w:val="left"/>
      </w:pPr>
      <w:r>
        <w:rPr>
          <w:b/>
          <w:sz w:val="24"/>
        </w:rPr>
        <w:t>一、合同标的</w:t>
      </w:r>
    </w:p>
    <w:p>
      <w:pPr>
        <w:ind w:firstLine="210"/>
        <w:jc w:val="left"/>
      </w:pPr>
      <w:r>
        <w:rPr>
          <w:sz w:val="24"/>
        </w:rPr>
        <w:t>乙方根据甲方要求提供以下货物：</w:t>
      </w:r>
    </w:p>
    <w:tbl>
      <w:tblPr>
        <w:tblW w:w="0" w:type="auto"/>
        <w:tblInd w:type="dxa" w:w="30"/>
        <w:tblBorders>
          <w:top w:val="none" w:color="000000" w:sz="4"/>
          <w:left w:val="none" w:color="000000" w:sz="4"/>
          <w:bottom w:val="none" w:color="000000" w:sz="4"/>
          <w:right w:val="none" w:color="000000" w:sz="4"/>
          <w:insideH w:val="none"/>
          <w:insideV w:val="none"/>
        </w:tblBorders>
      </w:tblPr>
      <w:tblGrid>
        <w:gridCol w:w="1209"/>
        <w:gridCol w:w="1397"/>
        <w:gridCol w:w="833"/>
        <w:gridCol w:w="967"/>
        <w:gridCol w:w="967"/>
        <w:gridCol w:w="1290"/>
        <w:gridCol w:w="1612"/>
      </w:tblGrid>
      <w:tr>
        <w:tc>
          <w:tcPr>
            <w:tcW w:type="dxa" w:w="1209"/>
            <w:tcBorders>
              <w:top w:val="single" w:color="000000" w:sz="4"/>
              <w:left w:val="single" w:color="000000" w:sz="4"/>
              <w:bottom w:val="single" w:color="000000" w:sz="4"/>
              <w:right w:val="single" w:color="000000" w:sz="4"/>
            </w:tcBorders>
            <w:vAlign w:val="top"/>
          </w:tcPr>
          <w:p>
            <w:pPr>
              <w:jc w:val="center"/>
            </w:pPr>
            <w:r>
              <w:rPr>
                <w:sz w:val="24"/>
              </w:rPr>
              <w:t>货物品名</w:t>
            </w:r>
          </w:p>
        </w:tc>
        <w:tc>
          <w:tcPr>
            <w:tcW w:type="dxa" w:w="1397"/>
            <w:tcBorders>
              <w:top w:val="single" w:color="000000" w:sz="4"/>
              <w:left w:val="single" w:color="000000" w:sz="4"/>
              <w:bottom w:val="single" w:color="000000" w:sz="4"/>
              <w:right w:val="single" w:color="000000" w:sz="4"/>
            </w:tcBorders>
            <w:vAlign w:val="top"/>
          </w:tcPr>
          <w:p>
            <w:pPr>
              <w:jc w:val="center"/>
            </w:pPr>
            <w:r>
              <w:rPr>
                <w:sz w:val="24"/>
              </w:rPr>
              <w:t>规格型号</w:t>
            </w:r>
          </w:p>
        </w:tc>
        <w:tc>
          <w:tcPr>
            <w:tcW w:type="dxa" w:w="833"/>
            <w:tcBorders>
              <w:top w:val="single" w:color="000000" w:sz="4"/>
              <w:left w:val="single" w:color="000000" w:sz="4"/>
              <w:bottom w:val="single" w:color="000000" w:sz="4"/>
              <w:right w:val="single" w:color="000000" w:sz="4"/>
            </w:tcBorders>
            <w:vAlign w:val="top"/>
          </w:tcPr>
          <w:p>
            <w:pPr>
              <w:jc w:val="center"/>
            </w:pPr>
            <w:r>
              <w:rPr>
                <w:sz w:val="24"/>
              </w:rPr>
              <w:t>单位</w:t>
            </w:r>
          </w:p>
        </w:tc>
        <w:tc>
          <w:tcPr>
            <w:tcW w:type="dxa" w:w="967"/>
            <w:tcBorders>
              <w:top w:val="single" w:color="000000" w:sz="4"/>
              <w:left w:val="single" w:color="000000" w:sz="4"/>
              <w:bottom w:val="single" w:color="000000" w:sz="4"/>
              <w:right w:val="single" w:color="000000" w:sz="4"/>
            </w:tcBorders>
            <w:vAlign w:val="top"/>
          </w:tcPr>
          <w:p>
            <w:pPr>
              <w:jc w:val="center"/>
            </w:pPr>
            <w:r>
              <w:rPr>
                <w:sz w:val="24"/>
              </w:rPr>
              <w:t>数量</w:t>
            </w:r>
          </w:p>
        </w:tc>
        <w:tc>
          <w:tcPr>
            <w:tcW w:type="dxa" w:w="967"/>
            <w:tcBorders>
              <w:top w:val="single" w:color="000000" w:sz="4"/>
              <w:left w:val="single" w:color="000000" w:sz="4"/>
              <w:bottom w:val="single" w:color="000000" w:sz="4"/>
              <w:right w:val="single" w:color="000000" w:sz="4"/>
            </w:tcBorders>
            <w:vAlign w:val="top"/>
          </w:tcPr>
          <w:p>
            <w:pPr>
              <w:jc w:val="center"/>
            </w:pPr>
            <w:r>
              <w:rPr>
                <w:sz w:val="24"/>
              </w:rPr>
              <w:t>单价</w:t>
            </w:r>
          </w:p>
        </w:tc>
        <w:tc>
          <w:tcPr>
            <w:tcW w:type="dxa" w:w="1290"/>
            <w:tcBorders>
              <w:top w:val="single" w:color="000000" w:sz="4"/>
              <w:left w:val="single" w:color="000000" w:sz="4"/>
              <w:bottom w:val="single" w:color="000000" w:sz="4"/>
              <w:right w:val="single" w:color="000000" w:sz="4"/>
            </w:tcBorders>
            <w:vAlign w:val="top"/>
          </w:tcPr>
          <w:p>
            <w:pPr>
              <w:jc w:val="center"/>
            </w:pPr>
            <w:r>
              <w:rPr>
                <w:sz w:val="24"/>
              </w:rPr>
              <w:t>总价</w:t>
            </w:r>
          </w:p>
        </w:tc>
        <w:tc>
          <w:tcPr>
            <w:tcW w:type="dxa" w:w="1612"/>
            <w:tcBorders>
              <w:top w:val="single" w:color="000000" w:sz="4"/>
              <w:left w:val="single" w:color="000000" w:sz="4"/>
              <w:bottom w:val="single" w:color="000000" w:sz="4"/>
              <w:right w:val="single" w:color="000000" w:sz="4"/>
            </w:tcBorders>
            <w:vAlign w:val="top"/>
          </w:tcPr>
          <w:p>
            <w:pPr>
              <w:jc w:val="center"/>
            </w:pPr>
            <w:r>
              <w:rPr>
                <w:sz w:val="24"/>
              </w:rPr>
              <w:t>随机配件</w:t>
            </w:r>
          </w:p>
        </w:tc>
      </w:tr>
      <w:tr>
        <w:tc>
          <w:tcPr>
            <w:tcW w:type="dxa" w:w="1209"/>
            <w:tcBorders>
              <w:top w:val="none" w:color="000000" w:sz="4"/>
              <w:left w:val="single" w:color="000000" w:sz="4"/>
              <w:bottom w:val="single" w:color="000000" w:sz="4"/>
              <w:right w:val="single" w:color="000000" w:sz="4"/>
            </w:tcBorders>
            <w:vAlign w:val="top"/>
          </w:tcPr>
          <w:p>
            <w:pPr>
              <w:jc w:val="both"/>
            </w:pPr>
          </w:p>
        </w:tc>
        <w:tc>
          <w:tcPr>
            <w:tcW w:type="dxa" w:w="1397"/>
            <w:tcBorders>
              <w:top w:val="none" w:color="000000" w:sz="4"/>
              <w:left w:val="single" w:color="000000" w:sz="4"/>
              <w:bottom w:val="single" w:color="000000" w:sz="4"/>
              <w:right w:val="single" w:color="000000" w:sz="4"/>
            </w:tcBorders>
            <w:vAlign w:val="top"/>
          </w:tcPr>
          <w:p>
            <w:pPr>
              <w:jc w:val="both"/>
            </w:pPr>
          </w:p>
        </w:tc>
        <w:tc>
          <w:tcPr>
            <w:tcW w:type="dxa" w:w="833"/>
            <w:tcBorders>
              <w:top w:val="none" w:color="000000" w:sz="4"/>
              <w:left w:val="single" w:color="000000" w:sz="4"/>
              <w:bottom w:val="single" w:color="000000" w:sz="4"/>
              <w:right w:val="single" w:color="000000" w:sz="4"/>
            </w:tcBorders>
            <w:vAlign w:val="top"/>
          </w:tcPr>
          <w:p>
            <w:pPr>
              <w:jc w:val="both"/>
            </w:pPr>
          </w:p>
        </w:tc>
        <w:tc>
          <w:tcPr>
            <w:tcW w:type="dxa" w:w="967"/>
            <w:tcBorders>
              <w:top w:val="none" w:color="000000" w:sz="4"/>
              <w:left w:val="single" w:color="000000" w:sz="4"/>
              <w:bottom w:val="single" w:color="000000" w:sz="4"/>
              <w:right w:val="single" w:color="000000" w:sz="4"/>
            </w:tcBorders>
            <w:vAlign w:val="top"/>
          </w:tcPr>
          <w:p>
            <w:pPr>
              <w:jc w:val="both"/>
            </w:pPr>
          </w:p>
        </w:tc>
        <w:tc>
          <w:tcPr>
            <w:tcW w:type="dxa" w:w="967"/>
            <w:tcBorders>
              <w:top w:val="none" w:color="000000" w:sz="4"/>
              <w:left w:val="single" w:color="000000" w:sz="4"/>
              <w:bottom w:val="single" w:color="000000" w:sz="4"/>
              <w:right w:val="single" w:color="000000" w:sz="4"/>
            </w:tcBorders>
            <w:vAlign w:val="top"/>
          </w:tcPr>
          <w:p>
            <w:pPr>
              <w:jc w:val="both"/>
            </w:pPr>
          </w:p>
        </w:tc>
        <w:tc>
          <w:tcPr>
            <w:tcW w:type="dxa" w:w="1290"/>
            <w:tcBorders>
              <w:top w:val="none" w:color="000000" w:sz="4"/>
              <w:left w:val="single" w:color="000000" w:sz="4"/>
              <w:bottom w:val="single" w:color="000000" w:sz="4"/>
              <w:right w:val="single" w:color="000000" w:sz="4"/>
            </w:tcBorders>
            <w:vAlign w:val="top"/>
          </w:tcPr>
          <w:p>
            <w:pPr>
              <w:jc w:val="both"/>
            </w:pPr>
          </w:p>
        </w:tc>
        <w:tc>
          <w:tcPr>
            <w:tcW w:type="dxa" w:w="1612"/>
            <w:tcBorders>
              <w:top w:val="none" w:color="000000" w:sz="4"/>
              <w:left w:val="single" w:color="000000" w:sz="4"/>
              <w:bottom w:val="single" w:color="000000" w:sz="4"/>
              <w:right w:val="single" w:color="000000" w:sz="4"/>
            </w:tcBorders>
            <w:vAlign w:val="top"/>
          </w:tcPr>
          <w:p>
            <w:pPr>
              <w:jc w:val="both"/>
            </w:pPr>
          </w:p>
        </w:tc>
      </w:tr>
      <w:tr>
        <w:tc>
          <w:tcPr>
            <w:tcW w:type="dxa" w:w="1209"/>
            <w:tcBorders>
              <w:top w:val="none" w:color="000000" w:sz="4"/>
              <w:left w:val="single" w:color="000000" w:sz="4"/>
              <w:bottom w:val="single" w:color="000000" w:sz="4"/>
              <w:right w:val="single" w:color="000000" w:sz="4"/>
            </w:tcBorders>
            <w:vAlign w:val="top"/>
          </w:tcPr>
          <w:p>
            <w:pPr>
              <w:jc w:val="both"/>
            </w:pPr>
          </w:p>
        </w:tc>
        <w:tc>
          <w:tcPr>
            <w:tcW w:type="dxa" w:w="1397"/>
            <w:tcBorders>
              <w:top w:val="none" w:color="000000" w:sz="4"/>
              <w:left w:val="single" w:color="000000" w:sz="4"/>
              <w:bottom w:val="single" w:color="000000" w:sz="4"/>
              <w:right w:val="single" w:color="000000" w:sz="4"/>
            </w:tcBorders>
            <w:vAlign w:val="top"/>
          </w:tcPr>
          <w:p>
            <w:pPr>
              <w:jc w:val="both"/>
            </w:pPr>
          </w:p>
        </w:tc>
        <w:tc>
          <w:tcPr>
            <w:tcW w:type="dxa" w:w="833"/>
            <w:tcBorders>
              <w:top w:val="none" w:color="000000" w:sz="4"/>
              <w:left w:val="single" w:color="000000" w:sz="4"/>
              <w:bottom w:val="single" w:color="000000" w:sz="4"/>
              <w:right w:val="single" w:color="000000" w:sz="4"/>
            </w:tcBorders>
            <w:vAlign w:val="top"/>
          </w:tcPr>
          <w:p>
            <w:pPr>
              <w:jc w:val="both"/>
            </w:pPr>
          </w:p>
        </w:tc>
        <w:tc>
          <w:tcPr>
            <w:tcW w:type="dxa" w:w="967"/>
            <w:tcBorders>
              <w:top w:val="none" w:color="000000" w:sz="4"/>
              <w:left w:val="single" w:color="000000" w:sz="4"/>
              <w:bottom w:val="single" w:color="000000" w:sz="4"/>
              <w:right w:val="single" w:color="000000" w:sz="4"/>
            </w:tcBorders>
            <w:vAlign w:val="top"/>
          </w:tcPr>
          <w:p>
            <w:pPr>
              <w:jc w:val="both"/>
            </w:pPr>
          </w:p>
        </w:tc>
        <w:tc>
          <w:tcPr>
            <w:tcW w:type="dxa" w:w="967"/>
            <w:tcBorders>
              <w:top w:val="none" w:color="000000" w:sz="4"/>
              <w:left w:val="single" w:color="000000" w:sz="4"/>
              <w:bottom w:val="single" w:color="000000" w:sz="4"/>
              <w:right w:val="single" w:color="000000" w:sz="4"/>
            </w:tcBorders>
            <w:vAlign w:val="top"/>
          </w:tcPr>
          <w:p>
            <w:pPr>
              <w:jc w:val="both"/>
            </w:pPr>
          </w:p>
        </w:tc>
        <w:tc>
          <w:tcPr>
            <w:tcW w:type="dxa" w:w="1290"/>
            <w:tcBorders>
              <w:top w:val="none" w:color="000000" w:sz="4"/>
              <w:left w:val="single" w:color="000000" w:sz="4"/>
              <w:bottom w:val="single" w:color="000000" w:sz="4"/>
              <w:right w:val="single" w:color="000000" w:sz="4"/>
            </w:tcBorders>
            <w:vAlign w:val="top"/>
          </w:tcPr>
          <w:p>
            <w:pPr>
              <w:jc w:val="both"/>
            </w:pPr>
          </w:p>
        </w:tc>
        <w:tc>
          <w:tcPr>
            <w:tcW w:type="dxa" w:w="1612"/>
            <w:tcBorders>
              <w:top w:val="none" w:color="000000" w:sz="4"/>
              <w:left w:val="single" w:color="000000" w:sz="4"/>
              <w:bottom w:val="single" w:color="000000" w:sz="4"/>
              <w:right w:val="single" w:color="000000" w:sz="4"/>
            </w:tcBorders>
            <w:vAlign w:val="top"/>
          </w:tcPr>
          <w:p>
            <w:pPr>
              <w:jc w:val="both"/>
            </w:pPr>
          </w:p>
        </w:tc>
      </w:tr>
      <w:tr>
        <w:tc>
          <w:tcPr>
            <w:tcW w:type="dxa" w:w="1209"/>
            <w:tcBorders>
              <w:top w:val="none" w:color="000000" w:sz="4"/>
              <w:left w:val="single" w:color="000000" w:sz="4"/>
              <w:bottom w:val="single" w:color="000000" w:sz="4"/>
              <w:right w:val="single" w:color="000000" w:sz="4"/>
            </w:tcBorders>
            <w:vAlign w:val="top"/>
          </w:tcPr>
          <w:p>
            <w:pPr>
              <w:jc w:val="both"/>
            </w:pPr>
          </w:p>
        </w:tc>
        <w:tc>
          <w:tcPr>
            <w:tcW w:type="dxa" w:w="1397"/>
            <w:tcBorders>
              <w:top w:val="none" w:color="000000" w:sz="4"/>
              <w:left w:val="single" w:color="000000" w:sz="4"/>
              <w:bottom w:val="single" w:color="000000" w:sz="4"/>
              <w:right w:val="single" w:color="000000" w:sz="4"/>
            </w:tcBorders>
            <w:vAlign w:val="top"/>
          </w:tcPr>
          <w:p>
            <w:pPr>
              <w:jc w:val="both"/>
            </w:pPr>
          </w:p>
        </w:tc>
        <w:tc>
          <w:tcPr>
            <w:tcW w:type="dxa" w:w="833"/>
            <w:tcBorders>
              <w:top w:val="none" w:color="000000" w:sz="4"/>
              <w:left w:val="single" w:color="000000" w:sz="4"/>
              <w:bottom w:val="single" w:color="000000" w:sz="4"/>
              <w:right w:val="single" w:color="000000" w:sz="4"/>
            </w:tcBorders>
            <w:vAlign w:val="top"/>
          </w:tcPr>
          <w:p>
            <w:pPr>
              <w:jc w:val="both"/>
            </w:pPr>
          </w:p>
        </w:tc>
        <w:tc>
          <w:tcPr>
            <w:tcW w:type="dxa" w:w="967"/>
            <w:tcBorders>
              <w:top w:val="none" w:color="000000" w:sz="4"/>
              <w:left w:val="single" w:color="000000" w:sz="4"/>
              <w:bottom w:val="single" w:color="000000" w:sz="4"/>
              <w:right w:val="single" w:color="000000" w:sz="4"/>
            </w:tcBorders>
            <w:vAlign w:val="top"/>
          </w:tcPr>
          <w:p>
            <w:pPr>
              <w:jc w:val="both"/>
            </w:pPr>
          </w:p>
        </w:tc>
        <w:tc>
          <w:tcPr>
            <w:tcW w:type="dxa" w:w="967"/>
            <w:tcBorders>
              <w:top w:val="none" w:color="000000" w:sz="4"/>
              <w:left w:val="single" w:color="000000" w:sz="4"/>
              <w:bottom w:val="single" w:color="000000" w:sz="4"/>
              <w:right w:val="single" w:color="000000" w:sz="4"/>
            </w:tcBorders>
            <w:vAlign w:val="top"/>
          </w:tcPr>
          <w:p>
            <w:pPr>
              <w:jc w:val="both"/>
            </w:pPr>
          </w:p>
        </w:tc>
        <w:tc>
          <w:tcPr>
            <w:tcW w:type="dxa" w:w="1290"/>
            <w:tcBorders>
              <w:top w:val="none" w:color="000000" w:sz="4"/>
              <w:left w:val="single" w:color="000000" w:sz="4"/>
              <w:bottom w:val="single" w:color="000000" w:sz="4"/>
              <w:right w:val="single" w:color="000000" w:sz="4"/>
            </w:tcBorders>
            <w:vAlign w:val="top"/>
          </w:tcPr>
          <w:p>
            <w:pPr>
              <w:jc w:val="both"/>
            </w:pPr>
          </w:p>
        </w:tc>
        <w:tc>
          <w:tcPr>
            <w:tcW w:type="dxa" w:w="1612"/>
            <w:tcBorders>
              <w:top w:val="none" w:color="000000" w:sz="4"/>
              <w:left w:val="single" w:color="000000" w:sz="4"/>
              <w:bottom w:val="single" w:color="000000" w:sz="4"/>
              <w:right w:val="single" w:color="000000" w:sz="4"/>
            </w:tcBorders>
            <w:vAlign w:val="top"/>
          </w:tcPr>
          <w:p>
            <w:pPr>
              <w:jc w:val="both"/>
            </w:pPr>
          </w:p>
        </w:tc>
      </w:tr>
    </w:tbl>
    <w:p>
      <w:pPr>
        <w:ind w:firstLine="420"/>
        <w:jc w:val="left"/>
      </w:pPr>
      <w:r>
        <w:rPr>
          <w:sz w:val="24"/>
        </w:rPr>
        <w:t>以上货物具体的供货范围、技术规格和技术要求详见合同附件。</w:t>
      </w:r>
    </w:p>
    <w:p>
      <w:pPr>
        <w:jc w:val="left"/>
      </w:pPr>
      <w:r>
        <w:rPr>
          <w:b/>
          <w:sz w:val="24"/>
        </w:rPr>
        <w:t>二、合同合计</w:t>
      </w:r>
    </w:p>
    <w:p>
      <w:pPr>
        <w:ind w:firstLine="420"/>
        <w:jc w:val="left"/>
      </w:pPr>
      <w:r>
        <w:rPr>
          <w:sz w:val="24"/>
        </w:rPr>
        <w:t>合同合计：人民币（大写）</w:t>
      </w:r>
      <w:r>
        <w:rPr>
          <w:sz w:val="24"/>
          <w:u w:val="single"/>
        </w:rPr>
        <w:t xml:space="preserve">               </w:t>
      </w:r>
      <w:r>
        <w:rPr>
          <w:sz w:val="24"/>
        </w:rPr>
        <w:t>（￥</w:t>
      </w:r>
      <w:r>
        <w:rPr>
          <w:sz w:val="24"/>
          <w:u w:val="single"/>
        </w:rPr>
        <w:t xml:space="preserve">         </w:t>
      </w:r>
      <w:r>
        <w:rPr>
          <w:sz w:val="24"/>
        </w:rPr>
        <w:t>）。该合同总价为含税全包价，包括完成本本项目测试、运输、安装调试、验收、培训等一切不可预见费用。</w:t>
      </w:r>
    </w:p>
    <w:p>
      <w:pPr>
        <w:jc w:val="left"/>
      </w:pPr>
      <w:r>
        <w:rPr>
          <w:b/>
          <w:sz w:val="24"/>
        </w:rPr>
        <w:t>三、项目地点、交货期</w:t>
      </w:r>
    </w:p>
    <w:p>
      <w:pPr>
        <w:ind w:firstLine="210"/>
        <w:jc w:val="left"/>
      </w:pPr>
      <w:r>
        <w:rPr>
          <w:sz w:val="24"/>
        </w:rPr>
        <w:t>1、交货地点：甲方指定地点。</w:t>
      </w:r>
    </w:p>
    <w:p>
      <w:pPr>
        <w:ind w:firstLine="210"/>
        <w:jc w:val="left"/>
      </w:pPr>
      <w:r>
        <w:rPr>
          <w:sz w:val="24"/>
        </w:rPr>
        <w:t>2、交付使用期：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日前完成整个项目的供货、安装调试、验收合格并交付甲方合法使用。</w:t>
      </w:r>
    </w:p>
    <w:p>
      <w:pPr>
        <w:jc w:val="left"/>
      </w:pPr>
      <w:r>
        <w:rPr>
          <w:b/>
          <w:sz w:val="24"/>
        </w:rPr>
        <w:t>四、供货要求</w:t>
      </w:r>
    </w:p>
    <w:p>
      <w:pPr>
        <w:ind w:firstLine="420"/>
        <w:jc w:val="left"/>
      </w:pPr>
      <w:r>
        <w:rPr>
          <w:sz w:val="24"/>
        </w:rPr>
        <w:t>货物为本次采购前原制造商制造的非淘汰类全新产品，整机无污染，无侵权行为、表面无划损、无任何缺陷隐患，在中国境内可依常规安全合法使用。货物为原厂商未启封全新包装，具出厂合格证，序列号、包装箱号与出厂批号一致，并可追索查阅。应附关键主机设备的用户手册、保修手册、有关单证资料及配备件、随机工具等，设备使用操作及安全须知等重要资料应附有中文说明。</w:t>
      </w:r>
    </w:p>
    <w:p>
      <w:pPr>
        <w:jc w:val="left"/>
      </w:pPr>
      <w:r>
        <w:rPr>
          <w:b/>
          <w:sz w:val="24"/>
        </w:rPr>
        <w:t>五、安装与调试：</w:t>
      </w:r>
      <w:r>
        <w:rPr>
          <w:sz w:val="24"/>
        </w:rPr>
        <w:t>按照甲方要求安装设备并调试到稳定运行。</w:t>
      </w:r>
    </w:p>
    <w:p>
      <w:pPr>
        <w:jc w:val="left"/>
      </w:pPr>
      <w:r>
        <w:rPr>
          <w:b/>
          <w:sz w:val="24"/>
        </w:rPr>
        <w:t>六、验收标准</w:t>
      </w:r>
    </w:p>
    <w:p>
      <w:pPr>
        <w:ind w:firstLine="420"/>
        <w:jc w:val="left"/>
      </w:pPr>
      <w:r>
        <w:rPr>
          <w:sz w:val="24"/>
        </w:rPr>
        <w:t>1、设备安装时，乙方保证所提供的产品是原装正品，未开封使用。</w:t>
      </w:r>
    </w:p>
    <w:p>
      <w:pPr>
        <w:ind w:firstLine="420"/>
        <w:jc w:val="left"/>
      </w:pPr>
      <w:r>
        <w:rPr>
          <w:sz w:val="24"/>
        </w:rPr>
        <w:t>2、乙方必须在合同规定的时间内，以完工验收申请报告形式书面通知甲方以声明工程交付完毕，甲方确认申请报告的第三个工作日为验收开始日，7个工作日内验收完毕。</w:t>
      </w:r>
    </w:p>
    <w:p>
      <w:pPr>
        <w:ind w:firstLine="420"/>
        <w:jc w:val="left"/>
      </w:pPr>
      <w:r>
        <w:rPr>
          <w:sz w:val="24"/>
        </w:rPr>
        <w:t>3、甲方与乙方一起对整个项目依据招标文件和合同要求进行验收；</w:t>
      </w:r>
    </w:p>
    <w:p>
      <w:pPr>
        <w:ind w:firstLine="420"/>
        <w:jc w:val="left"/>
      </w:pPr>
      <w:r>
        <w:rPr>
          <w:sz w:val="24"/>
        </w:rPr>
        <w:t>4、验收合格后由乙方出具验收报告，乙方和甲方代表签字并加盖公章。</w:t>
      </w:r>
    </w:p>
    <w:p>
      <w:pPr>
        <w:jc w:val="left"/>
      </w:pPr>
      <w:r>
        <w:rPr>
          <w:b/>
          <w:sz w:val="24"/>
        </w:rPr>
        <w:t>七、质保期及售后服务</w:t>
      </w:r>
    </w:p>
    <w:p>
      <w:pPr>
        <w:ind w:firstLine="420"/>
        <w:jc w:val="left"/>
      </w:pPr>
      <w:r>
        <w:rPr>
          <w:sz w:val="24"/>
        </w:rPr>
        <w:t>1、质保期：从项目验收合格之日起计算，乙方对所提供的设备要求提供三年免费上门保修服务（含厂家未提供保修的设备及其配件），原厂家有更长保修期限的以厂家提供为准。</w:t>
      </w:r>
    </w:p>
    <w:p>
      <w:pPr>
        <w:ind w:firstLine="420"/>
        <w:jc w:val="left"/>
      </w:pPr>
      <w:r>
        <w:rPr>
          <w:sz w:val="24"/>
        </w:rPr>
        <w:t>2、售后服务：</w:t>
      </w:r>
    </w:p>
    <w:p>
      <w:pPr>
        <w:ind w:firstLine="420"/>
        <w:jc w:val="left"/>
      </w:pPr>
      <w:r>
        <w:rPr>
          <w:sz w:val="24"/>
        </w:rPr>
        <w:t>（1）乙方须提供详细的售后服务承诺，并提供7ⅹ24小时技术支持服务，保修期内设备出现故障，乙方必须在收到使用单位通知后2小时内到达现场处理故障。报修48小时内不能修复的提供不低于相同档次的备用机。</w:t>
      </w:r>
    </w:p>
    <w:p>
      <w:pPr>
        <w:ind w:firstLine="420"/>
        <w:jc w:val="left"/>
      </w:pPr>
      <w:r>
        <w:rPr>
          <w:sz w:val="24"/>
        </w:rPr>
        <w:t>（2）自验收合格日起，乙方负责所有产品的维修、维护和保养等跟踪服务，保修期内不再收取任何费用，维修不能解决的，由乙方按原型号或升级型号进行更换。</w:t>
      </w:r>
    </w:p>
    <w:p>
      <w:pPr>
        <w:ind w:firstLine="420"/>
        <w:jc w:val="left"/>
      </w:pPr>
      <w:r>
        <w:rPr>
          <w:sz w:val="24"/>
        </w:rPr>
        <w:t>（3）所有产品保修服务方式均为乙方上门保修，由此产生的一切费用均由乙方承担。</w:t>
      </w:r>
    </w:p>
    <w:p>
      <w:pPr>
        <w:ind w:firstLine="420"/>
        <w:jc w:val="left"/>
      </w:pPr>
      <w:r>
        <w:rPr>
          <w:sz w:val="24"/>
        </w:rPr>
        <w:t>（4）乙方提供终身上门维修服务，保修期满后需进行维修的只收取材料成本费。</w:t>
      </w:r>
    </w:p>
    <w:p>
      <w:pPr>
        <w:ind w:firstLine="420"/>
        <w:jc w:val="left"/>
      </w:pPr>
      <w:r>
        <w:rPr>
          <w:sz w:val="24"/>
        </w:rPr>
        <w:t>（5）乙方应为用户提供设备的使用和管理的培训。</w:t>
      </w:r>
    </w:p>
    <w:p>
      <w:r>
        <w:rPr>
          <w:b/>
          <w:sz w:val="24"/>
        </w:rPr>
        <w:t>八、付款方式</w:t>
      </w:r>
    </w:p>
    <w:p>
      <w:pPr>
        <w:ind w:firstLine="420"/>
        <w:jc w:val="left"/>
      </w:pPr>
      <w:r>
        <w:rPr>
          <w:sz w:val="24"/>
        </w:rPr>
        <w:t>1、签订合后，甲方向乙方支付30%的预付款，项目实施完成验收后支付20%的进度款，剩余资金将在2023年6月30号之前安排付清。</w:t>
      </w:r>
    </w:p>
    <w:p>
      <w:pPr>
        <w:ind w:firstLine="420"/>
        <w:jc w:val="left"/>
      </w:pPr>
      <w:r>
        <w:rPr>
          <w:sz w:val="24"/>
        </w:rPr>
        <w:t>2、乙方凭以下有效文件与甲方结算:</w:t>
      </w:r>
    </w:p>
    <w:p>
      <w:pPr>
        <w:ind w:firstLine="420"/>
        <w:jc w:val="left"/>
      </w:pPr>
      <w:r>
        <w:rPr>
          <w:sz w:val="24"/>
        </w:rPr>
        <w:t>（1）合同；</w:t>
      </w:r>
    </w:p>
    <w:p>
      <w:pPr>
        <w:ind w:firstLine="420"/>
        <w:jc w:val="left"/>
      </w:pPr>
      <w:r>
        <w:rPr>
          <w:sz w:val="24"/>
        </w:rPr>
        <w:t>（2）乙方开具的正式发票；</w:t>
      </w:r>
    </w:p>
    <w:p>
      <w:pPr>
        <w:ind w:firstLine="420"/>
        <w:jc w:val="left"/>
      </w:pPr>
      <w:r>
        <w:rPr>
          <w:sz w:val="24"/>
        </w:rPr>
        <w:t>（3）验收报告(加盖甲方公章)；</w:t>
      </w:r>
    </w:p>
    <w:p>
      <w:pPr>
        <w:ind w:firstLine="420"/>
        <w:jc w:val="left"/>
      </w:pPr>
      <w:r>
        <w:rPr>
          <w:sz w:val="24"/>
        </w:rPr>
        <w:t>（4）成交通知书。</w:t>
      </w:r>
    </w:p>
    <w:p>
      <w:pPr>
        <w:ind w:firstLine="420"/>
        <w:jc w:val="left"/>
      </w:pPr>
      <w:r>
        <w:rPr>
          <w:sz w:val="24"/>
        </w:rPr>
        <w:t>3、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jc w:val="left"/>
      </w:pPr>
      <w:r>
        <w:rPr>
          <w:b/>
          <w:sz w:val="24"/>
        </w:rPr>
        <w:t>九、违约责任</w:t>
      </w:r>
    </w:p>
    <w:p>
      <w:pPr>
        <w:ind w:firstLine="210"/>
        <w:jc w:val="left"/>
      </w:pPr>
      <w:r>
        <w:rPr>
          <w:sz w:val="24"/>
        </w:rPr>
        <w:t>1、乙方逾期交货，则按合同总价每天</w:t>
      </w:r>
      <w:r>
        <w:rPr>
          <w:sz w:val="24"/>
          <w:u w:val="single"/>
        </w:rPr>
        <w:t xml:space="preserve">   </w:t>
      </w:r>
      <w:r>
        <w:rPr>
          <w:sz w:val="24"/>
        </w:rPr>
        <w:t>‰支付违约金给甲方。如超过合同规定交付使用期天数乙方仍不能交货完毕，则视为乙方不能交货。</w:t>
      </w:r>
    </w:p>
    <w:p>
      <w:pPr>
        <w:ind w:firstLine="210"/>
        <w:jc w:val="left"/>
      </w:pPr>
      <w:r>
        <w:rPr>
          <w:sz w:val="24"/>
        </w:rPr>
        <w:t>2、乙方不能交货，则按合同总价</w:t>
      </w:r>
      <w:r>
        <w:rPr>
          <w:sz w:val="24"/>
          <w:u w:val="single"/>
        </w:rPr>
        <w:t xml:space="preserve">   </w:t>
      </w:r>
      <w:r>
        <w:rPr>
          <w:sz w:val="24"/>
        </w:rPr>
        <w:t>%支付违约金给甲方。同时，甲方有权单方面解除合同。如上述违约金金额仍不足以补偿甲方因乙方违约造成的损失，甲方有权进一步向乙方提出索赔。</w:t>
      </w:r>
    </w:p>
    <w:p>
      <w:pPr>
        <w:ind w:firstLine="210"/>
        <w:jc w:val="left"/>
      </w:pPr>
      <w:r>
        <w:rPr>
          <w:sz w:val="24"/>
        </w:rPr>
        <w:t>3、货物未能一次性通过验收，则甲方同意由乙方予以整改，并在第一次验收结束之日起天内重新组织验收；经次验收不合格的，甲方有权单方面解除合同。如因此给甲方造成损失的，甲方有权向乙方提出索赔。</w:t>
      </w:r>
    </w:p>
    <w:p>
      <w:pPr>
        <w:ind w:firstLine="210"/>
        <w:jc w:val="left"/>
      </w:pPr>
      <w:r>
        <w:rPr>
          <w:sz w:val="24"/>
        </w:rPr>
        <w:t>4、如果甲方逾期付款，则按拖欠金额每天</w:t>
      </w:r>
      <w:r>
        <w:rPr>
          <w:sz w:val="24"/>
          <w:u w:val="single"/>
        </w:rPr>
        <w:t xml:space="preserve">   </w:t>
      </w:r>
      <w:r>
        <w:rPr>
          <w:sz w:val="24"/>
        </w:rPr>
        <w:t>‰支付违约金给乙方，直至该款付清为止。但由于财政拨款不到位而导致甲方逾期付款的，甲方不承担违约责任，并且此情况不能成为乙方延期交货及服务的理由。</w:t>
      </w:r>
    </w:p>
    <w:p>
      <w:pPr>
        <w:ind w:firstLine="210"/>
        <w:jc w:val="left"/>
      </w:pPr>
      <w:r>
        <w:rPr>
          <w:sz w:val="24"/>
        </w:rPr>
        <w:t>5、甲方解除合同，乙方须在接到甲方解约通知之日起天内退回甲方已支付的价款。</w:t>
      </w:r>
    </w:p>
    <w:p>
      <w:pPr>
        <w:jc w:val="left"/>
      </w:pPr>
      <w:r>
        <w:rPr>
          <w:b/>
          <w:sz w:val="24"/>
        </w:rPr>
        <w:t>十、争议的解决</w:t>
      </w:r>
    </w:p>
    <w:p>
      <w:pPr>
        <w:ind w:firstLine="210"/>
        <w:jc w:val="left"/>
      </w:pPr>
      <w:r>
        <w:rPr>
          <w:sz w:val="24"/>
        </w:rPr>
        <w:t>1、因货物的质量问题而发生的争议，由广东省或韶关质检部门进行质量鉴定。经检验，质量符合标准的，鉴定费用由甲方承担；质量不符合标准的，鉴定费用由乙方承担，并且乙方负责重新提供符合合同要求的货物给甲方，由此造成延期供货的，乙方承担延期供货的违约责任。</w:t>
      </w:r>
    </w:p>
    <w:p>
      <w:pPr>
        <w:ind w:firstLine="210"/>
        <w:jc w:val="left"/>
      </w:pPr>
      <w:r>
        <w:rPr>
          <w:sz w:val="24"/>
        </w:rPr>
        <w:t>2、本合同发生争议，由双方协商或由政府采购监督管理部门调解解决，协商或调解不成时按以下第种方式解决（请选择）：</w:t>
      </w:r>
    </w:p>
    <w:p>
      <w:pPr>
        <w:ind w:firstLine="210"/>
        <w:jc w:val="left"/>
      </w:pPr>
      <w:r>
        <w:rPr>
          <w:sz w:val="24"/>
        </w:rPr>
        <w:t>（1）韶关市仲裁委员会仲裁。</w:t>
      </w:r>
    </w:p>
    <w:p>
      <w:pPr>
        <w:ind w:firstLine="210"/>
        <w:jc w:val="left"/>
      </w:pPr>
      <w:r>
        <w:rPr>
          <w:sz w:val="24"/>
        </w:rPr>
        <w:t>（2）向有管辖权的人民法院提起诉讼。（本合同的诉讼管辖地为韶关有管辖权的法院）（在仲裁或诉讼期间，除有争议部分的事项外，合同其他部分仍应继续履行）。</w:t>
      </w:r>
    </w:p>
    <w:p>
      <w:pPr>
        <w:jc w:val="left"/>
      </w:pPr>
      <w:r>
        <w:rPr>
          <w:b/>
          <w:sz w:val="24"/>
        </w:rPr>
        <w:t>十一、不可抗力</w:t>
      </w:r>
    </w:p>
    <w:p>
      <w:pPr>
        <w:ind w:firstLine="420"/>
        <w:jc w:val="left"/>
      </w:pPr>
      <w:r>
        <w:rPr>
          <w:sz w:val="24"/>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jc w:val="left"/>
      </w:pPr>
      <w:r>
        <w:rPr>
          <w:b/>
          <w:sz w:val="24"/>
        </w:rPr>
        <w:t>十二、税费</w:t>
      </w:r>
    </w:p>
    <w:p>
      <w:pPr>
        <w:jc w:val="left"/>
      </w:pPr>
      <w:r>
        <w:rPr>
          <w:sz w:val="24"/>
        </w:rPr>
        <w:t xml:space="preserve">    在中国境内、外发生的与本合同执行有关的一切税费均由乙方负担。</w:t>
      </w:r>
    </w:p>
    <w:p>
      <w:pPr>
        <w:jc w:val="left"/>
      </w:pPr>
      <w:r>
        <w:rPr>
          <w:b/>
          <w:sz w:val="24"/>
        </w:rPr>
        <w:t>十三、其它</w:t>
      </w:r>
    </w:p>
    <w:p>
      <w:pPr>
        <w:ind w:firstLine="210"/>
        <w:jc w:val="left"/>
      </w:pPr>
      <w:r>
        <w:rPr>
          <w:sz w:val="24"/>
        </w:rPr>
        <w:t>1、本合同所有附件、竞争性磋商文件、响应文件、成交通知书均为合同的有效组成部分，与本合同具有同等法律效力。解释的顺序除特别说明外，以文件生成时间在后的为准。</w:t>
      </w:r>
    </w:p>
    <w:p>
      <w:pPr>
        <w:ind w:firstLine="210"/>
        <w:jc w:val="left"/>
      </w:pPr>
      <w:r>
        <w:rPr>
          <w:sz w:val="24"/>
        </w:rPr>
        <w:t>2、在执行本合同的过程中，所有经双方签署确认的文件（包括会议纪要、补充协议、往来信函）即成为本合同的有效组成部分。</w:t>
      </w:r>
    </w:p>
    <w:p>
      <w:pPr>
        <w:ind w:firstLine="210"/>
        <w:jc w:val="left"/>
      </w:pPr>
      <w:r>
        <w:rPr>
          <w:sz w:val="24"/>
        </w:rPr>
        <w:t>3、如一方地址、电话、传真号码有变更，应在变更当日内书面通知对方，否则，应承担相应责任。</w:t>
      </w:r>
    </w:p>
    <w:p>
      <w:pPr>
        <w:ind w:firstLine="210"/>
        <w:jc w:val="left"/>
      </w:pPr>
      <w:r>
        <w:rPr>
          <w:sz w:val="24"/>
        </w:rPr>
        <w:t>4、除甲方事先书面同意外，乙方不得部分或全部转让其应履行的合同项下的义务。</w:t>
      </w:r>
    </w:p>
    <w:p>
      <w:pPr>
        <w:jc w:val="left"/>
      </w:pPr>
      <w:r>
        <w:rPr>
          <w:b/>
          <w:sz w:val="24"/>
        </w:rPr>
        <w:t>十四、合同生效</w:t>
      </w:r>
    </w:p>
    <w:p>
      <w:pPr>
        <w:ind w:firstLine="210"/>
        <w:jc w:val="left"/>
      </w:pPr>
      <w:r>
        <w:rPr>
          <w:sz w:val="24"/>
        </w:rPr>
        <w:t>1、本合同经双方授权代表签字并加盖合同专用章或公章之日起生效，合同生效日期以最后一个签字日为准。</w:t>
      </w:r>
    </w:p>
    <w:p>
      <w:pPr>
        <w:ind w:firstLine="210"/>
        <w:jc w:val="left"/>
      </w:pPr>
      <w:r>
        <w:rPr>
          <w:sz w:val="24"/>
        </w:rPr>
        <w:t>2、本合同一式</w:t>
      </w:r>
      <w:r>
        <w:rPr>
          <w:sz w:val="24"/>
          <w:u w:val="single"/>
        </w:rPr>
        <w:t xml:space="preserve">   </w:t>
      </w:r>
      <w:r>
        <w:rPr>
          <w:sz w:val="24"/>
        </w:rPr>
        <w:t>份，甲方</w:t>
      </w:r>
      <w:r>
        <w:rPr>
          <w:sz w:val="24"/>
          <w:u w:val="single"/>
        </w:rPr>
        <w:t xml:space="preserve">执    </w:t>
      </w:r>
      <w:r>
        <w:rPr>
          <w:sz w:val="24"/>
        </w:rPr>
        <w:t>份、乙方执</w:t>
      </w:r>
      <w:r>
        <w:rPr>
          <w:sz w:val="24"/>
          <w:u w:val="single"/>
        </w:rPr>
        <w:t xml:space="preserve">   </w:t>
      </w:r>
      <w:r>
        <w:rPr>
          <w:sz w:val="24"/>
        </w:rPr>
        <w:t>份（其中送采购代理机构壹份备案），均具有同等法律效力。</w:t>
      </w:r>
    </w:p>
    <w:p>
      <w:pPr>
        <w:jc w:val="left"/>
      </w:pPr>
    </w:p>
    <w:p>
      <w:pPr>
        <w:jc w:val="left"/>
      </w:pPr>
      <w:r>
        <w:rPr>
          <w:sz w:val="24"/>
        </w:rPr>
        <w:t>甲方（盖章）：                      乙方（盖章）：</w:t>
      </w:r>
    </w:p>
    <w:p>
      <w:pPr>
        <w:jc w:val="left"/>
      </w:pPr>
      <w:r>
        <w:rPr>
          <w:sz w:val="24"/>
        </w:rPr>
        <w:t>代表：                             代表：</w:t>
      </w:r>
    </w:p>
    <w:p>
      <w:pPr>
        <w:jc w:val="left"/>
      </w:pPr>
      <w:r>
        <w:rPr>
          <w:sz w:val="24"/>
        </w:rPr>
        <w:t xml:space="preserve">地址：                             地址：             </w:t>
      </w:r>
    </w:p>
    <w:p>
      <w:pPr>
        <w:jc w:val="left"/>
      </w:pPr>
      <w:r>
        <w:rPr>
          <w:sz w:val="24"/>
        </w:rPr>
        <w:t xml:space="preserve">联系人：                           联系人：                        </w:t>
      </w:r>
    </w:p>
    <w:p>
      <w:pPr>
        <w:jc w:val="both"/>
      </w:pPr>
      <w:r>
        <w:rPr>
          <w:sz w:val="24"/>
        </w:rPr>
        <w:t xml:space="preserve">电话：                             电话：              </w:t>
      </w:r>
    </w:p>
    <w:p>
      <w:pPr>
        <w:jc w:val="both"/>
      </w:pP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440201-2022-01841</w:t>
      </w:r>
    </w:p>
    <w:p>
      <w:pPr>
        <w:jc w:val="center"/>
      </w:pPr>
      <w:r>
        <w:rPr>
          <w:b/>
          <w:sz w:val="24"/>
        </w:rPr>
        <w:t>采购项目编号：</w:t>
      </w:r>
      <w:r>
        <w:rPr>
          <w:b/>
          <w:sz w:val="24"/>
        </w:rPr>
        <w:t>GDYD220885</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广东远东招标代理有限公司韶关分公司</w:t>
      </w:r>
    </w:p>
    <w:p>
      <w:pPr>
        <w:ind w:firstLine="480"/>
      </w:pPr>
      <w:r>
        <w:rPr/>
        <w:t>你方组织的</w:t>
      </w:r>
      <w:r>
        <w:rPr>
          <w:u w:val="single"/>
        </w:rPr>
        <w:t>韶州中学教育教学设施设备采购之课室纳米黑板、课室云班牌、办公室云办公系统项目</w:t>
      </w:r>
      <w:r>
        <w:rPr/>
        <w:t>项目的竞争性磋商[采购项目编号为：</w:t>
      </w:r>
      <w:r>
        <w:rPr>
          <w:u w:val="single"/>
        </w:rPr>
        <w:t>GDYD220885</w:t>
      </w:r>
      <w:r>
        <w:rPr/>
        <w:t>]，我方愿参与响应。</w:t>
      </w:r>
    </w:p>
    <w:p>
      <w:pPr>
        <w:ind w:firstLine="480"/>
      </w:pPr>
      <w:r>
        <w:rPr/>
        <w:t>我方确认收到贵方提供的</w:t>
      </w:r>
      <w:r>
        <w:rPr>
          <w:u w:val="single"/>
        </w:rPr>
        <w:t>韶州中学教育教学设施设备采购之课室纳米黑板、课室云班牌、办公室云办公系统项目</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按照政府采购有关政策的要求，在本次的技术方案中，采用符合政策的小型或微型企业产品、节能产品、环保标志产品，主要产品与核心技术介绍说明如下：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环保标志产品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2.“节能产品、环保标志产品”须填写认证证书编号，并在对应“节能产品”、“环保标志产品”栏中勾选，同时提供有效期内的证书复印件（加盖供应商公章）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广东远东招标代理有限公司韶关分公司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韶州中学教育教学设施设备采购之课室纳米黑板、课室云班牌、办公室云办公系统项目</w:t>
      </w:r>
      <w:r>
        <w:rPr/>
        <w:t>项目采购[采购项目编号为</w:t>
      </w:r>
      <w:r>
        <w:rPr/>
        <w:t>GDYD220885</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设备及专业技术能力情况表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pPr>
              <w:jc w:val="center"/>
            </w:pPr>
            <w:r>
              <w:rPr/>
              <w:t>1</w:t>
            </w:r>
          </w:p>
        </w:tc>
        <w:tc>
          <w:tcPr>
            <w:tcW w:type="dxa" w:w="2076"/>
          </w:tcPr>
          <w:p/>
        </w:tc>
        <w:tc>
          <w:tcPr>
            <w:tcW w:type="dxa" w:w="2076"/>
          </w:tcPr>
          <w:p/>
        </w:tc>
        <w:tc>
          <w:tcPr>
            <w:tcW w:type="dxa" w:w="2076"/>
          </w:tcPr>
          <w:p/>
        </w:tc>
      </w:tr>
      <w:tr>
        <w:tc>
          <w:tcPr>
            <w:tcW w:type="dxa" w:w="2076"/>
          </w:tcPr>
          <w:p>
            <w:pPr>
              <w:jc w:val="center"/>
            </w:pPr>
            <w:r>
              <w:rPr/>
              <w:t>2</w:t>
            </w:r>
          </w:p>
        </w:tc>
        <w:tc>
          <w:tcPr>
            <w:tcW w:type="dxa" w:w="2076"/>
          </w:tcPr>
          <w:p/>
        </w:tc>
        <w:tc>
          <w:tcPr>
            <w:tcW w:type="dxa" w:w="2076"/>
          </w:tcPr>
          <w:p/>
        </w:tc>
        <w:tc>
          <w:tcPr>
            <w:tcW w:type="dxa" w:w="2076"/>
          </w:tcPr>
          <w:p/>
        </w:tc>
      </w:tr>
      <w:tr>
        <w:tc>
          <w:tcPr>
            <w:tcW w:type="dxa" w:w="2076"/>
          </w:tcPr>
          <w:p>
            <w:pPr>
              <w:jc w:val="center"/>
            </w:pPr>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韶州中学</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广东远东招标代理有限公司韶关分公司</w:t>
      </w:r>
    </w:p>
    <w:p>
      <w:pPr>
        <w:ind w:firstLine="480"/>
      </w:pPr>
      <w:r>
        <w:rPr/>
        <w:t>我单位参加贵公司组织的</w:t>
      </w:r>
      <w:r>
        <w:rPr/>
        <w:t>韶州中学教育教学设施设备采购之课室纳米黑板、课室云班牌、办公室云办公系统项目</w:t>
      </w:r>
      <w:r>
        <w:rPr/>
        <w:t>（采购项目编号：</w:t>
      </w:r>
      <w:r>
        <w:rPr/>
        <w:t>GDYD220885</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3、如我公司被选为成交供应商，在成交结果公示后3日内向采购代理机构指定帐户缴付代理服务费。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广东远东招标代理有限公司韶关分公司</w:t>
      </w:r>
    </w:p>
    <w:p>
      <w:pPr>
        <w:ind w:firstLine="480"/>
      </w:pPr>
      <w:r>
        <w:rPr/>
        <w:t>我单位已登记并准备参与</w:t>
      </w:r>
      <w:r>
        <w:rPr/>
        <w:t>韶州中学教育教学设施设备采购之课室纳米黑板、课室云班牌、办公室云办公系统项目</w:t>
      </w:r>
      <w:r>
        <w:rPr/>
        <w:t>项目（采购项目编号：</w:t>
      </w:r>
      <w:r>
        <w:rPr/>
        <w:t>GDYD220885</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