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C03C8">
      <w:pPr>
        <w:pStyle w:val="21"/>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lang w:eastAsia="zh-CN"/>
        </w:rPr>
      </w:pPr>
      <w:bookmarkStart w:id="287" w:name="_GoBack"/>
      <w:bookmarkEnd w:id="287"/>
    </w:p>
    <w:p w14:paraId="693BC65E">
      <w:pPr>
        <w:pStyle w:val="21"/>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lang w:eastAsia="zh-CN"/>
        </w:rPr>
      </w:pPr>
    </w:p>
    <w:p w14:paraId="281143C0">
      <w:pPr>
        <w:pStyle w:val="21"/>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lang w:eastAsia="zh-CN"/>
        </w:rPr>
      </w:pPr>
    </w:p>
    <w:p w14:paraId="3077016D">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b/>
          <w:color w:val="auto"/>
          <w:sz w:val="48"/>
          <w:highlight w:val="none"/>
        </w:rPr>
      </w:pPr>
      <w:r>
        <w:rPr>
          <w:rFonts w:hint="eastAsia" w:ascii="Times New Roman" w:hAnsi="Times New Roman" w:cs="Times New Roman"/>
          <w:b/>
          <w:color w:val="auto"/>
          <w:sz w:val="48"/>
          <w:highlight w:val="none"/>
          <w:lang w:eastAsia="zh-CN"/>
        </w:rPr>
        <w:t>佛山市高明区人民法院执行案件集约化送达服务项目</w:t>
      </w:r>
    </w:p>
    <w:p w14:paraId="28B5D61A">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b/>
          <w:color w:val="auto"/>
          <w:sz w:val="48"/>
          <w:highlight w:val="none"/>
        </w:rPr>
      </w:pPr>
    </w:p>
    <w:p w14:paraId="1FABD922">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b/>
          <w:color w:val="auto"/>
          <w:sz w:val="48"/>
          <w:highlight w:val="none"/>
          <w:lang w:eastAsia="zh-CN"/>
        </w:rPr>
      </w:pPr>
      <w:r>
        <w:rPr>
          <w:rFonts w:hint="default" w:ascii="Times New Roman" w:hAnsi="Times New Roman" w:cs="Times New Roman" w:eastAsiaTheme="minorEastAsia"/>
          <w:b/>
          <w:color w:val="auto"/>
          <w:sz w:val="48"/>
          <w:highlight w:val="none"/>
        </w:rPr>
        <w:t>竞 争 性 磋 商 文 件</w:t>
      </w:r>
    </w:p>
    <w:p w14:paraId="2D3FAA9A">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b/>
          <w:color w:val="auto"/>
          <w:sz w:val="48"/>
          <w:highlight w:val="none"/>
          <w:lang w:eastAsia="zh-CN"/>
        </w:rPr>
      </w:pPr>
    </w:p>
    <w:p w14:paraId="752A2D9D">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1B0DEFAD">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7E9D384E">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2CFD8A2C">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41FFF114">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4873728E">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280DBAC9">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22B1AA49">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303752AB">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7288EAA6">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6DDE5E66">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718F3633">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4D56459A">
      <w:pPr>
        <w:pStyle w:val="21"/>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color w:val="auto"/>
          <w:highlight w:val="none"/>
          <w:lang w:eastAsia="zh-CN"/>
        </w:rPr>
      </w:pPr>
    </w:p>
    <w:p w14:paraId="5D82451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outlineLvl w:val="9"/>
        <w:rPr>
          <w:rFonts w:hint="default" w:ascii="Times New Roman" w:hAnsi="Times New Roman" w:cs="Times New Roman" w:eastAsiaTheme="minorEastAsia"/>
          <w:color w:val="auto"/>
          <w:highlight w:val="none"/>
          <w:lang w:eastAsia="zh-CN"/>
        </w:rPr>
      </w:pPr>
    </w:p>
    <w:p w14:paraId="45CD61D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outlineLvl w:val="9"/>
        <w:rPr>
          <w:rFonts w:hint="default" w:ascii="Times New Roman" w:hAnsi="Times New Roman" w:cs="Times New Roman" w:eastAsiaTheme="minorEastAsia"/>
          <w:color w:val="auto"/>
          <w:highlight w:val="none"/>
        </w:rPr>
      </w:pPr>
    </w:p>
    <w:p w14:paraId="24BAF70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outlineLvl w:val="0"/>
        <w:rPr>
          <w:rFonts w:hint="default" w:ascii="Times New Roman" w:hAnsi="Times New Roman" w:cs="Times New Roman" w:eastAsiaTheme="minorEastAsia"/>
          <w:color w:val="auto"/>
          <w:sz w:val="28"/>
          <w:szCs w:val="28"/>
          <w:highlight w:val="none"/>
          <w:lang w:eastAsia="zh-CN"/>
        </w:rPr>
      </w:pPr>
      <w:bookmarkStart w:id="0" w:name="_Toc21600"/>
      <w:bookmarkStart w:id="1" w:name="_Toc6693"/>
      <w:r>
        <w:rPr>
          <w:rFonts w:hint="default" w:ascii="Times New Roman" w:hAnsi="Times New Roman" w:cs="Times New Roman" w:eastAsiaTheme="minorEastAsia"/>
          <w:b/>
          <w:color w:val="auto"/>
          <w:sz w:val="28"/>
          <w:szCs w:val="28"/>
          <w:highlight w:val="none"/>
        </w:rPr>
        <w:t>采购项目编号：</w:t>
      </w:r>
      <w:bookmarkEnd w:id="0"/>
      <w:bookmarkEnd w:id="1"/>
      <w:r>
        <w:rPr>
          <w:rFonts w:hint="eastAsia" w:ascii="Times New Roman" w:hAnsi="Times New Roman" w:cs="Times New Roman"/>
          <w:b/>
          <w:color w:val="auto"/>
          <w:sz w:val="28"/>
          <w:szCs w:val="28"/>
          <w:highlight w:val="none"/>
          <w:lang w:eastAsia="zh-CN"/>
        </w:rPr>
        <w:t>GDYD240563</w:t>
      </w:r>
    </w:p>
    <w:p w14:paraId="51732E0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outlineLvl w:val="0"/>
        <w:rPr>
          <w:rFonts w:hint="default" w:ascii="Times New Roman" w:hAnsi="Times New Roman" w:cs="Times New Roman" w:eastAsiaTheme="minorEastAsia"/>
          <w:color w:val="auto"/>
          <w:sz w:val="28"/>
          <w:szCs w:val="28"/>
          <w:highlight w:val="none"/>
          <w:lang w:eastAsia="zh-CN"/>
        </w:rPr>
      </w:pPr>
      <w:bookmarkStart w:id="2" w:name="_Toc9603"/>
      <w:bookmarkStart w:id="3" w:name="_Toc31591"/>
      <w:r>
        <w:rPr>
          <w:rFonts w:hint="default" w:ascii="Times New Roman" w:hAnsi="Times New Roman" w:cs="Times New Roman" w:eastAsiaTheme="minorEastAsia"/>
          <w:b/>
          <w:color w:val="auto"/>
          <w:sz w:val="28"/>
          <w:szCs w:val="28"/>
          <w:highlight w:val="none"/>
        </w:rPr>
        <w:t>采购人：</w:t>
      </w:r>
      <w:bookmarkEnd w:id="2"/>
      <w:bookmarkEnd w:id="3"/>
      <w:r>
        <w:rPr>
          <w:rFonts w:hint="eastAsia" w:ascii="Times New Roman" w:hAnsi="Times New Roman" w:cs="Times New Roman"/>
          <w:b/>
          <w:color w:val="auto"/>
          <w:sz w:val="28"/>
          <w:szCs w:val="28"/>
          <w:highlight w:val="none"/>
          <w:lang w:eastAsia="zh-CN"/>
        </w:rPr>
        <w:t>佛山市高明区人民法院</w:t>
      </w:r>
    </w:p>
    <w:p w14:paraId="30AE481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outlineLvl w:val="9"/>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b/>
          <w:color w:val="auto"/>
          <w:sz w:val="28"/>
          <w:szCs w:val="28"/>
          <w:highlight w:val="none"/>
        </w:rPr>
        <w:t>采购代理机构：</w:t>
      </w:r>
      <w:r>
        <w:rPr>
          <w:rFonts w:hint="default" w:ascii="Times New Roman" w:hAnsi="Times New Roman" w:cs="Times New Roman" w:eastAsiaTheme="minorEastAsia"/>
          <w:b/>
          <w:color w:val="auto"/>
          <w:sz w:val="28"/>
          <w:szCs w:val="28"/>
          <w:highlight w:val="none"/>
          <w:lang w:eastAsia="zh-CN"/>
        </w:rPr>
        <w:t>广东远东招标代理有限公司</w:t>
      </w:r>
    </w:p>
    <w:p w14:paraId="5A516AC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outlineLvl w:val="0"/>
        <w:rPr>
          <w:rFonts w:hint="default" w:ascii="Times New Roman" w:hAnsi="Times New Roman" w:cs="Times New Roman" w:eastAsiaTheme="minorEastAsia"/>
          <w:b/>
          <w:color w:val="auto"/>
          <w:sz w:val="28"/>
          <w:szCs w:val="28"/>
          <w:highlight w:val="none"/>
          <w:lang w:val="en-US" w:eastAsia="zh-CN"/>
        </w:rPr>
      </w:pPr>
      <w:r>
        <w:rPr>
          <w:rFonts w:hint="eastAsia" w:ascii="Times New Roman" w:hAnsi="Times New Roman" w:cs="Times New Roman" w:eastAsiaTheme="minorEastAsia"/>
          <w:b/>
          <w:color w:val="auto"/>
          <w:sz w:val="28"/>
          <w:szCs w:val="28"/>
          <w:highlight w:val="none"/>
          <w:lang w:val="en-US" w:eastAsia="zh-CN"/>
        </w:rPr>
        <w:t>2024年</w:t>
      </w:r>
      <w:r>
        <w:rPr>
          <w:rFonts w:hint="eastAsia" w:ascii="Times New Roman" w:hAnsi="Times New Roman" w:cs="Times New Roman"/>
          <w:b/>
          <w:color w:val="auto"/>
          <w:sz w:val="28"/>
          <w:szCs w:val="28"/>
          <w:highlight w:val="none"/>
          <w:lang w:val="en-US" w:eastAsia="zh-CN"/>
        </w:rPr>
        <w:t>7</w:t>
      </w:r>
      <w:r>
        <w:rPr>
          <w:rFonts w:hint="eastAsia" w:ascii="Times New Roman" w:hAnsi="Times New Roman" w:cs="Times New Roman" w:eastAsiaTheme="minorEastAsia"/>
          <w:b/>
          <w:color w:val="auto"/>
          <w:sz w:val="28"/>
          <w:szCs w:val="28"/>
          <w:highlight w:val="none"/>
          <w:lang w:val="en-US" w:eastAsia="zh-CN"/>
        </w:rPr>
        <w:t>月</w:t>
      </w:r>
    </w:p>
    <w:p w14:paraId="16A447FC">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36"/>
          <w:highlight w:val="none"/>
        </w:rPr>
      </w:pPr>
      <w:r>
        <w:rPr>
          <w:rFonts w:hint="default" w:ascii="Times New Roman" w:hAnsi="Times New Roman" w:cs="Times New Roman" w:eastAsiaTheme="minorEastAsia"/>
          <w:b/>
          <w:color w:val="auto"/>
          <w:sz w:val="36"/>
          <w:highlight w:val="none"/>
        </w:rPr>
        <w:br w:type="page"/>
      </w:r>
    </w:p>
    <w:sdt>
      <w:sdtPr>
        <w:rPr>
          <w:rFonts w:hint="default" w:ascii="Times New Roman" w:hAnsi="Times New Roman" w:cs="Times New Roman" w:eastAsiaTheme="minorEastAsia"/>
          <w:b/>
          <w:bCs/>
          <w:color w:val="auto"/>
          <w:kern w:val="2"/>
          <w:sz w:val="21"/>
          <w:szCs w:val="24"/>
          <w:highlight w:val="none"/>
          <w:lang w:val="en-US" w:eastAsia="zh-CN" w:bidi="ar-SA"/>
        </w:rPr>
        <w:id w:val="147483314"/>
        <w15:color w:val="DBDBDB"/>
        <w:docPartObj>
          <w:docPartGallery w:val="Table of Contents"/>
          <w:docPartUnique/>
        </w:docPartObj>
      </w:sdtPr>
      <w:sdtEndPr>
        <w:rPr>
          <w:rFonts w:hint="default" w:ascii="Times New Roman" w:hAnsi="Times New Roman" w:cs="Times New Roman" w:eastAsiaTheme="minorEastAsia"/>
          <w:b/>
          <w:bCs/>
          <w:color w:val="auto"/>
          <w:kern w:val="2"/>
          <w:sz w:val="21"/>
          <w:szCs w:val="24"/>
          <w:highlight w:val="none"/>
          <w:lang w:val="en-US" w:eastAsia="zh-CN" w:bidi="ar-SA"/>
        </w:rPr>
      </w:sdtEndPr>
      <w:sdtContent>
        <w:p w14:paraId="064BAEBB">
          <w:pPr>
            <w:keepLines w:val="0"/>
            <w:kinsoku/>
            <w:wordWrap/>
            <w:overflowPunct/>
            <w:topLinePunct w:val="0"/>
            <w:bidi w:val="0"/>
            <w:spacing w:beforeAutospacing="0" w:afterAutospacing="0" w:line="440" w:lineRule="atLeast"/>
            <w:ind w:left="0" w:leftChars="0" w:right="0" w:rightChars="0" w:firstLine="0" w:firstLineChars="0"/>
            <w:jc w:val="center"/>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z w:val="28"/>
              <w:szCs w:val="28"/>
              <w:highlight w:val="none"/>
            </w:rPr>
            <w:t>目</w:t>
          </w:r>
          <w:r>
            <w:rPr>
              <w:rFonts w:hint="eastAsia" w:ascii="Times New Roman" w:hAnsi="Times New Roman" w:cs="Times New Roman"/>
              <w:b/>
              <w:bCs/>
              <w:color w:val="auto"/>
              <w:sz w:val="28"/>
              <w:szCs w:val="28"/>
              <w:highlight w:val="none"/>
              <w:lang w:val="en-US" w:eastAsia="zh-CN"/>
            </w:rPr>
            <w:t xml:space="preserve"> </w:t>
          </w:r>
          <w:r>
            <w:rPr>
              <w:rFonts w:hint="default" w:ascii="Times New Roman" w:hAnsi="Times New Roman" w:cs="Times New Roman" w:eastAsiaTheme="minorEastAsia"/>
              <w:b/>
              <w:bCs/>
              <w:color w:val="auto"/>
              <w:sz w:val="28"/>
              <w:szCs w:val="28"/>
              <w:highlight w:val="none"/>
            </w:rPr>
            <w:t>录</w:t>
          </w:r>
        </w:p>
        <w:p w14:paraId="2AAB8596">
          <w:pPr>
            <w:pStyle w:val="13"/>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fldChar w:fldCharType="begin"/>
          </w:r>
          <w:r>
            <w:rPr>
              <w:rFonts w:hint="default" w:ascii="Times New Roman" w:hAnsi="Times New Roman" w:cs="Times New Roman" w:eastAsiaTheme="minorEastAsia"/>
              <w:color w:val="auto"/>
              <w:sz w:val="28"/>
              <w:szCs w:val="28"/>
              <w:highlight w:val="none"/>
            </w:rPr>
            <w:instrText xml:space="preserve">TOC \o "1-2" \h \u </w:instrText>
          </w:r>
          <w:r>
            <w:rPr>
              <w:rFonts w:hint="default" w:ascii="Times New Roman" w:hAnsi="Times New Roman" w:cs="Times New Roman" w:eastAsiaTheme="minorEastAsia"/>
              <w:color w:val="auto"/>
              <w:sz w:val="28"/>
              <w:szCs w:val="28"/>
              <w:highlight w:val="none"/>
            </w:rPr>
            <w:fldChar w:fldCharType="separate"/>
          </w:r>
        </w:p>
        <w:p w14:paraId="7193ACF2">
          <w:pPr>
            <w:pStyle w:val="13"/>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HYPERLINK \l _Toc22053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第一</w:t>
          </w:r>
          <w:r>
            <w:rPr>
              <w:rFonts w:hint="default" w:ascii="Times New Roman" w:hAnsi="Times New Roman" w:cs="Times New Roman" w:eastAsiaTheme="minorEastAsia"/>
              <w:b/>
              <w:bCs/>
              <w:color w:val="auto"/>
              <w:sz w:val="21"/>
              <w:szCs w:val="21"/>
              <w:highlight w:val="none"/>
              <w:lang w:eastAsia="zh-CN"/>
            </w:rPr>
            <w:t>部分</w:t>
          </w:r>
          <w:r>
            <w:rPr>
              <w:rFonts w:hint="default" w:ascii="Times New Roman" w:hAnsi="Times New Roman" w:cs="Times New Roman" w:eastAsiaTheme="minorEastAsia"/>
              <w:b/>
              <w:bCs/>
              <w:color w:val="auto"/>
              <w:sz w:val="21"/>
              <w:szCs w:val="21"/>
              <w:highlight w:val="none"/>
            </w:rPr>
            <w:t xml:space="preserve"> 磋商邀请</w:t>
          </w:r>
          <w:r>
            <w:rPr>
              <w:rFonts w:hint="default" w:ascii="Times New Roman" w:hAnsi="Times New Roman" w:cs="Times New Roman" w:eastAsiaTheme="minorEastAsia"/>
              <w:b/>
              <w:bCs/>
              <w:color w:val="auto"/>
              <w:sz w:val="21"/>
              <w:szCs w:val="21"/>
              <w:highlight w:val="none"/>
            </w:rPr>
            <w:tab/>
          </w: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PAGEREF _Toc22053 \h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3</w:t>
          </w:r>
          <w:r>
            <w:rPr>
              <w:rFonts w:hint="default" w:ascii="Times New Roman" w:hAnsi="Times New Roman" w:cs="Times New Roman" w:eastAsiaTheme="minorEastAsia"/>
              <w:b/>
              <w:bCs/>
              <w:color w:val="auto"/>
              <w:sz w:val="21"/>
              <w:szCs w:val="21"/>
              <w:highlight w:val="none"/>
            </w:rPr>
            <w:fldChar w:fldCharType="end"/>
          </w:r>
          <w:r>
            <w:rPr>
              <w:rFonts w:hint="default" w:ascii="Times New Roman" w:hAnsi="Times New Roman" w:cs="Times New Roman" w:eastAsiaTheme="minorEastAsia"/>
              <w:b/>
              <w:bCs/>
              <w:color w:val="auto"/>
              <w:sz w:val="21"/>
              <w:szCs w:val="21"/>
              <w:highlight w:val="none"/>
            </w:rPr>
            <w:fldChar w:fldCharType="end"/>
          </w:r>
        </w:p>
        <w:p w14:paraId="34D0D119">
          <w:pPr>
            <w:pStyle w:val="13"/>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HYPERLINK \l _Toc32673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第二</w:t>
          </w:r>
          <w:r>
            <w:rPr>
              <w:rFonts w:hint="default" w:ascii="Times New Roman" w:hAnsi="Times New Roman" w:cs="Times New Roman" w:eastAsiaTheme="minorEastAsia"/>
              <w:b/>
              <w:bCs/>
              <w:color w:val="auto"/>
              <w:sz w:val="21"/>
              <w:szCs w:val="21"/>
              <w:highlight w:val="none"/>
              <w:lang w:eastAsia="zh-CN"/>
            </w:rPr>
            <w:t>部分</w:t>
          </w:r>
          <w:r>
            <w:rPr>
              <w:rFonts w:hint="default" w:ascii="Times New Roman" w:hAnsi="Times New Roman" w:cs="Times New Roman" w:eastAsiaTheme="minorEastAsia"/>
              <w:b/>
              <w:bCs/>
              <w:color w:val="auto"/>
              <w:sz w:val="21"/>
              <w:szCs w:val="21"/>
              <w:highlight w:val="none"/>
            </w:rPr>
            <w:t xml:space="preserve"> 采购需求</w:t>
          </w:r>
          <w:r>
            <w:rPr>
              <w:rFonts w:hint="default" w:ascii="Times New Roman" w:hAnsi="Times New Roman" w:cs="Times New Roman" w:eastAsiaTheme="minorEastAsia"/>
              <w:b/>
              <w:bCs/>
              <w:color w:val="auto"/>
              <w:sz w:val="21"/>
              <w:szCs w:val="21"/>
              <w:highlight w:val="none"/>
            </w:rPr>
            <w:tab/>
          </w: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PAGEREF _Toc32673 \h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6</w:t>
          </w:r>
          <w:r>
            <w:rPr>
              <w:rFonts w:hint="default" w:ascii="Times New Roman" w:hAnsi="Times New Roman" w:cs="Times New Roman" w:eastAsiaTheme="minorEastAsia"/>
              <w:b/>
              <w:bCs/>
              <w:color w:val="auto"/>
              <w:sz w:val="21"/>
              <w:szCs w:val="21"/>
              <w:highlight w:val="none"/>
            </w:rPr>
            <w:fldChar w:fldCharType="end"/>
          </w:r>
          <w:r>
            <w:rPr>
              <w:rFonts w:hint="default" w:ascii="Times New Roman" w:hAnsi="Times New Roman" w:cs="Times New Roman" w:eastAsiaTheme="minorEastAsia"/>
              <w:b/>
              <w:bCs/>
              <w:color w:val="auto"/>
              <w:sz w:val="21"/>
              <w:szCs w:val="21"/>
              <w:highlight w:val="none"/>
            </w:rPr>
            <w:fldChar w:fldCharType="end"/>
          </w:r>
        </w:p>
        <w:p w14:paraId="7A731F5E">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_Toc3325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1.主要商务要求</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_Toc3325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6</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62BC79E7">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_Toc4684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2.技术标准与要求</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_Toc4684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9</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336F5FCB">
          <w:pPr>
            <w:pStyle w:val="13"/>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HYPERLINK \l _Toc24412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第三</w:t>
          </w:r>
          <w:r>
            <w:rPr>
              <w:rFonts w:hint="default" w:ascii="Times New Roman" w:hAnsi="Times New Roman" w:cs="Times New Roman" w:eastAsiaTheme="minorEastAsia"/>
              <w:b/>
              <w:bCs/>
              <w:color w:val="auto"/>
              <w:sz w:val="21"/>
              <w:szCs w:val="21"/>
              <w:highlight w:val="none"/>
              <w:lang w:eastAsia="zh-CN"/>
            </w:rPr>
            <w:t>部分</w:t>
          </w:r>
          <w:r>
            <w:rPr>
              <w:rFonts w:hint="default" w:ascii="Times New Roman" w:hAnsi="Times New Roman" w:cs="Times New Roman" w:eastAsiaTheme="minorEastAsia"/>
              <w:b/>
              <w:bCs/>
              <w:color w:val="auto"/>
              <w:sz w:val="21"/>
              <w:szCs w:val="21"/>
              <w:highlight w:val="none"/>
            </w:rPr>
            <w:t xml:space="preserve"> 供应商须知</w:t>
          </w:r>
          <w:r>
            <w:rPr>
              <w:rFonts w:hint="default" w:ascii="Times New Roman" w:hAnsi="Times New Roman" w:cs="Times New Roman" w:eastAsiaTheme="minorEastAsia"/>
              <w:b/>
              <w:bCs/>
              <w:color w:val="auto"/>
              <w:sz w:val="21"/>
              <w:szCs w:val="21"/>
              <w:highlight w:val="none"/>
            </w:rPr>
            <w:tab/>
          </w: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PAGEREF _Toc24412 \h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16</w:t>
          </w:r>
          <w:r>
            <w:rPr>
              <w:rFonts w:hint="default" w:ascii="Times New Roman" w:hAnsi="Times New Roman" w:cs="Times New Roman" w:eastAsiaTheme="minorEastAsia"/>
              <w:b/>
              <w:bCs/>
              <w:color w:val="auto"/>
              <w:sz w:val="21"/>
              <w:szCs w:val="21"/>
              <w:highlight w:val="none"/>
            </w:rPr>
            <w:fldChar w:fldCharType="end"/>
          </w:r>
          <w:r>
            <w:rPr>
              <w:rFonts w:hint="default" w:ascii="Times New Roman" w:hAnsi="Times New Roman" w:cs="Times New Roman" w:eastAsiaTheme="minorEastAsia"/>
              <w:b/>
              <w:bCs/>
              <w:color w:val="auto"/>
              <w:sz w:val="21"/>
              <w:szCs w:val="21"/>
              <w:highlight w:val="none"/>
            </w:rPr>
            <w:fldChar w:fldCharType="end"/>
          </w:r>
        </w:p>
        <w:p w14:paraId="24F6F409">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_Toc23160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一、名词解释</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_Toc23160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16</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286232CE">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_Toc15214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二、须知前附表</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_Toc15214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17</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3128F0F7">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_Toc30236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三、说明</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_Toc30236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18</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1D33EA9B">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_Toc28688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四、磋商文件的澄清和修改</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_Toc28688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20</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3F2B6617">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_Toc31787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五、响应要求</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_Toc31787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21</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2D192AFE">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_Toc16931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六、磋商、评审和结果确定</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_Toc16931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23</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0134BF2B">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_Toc26837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七、询问、质疑与投诉</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_Toc26837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23</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6D06F4AD">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_Toc9375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八、合同签订和履行</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_Toc9375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24</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4B86D199">
          <w:pPr>
            <w:pStyle w:val="13"/>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HYPERLINK \l _Toc21650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第四</w:t>
          </w:r>
          <w:r>
            <w:rPr>
              <w:rFonts w:hint="default" w:ascii="Times New Roman" w:hAnsi="Times New Roman" w:cs="Times New Roman" w:eastAsiaTheme="minorEastAsia"/>
              <w:b/>
              <w:bCs/>
              <w:color w:val="auto"/>
              <w:sz w:val="21"/>
              <w:szCs w:val="21"/>
              <w:highlight w:val="none"/>
              <w:lang w:eastAsia="zh-CN"/>
            </w:rPr>
            <w:t>部分</w:t>
          </w:r>
          <w:r>
            <w:rPr>
              <w:rFonts w:hint="default" w:ascii="Times New Roman" w:hAnsi="Times New Roman" w:cs="Times New Roman" w:eastAsiaTheme="minorEastAsia"/>
              <w:b/>
              <w:bCs/>
              <w:color w:val="auto"/>
              <w:sz w:val="21"/>
              <w:szCs w:val="21"/>
              <w:highlight w:val="none"/>
            </w:rPr>
            <w:t xml:space="preserve"> 评审</w:t>
          </w:r>
          <w:r>
            <w:rPr>
              <w:rFonts w:hint="default" w:ascii="Times New Roman" w:hAnsi="Times New Roman" w:cs="Times New Roman" w:eastAsiaTheme="minorEastAsia"/>
              <w:b/>
              <w:bCs/>
              <w:color w:val="auto"/>
              <w:sz w:val="21"/>
              <w:szCs w:val="21"/>
              <w:highlight w:val="none"/>
            </w:rPr>
            <w:tab/>
          </w: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PAGEREF _Toc21650 \h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26</w:t>
          </w:r>
          <w:r>
            <w:rPr>
              <w:rFonts w:hint="default" w:ascii="Times New Roman" w:hAnsi="Times New Roman" w:cs="Times New Roman" w:eastAsiaTheme="minorEastAsia"/>
              <w:b/>
              <w:bCs/>
              <w:color w:val="auto"/>
              <w:sz w:val="21"/>
              <w:szCs w:val="21"/>
              <w:highlight w:val="none"/>
            </w:rPr>
            <w:fldChar w:fldCharType="end"/>
          </w:r>
          <w:r>
            <w:rPr>
              <w:rFonts w:hint="default" w:ascii="Times New Roman" w:hAnsi="Times New Roman" w:cs="Times New Roman" w:eastAsiaTheme="minorEastAsia"/>
              <w:b/>
              <w:bCs/>
              <w:color w:val="auto"/>
              <w:sz w:val="21"/>
              <w:szCs w:val="21"/>
              <w:highlight w:val="none"/>
            </w:rPr>
            <w:fldChar w:fldCharType="end"/>
          </w:r>
        </w:p>
        <w:p w14:paraId="2FC4E2D8">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_Toc504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一、评审要求</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_Toc504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26</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5E664D67">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_Toc19574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二</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政府采购政策落实</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_Toc19574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28</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4231E4BE">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_Toc5531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三、评审程序</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_Toc5531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29</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75152665">
          <w:pPr>
            <w:pStyle w:val="13"/>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HYPERLINK \l _Toc7743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lang w:val="en-US" w:eastAsia="zh-Hans"/>
            </w:rPr>
            <w:t>第五部分</w:t>
          </w:r>
          <w:r>
            <w:rPr>
              <w:rFonts w:hint="default" w:ascii="Times New Roman" w:hAnsi="Times New Roman" w:cs="Times New Roman" w:eastAsiaTheme="minorEastAsia"/>
              <w:b/>
              <w:bCs/>
              <w:color w:val="auto"/>
              <w:sz w:val="21"/>
              <w:szCs w:val="21"/>
              <w:highlight w:val="none"/>
              <w:lang w:val="en-US" w:eastAsia="zh-CN"/>
            </w:rPr>
            <w:t xml:space="preserve"> </w:t>
          </w:r>
          <w:r>
            <w:rPr>
              <w:rFonts w:hint="default" w:ascii="Times New Roman" w:hAnsi="Times New Roman" w:cs="Times New Roman" w:eastAsiaTheme="minorEastAsia"/>
              <w:b/>
              <w:bCs/>
              <w:color w:val="auto"/>
              <w:sz w:val="21"/>
              <w:szCs w:val="21"/>
              <w:highlight w:val="none"/>
            </w:rPr>
            <w:t>合同文本</w:t>
          </w:r>
          <w:r>
            <w:rPr>
              <w:rFonts w:hint="default" w:ascii="Times New Roman" w:hAnsi="Times New Roman" w:cs="Times New Roman" w:eastAsiaTheme="minorEastAsia"/>
              <w:b/>
              <w:bCs/>
              <w:color w:val="auto"/>
              <w:sz w:val="21"/>
              <w:szCs w:val="21"/>
              <w:highlight w:val="none"/>
            </w:rPr>
            <w:tab/>
          </w: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PAGEREF _Toc7743 \h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39</w:t>
          </w:r>
          <w:r>
            <w:rPr>
              <w:rFonts w:hint="default" w:ascii="Times New Roman" w:hAnsi="Times New Roman" w:cs="Times New Roman" w:eastAsiaTheme="minorEastAsia"/>
              <w:b/>
              <w:bCs/>
              <w:color w:val="auto"/>
              <w:sz w:val="21"/>
              <w:szCs w:val="21"/>
              <w:highlight w:val="none"/>
            </w:rPr>
            <w:fldChar w:fldCharType="end"/>
          </w:r>
          <w:r>
            <w:rPr>
              <w:rFonts w:hint="default" w:ascii="Times New Roman" w:hAnsi="Times New Roman" w:cs="Times New Roman" w:eastAsiaTheme="minorEastAsia"/>
              <w:b/>
              <w:bCs/>
              <w:color w:val="auto"/>
              <w:sz w:val="21"/>
              <w:szCs w:val="21"/>
              <w:highlight w:val="none"/>
            </w:rPr>
            <w:fldChar w:fldCharType="end"/>
          </w:r>
        </w:p>
        <w:p w14:paraId="48D5AF0F">
          <w:pPr>
            <w:pStyle w:val="13"/>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HYPERLINK \l _Toc24585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第六</w:t>
          </w:r>
          <w:r>
            <w:rPr>
              <w:rFonts w:hint="default" w:ascii="Times New Roman" w:hAnsi="Times New Roman" w:cs="Times New Roman" w:eastAsiaTheme="minorEastAsia"/>
              <w:b/>
              <w:bCs/>
              <w:color w:val="auto"/>
              <w:sz w:val="21"/>
              <w:szCs w:val="21"/>
              <w:highlight w:val="none"/>
              <w:lang w:eastAsia="zh-CN"/>
            </w:rPr>
            <w:t>部分</w:t>
          </w:r>
          <w:r>
            <w:rPr>
              <w:rFonts w:hint="default" w:ascii="Times New Roman" w:hAnsi="Times New Roman" w:cs="Times New Roman" w:eastAsiaTheme="minorEastAsia"/>
              <w:b/>
              <w:bCs/>
              <w:color w:val="auto"/>
              <w:sz w:val="21"/>
              <w:szCs w:val="21"/>
              <w:highlight w:val="none"/>
            </w:rPr>
            <w:t xml:space="preserve"> 响应文件格式与要求</w:t>
          </w:r>
          <w:r>
            <w:rPr>
              <w:rFonts w:hint="default" w:ascii="Times New Roman" w:hAnsi="Times New Roman" w:cs="Times New Roman" w:eastAsiaTheme="minorEastAsia"/>
              <w:b/>
              <w:bCs/>
              <w:color w:val="auto"/>
              <w:sz w:val="21"/>
              <w:szCs w:val="21"/>
              <w:highlight w:val="none"/>
            </w:rPr>
            <w:tab/>
          </w:r>
          <w:r>
            <w:rPr>
              <w:rFonts w:hint="default" w:ascii="Times New Roman" w:hAnsi="Times New Roman" w:cs="Times New Roman" w:eastAsiaTheme="minorEastAsia"/>
              <w:b/>
              <w:bCs/>
              <w:color w:val="auto"/>
              <w:sz w:val="21"/>
              <w:szCs w:val="21"/>
              <w:highlight w:val="none"/>
            </w:rPr>
            <w:fldChar w:fldCharType="begin"/>
          </w:r>
          <w:r>
            <w:rPr>
              <w:rFonts w:hint="default" w:ascii="Times New Roman" w:hAnsi="Times New Roman" w:cs="Times New Roman" w:eastAsiaTheme="minorEastAsia"/>
              <w:b/>
              <w:bCs/>
              <w:color w:val="auto"/>
              <w:sz w:val="21"/>
              <w:szCs w:val="21"/>
              <w:highlight w:val="none"/>
            </w:rPr>
            <w:instrText xml:space="preserve"> PAGEREF _Toc24585 \h </w:instrText>
          </w:r>
          <w:r>
            <w:rPr>
              <w:rFonts w:hint="default" w:ascii="Times New Roman" w:hAnsi="Times New Roman" w:cs="Times New Roman" w:eastAsiaTheme="minorEastAsia"/>
              <w:b/>
              <w:bCs/>
              <w:color w:val="auto"/>
              <w:sz w:val="21"/>
              <w:szCs w:val="21"/>
              <w:highlight w:val="none"/>
            </w:rPr>
            <w:fldChar w:fldCharType="separate"/>
          </w:r>
          <w:r>
            <w:rPr>
              <w:rFonts w:hint="default" w:ascii="Times New Roman" w:hAnsi="Times New Roman" w:cs="Times New Roman" w:eastAsiaTheme="minorEastAsia"/>
              <w:b/>
              <w:bCs/>
              <w:color w:val="auto"/>
              <w:sz w:val="21"/>
              <w:szCs w:val="21"/>
              <w:highlight w:val="none"/>
            </w:rPr>
            <w:t>50</w:t>
          </w:r>
          <w:r>
            <w:rPr>
              <w:rFonts w:hint="default" w:ascii="Times New Roman" w:hAnsi="Times New Roman" w:cs="Times New Roman" w:eastAsiaTheme="minorEastAsia"/>
              <w:b/>
              <w:bCs/>
              <w:color w:val="auto"/>
              <w:sz w:val="21"/>
              <w:szCs w:val="21"/>
              <w:highlight w:val="none"/>
            </w:rPr>
            <w:fldChar w:fldCharType="end"/>
          </w:r>
          <w:r>
            <w:rPr>
              <w:rFonts w:hint="default" w:ascii="Times New Roman" w:hAnsi="Times New Roman" w:cs="Times New Roman" w:eastAsiaTheme="minorEastAsia"/>
              <w:b/>
              <w:bCs/>
              <w:color w:val="auto"/>
              <w:sz w:val="21"/>
              <w:szCs w:val="21"/>
              <w:highlight w:val="none"/>
            </w:rPr>
            <w:fldChar w:fldCharType="end"/>
          </w:r>
        </w:p>
        <w:p w14:paraId="6CD291DF">
          <w:pPr>
            <w:pStyle w:val="13"/>
            <w:keepLines w:val="0"/>
            <w:tabs>
              <w:tab w:val="right" w:leader="dot" w:pos="9185"/>
            </w:tabs>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_Toc6174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bCs/>
              <w:color w:val="auto"/>
              <w:sz w:val="21"/>
              <w:szCs w:val="21"/>
              <w:highlight w:val="none"/>
            </w:rPr>
            <w:t>第一章  资格性文件</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_Toc6174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52</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38874DD4">
          <w:pPr>
            <w:pStyle w:val="13"/>
            <w:keepLines w:val="0"/>
            <w:tabs>
              <w:tab w:val="right" w:leader="dot" w:pos="9185"/>
            </w:tabs>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_Toc9610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bCs/>
              <w:color w:val="auto"/>
              <w:sz w:val="21"/>
              <w:szCs w:val="21"/>
              <w:highlight w:val="none"/>
            </w:rPr>
            <w:t>第二章  评审内容索引</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_Toc9610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64</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102291A8">
          <w:pPr>
            <w:pStyle w:val="13"/>
            <w:keepLines w:val="0"/>
            <w:tabs>
              <w:tab w:val="right" w:leader="dot" w:pos="9185"/>
            </w:tabs>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_Toc8179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bCs/>
              <w:color w:val="auto"/>
              <w:sz w:val="21"/>
              <w:szCs w:val="21"/>
              <w:highlight w:val="none"/>
            </w:rPr>
            <w:t>第三章  商务部分</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_Toc8179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68</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5CB9BB2B">
          <w:pPr>
            <w:pStyle w:val="13"/>
            <w:keepLines w:val="0"/>
            <w:tabs>
              <w:tab w:val="right" w:leader="dot" w:pos="9185"/>
            </w:tabs>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_Toc18982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bCs/>
              <w:color w:val="auto"/>
              <w:sz w:val="21"/>
              <w:szCs w:val="21"/>
              <w:highlight w:val="none"/>
            </w:rPr>
            <w:t>第四章  技术部分</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_Toc18982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72</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4A420A2A">
          <w:pPr>
            <w:pStyle w:val="13"/>
            <w:keepLines w:val="0"/>
            <w:tabs>
              <w:tab w:val="right" w:leader="dot" w:pos="9185"/>
            </w:tabs>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_Toc21415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bCs/>
              <w:color w:val="auto"/>
              <w:sz w:val="21"/>
              <w:szCs w:val="21"/>
              <w:highlight w:val="none"/>
            </w:rPr>
            <w:t>第五章  价格部分</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_Toc21415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75</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73F4141C">
          <w:pPr>
            <w:pStyle w:val="13"/>
            <w:keepLines w:val="0"/>
            <w:tabs>
              <w:tab w:val="right" w:leader="dot" w:pos="9185"/>
            </w:tabs>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HYPERLINK \l _Toc1321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bCs/>
              <w:color w:val="auto"/>
              <w:sz w:val="21"/>
              <w:szCs w:val="21"/>
              <w:highlight w:val="none"/>
            </w:rPr>
            <w:t>第六章 其他文件</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PAGEREF _Toc1321 \h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t>77</w:t>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fldChar w:fldCharType="end"/>
          </w:r>
        </w:p>
        <w:p w14:paraId="5C299F78">
          <w:pPr>
            <w:pStyle w:val="14"/>
            <w:keepLines w:val="0"/>
            <w:tabs>
              <w:tab w:val="right" w:leader="dot" w:pos="9185"/>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8"/>
              <w:szCs w:val="28"/>
              <w:highlight w:val="none"/>
            </w:rPr>
          </w:pPr>
        </w:p>
        <w:p w14:paraId="1370ACB7">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8"/>
              <w:szCs w:val="28"/>
              <w:highlight w:val="none"/>
            </w:rPr>
            <w:fldChar w:fldCharType="end"/>
          </w:r>
        </w:p>
      </w:sdtContent>
    </w:sdt>
    <w:p w14:paraId="54C6D91A">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36"/>
          <w:highlight w:val="none"/>
        </w:rPr>
      </w:pPr>
      <w:r>
        <w:rPr>
          <w:rFonts w:hint="default" w:ascii="Times New Roman" w:hAnsi="Times New Roman" w:cs="Times New Roman" w:eastAsiaTheme="minorEastAsia"/>
          <w:b/>
          <w:color w:val="auto"/>
          <w:sz w:val="36"/>
          <w:highlight w:val="none"/>
        </w:rPr>
        <w:br w:type="page"/>
      </w:r>
    </w:p>
    <w:p w14:paraId="368E4E43">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outlineLvl w:val="0"/>
        <w:rPr>
          <w:rFonts w:hint="default" w:ascii="Times New Roman" w:hAnsi="Times New Roman" w:cs="Times New Roman" w:eastAsiaTheme="minorEastAsia"/>
          <w:color w:val="auto"/>
          <w:sz w:val="28"/>
          <w:szCs w:val="28"/>
          <w:highlight w:val="none"/>
        </w:rPr>
      </w:pPr>
      <w:bookmarkStart w:id="4" w:name="_Toc22053"/>
      <w:r>
        <w:rPr>
          <w:rFonts w:hint="default" w:ascii="Times New Roman" w:hAnsi="Times New Roman" w:cs="Times New Roman" w:eastAsiaTheme="minorEastAsia"/>
          <w:b/>
          <w:color w:val="auto"/>
          <w:sz w:val="28"/>
          <w:szCs w:val="28"/>
          <w:highlight w:val="none"/>
        </w:rPr>
        <w:t>第一</w:t>
      </w:r>
      <w:r>
        <w:rPr>
          <w:rFonts w:hint="default" w:ascii="Times New Roman" w:hAnsi="Times New Roman" w:cs="Times New Roman" w:eastAsiaTheme="minorEastAsia"/>
          <w:b/>
          <w:color w:val="auto"/>
          <w:sz w:val="28"/>
          <w:szCs w:val="28"/>
          <w:highlight w:val="none"/>
          <w:lang w:eastAsia="zh-CN"/>
        </w:rPr>
        <w:t>部分</w:t>
      </w:r>
      <w:r>
        <w:rPr>
          <w:rFonts w:hint="default" w:ascii="Times New Roman" w:hAnsi="Times New Roman" w:cs="Times New Roman" w:eastAsiaTheme="minorEastAsia"/>
          <w:b/>
          <w:color w:val="auto"/>
          <w:sz w:val="28"/>
          <w:szCs w:val="28"/>
          <w:highlight w:val="none"/>
        </w:rPr>
        <w:t xml:space="preserve"> 磋商邀请</w:t>
      </w:r>
      <w:bookmarkEnd w:id="4"/>
    </w:p>
    <w:p w14:paraId="3BC380F3">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eastAsia="zh-CN"/>
        </w:rPr>
        <w:t>广东远东招标代理有限公司</w:t>
      </w:r>
      <w:r>
        <w:rPr>
          <w:rFonts w:hint="default" w:ascii="Times New Roman" w:hAnsi="Times New Roman" w:cs="Times New Roman" w:eastAsiaTheme="minorEastAsia"/>
          <w:color w:val="auto"/>
          <w:sz w:val="21"/>
          <w:szCs w:val="21"/>
          <w:highlight w:val="none"/>
        </w:rPr>
        <w:t>受</w:t>
      </w:r>
      <w:r>
        <w:rPr>
          <w:rFonts w:hint="eastAsia" w:ascii="Times New Roman" w:hAnsi="Times New Roman" w:cs="Times New Roman"/>
          <w:color w:val="auto"/>
          <w:sz w:val="21"/>
          <w:szCs w:val="21"/>
          <w:highlight w:val="none"/>
          <w:lang w:eastAsia="zh-CN"/>
        </w:rPr>
        <w:t>佛山市高明区人民法院</w:t>
      </w:r>
      <w:r>
        <w:rPr>
          <w:rFonts w:hint="default" w:ascii="Times New Roman" w:hAnsi="Times New Roman" w:cs="Times New Roman" w:eastAsiaTheme="minorEastAsia"/>
          <w:color w:val="auto"/>
          <w:sz w:val="21"/>
          <w:szCs w:val="21"/>
          <w:highlight w:val="none"/>
        </w:rPr>
        <w:t>的委托，采用竞争性磋商方式组织采购</w:t>
      </w:r>
      <w:r>
        <w:rPr>
          <w:rFonts w:hint="eastAsia" w:ascii="Times New Roman" w:hAnsi="Times New Roman" w:cs="Times New Roman"/>
          <w:color w:val="auto"/>
          <w:sz w:val="21"/>
          <w:szCs w:val="21"/>
          <w:highlight w:val="none"/>
          <w:lang w:eastAsia="zh-CN"/>
        </w:rPr>
        <w:t>佛山市高明区人民法院执行案件集约化送达服务项目</w:t>
      </w:r>
      <w:r>
        <w:rPr>
          <w:rFonts w:hint="default" w:ascii="Times New Roman" w:hAnsi="Times New Roman" w:cs="Times New Roman" w:eastAsiaTheme="minorEastAsia"/>
          <w:color w:val="auto"/>
          <w:sz w:val="21"/>
          <w:szCs w:val="21"/>
          <w:highlight w:val="none"/>
        </w:rPr>
        <w:t>。欢迎符合资格条件的供应商参加。</w:t>
      </w:r>
    </w:p>
    <w:p w14:paraId="66ACFD06">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1"/>
        <w:rPr>
          <w:rFonts w:hint="default" w:ascii="Times New Roman" w:hAnsi="Times New Roman" w:cs="Times New Roman" w:eastAsiaTheme="minorEastAsia"/>
          <w:color w:val="auto"/>
          <w:sz w:val="24"/>
          <w:szCs w:val="24"/>
          <w:highlight w:val="none"/>
        </w:rPr>
      </w:pPr>
      <w:bookmarkStart w:id="5" w:name="_Toc17424"/>
      <w:r>
        <w:rPr>
          <w:rFonts w:hint="default" w:ascii="Times New Roman" w:hAnsi="Times New Roman" w:cs="Times New Roman" w:eastAsiaTheme="minorEastAsia"/>
          <w:b/>
          <w:color w:val="auto"/>
          <w:sz w:val="24"/>
          <w:szCs w:val="24"/>
          <w:highlight w:val="none"/>
        </w:rPr>
        <w:t>一.项目概述</w:t>
      </w:r>
      <w:bookmarkEnd w:id="5"/>
    </w:p>
    <w:p w14:paraId="5BA1F5A9">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1.名称与编号</w:t>
      </w:r>
    </w:p>
    <w:p w14:paraId="2BEC68D3">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采购项目名称：</w:t>
      </w:r>
      <w:r>
        <w:rPr>
          <w:rFonts w:hint="eastAsia" w:ascii="Times New Roman" w:hAnsi="Times New Roman" w:cs="Times New Roman"/>
          <w:color w:val="auto"/>
          <w:sz w:val="21"/>
          <w:szCs w:val="21"/>
          <w:highlight w:val="none"/>
          <w:lang w:eastAsia="zh-CN"/>
        </w:rPr>
        <w:t>佛山市高明区人民法院执行案件集约化送达服务项目</w:t>
      </w:r>
    </w:p>
    <w:p w14:paraId="2473121D">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采购项目编号：</w:t>
      </w:r>
      <w:r>
        <w:rPr>
          <w:rFonts w:hint="eastAsia" w:ascii="Times New Roman" w:hAnsi="Times New Roman" w:cs="Times New Roman"/>
          <w:color w:val="auto"/>
          <w:sz w:val="21"/>
          <w:szCs w:val="21"/>
          <w:highlight w:val="none"/>
          <w:lang w:eastAsia="zh-CN"/>
        </w:rPr>
        <w:t>GDYD240563</w:t>
      </w:r>
    </w:p>
    <w:p w14:paraId="01585931">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采购人</w:t>
      </w:r>
      <w:r>
        <w:rPr>
          <w:rFonts w:hint="default" w:ascii="Times New Roman" w:hAnsi="Times New Roman" w:cs="Times New Roman" w:eastAsiaTheme="minorEastAsia"/>
          <w:color w:val="auto"/>
          <w:sz w:val="21"/>
          <w:szCs w:val="21"/>
          <w:highlight w:val="none"/>
        </w:rPr>
        <w:t>式：竞争性磋商</w:t>
      </w:r>
    </w:p>
    <w:p w14:paraId="73CFC692">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预算金额：</w:t>
      </w:r>
      <w:r>
        <w:rPr>
          <w:rFonts w:hint="eastAsia" w:ascii="Times New Roman" w:hAnsi="Times New Roman" w:cs="Times New Roman"/>
          <w:color w:val="auto"/>
          <w:sz w:val="21"/>
          <w:szCs w:val="21"/>
          <w:highlight w:val="none"/>
          <w:lang w:val="en-US" w:eastAsia="zh-CN"/>
        </w:rPr>
        <w:t>585,000.00</w:t>
      </w:r>
      <w:r>
        <w:rPr>
          <w:rFonts w:hint="default" w:ascii="Times New Roman" w:hAnsi="Times New Roman" w:cs="Times New Roman" w:eastAsiaTheme="minorEastAsia"/>
          <w:color w:val="auto"/>
          <w:sz w:val="21"/>
          <w:szCs w:val="21"/>
          <w:highlight w:val="none"/>
        </w:rPr>
        <w:t>元</w:t>
      </w:r>
    </w:p>
    <w:p w14:paraId="4BD225CF">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2.项目内容及需求情况（采购项目技术规格、参数及要求）</w:t>
      </w:r>
    </w:p>
    <w:tbl>
      <w:tblPr>
        <w:tblStyle w:val="18"/>
        <w:tblW w:w="956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9"/>
        <w:gridCol w:w="1167"/>
        <w:gridCol w:w="4050"/>
        <w:gridCol w:w="1007"/>
        <w:gridCol w:w="2427"/>
      </w:tblGrid>
      <w:tr w14:paraId="316C2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tcW w:w="909" w:type="dxa"/>
            <w:vAlign w:val="center"/>
          </w:tcPr>
          <w:p w14:paraId="354C07AF">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品目号</w:t>
            </w:r>
          </w:p>
        </w:tc>
        <w:tc>
          <w:tcPr>
            <w:tcW w:w="1167" w:type="dxa"/>
            <w:vAlign w:val="center"/>
          </w:tcPr>
          <w:p w14:paraId="2ED51DF6">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品目名称</w:t>
            </w:r>
          </w:p>
        </w:tc>
        <w:tc>
          <w:tcPr>
            <w:tcW w:w="4050" w:type="dxa"/>
            <w:vAlign w:val="center"/>
          </w:tcPr>
          <w:p w14:paraId="3475DF14">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采购标的</w:t>
            </w:r>
          </w:p>
        </w:tc>
        <w:tc>
          <w:tcPr>
            <w:tcW w:w="1007" w:type="dxa"/>
            <w:vAlign w:val="center"/>
          </w:tcPr>
          <w:p w14:paraId="09E0912F">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数量</w:t>
            </w:r>
          </w:p>
        </w:tc>
        <w:tc>
          <w:tcPr>
            <w:tcW w:w="2427" w:type="dxa"/>
            <w:vAlign w:val="center"/>
          </w:tcPr>
          <w:p w14:paraId="70AB8231">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技术规格、参数及要求</w:t>
            </w:r>
          </w:p>
        </w:tc>
      </w:tr>
      <w:tr w14:paraId="4D677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0" w:hRule="atLeast"/>
          <w:jc w:val="center"/>
        </w:trPr>
        <w:tc>
          <w:tcPr>
            <w:tcW w:w="909" w:type="dxa"/>
            <w:vAlign w:val="center"/>
          </w:tcPr>
          <w:p w14:paraId="5BD90738">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1-1</w:t>
            </w:r>
          </w:p>
        </w:tc>
        <w:tc>
          <w:tcPr>
            <w:tcW w:w="1167" w:type="dxa"/>
            <w:vAlign w:val="center"/>
          </w:tcPr>
          <w:p w14:paraId="70D69ADA">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其他服务</w:t>
            </w:r>
          </w:p>
        </w:tc>
        <w:tc>
          <w:tcPr>
            <w:tcW w:w="4050" w:type="dxa"/>
            <w:vAlign w:val="center"/>
          </w:tcPr>
          <w:p w14:paraId="5A470CC0">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佛山市高明区人民法院执行案件集约化送达服务项目</w:t>
            </w:r>
          </w:p>
        </w:tc>
        <w:tc>
          <w:tcPr>
            <w:tcW w:w="1007" w:type="dxa"/>
            <w:vAlign w:val="center"/>
          </w:tcPr>
          <w:p w14:paraId="7EF08C9D">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1项</w:t>
            </w:r>
          </w:p>
        </w:tc>
        <w:tc>
          <w:tcPr>
            <w:tcW w:w="2427" w:type="dxa"/>
            <w:vAlign w:val="center"/>
          </w:tcPr>
          <w:p w14:paraId="7860F93B">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详见第二章</w:t>
            </w:r>
          </w:p>
        </w:tc>
      </w:tr>
    </w:tbl>
    <w:p w14:paraId="046AC10E">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eastAsia"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本</w:t>
      </w:r>
      <w:r>
        <w:rPr>
          <w:rFonts w:hint="eastAsia" w:ascii="Times New Roman" w:hAnsi="Times New Roman" w:cs="Times New Roman"/>
          <w:color w:val="auto"/>
          <w:sz w:val="21"/>
          <w:szCs w:val="21"/>
          <w:highlight w:val="none"/>
          <w:lang w:eastAsia="zh-CN"/>
        </w:rPr>
        <w:t>项目</w:t>
      </w:r>
      <w:r>
        <w:rPr>
          <w:rFonts w:hint="default" w:ascii="Times New Roman" w:hAnsi="Times New Roman" w:cs="Times New Roman" w:eastAsiaTheme="minorEastAsia"/>
          <w:color w:val="auto"/>
          <w:sz w:val="21"/>
          <w:szCs w:val="21"/>
          <w:highlight w:val="none"/>
        </w:rPr>
        <w:t>不接受联合体响应</w:t>
      </w:r>
      <w:r>
        <w:rPr>
          <w:rFonts w:hint="eastAsia" w:ascii="Times New Roman" w:hAnsi="Times New Roman" w:cs="Times New Roman"/>
          <w:color w:val="auto"/>
          <w:sz w:val="21"/>
          <w:szCs w:val="21"/>
          <w:highlight w:val="none"/>
          <w:lang w:eastAsia="zh-CN"/>
        </w:rPr>
        <w:t>。</w:t>
      </w:r>
    </w:p>
    <w:p w14:paraId="5A0A4A92">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eastAsia"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合同分包：不允许合同分包</w:t>
      </w:r>
      <w:r>
        <w:rPr>
          <w:rFonts w:hint="eastAsia" w:ascii="Times New Roman" w:hAnsi="Times New Roman" w:cs="Times New Roman"/>
          <w:color w:val="auto"/>
          <w:sz w:val="21"/>
          <w:szCs w:val="21"/>
          <w:highlight w:val="none"/>
          <w:lang w:eastAsia="zh-CN"/>
        </w:rPr>
        <w:t>。</w:t>
      </w:r>
    </w:p>
    <w:p w14:paraId="004CA6C8">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eastAsia"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合同履行期限：工作量当达到合同总金额时，合同自动终止；未达到合同总金额，但达到合同履行服务期（24个月），经双方友好协商可适当延长合同期限</w:t>
      </w:r>
      <w:r>
        <w:rPr>
          <w:rFonts w:hint="eastAsia" w:ascii="Times New Roman" w:hAnsi="Times New Roman" w:cs="Times New Roman"/>
          <w:color w:val="auto"/>
          <w:sz w:val="21"/>
          <w:szCs w:val="21"/>
          <w:highlight w:val="none"/>
          <w:lang w:eastAsia="zh-CN"/>
        </w:rPr>
        <w:t>。</w:t>
      </w:r>
    </w:p>
    <w:p w14:paraId="1EE68B01">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1"/>
        <w:rPr>
          <w:rFonts w:hint="default" w:ascii="Times New Roman" w:hAnsi="Times New Roman" w:cs="Times New Roman" w:eastAsiaTheme="minorEastAsia"/>
          <w:b/>
          <w:color w:val="auto"/>
          <w:sz w:val="24"/>
          <w:szCs w:val="24"/>
          <w:highlight w:val="none"/>
        </w:rPr>
      </w:pPr>
      <w:bookmarkStart w:id="6" w:name="_Toc30476"/>
      <w:r>
        <w:rPr>
          <w:rFonts w:hint="default" w:ascii="Times New Roman" w:hAnsi="Times New Roman" w:cs="Times New Roman" w:eastAsiaTheme="minorEastAsia"/>
          <w:b/>
          <w:color w:val="auto"/>
          <w:sz w:val="24"/>
          <w:szCs w:val="24"/>
          <w:highlight w:val="none"/>
        </w:rPr>
        <w:t>二.供应商的资格要求</w:t>
      </w:r>
      <w:bookmarkEnd w:id="6"/>
    </w:p>
    <w:p w14:paraId="1B2C8D92">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1.供应商应具备《中华人民共和国政府采购法》第二十二条规定的条件，提供下列材料：</w:t>
      </w:r>
    </w:p>
    <w:p w14:paraId="2E304215">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1）具有独立承担民事责任的能力：在中华人民共和国境内注册的法人或其他组织或自然人，投标（响应）时提交有效的营业执照（或事业法人登记证或身份证等相关证明）副本</w:t>
      </w:r>
      <w:r>
        <w:rPr>
          <w:rFonts w:hint="default" w:ascii="Times New Roman" w:hAnsi="Times New Roman" w:cs="Times New Roman" w:eastAsiaTheme="minorEastAsia"/>
          <w:color w:val="auto"/>
          <w:sz w:val="21"/>
          <w:szCs w:val="21"/>
          <w:highlight w:val="none"/>
          <w:lang w:eastAsia="zh-CN"/>
        </w:rPr>
        <w:t>复印</w:t>
      </w:r>
      <w:r>
        <w:rPr>
          <w:rFonts w:hint="default" w:ascii="Times New Roman" w:hAnsi="Times New Roman" w:cs="Times New Roman" w:eastAsiaTheme="minorEastAsia"/>
          <w:color w:val="auto"/>
          <w:sz w:val="21"/>
          <w:szCs w:val="21"/>
          <w:highlight w:val="none"/>
        </w:rPr>
        <w:t>件。</w:t>
      </w:r>
    </w:p>
    <w:p w14:paraId="5BF0E971">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2）有依法缴纳税收和社会保障资金的良好记录</w:t>
      </w:r>
      <w:r>
        <w:rPr>
          <w:rFonts w:hint="eastAsia" w:ascii="Times New Roman" w:hAnsi="Times New Roman" w:cs="Times New Roman"/>
          <w:color w:val="auto"/>
          <w:sz w:val="21"/>
          <w:szCs w:val="21"/>
          <w:highlight w:val="none"/>
          <w:lang w:eastAsia="zh-CN"/>
        </w:rPr>
        <w:t>，提供以下两种证明材料之一</w:t>
      </w:r>
      <w:r>
        <w:rPr>
          <w:rFonts w:hint="default" w:ascii="Times New Roman" w:hAnsi="Times New Roman" w:cs="Times New Roman" w:eastAsiaTheme="minorEastAsia"/>
          <w:color w:val="auto"/>
          <w:sz w:val="21"/>
          <w:szCs w:val="21"/>
          <w:highlight w:val="none"/>
        </w:rPr>
        <w:t>：1</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提供《政府采购供应商资格信用承诺函》，具体要求详见</w:t>
      </w:r>
      <w:r>
        <w:rPr>
          <w:rFonts w:hint="default" w:ascii="Times New Roman" w:hAnsi="Times New Roman" w:cs="Times New Roman" w:eastAsiaTheme="minorEastAsia"/>
          <w:color w:val="auto"/>
          <w:sz w:val="21"/>
          <w:szCs w:val="21"/>
          <w:highlight w:val="none"/>
          <w:lang w:eastAsia="zh-CN"/>
        </w:rPr>
        <w:t>投标文件格式</w:t>
      </w:r>
      <w:r>
        <w:rPr>
          <w:rFonts w:hint="default" w:ascii="Times New Roman" w:hAnsi="Times New Roman" w:cs="Times New Roman" w:eastAsiaTheme="minorEastAsia"/>
          <w:color w:val="auto"/>
          <w:sz w:val="21"/>
          <w:szCs w:val="21"/>
          <w:highlight w:val="none"/>
        </w:rPr>
        <w:t>；2</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提供投标截止日前6个月内任意1个月依法缴纳税收和社会保障资金的相关材料。如依法免税或不需要缴纳社会保障资金的，提供相应证明材料。</w:t>
      </w:r>
    </w:p>
    <w:p w14:paraId="4568099D">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3）具有良好的商业信誉和健全的财务会计制度</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提供以下三种证明材料之一：1</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提供《政府采购供应商资格信用承诺函》，具体要求详见</w:t>
      </w:r>
      <w:r>
        <w:rPr>
          <w:rFonts w:hint="default" w:ascii="Times New Roman" w:hAnsi="Times New Roman" w:cs="Times New Roman" w:eastAsiaTheme="minorEastAsia"/>
          <w:color w:val="auto"/>
          <w:sz w:val="21"/>
          <w:szCs w:val="21"/>
          <w:highlight w:val="none"/>
          <w:lang w:eastAsia="zh-CN"/>
        </w:rPr>
        <w:t>投标文件格式</w:t>
      </w:r>
      <w:r>
        <w:rPr>
          <w:rFonts w:hint="default" w:ascii="Times New Roman" w:hAnsi="Times New Roman" w:cs="Times New Roman" w:eastAsiaTheme="minorEastAsia"/>
          <w:color w:val="auto"/>
          <w:sz w:val="21"/>
          <w:szCs w:val="21"/>
          <w:highlight w:val="none"/>
        </w:rPr>
        <w:t>；2</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提供2022或2023年度财务状况报告，财务状况报告须由第三方会计师事务所出具，能清晰显示第三方会计师事务所的印章，并能反映审计结论；3</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提供投标截止日前6个月内基本开户银行出具的资信证明，并同时提交开户（基本户）许可证扫描件，开户（基本户）许可证已取消的，应提供能体现基本开户银行的“基本存款账户编号”的相关证明。）。</w:t>
      </w:r>
    </w:p>
    <w:p w14:paraId="7447214D">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4）履行合同所必需的设备和专业技术能力：按投标（响应）文件格式填写《具有履行合同所必需的设备和专业技术能力的承诺函》。</w:t>
      </w:r>
    </w:p>
    <w:p w14:paraId="34E0ED4F">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21981BB7">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2.落实政府采购政策需满足的资格要求：</w:t>
      </w:r>
    </w:p>
    <w:p w14:paraId="2A831CEC">
      <w:pPr>
        <w:pStyle w:val="21"/>
        <w:keepNext w:val="0"/>
        <w:keepLines w:val="0"/>
        <w:pageBreakBefore w:val="0"/>
        <w:kinsoku/>
        <w:wordWrap/>
        <w:overflowPunct/>
        <w:topLinePunct w:val="0"/>
        <w:autoSpaceDE/>
        <w:autoSpaceDN/>
        <w:bidi w:val="0"/>
        <w:adjustRightInd/>
        <w:snapToGrid/>
        <w:spacing w:line="420" w:lineRule="atLeast"/>
        <w:ind w:firstLine="420" w:firstLineChars="200"/>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本项目</w:t>
      </w:r>
      <w:r>
        <w:rPr>
          <w:rFonts w:hint="eastAsia" w:ascii="Times New Roman" w:hAnsi="Times New Roman" w:cs="Times New Roman" w:eastAsiaTheme="minorEastAsia"/>
          <w:color w:val="auto"/>
          <w:sz w:val="21"/>
          <w:szCs w:val="21"/>
          <w:highlight w:val="none"/>
          <w:lang w:eastAsia="zh-CN"/>
        </w:rPr>
        <w:t>整体专门面向中小企业采购，监狱企业、残疾人福利性单位视同小型、微型企业。</w:t>
      </w:r>
    </w:p>
    <w:p w14:paraId="51196177">
      <w:pPr>
        <w:pStyle w:val="21"/>
        <w:keepNext w:val="0"/>
        <w:keepLines w:val="0"/>
        <w:pageBreakBefore w:val="0"/>
        <w:kinsoku/>
        <w:wordWrap/>
        <w:overflowPunct/>
        <w:topLinePunct w:val="0"/>
        <w:autoSpaceDE/>
        <w:autoSpaceDN/>
        <w:bidi w:val="0"/>
        <w:adjustRightInd/>
        <w:snapToGrid/>
        <w:spacing w:line="420" w:lineRule="atLeast"/>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color w:val="auto"/>
          <w:sz w:val="21"/>
          <w:szCs w:val="21"/>
          <w:highlight w:val="none"/>
          <w:lang w:eastAsia="zh-CN"/>
        </w:rPr>
        <w:t>（1）中小企业评审及《中小企业声明函》填写要求：</w:t>
      </w:r>
    </w:p>
    <w:p w14:paraId="606A2C67">
      <w:pPr>
        <w:pStyle w:val="21"/>
        <w:keepNext w:val="0"/>
        <w:keepLines w:val="0"/>
        <w:pageBreakBefore w:val="0"/>
        <w:kinsoku/>
        <w:wordWrap/>
        <w:overflowPunct/>
        <w:topLinePunct w:val="0"/>
        <w:autoSpaceDE/>
        <w:autoSpaceDN/>
        <w:bidi w:val="0"/>
        <w:adjustRightInd/>
        <w:snapToGrid/>
        <w:spacing w:line="420" w:lineRule="atLeast"/>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color w:val="auto"/>
          <w:sz w:val="21"/>
          <w:szCs w:val="21"/>
          <w:highlight w:val="none"/>
          <w:lang w:eastAsia="zh-CN"/>
        </w:rPr>
        <w:t>①本项目为服务类项目，供应商须根据本项目采购类别选择对应的《中小企业声明函》填写。</w:t>
      </w:r>
    </w:p>
    <w:p w14:paraId="73B23E6C">
      <w:pPr>
        <w:pStyle w:val="21"/>
        <w:keepNext w:val="0"/>
        <w:keepLines w:val="0"/>
        <w:pageBreakBefore w:val="0"/>
        <w:kinsoku/>
        <w:wordWrap/>
        <w:overflowPunct/>
        <w:topLinePunct w:val="0"/>
        <w:autoSpaceDE/>
        <w:autoSpaceDN/>
        <w:bidi w:val="0"/>
        <w:adjustRightInd/>
        <w:snapToGrid/>
        <w:spacing w:line="420" w:lineRule="atLeast"/>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color w:val="auto"/>
          <w:sz w:val="21"/>
          <w:szCs w:val="21"/>
          <w:highlight w:val="none"/>
          <w:lang w:eastAsia="zh-CN"/>
        </w:rPr>
        <w:t>②本项目采购标的对应的中小企业划分标准所属行业</w:t>
      </w:r>
      <w:r>
        <w:rPr>
          <w:rFonts w:hint="eastAsia" w:ascii="Times New Roman" w:hAnsi="Times New Roman" w:cs="Times New Roman"/>
          <w:color w:val="auto"/>
          <w:sz w:val="21"/>
          <w:szCs w:val="21"/>
          <w:highlight w:val="none"/>
          <w:lang w:eastAsia="zh-CN"/>
        </w:rPr>
        <w:t>为</w:t>
      </w:r>
      <w:r>
        <w:rPr>
          <w:rFonts w:hint="eastAsia" w:ascii="Times New Roman" w:hAnsi="Times New Roman" w:cs="Times New Roman"/>
          <w:b w:val="0"/>
          <w:bCs w:val="0"/>
          <w:color w:val="auto"/>
          <w:sz w:val="21"/>
          <w:szCs w:val="21"/>
          <w:highlight w:val="none"/>
          <w:lang w:eastAsia="zh-CN"/>
        </w:rPr>
        <w:t>其他未列明行业</w:t>
      </w:r>
      <w:r>
        <w:rPr>
          <w:rFonts w:hint="eastAsia" w:ascii="Times New Roman" w:hAnsi="Times New Roman" w:cs="Times New Roman" w:eastAsiaTheme="minorEastAsia"/>
          <w:color w:val="auto"/>
          <w:sz w:val="21"/>
          <w:szCs w:val="21"/>
          <w:highlight w:val="none"/>
          <w:lang w:eastAsia="zh-CN"/>
        </w:rPr>
        <w:t>。</w:t>
      </w:r>
    </w:p>
    <w:p w14:paraId="1117D078">
      <w:pPr>
        <w:pStyle w:val="21"/>
        <w:keepNext w:val="0"/>
        <w:keepLines w:val="0"/>
        <w:pageBreakBefore w:val="0"/>
        <w:kinsoku/>
        <w:wordWrap/>
        <w:overflowPunct/>
        <w:topLinePunct w:val="0"/>
        <w:autoSpaceDE/>
        <w:autoSpaceDN/>
        <w:bidi w:val="0"/>
        <w:adjustRightInd/>
        <w:snapToGrid/>
        <w:spacing w:line="420" w:lineRule="atLeast"/>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color w:val="auto"/>
          <w:sz w:val="21"/>
          <w:szCs w:val="21"/>
          <w:highlight w:val="none"/>
          <w:lang w:eastAsia="zh-CN"/>
        </w:rPr>
        <w:t>③供应商提交的《中小企业声明函》应按要求完整填报所有信息。</w:t>
      </w:r>
    </w:p>
    <w:p w14:paraId="62B8105B">
      <w:pPr>
        <w:pStyle w:val="21"/>
        <w:keepNext w:val="0"/>
        <w:keepLines w:val="0"/>
        <w:pageBreakBefore w:val="0"/>
        <w:kinsoku/>
        <w:wordWrap/>
        <w:overflowPunct/>
        <w:topLinePunct w:val="0"/>
        <w:autoSpaceDE/>
        <w:autoSpaceDN/>
        <w:bidi w:val="0"/>
        <w:adjustRightInd/>
        <w:snapToGrid/>
        <w:spacing w:line="420" w:lineRule="atLeast"/>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color w:val="auto"/>
          <w:sz w:val="21"/>
          <w:szCs w:val="21"/>
          <w:highlight w:val="none"/>
          <w:lang w:eastAsia="zh-CN"/>
        </w:rPr>
        <w:t>④涉及多个采购标的且由不同制造商制造或者由不同供应商承建（承接）的，应当逐一填报每个采购标的的制造商或者承建（承接）供应商信息。</w:t>
      </w:r>
    </w:p>
    <w:p w14:paraId="6029A760">
      <w:pPr>
        <w:pStyle w:val="21"/>
        <w:keepNext w:val="0"/>
        <w:keepLines w:val="0"/>
        <w:pageBreakBefore w:val="0"/>
        <w:kinsoku/>
        <w:wordWrap/>
        <w:overflowPunct/>
        <w:topLinePunct w:val="0"/>
        <w:autoSpaceDE/>
        <w:autoSpaceDN/>
        <w:bidi w:val="0"/>
        <w:adjustRightInd/>
        <w:snapToGrid/>
        <w:spacing w:line="420" w:lineRule="atLeast"/>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color w:val="auto"/>
          <w:sz w:val="21"/>
          <w:szCs w:val="21"/>
          <w:highlight w:val="none"/>
          <w:lang w:eastAsia="zh-CN"/>
        </w:rPr>
        <w:t>（2）监狱企业评审要求：提供由省级以上监狱管理局、戒毒管理局（含新疆生产建设兵团）出具的属于监狱企业的证明文件。</w:t>
      </w:r>
    </w:p>
    <w:p w14:paraId="6AF951D6">
      <w:pPr>
        <w:pStyle w:val="21"/>
        <w:keepNext w:val="0"/>
        <w:keepLines w:val="0"/>
        <w:pageBreakBefore w:val="0"/>
        <w:kinsoku/>
        <w:wordWrap/>
        <w:overflowPunct/>
        <w:topLinePunct w:val="0"/>
        <w:autoSpaceDE/>
        <w:autoSpaceDN/>
        <w:bidi w:val="0"/>
        <w:adjustRightInd/>
        <w:snapToGrid/>
        <w:spacing w:line="420" w:lineRule="atLeast"/>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color w:val="auto"/>
          <w:sz w:val="21"/>
          <w:szCs w:val="21"/>
          <w:highlight w:val="none"/>
          <w:lang w:eastAsia="zh-CN"/>
        </w:rPr>
        <w:t>（3）残疾人福利性单位评审要求：提供《残疾人福利性单位声明函》。</w:t>
      </w:r>
    </w:p>
    <w:p w14:paraId="301E2BC9">
      <w:pPr>
        <w:pStyle w:val="21"/>
        <w:keepNext w:val="0"/>
        <w:keepLines w:val="0"/>
        <w:pageBreakBefore w:val="0"/>
        <w:kinsoku/>
        <w:wordWrap/>
        <w:overflowPunct/>
        <w:topLinePunct w:val="0"/>
        <w:autoSpaceDE/>
        <w:autoSpaceDN/>
        <w:bidi w:val="0"/>
        <w:adjustRightInd/>
        <w:snapToGrid/>
        <w:spacing w:line="420" w:lineRule="atLeast"/>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color w:val="auto"/>
          <w:sz w:val="21"/>
          <w:szCs w:val="21"/>
          <w:highlight w:val="none"/>
          <w:lang w:eastAsia="zh-CN"/>
        </w:rPr>
        <w:t>（4）中小企业划型标准详见《关于印发中小企业划型标准规定的通知》（工信部联企业〔2011〕300号）（http://www.gov.cn/zwgk/2011-07/04/content_1898747.htm）。</w:t>
      </w:r>
    </w:p>
    <w:p w14:paraId="0AF2B9B7">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3.本项目特定的资格要求：</w:t>
      </w:r>
    </w:p>
    <w:p w14:paraId="50BF3FDC">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p w14:paraId="3B21CFF7">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单位负责人为同一人或者存在直接控股、管理关系的不同供应商，不得同时参加本采购项目投标（响应）。</w:t>
      </w:r>
    </w:p>
    <w:p w14:paraId="33DBFB4F">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1"/>
        <w:rPr>
          <w:rFonts w:hint="default" w:ascii="Times New Roman" w:hAnsi="Times New Roman" w:cs="Times New Roman" w:eastAsiaTheme="minorEastAsia"/>
          <w:b/>
          <w:color w:val="auto"/>
          <w:sz w:val="24"/>
          <w:szCs w:val="24"/>
          <w:highlight w:val="none"/>
        </w:rPr>
      </w:pPr>
      <w:bookmarkStart w:id="7" w:name="_Toc13137"/>
      <w:r>
        <w:rPr>
          <w:rFonts w:hint="default" w:ascii="Times New Roman" w:hAnsi="Times New Roman" w:cs="Times New Roman" w:eastAsiaTheme="minorEastAsia"/>
          <w:b/>
          <w:color w:val="auto"/>
          <w:sz w:val="24"/>
          <w:szCs w:val="24"/>
          <w:highlight w:val="none"/>
        </w:rPr>
        <w:t>三.获取磋商文件</w:t>
      </w:r>
      <w:bookmarkEnd w:id="7"/>
    </w:p>
    <w:p w14:paraId="54493C32">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时间：详见磋商公告及其变更公告（如有）</w:t>
      </w:r>
    </w:p>
    <w:p w14:paraId="6124097B">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地点：详见磋商公告及其变更公告（如有）</w:t>
      </w:r>
    </w:p>
    <w:p w14:paraId="61C970DB">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获取方式：</w:t>
      </w:r>
      <w:r>
        <w:rPr>
          <w:rFonts w:hint="eastAsia" w:ascii="Times New Roman" w:hAnsi="Times New Roman" w:cs="Times New Roman"/>
          <w:color w:val="auto"/>
          <w:sz w:val="21"/>
          <w:szCs w:val="21"/>
          <w:highlight w:val="none"/>
          <w:lang w:eastAsia="zh-CN"/>
        </w:rPr>
        <w:t>免费</w:t>
      </w:r>
      <w:r>
        <w:rPr>
          <w:rFonts w:hint="default" w:ascii="Times New Roman" w:hAnsi="Times New Roman" w:cs="Times New Roman" w:eastAsiaTheme="minorEastAsia"/>
          <w:color w:val="auto"/>
          <w:sz w:val="21"/>
          <w:szCs w:val="21"/>
          <w:highlight w:val="none"/>
        </w:rPr>
        <w:t>获取。</w:t>
      </w:r>
    </w:p>
    <w:p w14:paraId="5F6559B9">
      <w:pPr>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符合资格的潜在供应商应当在采购文件获取时间内按代理机构规定方式获取采购文件，流程如下：</w:t>
      </w:r>
    </w:p>
    <w:p w14:paraId="06F4A3CB">
      <w:pPr>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20" w:firstLineChars="200"/>
        <w:textAlignment w:val="auto"/>
        <w:rPr>
          <w:rFonts w:hint="eastAsia"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本项目需提交资料（均须加盖供应商公章）要求为：a.有效的营业执照副本或社会团体法人证书或事业单位法人证书等复印件；b.法定代表人证明书及授权文件；将上述资料发送至邮箱：zgydfs@126.com，在资料通过审核后，即视为报名成功。</w:t>
      </w:r>
    </w:p>
    <w:p w14:paraId="43F2514D">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1"/>
        <w:rPr>
          <w:rFonts w:hint="default" w:ascii="Times New Roman" w:hAnsi="Times New Roman" w:cs="Times New Roman" w:eastAsiaTheme="minorEastAsia"/>
          <w:b/>
          <w:color w:val="auto"/>
          <w:sz w:val="24"/>
          <w:szCs w:val="24"/>
          <w:highlight w:val="none"/>
        </w:rPr>
      </w:pPr>
      <w:bookmarkStart w:id="8" w:name="_Toc23679"/>
      <w:r>
        <w:rPr>
          <w:rFonts w:hint="default" w:ascii="Times New Roman" w:hAnsi="Times New Roman" w:cs="Times New Roman" w:eastAsiaTheme="minorEastAsia"/>
          <w:b/>
          <w:color w:val="auto"/>
          <w:sz w:val="24"/>
          <w:szCs w:val="24"/>
          <w:highlight w:val="none"/>
        </w:rPr>
        <w:t>四.提交响应文件截止时间、开启时间和地点：</w:t>
      </w:r>
      <w:bookmarkEnd w:id="8"/>
    </w:p>
    <w:p w14:paraId="5E0F8D9B">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提交响应文件截止时间和开启时间：详见磋商公告及其变更公告（如有）（自响应文件开始发出之日起至响应供应商提交响应文件截止之日止，不得少于10个日历日）</w:t>
      </w:r>
    </w:p>
    <w:p w14:paraId="69F77224">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地点：详见磋商公告及其变更公告（如有）</w:t>
      </w:r>
    </w:p>
    <w:p w14:paraId="5EBDE2CE">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1"/>
        <w:rPr>
          <w:rFonts w:hint="default" w:ascii="Times New Roman" w:hAnsi="Times New Roman" w:cs="Times New Roman" w:eastAsiaTheme="minorEastAsia"/>
          <w:b/>
          <w:color w:val="auto"/>
          <w:sz w:val="24"/>
          <w:szCs w:val="24"/>
          <w:highlight w:val="none"/>
        </w:rPr>
      </w:pPr>
      <w:bookmarkStart w:id="9" w:name="_Toc28143"/>
      <w:r>
        <w:rPr>
          <w:rFonts w:hint="default" w:ascii="Times New Roman" w:hAnsi="Times New Roman" w:cs="Times New Roman" w:eastAsiaTheme="minorEastAsia"/>
          <w:b/>
          <w:color w:val="auto"/>
          <w:sz w:val="24"/>
          <w:szCs w:val="24"/>
          <w:highlight w:val="none"/>
        </w:rPr>
        <w:t>五.公告期限：</w:t>
      </w:r>
      <w:bookmarkEnd w:id="9"/>
    </w:p>
    <w:p w14:paraId="063094CA">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公告期限：自本公告发布之日起不得少于3个工作日。</w:t>
      </w:r>
    </w:p>
    <w:p w14:paraId="54A99726">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1"/>
        <w:rPr>
          <w:rFonts w:hint="default" w:ascii="Times New Roman" w:hAnsi="Times New Roman" w:cs="Times New Roman" w:eastAsiaTheme="minorEastAsia"/>
          <w:b/>
          <w:color w:val="auto"/>
          <w:sz w:val="24"/>
          <w:szCs w:val="24"/>
          <w:highlight w:val="none"/>
        </w:rPr>
      </w:pPr>
      <w:bookmarkStart w:id="10" w:name="_Toc24038"/>
      <w:r>
        <w:rPr>
          <w:rFonts w:hint="default" w:ascii="Times New Roman" w:hAnsi="Times New Roman" w:cs="Times New Roman" w:eastAsiaTheme="minorEastAsia"/>
          <w:b/>
          <w:color w:val="auto"/>
          <w:sz w:val="24"/>
          <w:szCs w:val="24"/>
          <w:highlight w:val="none"/>
        </w:rPr>
        <w:t>六.本项目联系方式：</w:t>
      </w:r>
      <w:bookmarkEnd w:id="10"/>
    </w:p>
    <w:p w14:paraId="2D98B1C8">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1.采购人信息</w:t>
      </w:r>
    </w:p>
    <w:p w14:paraId="7EC6B813">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名称：</w:t>
      </w:r>
      <w:r>
        <w:rPr>
          <w:rFonts w:hint="eastAsia" w:ascii="Times New Roman" w:hAnsi="Times New Roman" w:cs="Times New Roman"/>
          <w:color w:val="auto"/>
          <w:sz w:val="21"/>
          <w:szCs w:val="21"/>
          <w:highlight w:val="none"/>
          <w:lang w:eastAsia="zh-CN"/>
        </w:rPr>
        <w:t>佛山市高明区人民法院</w:t>
      </w:r>
    </w:p>
    <w:p w14:paraId="779EB9DD">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eastAsia"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地址：</w:t>
      </w:r>
      <w:r>
        <w:rPr>
          <w:rFonts w:hint="eastAsia" w:ascii="Times New Roman" w:hAnsi="Times New Roman" w:cs="Times New Roman"/>
          <w:color w:val="auto"/>
          <w:sz w:val="21"/>
          <w:szCs w:val="21"/>
          <w:highlight w:val="none"/>
          <w:lang w:eastAsia="zh-CN"/>
        </w:rPr>
        <w:t>佛山市高明区荷城街道荷富大道明国路633号</w:t>
      </w:r>
    </w:p>
    <w:p w14:paraId="49E9FA72">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联系方式：0757-88266215</w:t>
      </w:r>
    </w:p>
    <w:p w14:paraId="51116C1D">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2.采购代理机构信息</w:t>
      </w:r>
    </w:p>
    <w:p w14:paraId="4571B275">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名称：</w:t>
      </w:r>
      <w:r>
        <w:rPr>
          <w:rFonts w:hint="default" w:ascii="Times New Roman" w:hAnsi="Times New Roman" w:cs="Times New Roman" w:eastAsiaTheme="minorEastAsia"/>
          <w:color w:val="auto"/>
          <w:sz w:val="21"/>
          <w:szCs w:val="21"/>
          <w:highlight w:val="none"/>
          <w:lang w:eastAsia="zh-CN"/>
        </w:rPr>
        <w:t>广东远东招标代理有限公司</w:t>
      </w:r>
    </w:p>
    <w:p w14:paraId="27F268B0">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地址：广东省佛山市禅城区季华五路10号金融广场17层A区之一</w:t>
      </w:r>
    </w:p>
    <w:p w14:paraId="68DEB377">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联系方式：0757-83332518</w:t>
      </w:r>
    </w:p>
    <w:p w14:paraId="3EF73286">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3.项目联系方式</w:t>
      </w:r>
    </w:p>
    <w:p w14:paraId="19EA9D4D">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项目联系人：</w:t>
      </w:r>
      <w:r>
        <w:rPr>
          <w:rFonts w:hint="eastAsia" w:ascii="Times New Roman" w:hAnsi="Times New Roman" w:cs="Times New Roman"/>
          <w:color w:val="auto"/>
          <w:sz w:val="21"/>
          <w:szCs w:val="21"/>
          <w:highlight w:val="none"/>
          <w:lang w:eastAsia="zh-CN"/>
        </w:rPr>
        <w:t>李</w:t>
      </w:r>
      <w:r>
        <w:rPr>
          <w:rFonts w:hint="default" w:ascii="Times New Roman" w:hAnsi="Times New Roman" w:cs="Times New Roman" w:eastAsiaTheme="minorEastAsia"/>
          <w:color w:val="auto"/>
          <w:sz w:val="21"/>
          <w:szCs w:val="21"/>
          <w:highlight w:val="none"/>
        </w:rPr>
        <w:t>先生</w:t>
      </w:r>
    </w:p>
    <w:p w14:paraId="6E5AF8D7">
      <w:pPr>
        <w:pStyle w:val="21"/>
        <w:keepNext w:val="0"/>
        <w:keepLines w:val="0"/>
        <w:pageBreakBefore w:val="0"/>
        <w:kinsoku/>
        <w:wordWrap/>
        <w:overflowPunct/>
        <w:topLinePunct w:val="0"/>
        <w:autoSpaceDE/>
        <w:autoSpaceDN/>
        <w:bidi w:val="0"/>
        <w:adjustRightInd/>
        <w:snapToGrid/>
        <w:spacing w:beforeAutospacing="0" w:afterAutospacing="0" w:line="42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电话：0757-83332518</w:t>
      </w:r>
    </w:p>
    <w:p w14:paraId="06D249EE">
      <w:pPr>
        <w:pStyle w:val="21"/>
        <w:keepNext w:val="0"/>
        <w:keepLines w:val="0"/>
        <w:pageBreakBefore w:val="0"/>
        <w:shd w:val="solid" w:color="FFFFFF" w:fill="auto"/>
        <w:kinsoku/>
        <w:wordWrap/>
        <w:overflowPunct/>
        <w:topLinePunct w:val="0"/>
        <w:autoSpaceDE/>
        <w:autoSpaceDN/>
        <w:bidi w:val="0"/>
        <w:adjustRightInd/>
        <w:snapToGrid/>
        <w:spacing w:beforeAutospacing="0" w:afterAutospacing="0" w:line="420" w:lineRule="atLeast"/>
        <w:ind w:left="0" w:leftChars="0" w:right="0" w:rightChars="0"/>
        <w:textAlignment w:val="auto"/>
        <w:outlineLvl w:val="1"/>
        <w:rPr>
          <w:rFonts w:hint="default" w:ascii="Times New Roman" w:hAnsi="Times New Roman" w:cs="Times New Roman"/>
          <w:b/>
          <w:color w:val="auto"/>
          <w:kern w:val="0"/>
          <w:sz w:val="24"/>
          <w:szCs w:val="24"/>
          <w:highlight w:val="none"/>
          <w:shd w:val="clear" w:color="auto" w:fill="FFFFFF"/>
        </w:rPr>
      </w:pPr>
      <w:r>
        <w:rPr>
          <w:rFonts w:hint="eastAsia" w:ascii="Times New Roman" w:hAnsi="Times New Roman" w:cs="Times New Roman"/>
          <w:b/>
          <w:color w:val="auto"/>
          <w:kern w:val="0"/>
          <w:sz w:val="24"/>
          <w:szCs w:val="24"/>
          <w:highlight w:val="none"/>
          <w:shd w:val="clear"/>
          <w:lang w:eastAsia="zh-CN"/>
        </w:rPr>
        <w:t>七</w:t>
      </w:r>
      <w:r>
        <w:rPr>
          <w:rFonts w:hint="default" w:ascii="Times New Roman" w:hAnsi="Times New Roman" w:cs="Times New Roman"/>
          <w:b/>
          <w:color w:val="auto"/>
          <w:kern w:val="0"/>
          <w:sz w:val="24"/>
          <w:szCs w:val="24"/>
          <w:highlight w:val="none"/>
          <w:shd w:val="clear" w:color="auto" w:fill="FFFFFF"/>
        </w:rPr>
        <w:t>、发布公告的媒介</w:t>
      </w:r>
    </w:p>
    <w:p w14:paraId="2BC7187A">
      <w:pPr>
        <w:keepNext w:val="0"/>
        <w:keepLines w:val="0"/>
        <w:pageBreakBefore w:val="0"/>
        <w:kinsoku/>
        <w:wordWrap/>
        <w:overflowPunct/>
        <w:topLinePunct w:val="0"/>
        <w:autoSpaceDE/>
        <w:autoSpaceDN/>
        <w:bidi w:val="0"/>
        <w:adjustRightInd/>
        <w:snapToGrid w:val="0"/>
        <w:spacing w:beforeAutospacing="0" w:afterAutospacing="0" w:line="420" w:lineRule="atLeast"/>
        <w:ind w:left="0" w:leftChars="0" w:right="0" w:rightChars="0" w:firstLine="441" w:firstLineChars="210"/>
        <w:textAlignment w:val="auto"/>
        <w:rPr>
          <w:rFonts w:hint="eastAsia" w:eastAsiaTheme="minorEastAsia"/>
          <w:color w:val="auto"/>
          <w:szCs w:val="21"/>
          <w:highlight w:val="none"/>
          <w:lang w:eastAsia="zh-CN"/>
        </w:rPr>
      </w:pPr>
      <w:r>
        <w:rPr>
          <w:color w:val="auto"/>
          <w:szCs w:val="21"/>
          <w:highlight w:val="none"/>
        </w:rPr>
        <w:t>广东远东招标代理有限公司网（http://www.gdydzb.com/）</w:t>
      </w:r>
      <w:r>
        <w:rPr>
          <w:rFonts w:hint="eastAsia"/>
          <w:color w:val="auto"/>
          <w:szCs w:val="21"/>
          <w:highlight w:val="none"/>
          <w:lang w:eastAsia="zh-CN"/>
        </w:rPr>
        <w:t>。</w:t>
      </w:r>
    </w:p>
    <w:p w14:paraId="6AF24600">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36"/>
          <w:highlight w:val="none"/>
        </w:rPr>
      </w:pPr>
      <w:r>
        <w:rPr>
          <w:rFonts w:hint="default" w:ascii="Times New Roman" w:hAnsi="Times New Roman" w:cs="Times New Roman" w:eastAsiaTheme="minorEastAsia"/>
          <w:b/>
          <w:color w:val="auto"/>
          <w:sz w:val="36"/>
          <w:highlight w:val="none"/>
        </w:rPr>
        <w:br w:type="page"/>
      </w:r>
    </w:p>
    <w:p w14:paraId="61EFB094">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outlineLvl w:val="0"/>
        <w:rPr>
          <w:rFonts w:hint="default" w:ascii="Times New Roman" w:hAnsi="Times New Roman" w:cs="Times New Roman" w:eastAsiaTheme="minorEastAsia"/>
          <w:color w:val="auto"/>
          <w:sz w:val="28"/>
          <w:szCs w:val="28"/>
          <w:highlight w:val="none"/>
        </w:rPr>
      </w:pPr>
      <w:bookmarkStart w:id="11" w:name="_Toc32673"/>
      <w:r>
        <w:rPr>
          <w:rFonts w:hint="default" w:ascii="Times New Roman" w:hAnsi="Times New Roman" w:cs="Times New Roman" w:eastAsiaTheme="minorEastAsia"/>
          <w:b/>
          <w:color w:val="auto"/>
          <w:sz w:val="28"/>
          <w:szCs w:val="28"/>
          <w:highlight w:val="none"/>
        </w:rPr>
        <w:t>第二</w:t>
      </w:r>
      <w:r>
        <w:rPr>
          <w:rFonts w:hint="default" w:ascii="Times New Roman" w:hAnsi="Times New Roman" w:cs="Times New Roman" w:eastAsiaTheme="minorEastAsia"/>
          <w:b/>
          <w:color w:val="auto"/>
          <w:sz w:val="28"/>
          <w:szCs w:val="28"/>
          <w:highlight w:val="none"/>
          <w:lang w:eastAsia="zh-CN"/>
        </w:rPr>
        <w:t>部分</w:t>
      </w:r>
      <w:r>
        <w:rPr>
          <w:rFonts w:hint="default" w:ascii="Times New Roman" w:hAnsi="Times New Roman" w:cs="Times New Roman" w:eastAsiaTheme="minorEastAsia"/>
          <w:b/>
          <w:color w:val="auto"/>
          <w:sz w:val="28"/>
          <w:szCs w:val="28"/>
          <w:highlight w:val="none"/>
        </w:rPr>
        <w:t xml:space="preserve"> 采购需求</w:t>
      </w:r>
      <w:bookmarkEnd w:id="11"/>
    </w:p>
    <w:p w14:paraId="2DF99FC2">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outlineLvl w:val="1"/>
        <w:rPr>
          <w:rFonts w:hint="default" w:ascii="Times New Roman" w:hAnsi="Times New Roman" w:cs="Times New Roman" w:eastAsiaTheme="minorEastAsia"/>
          <w:color w:val="auto"/>
          <w:sz w:val="24"/>
          <w:szCs w:val="24"/>
          <w:highlight w:val="none"/>
        </w:rPr>
      </w:pPr>
      <w:bookmarkStart w:id="12" w:name="_Toc27194"/>
      <w:bookmarkStart w:id="13" w:name="_Toc7528"/>
      <w:r>
        <w:rPr>
          <w:rFonts w:hint="default" w:ascii="Times New Roman" w:hAnsi="Times New Roman" w:cs="Times New Roman" w:eastAsiaTheme="minorEastAsia"/>
          <w:b/>
          <w:color w:val="auto"/>
          <w:sz w:val="24"/>
          <w:szCs w:val="24"/>
          <w:highlight w:val="none"/>
        </w:rPr>
        <w:t>一、项目概况</w:t>
      </w:r>
      <w:bookmarkEnd w:id="12"/>
      <w:bookmarkEnd w:id="13"/>
    </w:p>
    <w:p w14:paraId="6634DAE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2" w:firstLineChars="200"/>
        <w:textAlignment w:val="auto"/>
        <w:rPr>
          <w:rFonts w:hint="eastAsia" w:ascii="Times New Roman" w:hAnsi="Times New Roman" w:cs="Times New Roman" w:eastAsiaTheme="minorEastAsia"/>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1、项目背景</w:t>
      </w:r>
    </w:p>
    <w:p w14:paraId="62435547">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textAlignment w:val="auto"/>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送达难”已经成为困扰法院审判、执行工作的一个难题，当事人地址不确定、恶意躲避送达，分散性送达，送达方式单一等直接制约了案件裁判的质量和效率。2019年7月31日，最高院《关于建设一站式多元化解纷机制一站式诉讼服务中心的意见》(法〔2019〕19号)明确指出“完善集约化诉讼服务机制。推动将扫描装订、卷宗流转等辅助性、事务性工作集中到诉讼服务中心，实现集约管理。建立集约化送达机制，配备专门送达团队，负责预约送达、直接送达、留置送达、邮寄送达、委托送达、转交送达、代收送达、公告送达等送达实施事务”；“完善社会化服务机制。将能够由社会第三方辅助完成以及能够外包的服务性工作全部剥离出来，通过购买服务，由社会化专业团队开展。进一步规范购买社会服务的种类、性质和内容”。加大司法便民利民惠民工作力度，为人民群众提供丰富快捷的一站式高品质的诉讼服务，全方位提升人民群众的获得感、幸福感、安全感。</w:t>
      </w:r>
    </w:p>
    <w:p w14:paraId="2F68439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2" w:firstLineChars="200"/>
        <w:textAlignment w:val="auto"/>
        <w:rPr>
          <w:rFonts w:hint="eastAsia" w:ascii="Times New Roman" w:hAnsi="Times New Roman" w:cs="Times New Roman" w:eastAsiaTheme="minorEastAsia"/>
          <w:b/>
          <w:bCs w:val="0"/>
          <w:color w:val="auto"/>
          <w:sz w:val="21"/>
          <w:szCs w:val="21"/>
          <w:highlight w:val="none"/>
          <w:lang w:eastAsia="zh-CN"/>
        </w:rPr>
      </w:pPr>
      <w:r>
        <w:rPr>
          <w:rFonts w:hint="eastAsia" w:ascii="Times New Roman" w:hAnsi="Times New Roman" w:cs="Times New Roman"/>
          <w:b/>
          <w:bCs w:val="0"/>
          <w:color w:val="auto"/>
          <w:sz w:val="21"/>
          <w:szCs w:val="21"/>
          <w:highlight w:val="none"/>
          <w:lang w:eastAsia="zh-CN"/>
        </w:rPr>
        <w:t>2</w:t>
      </w:r>
      <w:r>
        <w:rPr>
          <w:rFonts w:hint="eastAsia" w:ascii="Times New Roman" w:hAnsi="Times New Roman" w:cs="Times New Roman" w:eastAsiaTheme="minorEastAsia"/>
          <w:b/>
          <w:bCs w:val="0"/>
          <w:color w:val="auto"/>
          <w:sz w:val="21"/>
          <w:szCs w:val="21"/>
          <w:highlight w:val="none"/>
          <w:lang w:eastAsia="zh-CN"/>
        </w:rPr>
        <w:t>、服务目标</w:t>
      </w:r>
    </w:p>
    <w:p w14:paraId="386A269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textAlignment w:val="auto"/>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集约化送达服务立足实效实用，为法官提供快速、有效、专业的送达服务，方便当事人诉讼活动，提升社会力量的协作能力和服务水平，形成线上和线下的集约式、一体化送达服务能力。</w:t>
      </w:r>
    </w:p>
    <w:p w14:paraId="213F962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2" w:firstLineChars="200"/>
        <w:textAlignment w:val="auto"/>
        <w:rPr>
          <w:rFonts w:hint="eastAsia" w:ascii="Times New Roman" w:hAnsi="Times New Roman" w:cs="Times New Roman" w:eastAsiaTheme="minorEastAsia"/>
          <w:b/>
          <w:bCs w:val="0"/>
          <w:color w:val="auto"/>
          <w:sz w:val="21"/>
          <w:szCs w:val="21"/>
          <w:highlight w:val="none"/>
          <w:lang w:eastAsia="zh-CN"/>
        </w:rPr>
      </w:pPr>
      <w:r>
        <w:rPr>
          <w:rFonts w:hint="eastAsia" w:ascii="Times New Roman" w:hAnsi="Times New Roman" w:cs="Times New Roman"/>
          <w:b/>
          <w:bCs w:val="0"/>
          <w:color w:val="auto"/>
          <w:sz w:val="21"/>
          <w:szCs w:val="21"/>
          <w:highlight w:val="none"/>
          <w:lang w:eastAsia="zh-CN"/>
        </w:rPr>
        <w:t>3</w:t>
      </w:r>
      <w:r>
        <w:rPr>
          <w:rFonts w:hint="eastAsia" w:ascii="Times New Roman" w:hAnsi="Times New Roman" w:cs="Times New Roman" w:eastAsiaTheme="minorEastAsia"/>
          <w:b/>
          <w:bCs w:val="0"/>
          <w:color w:val="auto"/>
          <w:sz w:val="21"/>
          <w:szCs w:val="21"/>
          <w:highlight w:val="none"/>
          <w:lang w:eastAsia="zh-CN"/>
        </w:rPr>
        <w:t>、服务原则</w:t>
      </w:r>
    </w:p>
    <w:p w14:paraId="31E6D58D">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textAlignment w:val="auto"/>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1．依法合规原则。送达工作过程要坚持合法合规，严格遵守民事诉讼法及相关司法解释关于各种送达方式的规定，避免因送达程序不合法导致案件被发改，影响案件质量。适用送达地址推定、公告送达等情况，应由业务部门审慎确定，并明确指示送达中心。遇无明确指导意见的情形，送达专员应及时请示案件承办人，并严格按照承办人的指示从事送达工作；</w:t>
      </w:r>
    </w:p>
    <w:p w14:paraId="7CD8FF85">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textAlignment w:val="auto"/>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2．安全可靠原则。确保网络环境、作业场地的安全可靠，强化对信息流和实物流的监控，有效保障信息和文书实物的安全；</w:t>
      </w:r>
    </w:p>
    <w:p w14:paraId="5C4C87C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textAlignment w:val="auto"/>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3．快速反应原则。实现送达信息网上推送、邮寄面单在线打印，线上电子送达为主、线下邮寄送达为辅，所有送达信息在集中送达平台处理分流，采用最合适的送达方式处理，尽最快速度把送达信息交付给受送达人；</w:t>
      </w:r>
    </w:p>
    <w:p w14:paraId="6F3A113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textAlignment w:val="auto"/>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4．效率优先原则。送达要坚持注重效率，送达工作应由业务部门和送达中心协同配合，根据案件实际情况，选择送达方式，安排送达计划，优化送达流程，保证送达工作高质高效完成。充分推广运用电子送达手段，挖掘时效性潜力；采用与法院审判系统对接的送达业务系统，在法律文书接收、处理、转运和送达环节优先处理，确保送达效率；</w:t>
      </w:r>
    </w:p>
    <w:p w14:paraId="2AF30DE5">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textAlignment w:val="auto"/>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5．全程留痕原则。送达要坚持全程留痕，送达中心充分借助信息化手段，做到各送达节点及时录入送达信息，过程中产生的电话录音、送达回证、邮单回执、送达报告等送达信息共享利用，供全院随时查询回溯。</w:t>
      </w:r>
    </w:p>
    <w:p w14:paraId="71590F50">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2" w:firstLineChars="200"/>
        <w:textAlignment w:val="auto"/>
        <w:rPr>
          <w:rFonts w:hint="eastAsia" w:ascii="Times New Roman" w:hAnsi="Times New Roman" w:cs="Times New Roman" w:eastAsiaTheme="minorEastAsia"/>
          <w:b/>
          <w:bCs w:val="0"/>
          <w:color w:val="auto"/>
          <w:sz w:val="21"/>
          <w:szCs w:val="21"/>
          <w:highlight w:val="none"/>
          <w:lang w:eastAsia="zh-CN"/>
        </w:rPr>
      </w:pPr>
      <w:r>
        <w:rPr>
          <w:rFonts w:hint="eastAsia" w:ascii="Times New Roman" w:hAnsi="Times New Roman" w:cs="Times New Roman"/>
          <w:b/>
          <w:bCs w:val="0"/>
          <w:color w:val="auto"/>
          <w:sz w:val="21"/>
          <w:szCs w:val="21"/>
          <w:highlight w:val="none"/>
          <w:lang w:eastAsia="zh-CN"/>
        </w:rPr>
        <w:t>4</w:t>
      </w:r>
      <w:r>
        <w:rPr>
          <w:rFonts w:hint="eastAsia" w:ascii="Times New Roman" w:hAnsi="Times New Roman" w:cs="Times New Roman" w:eastAsiaTheme="minorEastAsia"/>
          <w:b/>
          <w:bCs w:val="0"/>
          <w:color w:val="auto"/>
          <w:sz w:val="21"/>
          <w:szCs w:val="21"/>
          <w:highlight w:val="none"/>
          <w:lang w:eastAsia="zh-CN"/>
        </w:rPr>
        <w:t>、服务范围</w:t>
      </w:r>
    </w:p>
    <w:p w14:paraId="3AD7B0B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textAlignment w:val="auto"/>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高明区人民法院执行案件送达服务，费用包含送达系统软件、驻场送达服务人员、智能录音电话等，不含设备耗材和EMS邮寄费用。</w:t>
      </w:r>
    </w:p>
    <w:p w14:paraId="7EC09221">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textAlignment w:val="auto"/>
        <w:rPr>
          <w:rFonts w:hint="default" w:ascii="Times New Roman" w:hAnsi="Times New Roman" w:cs="Times New Roman" w:eastAsiaTheme="minorEastAsia"/>
          <w:b w:val="0"/>
          <w:bCs/>
          <w:color w:val="auto"/>
          <w:sz w:val="21"/>
          <w:szCs w:val="21"/>
          <w:highlight w:val="none"/>
        </w:rPr>
      </w:pPr>
    </w:p>
    <w:p w14:paraId="702F73AE">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outlineLvl w:val="1"/>
        <w:rPr>
          <w:rFonts w:hint="default" w:ascii="Times New Roman" w:hAnsi="Times New Roman" w:cs="Times New Roman" w:eastAsiaTheme="minorEastAsia"/>
          <w:b/>
          <w:color w:val="auto"/>
          <w:sz w:val="24"/>
          <w:szCs w:val="24"/>
          <w:highlight w:val="none"/>
        </w:rPr>
      </w:pPr>
      <w:bookmarkStart w:id="14" w:name="_Toc3325"/>
      <w:r>
        <w:rPr>
          <w:rFonts w:hint="default" w:ascii="Times New Roman" w:hAnsi="Times New Roman" w:cs="Times New Roman"/>
          <w:b/>
          <w:color w:val="auto"/>
          <w:sz w:val="24"/>
          <w:szCs w:val="24"/>
          <w:highlight w:val="none"/>
          <w:lang w:eastAsia="zh-CN"/>
        </w:rPr>
        <w:t>二、</w:t>
      </w:r>
      <w:r>
        <w:rPr>
          <w:rFonts w:hint="default" w:ascii="Times New Roman" w:hAnsi="Times New Roman" w:cs="Times New Roman" w:eastAsiaTheme="minorEastAsia"/>
          <w:b/>
          <w:color w:val="auto"/>
          <w:sz w:val="24"/>
          <w:szCs w:val="24"/>
          <w:highlight w:val="none"/>
        </w:rPr>
        <w:t>主要商务要求</w:t>
      </w:r>
      <w:bookmarkEnd w:id="14"/>
    </w:p>
    <w:tbl>
      <w:tblPr>
        <w:tblStyle w:val="18"/>
        <w:tblW w:w="9614" w:type="dxa"/>
        <w:tblInd w:w="-21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93"/>
        <w:gridCol w:w="7921"/>
      </w:tblGrid>
      <w:tr w14:paraId="6A631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32D1265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标的提供的时间</w:t>
            </w:r>
          </w:p>
        </w:tc>
        <w:tc>
          <w:tcPr>
            <w:tcW w:w="7921" w:type="dxa"/>
          </w:tcPr>
          <w:p w14:paraId="5424D58D">
            <w:pPr>
              <w:pStyle w:val="21"/>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r>
              <w:rPr>
                <w:rFonts w:hint="eastAsia" w:ascii="Times New Roman" w:hAnsi="Times New Roman" w:cs="Times New Roman" w:eastAsiaTheme="minorEastAsia"/>
                <w:color w:val="auto"/>
                <w:sz w:val="21"/>
                <w:szCs w:val="21"/>
                <w:highlight w:val="none"/>
                <w:lang w:val="en-US" w:eastAsia="zh-CN"/>
              </w:rPr>
              <w:t>工作量达到合同总金额时，合同自动终止；未达到合同总金额，但达到合同履行服务期（24个月），经双方友好协商可适当延长合同期限。</w:t>
            </w:r>
          </w:p>
          <w:p w14:paraId="420DAA05">
            <w:pPr>
              <w:pStyle w:val="21"/>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2、合同履行期限补充要求：原则上合同生效之日计起24个月。若在合同期内未完成约定的工作量，经双方友好协商可适当延长合同期限。</w:t>
            </w:r>
          </w:p>
        </w:tc>
      </w:tr>
      <w:tr w14:paraId="4124A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1F2D59C2">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标的提供的地点</w:t>
            </w:r>
          </w:p>
        </w:tc>
        <w:tc>
          <w:tcPr>
            <w:tcW w:w="7921" w:type="dxa"/>
          </w:tcPr>
          <w:p w14:paraId="56E1876D">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kern w:val="0"/>
                <w:sz w:val="21"/>
                <w:szCs w:val="21"/>
                <w:highlight w:val="none"/>
                <w:lang w:eastAsia="zh-CN" w:bidi="ar"/>
              </w:rPr>
              <w:t>佛山市高明区人民法院</w:t>
            </w:r>
            <w:r>
              <w:rPr>
                <w:rFonts w:hint="default" w:ascii="Times New Roman" w:hAnsi="Times New Roman" w:cs="Times New Roman" w:eastAsiaTheme="minorEastAsia"/>
                <w:color w:val="auto"/>
                <w:kern w:val="0"/>
                <w:sz w:val="21"/>
                <w:szCs w:val="21"/>
                <w:highlight w:val="none"/>
                <w:lang w:eastAsia="zh-CN" w:bidi="ar"/>
              </w:rPr>
              <w:t>。</w:t>
            </w:r>
          </w:p>
        </w:tc>
      </w:tr>
      <w:tr w14:paraId="13B9D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7FED9BE4">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付款方式</w:t>
            </w:r>
          </w:p>
        </w:tc>
        <w:tc>
          <w:tcPr>
            <w:tcW w:w="7921" w:type="dxa"/>
          </w:tcPr>
          <w:p w14:paraId="22D80546">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eastAsiaTheme="minorEastAsia"/>
                <w:color w:val="auto"/>
                <w:sz w:val="21"/>
                <w:szCs w:val="21"/>
                <w:highlight w:val="none"/>
              </w:rPr>
              <w:t>预付款：合同签订生效后的15个工作日内，采购人启动财政支付流程向供应商支付合同总额的40%作为预付款。</w:t>
            </w:r>
          </w:p>
          <w:p w14:paraId="1440C6D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rPr>
              <w:t>进度款：从合同签订后第三个月起按供应商每季度完成量支付。供应商申请付款时应向采购人提供双方确认后的案件量清单及送达报告，与支付金额相符的有效发票，且收款方、出具发票方、合同乙方均必须与</w:t>
            </w:r>
            <w:r>
              <w:rPr>
                <w:rFonts w:hint="eastAsia" w:ascii="Times New Roman" w:hAnsi="Times New Roman" w:cs="Times New Roman"/>
                <w:color w:val="auto"/>
                <w:sz w:val="21"/>
                <w:szCs w:val="21"/>
                <w:highlight w:val="none"/>
                <w:lang w:eastAsia="zh-CN"/>
              </w:rPr>
              <w:t>成交人</w:t>
            </w:r>
            <w:r>
              <w:rPr>
                <w:rFonts w:hint="default" w:ascii="Times New Roman" w:hAnsi="Times New Roman" w:cs="Times New Roman" w:eastAsiaTheme="minorEastAsia"/>
                <w:color w:val="auto"/>
                <w:sz w:val="21"/>
                <w:szCs w:val="21"/>
                <w:highlight w:val="none"/>
              </w:rPr>
              <w:t xml:space="preserve">名称一致，每期费用在十五个工作日内支付。 </w:t>
            </w:r>
          </w:p>
          <w:p w14:paraId="11558550">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采购人应在供应商提出验收申请之日起5个工作日内验收：①.如果验收合格，采购人出具书面验收合格证明。如果验收不合格，采购人明确列明不合格之处，并出具整改意见书。如采购人在5日届满前未进行验收或未出具书面验收结果的，或提出超出本合同需求范围的不合理整改意见的，则视为供应商服务及成果已经采购人认可，通过验收。②验收办法：</w:t>
            </w:r>
            <w:r>
              <w:rPr>
                <w:rFonts w:hint="eastAsia" w:ascii="Times New Roman" w:hAnsi="Times New Roman" w:cs="Times New Roman"/>
                <w:color w:val="auto"/>
                <w:sz w:val="21"/>
                <w:szCs w:val="21"/>
                <w:highlight w:val="none"/>
                <w:lang w:eastAsia="zh-CN"/>
              </w:rPr>
              <w:t>成交人</w:t>
            </w:r>
            <w:r>
              <w:rPr>
                <w:rFonts w:hint="default" w:ascii="Times New Roman" w:hAnsi="Times New Roman" w:cs="Times New Roman" w:eastAsiaTheme="minorEastAsia"/>
                <w:color w:val="auto"/>
                <w:sz w:val="21"/>
                <w:szCs w:val="21"/>
                <w:highlight w:val="none"/>
              </w:rPr>
              <w:t>与采购人验收应参照《财政部关于进一步加强政府采购需求和履约验收管理的指导意见》 （财库〔2016〕205号）规定的要求进行验收。③.验收标准：按国家有关规定 、招标文件的服务要求、</w:t>
            </w:r>
            <w:r>
              <w:rPr>
                <w:rFonts w:hint="eastAsia" w:ascii="Times New Roman" w:hAnsi="Times New Roman" w:cs="Times New Roman"/>
                <w:color w:val="auto"/>
                <w:sz w:val="21"/>
                <w:szCs w:val="21"/>
                <w:highlight w:val="none"/>
                <w:lang w:eastAsia="zh-CN"/>
              </w:rPr>
              <w:t>成交人</w:t>
            </w:r>
            <w:r>
              <w:rPr>
                <w:rFonts w:hint="default" w:ascii="Times New Roman" w:hAnsi="Times New Roman" w:cs="Times New Roman" w:eastAsiaTheme="minorEastAsia"/>
                <w:color w:val="auto"/>
                <w:sz w:val="21"/>
                <w:szCs w:val="21"/>
                <w:highlight w:val="none"/>
              </w:rPr>
              <w:t>的投标文件及承诺以及合同约定标准进行验收。</w:t>
            </w:r>
          </w:p>
          <w:p w14:paraId="67FA941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rPr>
              <w:t>因采购人使用的是财政资金，采购人在前款规定的付款时间为向政府采购支付部门提出办理财政支付申请手续的时间（不含政府财政支付部门审核的时间），在规定时间内提出支付申请手续后视为采购人已经按期支付。</w:t>
            </w:r>
          </w:p>
          <w:p w14:paraId="591C046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eastAsiaTheme="minorEastAsia"/>
                <w:color w:val="auto"/>
                <w:sz w:val="21"/>
                <w:szCs w:val="21"/>
                <w:highlight w:val="none"/>
              </w:rPr>
              <w:t>具体支付方式和支付进度，采购人可以根据项目进展情况做出调整，由采购人代表验收合格并盖章确认。</w:t>
            </w:r>
          </w:p>
          <w:p w14:paraId="579B40D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6、付款要求</w:t>
            </w:r>
          </w:p>
          <w:p w14:paraId="548D089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①甲方不承担因财政资金不能及时到位给乙方造成的任何损失。</w:t>
            </w:r>
          </w:p>
          <w:p w14:paraId="384E3084">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②收款方、出具发票方、合同乙方名称均必须与成交供应商名称一致。</w:t>
            </w:r>
          </w:p>
        </w:tc>
      </w:tr>
      <w:tr w14:paraId="1A6D2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74DF881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验收要求</w:t>
            </w:r>
          </w:p>
        </w:tc>
        <w:tc>
          <w:tcPr>
            <w:tcW w:w="7921" w:type="dxa"/>
          </w:tcPr>
          <w:p w14:paraId="069BB3C0">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eastAsiaTheme="minorEastAsia"/>
                <w:color w:val="auto"/>
                <w:sz w:val="21"/>
                <w:szCs w:val="21"/>
                <w:highlight w:val="none"/>
              </w:rPr>
              <w:t>成交供应商需为验收提供必需的一切条件及相关费用，并提供本项目</w:t>
            </w:r>
            <w:r>
              <w:rPr>
                <w:rFonts w:hint="eastAsia" w:ascii="Times New Roman" w:hAnsi="Times New Roman" w:cs="Times New Roman"/>
                <w:color w:val="auto"/>
                <w:sz w:val="21"/>
                <w:szCs w:val="21"/>
                <w:highlight w:val="none"/>
                <w:lang w:eastAsia="zh-CN"/>
              </w:rPr>
              <w:t>服务过程中</w:t>
            </w:r>
            <w:r>
              <w:rPr>
                <w:rFonts w:hint="default" w:ascii="Times New Roman" w:hAnsi="Times New Roman" w:cs="Times New Roman" w:eastAsiaTheme="minorEastAsia"/>
                <w:color w:val="auto"/>
                <w:sz w:val="21"/>
                <w:szCs w:val="21"/>
                <w:highlight w:val="none"/>
              </w:rPr>
              <w:t>的相关文档和验收所需资料</w:t>
            </w:r>
            <w:r>
              <w:rPr>
                <w:rFonts w:hint="eastAsia" w:ascii="Times New Roman" w:hAnsi="Times New Roman" w:cs="Times New Roman"/>
                <w:color w:val="auto"/>
                <w:sz w:val="21"/>
                <w:szCs w:val="21"/>
                <w:highlight w:val="none"/>
                <w:lang w:eastAsia="zh-CN"/>
              </w:rPr>
              <w:t>及记录</w:t>
            </w:r>
            <w:r>
              <w:rPr>
                <w:rFonts w:hint="default" w:ascii="Times New Roman" w:hAnsi="Times New Roman" w:cs="Times New Roman" w:eastAsiaTheme="minorEastAsia"/>
                <w:color w:val="auto"/>
                <w:sz w:val="21"/>
                <w:szCs w:val="21"/>
                <w:highlight w:val="none"/>
              </w:rPr>
              <w:t>，积极配合采购人完成验收工作。</w:t>
            </w:r>
          </w:p>
          <w:p w14:paraId="654E394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rPr>
              <w:t>项目验收依次序对照执行标准</w:t>
            </w:r>
          </w:p>
          <w:p w14:paraId="56B1C58D">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符合中华人民共和国国家和履约地相关安全质量标准、行业技术规范标准、环保节能标准；</w:t>
            </w:r>
          </w:p>
          <w:p w14:paraId="416F1DA4">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符合招标文件和投标承诺中各方共同认可的各项要求；</w:t>
            </w:r>
          </w:p>
          <w:p w14:paraId="2A6BDCD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3</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符合服务类项目官方颁布的验收标准。</w:t>
            </w:r>
          </w:p>
          <w:p w14:paraId="15DE616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rPr>
              <w:t>上述各类标准与法规必须是有关官方机构最新发布的现行标准版本。</w:t>
            </w:r>
          </w:p>
          <w:p w14:paraId="5F674B9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验收内容。按照合同规定的技术、服务、安全标准组织对供应商履约情况进行验收，并出具验收报告。验收报告应当包括每一项技术、服务、安全标准的履约情况。</w:t>
            </w:r>
          </w:p>
          <w:p w14:paraId="598BCD24">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rPr>
              <w:t>验收结果。以书面形式作出结论性意见（验收报告），由验收小组成员签字及供应商授权代表签字盖章后，报告采购人。</w:t>
            </w:r>
          </w:p>
        </w:tc>
      </w:tr>
      <w:tr w14:paraId="4F96B4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4425310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履约保证金</w:t>
            </w:r>
          </w:p>
        </w:tc>
        <w:tc>
          <w:tcPr>
            <w:tcW w:w="7921" w:type="dxa"/>
          </w:tcPr>
          <w:p w14:paraId="2556728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eastAsiaTheme="minorEastAsia"/>
                <w:color w:val="auto"/>
                <w:sz w:val="21"/>
                <w:szCs w:val="21"/>
                <w:highlight w:val="none"/>
                <w:lang w:eastAsia="zh-CN"/>
              </w:rPr>
              <w:t>。</w:t>
            </w:r>
          </w:p>
          <w:p w14:paraId="039A316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1、为保证乙方提供的服务符合采购文件、乙方投标文件及本合同约定要求，乙方在签定合同后10个工作日内向甲方</w:t>
            </w:r>
            <w:r>
              <w:rPr>
                <w:rFonts w:hint="eastAsia" w:ascii="Times New Roman" w:hAnsi="Times New Roman" w:cs="Times New Roman" w:eastAsiaTheme="minorEastAsia"/>
                <w:color w:val="auto"/>
                <w:sz w:val="21"/>
                <w:szCs w:val="21"/>
                <w:highlight w:val="none"/>
              </w:rPr>
              <w:t>指定账号缴纳</w:t>
            </w:r>
            <w:r>
              <w:rPr>
                <w:rFonts w:hint="eastAsia" w:ascii="Times New Roman" w:hAnsi="Times New Roman" w:cs="Times New Roman" w:eastAsiaTheme="minorEastAsia"/>
                <w:color w:val="auto"/>
                <w:sz w:val="21"/>
                <w:szCs w:val="21"/>
                <w:highlight w:val="none"/>
                <w:lang w:val="en-US" w:eastAsia="zh-CN"/>
              </w:rPr>
              <w:t>合同总价的5%作为履约保证金。</w:t>
            </w:r>
          </w:p>
          <w:p w14:paraId="269B7B8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2、如果乙方拒绝提交或没有在规定的时间内提交履约保证金，则视为放弃中标资格。</w:t>
            </w:r>
          </w:p>
          <w:p w14:paraId="57D99581">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3、如乙方违约，甲方可随时启动项目履约保证金，因乙方违约导致扣减履约保证金后，乙方须在五个工作日内补足至原有金额，否则将视为乙方毁约，甲方有权单方面解除本合同。</w:t>
            </w:r>
          </w:p>
          <w:p w14:paraId="5B13BE65">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lang w:eastAsia="zh-CN"/>
              </w:rPr>
            </w:pPr>
            <w:r>
              <w:rPr>
                <w:rFonts w:hint="eastAsia" w:ascii="Times New Roman" w:hAnsi="Times New Roman" w:cs="Times New Roman" w:eastAsiaTheme="minorEastAsia"/>
                <w:color w:val="auto"/>
                <w:sz w:val="21"/>
                <w:szCs w:val="21"/>
                <w:highlight w:val="none"/>
                <w:lang w:val="en-US" w:eastAsia="zh-CN"/>
              </w:rPr>
              <w:t>4、合同期内无违约行为的，履约保证金在合同结束后1个月内无息退还。</w:t>
            </w:r>
          </w:p>
        </w:tc>
      </w:tr>
    </w:tbl>
    <w:p w14:paraId="3FF221B1">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p w14:paraId="2D718A2C">
      <w:pPr>
        <w:pStyle w:val="21"/>
        <w:keepLines w:val="0"/>
        <w:kinsoku/>
        <w:wordWrap/>
        <w:overflowPunct/>
        <w:topLinePunct w:val="0"/>
        <w:bidi w:val="0"/>
        <w:spacing w:beforeAutospacing="0" w:afterAutospacing="0" w:line="360" w:lineRule="atLeast"/>
        <w:ind w:left="0" w:leftChars="0" w:right="0" w:rightChars="0"/>
        <w:outlineLvl w:val="1"/>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b/>
          <w:color w:val="auto"/>
          <w:sz w:val="24"/>
          <w:szCs w:val="24"/>
          <w:highlight w:val="none"/>
          <w:lang w:eastAsia="zh-CN"/>
        </w:rPr>
        <w:t>三、</w:t>
      </w:r>
      <w:r>
        <w:rPr>
          <w:rFonts w:hint="default" w:ascii="Times New Roman" w:hAnsi="Times New Roman" w:cs="Times New Roman" w:eastAsiaTheme="minorEastAsia"/>
          <w:b/>
          <w:color w:val="auto"/>
          <w:sz w:val="24"/>
          <w:szCs w:val="24"/>
          <w:highlight w:val="none"/>
        </w:rPr>
        <w:t>其他商务需求</w:t>
      </w:r>
    </w:p>
    <w:tbl>
      <w:tblPr>
        <w:tblStyle w:val="18"/>
        <w:tblW w:w="9633"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0"/>
        <w:gridCol w:w="617"/>
        <w:gridCol w:w="1116"/>
        <w:gridCol w:w="7150"/>
      </w:tblGrid>
      <w:tr w14:paraId="2A1F2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vAlign w:val="center"/>
          </w:tcPr>
          <w:p w14:paraId="39B77254">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参数</w:t>
            </w:r>
          </w:p>
          <w:p w14:paraId="7BFCC452">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性质</w:t>
            </w:r>
          </w:p>
        </w:tc>
        <w:tc>
          <w:tcPr>
            <w:tcW w:w="617" w:type="dxa"/>
            <w:vAlign w:val="center"/>
          </w:tcPr>
          <w:p w14:paraId="05760F0D">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编号</w:t>
            </w:r>
          </w:p>
        </w:tc>
        <w:tc>
          <w:tcPr>
            <w:tcW w:w="1116" w:type="dxa"/>
            <w:vAlign w:val="center"/>
          </w:tcPr>
          <w:p w14:paraId="4DD94D3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内容明细</w:t>
            </w:r>
          </w:p>
        </w:tc>
        <w:tc>
          <w:tcPr>
            <w:tcW w:w="7150" w:type="dxa"/>
            <w:vAlign w:val="center"/>
          </w:tcPr>
          <w:p w14:paraId="22D73F78">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内容说明</w:t>
            </w:r>
          </w:p>
        </w:tc>
      </w:tr>
      <w:tr w14:paraId="324AF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51A36791">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w:t>
            </w:r>
          </w:p>
        </w:tc>
        <w:tc>
          <w:tcPr>
            <w:tcW w:w="617" w:type="dxa"/>
          </w:tcPr>
          <w:p w14:paraId="48E81DFE">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116" w:type="dxa"/>
          </w:tcPr>
          <w:p w14:paraId="26675989">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报价要求</w:t>
            </w:r>
          </w:p>
        </w:tc>
        <w:tc>
          <w:tcPr>
            <w:tcW w:w="7150" w:type="dxa"/>
          </w:tcPr>
          <w:p w14:paraId="4A252B8C">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 xml:space="preserve">本项目报价为广东省佛山市目的地交付价。 </w:t>
            </w:r>
          </w:p>
          <w:p w14:paraId="5392F2C2">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投标报价指</w:t>
            </w:r>
            <w:r>
              <w:rPr>
                <w:rFonts w:hint="eastAsia" w:ascii="Times New Roman" w:hAnsi="Times New Roman" w:cs="Times New Roman"/>
                <w:color w:val="auto"/>
                <w:sz w:val="21"/>
                <w:szCs w:val="21"/>
                <w:highlight w:val="none"/>
                <w:lang w:val="en-US" w:eastAsia="zh-CN"/>
              </w:rPr>
              <w:t>供应商</w:t>
            </w:r>
            <w:r>
              <w:rPr>
                <w:rFonts w:hint="default" w:ascii="Times New Roman" w:hAnsi="Times New Roman" w:cs="Times New Roman"/>
                <w:color w:val="auto"/>
                <w:sz w:val="21"/>
                <w:szCs w:val="21"/>
                <w:highlight w:val="none"/>
                <w:lang w:val="en-US" w:eastAsia="zh-CN"/>
              </w:rPr>
              <w:t>为完成本项目所收取的全部费用，包含但不限于以下费用：成本费、劳务费、设备费、系统及软件费、接口费、交通费、税金（全额含税发票）、雇员费用、采购代理服务费、疫情防控费用以及项目实施过程中其他应预见和不可预见费用等完成本采购项目、达到采购人目的的一切费用及企业利润。</w:t>
            </w:r>
          </w:p>
          <w:p w14:paraId="4618ABB4">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3、供应商</w:t>
            </w:r>
            <w:r>
              <w:rPr>
                <w:rFonts w:hint="default" w:ascii="Times New Roman" w:hAnsi="Times New Roman" w:cs="Times New Roman"/>
                <w:color w:val="auto"/>
                <w:sz w:val="21"/>
                <w:szCs w:val="21"/>
                <w:highlight w:val="none"/>
                <w:lang w:val="en-US" w:eastAsia="zh-CN"/>
              </w:rPr>
              <w:t xml:space="preserve">需考虑本项目在实施期间的一切可能产生的费用。 </w:t>
            </w:r>
          </w:p>
          <w:p w14:paraId="043AD11F">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集约化送达完成约13000件执行案件全流程办案配套服务。单价最高限价：人民币45元/</w:t>
            </w:r>
            <w:r>
              <w:rPr>
                <w:rFonts w:hint="eastAsia" w:ascii="Times New Roman" w:hAnsi="Times New Roman" w:cs="Times New Roman"/>
                <w:color w:val="auto"/>
                <w:sz w:val="21"/>
                <w:szCs w:val="21"/>
                <w:highlight w:val="none"/>
                <w:lang w:val="en-US" w:eastAsia="zh-CN"/>
              </w:rPr>
              <w:t>件</w:t>
            </w:r>
            <w:r>
              <w:rPr>
                <w:rFonts w:hint="default" w:ascii="Times New Roman" w:hAnsi="Times New Roman" w:cs="Times New Roman"/>
                <w:color w:val="auto"/>
                <w:sz w:val="21"/>
                <w:szCs w:val="21"/>
                <w:highlight w:val="none"/>
                <w:lang w:val="en-US" w:eastAsia="zh-CN"/>
              </w:rPr>
              <w:t xml:space="preserve">，总价最高限价：人民币58.5万元。 </w:t>
            </w:r>
          </w:p>
          <w:p w14:paraId="5A1050B0">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本项目以单价进行报价，报价不得高于本项目的单价最高限价，否则视为无效报价，作无效投标处理。</w:t>
            </w:r>
          </w:p>
        </w:tc>
      </w:tr>
      <w:tr w14:paraId="6BAA11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707F289C">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tc>
        <w:tc>
          <w:tcPr>
            <w:tcW w:w="617" w:type="dxa"/>
          </w:tcPr>
          <w:p w14:paraId="70FD2619">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2</w:t>
            </w:r>
          </w:p>
        </w:tc>
        <w:tc>
          <w:tcPr>
            <w:tcW w:w="1116" w:type="dxa"/>
          </w:tcPr>
          <w:p w14:paraId="72DB9B5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履约期限</w:t>
            </w:r>
          </w:p>
        </w:tc>
        <w:tc>
          <w:tcPr>
            <w:tcW w:w="7150" w:type="dxa"/>
          </w:tcPr>
          <w:p w14:paraId="53C0C6FD">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bCs/>
                <w:color w:val="auto"/>
                <w:sz w:val="21"/>
                <w:szCs w:val="21"/>
                <w:highlight w:val="none"/>
              </w:rPr>
              <w:t>合同履行期限：</w:t>
            </w:r>
            <w:r>
              <w:rPr>
                <w:rFonts w:hint="default" w:ascii="Times New Roman" w:hAnsi="Times New Roman" w:cs="Times New Roman" w:eastAsiaTheme="minorEastAsia"/>
                <w:color w:val="auto"/>
                <w:sz w:val="21"/>
                <w:szCs w:val="21"/>
                <w:highlight w:val="none"/>
              </w:rPr>
              <w:t>工作量当达到合同总金额时，合同自动终止；未达到合同总金额，但达到合同履行服务期（24个月），经双方友好协商可适当延长合同期限。</w:t>
            </w:r>
          </w:p>
        </w:tc>
      </w:tr>
      <w:tr w14:paraId="37AD43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16F2C2C1">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tc>
        <w:tc>
          <w:tcPr>
            <w:tcW w:w="617" w:type="dxa"/>
          </w:tcPr>
          <w:p w14:paraId="63CDD95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1116" w:type="dxa"/>
          </w:tcPr>
          <w:p w14:paraId="452D59E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结算方式</w:t>
            </w:r>
          </w:p>
        </w:tc>
        <w:tc>
          <w:tcPr>
            <w:tcW w:w="7150" w:type="dxa"/>
          </w:tcPr>
          <w:p w14:paraId="2E965BA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left"/>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单个案件以通过法院管理部门对案件送达验收视为完成全部服务内容。若合同期满后供应商不再继续提送达配套服务时，则根据案件送达状态折算工作量进行一次性支付结算。</w:t>
            </w:r>
          </w:p>
          <w:tbl>
            <w:tblPr>
              <w:tblStyle w:val="19"/>
              <w:tblW w:w="6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2"/>
              <w:gridCol w:w="2295"/>
              <w:gridCol w:w="2434"/>
            </w:tblGrid>
            <w:tr w14:paraId="7375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82" w:type="dxa"/>
                  <w:vAlign w:val="center"/>
                </w:tcPr>
                <w:p w14:paraId="307A1E78">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年份</w:t>
                  </w:r>
                </w:p>
              </w:tc>
              <w:tc>
                <w:tcPr>
                  <w:tcW w:w="2295" w:type="dxa"/>
                  <w:vAlign w:val="center"/>
                </w:tcPr>
                <w:p w14:paraId="3D89BF07">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w:t>
                  </w:r>
                </w:p>
              </w:tc>
              <w:tc>
                <w:tcPr>
                  <w:tcW w:w="2434" w:type="dxa"/>
                  <w:vAlign w:val="center"/>
                </w:tcPr>
                <w:p w14:paraId="611D289B">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结算方式</w:t>
                  </w:r>
                </w:p>
              </w:tc>
            </w:tr>
            <w:tr w14:paraId="198F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82" w:type="dxa"/>
                  <w:vMerge w:val="restart"/>
                  <w:vAlign w:val="center"/>
                </w:tcPr>
                <w:p w14:paraId="024F8599">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第一年</w:t>
                  </w:r>
                </w:p>
                <w:p w14:paraId="3D628E2E">
                  <w:pPr>
                    <w:pStyle w:val="2"/>
                    <w:keepNext w:val="0"/>
                    <w:keepLines w:val="0"/>
                    <w:pageBreakBefore w:val="0"/>
                    <w:kinsoku/>
                    <w:wordWrap/>
                    <w:overflowPunct/>
                    <w:topLinePunct w:val="0"/>
                    <w:autoSpaceDE/>
                    <w:autoSpaceDN/>
                    <w:bidi w:val="0"/>
                    <w:adjustRightInd/>
                    <w:snapToGrid/>
                    <w:spacing w:line="36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（1-12个月）</w:t>
                  </w:r>
                </w:p>
              </w:tc>
              <w:tc>
                <w:tcPr>
                  <w:tcW w:w="2295" w:type="dxa"/>
                  <w:vAlign w:val="center"/>
                </w:tcPr>
                <w:p w14:paraId="093A4BF6">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电子送达有效率&lt;65%</w:t>
                  </w:r>
                </w:p>
              </w:tc>
              <w:tc>
                <w:tcPr>
                  <w:tcW w:w="2434" w:type="dxa"/>
                  <w:vAlign w:val="center"/>
                </w:tcPr>
                <w:p w14:paraId="703F4B6B">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结案数×案件单价×95%</w:t>
                  </w:r>
                </w:p>
              </w:tc>
            </w:tr>
            <w:tr w14:paraId="1E75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982" w:type="dxa"/>
                  <w:vMerge w:val="continue"/>
                  <w:vAlign w:val="center"/>
                </w:tcPr>
                <w:p w14:paraId="022FF791">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p>
              </w:tc>
              <w:tc>
                <w:tcPr>
                  <w:tcW w:w="2295" w:type="dxa"/>
                  <w:vAlign w:val="center"/>
                </w:tcPr>
                <w:p w14:paraId="46974D80">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电子送达有效率≧65%</w:t>
                  </w:r>
                </w:p>
              </w:tc>
              <w:tc>
                <w:tcPr>
                  <w:tcW w:w="2434" w:type="dxa"/>
                  <w:vAlign w:val="center"/>
                </w:tcPr>
                <w:p w14:paraId="1B618107">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结案数×案件单价</w:t>
                  </w:r>
                </w:p>
              </w:tc>
            </w:tr>
            <w:tr w14:paraId="20A6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982" w:type="dxa"/>
                  <w:vMerge w:val="restart"/>
                  <w:vAlign w:val="center"/>
                </w:tcPr>
                <w:p w14:paraId="119EBDF2">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第二年</w:t>
                  </w:r>
                </w:p>
                <w:p w14:paraId="517F623C">
                  <w:pPr>
                    <w:pStyle w:val="2"/>
                    <w:keepNext w:val="0"/>
                    <w:keepLines w:val="0"/>
                    <w:pageBreakBefore w:val="0"/>
                    <w:kinsoku/>
                    <w:wordWrap/>
                    <w:overflowPunct/>
                    <w:topLinePunct w:val="0"/>
                    <w:autoSpaceDE/>
                    <w:autoSpaceDN/>
                    <w:bidi w:val="0"/>
                    <w:adjustRightInd/>
                    <w:snapToGrid/>
                    <w:spacing w:line="36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（13-24个月）</w:t>
                  </w:r>
                </w:p>
              </w:tc>
              <w:tc>
                <w:tcPr>
                  <w:tcW w:w="2295" w:type="dxa"/>
                  <w:vAlign w:val="center"/>
                </w:tcPr>
                <w:p w14:paraId="56E8F34A">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电子送达有效率&lt;68%</w:t>
                  </w:r>
                </w:p>
              </w:tc>
              <w:tc>
                <w:tcPr>
                  <w:tcW w:w="2434" w:type="dxa"/>
                  <w:vAlign w:val="center"/>
                </w:tcPr>
                <w:p w14:paraId="2DE85108">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结案数×案件单价×95%</w:t>
                  </w:r>
                </w:p>
              </w:tc>
            </w:tr>
            <w:tr w14:paraId="7DFF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982" w:type="dxa"/>
                  <w:vMerge w:val="continue"/>
                  <w:vAlign w:val="center"/>
                </w:tcPr>
                <w:p w14:paraId="04C9C4EF">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p>
              </w:tc>
              <w:tc>
                <w:tcPr>
                  <w:tcW w:w="2295" w:type="dxa"/>
                  <w:vAlign w:val="center"/>
                </w:tcPr>
                <w:p w14:paraId="34BA748E">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电子送达有效率≧68%</w:t>
                  </w:r>
                </w:p>
              </w:tc>
              <w:tc>
                <w:tcPr>
                  <w:tcW w:w="2434" w:type="dxa"/>
                  <w:vAlign w:val="center"/>
                </w:tcPr>
                <w:p w14:paraId="0457D456">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结案数×案件单价</w:t>
                  </w:r>
                </w:p>
              </w:tc>
            </w:tr>
            <w:tr w14:paraId="5D07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6711" w:type="dxa"/>
                  <w:gridSpan w:val="3"/>
                  <w:vAlign w:val="center"/>
                </w:tcPr>
                <w:p w14:paraId="68F89EF9">
                  <w:pPr>
                    <w:pStyle w:val="2"/>
                    <w:keepNext w:val="0"/>
                    <w:keepLines w:val="0"/>
                    <w:pageBreakBefore w:val="0"/>
                    <w:kinsoku/>
                    <w:wordWrap/>
                    <w:overflowPunct/>
                    <w:topLinePunct w:val="0"/>
                    <w:autoSpaceDE/>
                    <w:autoSpaceDN/>
                    <w:bidi w:val="0"/>
                    <w:adjustRightInd/>
                    <w:snapToGrid/>
                    <w:spacing w:line="36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电子送达有效率指受送达人成功打开电子链接或签收邮件的比率，（每季结算一次）</w:t>
                  </w:r>
                </w:p>
              </w:tc>
            </w:tr>
          </w:tbl>
          <w:p w14:paraId="0396A59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b w:val="0"/>
                <w:bCs w:val="0"/>
                <w:color w:val="auto"/>
                <w:sz w:val="21"/>
                <w:szCs w:val="21"/>
                <w:highlight w:val="none"/>
              </w:rPr>
            </w:pPr>
          </w:p>
        </w:tc>
      </w:tr>
      <w:tr w14:paraId="687F1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5E762222">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tc>
        <w:tc>
          <w:tcPr>
            <w:tcW w:w="617" w:type="dxa"/>
          </w:tcPr>
          <w:p w14:paraId="2D521489">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4</w:t>
            </w:r>
          </w:p>
        </w:tc>
        <w:tc>
          <w:tcPr>
            <w:tcW w:w="1116" w:type="dxa"/>
          </w:tcPr>
          <w:p w14:paraId="2ADA5CF2">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违约责任</w:t>
            </w:r>
          </w:p>
        </w:tc>
        <w:tc>
          <w:tcPr>
            <w:tcW w:w="7150" w:type="dxa"/>
          </w:tcPr>
          <w:p w14:paraId="3EFB8BB2">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eastAsiaTheme="minorEastAsia"/>
                <w:color w:val="auto"/>
                <w:sz w:val="21"/>
                <w:szCs w:val="21"/>
                <w:highlight w:val="none"/>
              </w:rPr>
              <w:t>供应商未能按照“时间进度要求”完成资源配备及试运行各项工作的，应支付合同总额25%的违约金，采购人有权解除合同并没收尚未退还的保证金。</w:t>
            </w:r>
          </w:p>
          <w:p w14:paraId="7B30A565">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rPr>
              <w:t>供应商未能按照“结算方式”的约定达到当年(每季结算一次）电子送达有效率，按“结算方式”约定的结算方式结算。实际电子送达有效率比当年约定送达有效率低于15%（当年约定电子送达有效率－实际电子送达有效率≥15%），采购人有权解除合同并没收尚未退还的保证金。</w:t>
            </w:r>
          </w:p>
          <w:p w14:paraId="4E4D4DF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供应商终止合同未提前3个月通知采购人，按合同总价的10%进行赔偿；</w:t>
            </w:r>
          </w:p>
          <w:p w14:paraId="04436CC5">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rPr>
              <w:t>本合同服务期满时，若供应商需要撤场，供应商未向采购人交接电脑硬盘等全部存储介质的，或不配合采购人做好后续交接衔接工作的，应按合同总价的10%进行赔偿。</w:t>
            </w:r>
          </w:p>
        </w:tc>
      </w:tr>
      <w:tr w14:paraId="1E2AE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4A0BA9FC">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tc>
        <w:tc>
          <w:tcPr>
            <w:tcW w:w="617" w:type="dxa"/>
          </w:tcPr>
          <w:p w14:paraId="48B63901">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5</w:t>
            </w:r>
          </w:p>
        </w:tc>
        <w:tc>
          <w:tcPr>
            <w:tcW w:w="1116" w:type="dxa"/>
          </w:tcPr>
          <w:p w14:paraId="3EBFC1D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其他</w:t>
            </w:r>
          </w:p>
        </w:tc>
        <w:tc>
          <w:tcPr>
            <w:tcW w:w="7150" w:type="dxa"/>
          </w:tcPr>
          <w:p w14:paraId="13406496">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eastAsiaTheme="minorEastAsia"/>
                <w:color w:val="auto"/>
                <w:sz w:val="21"/>
                <w:szCs w:val="21"/>
                <w:highlight w:val="none"/>
              </w:rPr>
              <w:t>争议解决</w:t>
            </w:r>
          </w:p>
          <w:p w14:paraId="5FE0788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合同执行过程中发生的任何争议，如双方不能通过友好协商解决，双方一致同意向采购人所在地人民法院提起诉讼。</w:t>
            </w:r>
          </w:p>
          <w:p w14:paraId="28BDC16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rPr>
              <w:t>不可抗力</w:t>
            </w:r>
          </w:p>
          <w:p w14:paraId="0C534436">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由于地震、台风、水灾、战争、以及其它不能预见并且对其发生和后果不能防止或避免的不可抗力事故，致使直接影响本合同的履行或者不能按约定的条件履行时，遇有上述不可抗力事故的一方，应在不可抗力事故发生后立即将事故情况电传通知对方，并应在15天内提供事故详情及合同不能履行，或者部分不能履行，或者需要延期履行的理由的有效证明文件。此项证明文件应由事故发生地区的公证机构出具。按照事故对履行合同的影响程度，由合同各方协商决定是否解除合同，或者部分免除履行合同的责任，或者延期履行合同。</w:t>
            </w:r>
          </w:p>
          <w:p w14:paraId="4D7F6F1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税费</w:t>
            </w:r>
          </w:p>
          <w:p w14:paraId="4583604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在中国境</w:t>
            </w:r>
            <w:r>
              <w:rPr>
                <w:rFonts w:hint="eastAsia" w:ascii="Times New Roman" w:hAnsi="Times New Roman" w:cs="Times New Roman" w:eastAsiaTheme="minorEastAsia"/>
                <w:color w:val="auto"/>
                <w:sz w:val="21"/>
                <w:szCs w:val="21"/>
                <w:highlight w:val="none"/>
                <w:lang w:val="en-US" w:eastAsia="zh-CN"/>
              </w:rPr>
              <w:t>内、</w:t>
            </w:r>
            <w:r>
              <w:rPr>
                <w:rFonts w:hint="default" w:ascii="Times New Roman" w:hAnsi="Times New Roman" w:cs="Times New Roman" w:eastAsiaTheme="minorEastAsia"/>
                <w:color w:val="auto"/>
                <w:sz w:val="21"/>
                <w:szCs w:val="21"/>
                <w:highlight w:val="none"/>
              </w:rPr>
              <w:t>外发生的与本合同相关的一切税费及不可预见费均由供应商负担。</w:t>
            </w:r>
          </w:p>
          <w:p w14:paraId="33C5484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rPr>
              <w:t>防疫要求</w:t>
            </w:r>
          </w:p>
          <w:p w14:paraId="485A1E5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如遇突发的公共卫生事件，必须服从采购人的工作安排，配合政府及相关防疫部门的工作部署，开展防疫工作。</w:t>
            </w:r>
          </w:p>
        </w:tc>
      </w:tr>
      <w:tr w14:paraId="32AB48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gridSpan w:val="2"/>
          </w:tcPr>
          <w:p w14:paraId="60E24A0E">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说明</w:t>
            </w:r>
          </w:p>
        </w:tc>
        <w:tc>
          <w:tcPr>
            <w:tcW w:w="8266" w:type="dxa"/>
            <w:gridSpan w:val="2"/>
          </w:tcPr>
          <w:p w14:paraId="545D6B9A">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 xml:space="preserve">打“★”号条款为实质性条款，若有任何一条负偏离或不满足则导致投标（响应）无效。 </w:t>
            </w:r>
          </w:p>
          <w:p w14:paraId="116FC4B5">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打“▲”号条款为重要参数（如有），若有部分“▲”条款未响应或不满足，将根据评审要求影响其得分，但不作为无效投标（响应）条款。</w:t>
            </w:r>
          </w:p>
        </w:tc>
      </w:tr>
    </w:tbl>
    <w:p w14:paraId="5061547D">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outlineLvl w:val="1"/>
        <w:rPr>
          <w:rFonts w:hint="default" w:ascii="Times New Roman" w:hAnsi="Times New Roman" w:cs="Times New Roman" w:eastAsiaTheme="minorEastAsia"/>
          <w:b/>
          <w:color w:val="auto"/>
          <w:sz w:val="24"/>
          <w:szCs w:val="24"/>
          <w:highlight w:val="none"/>
          <w:lang w:eastAsia="zh-CN"/>
        </w:rPr>
      </w:pPr>
      <w:bookmarkStart w:id="15" w:name="_Toc4684"/>
    </w:p>
    <w:p w14:paraId="137CA00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outlineLvl w:val="1"/>
        <w:rPr>
          <w:rFonts w:hint="default" w:ascii="Times New Roman" w:hAnsi="Times New Roman" w:cs="Times New Roman" w:eastAsiaTheme="minorEastAsia"/>
          <w:b/>
          <w:color w:val="auto"/>
          <w:sz w:val="24"/>
          <w:szCs w:val="24"/>
          <w:highlight w:val="none"/>
          <w:lang w:eastAsia="zh-CN"/>
        </w:rPr>
      </w:pPr>
      <w:r>
        <w:rPr>
          <w:rFonts w:hint="default" w:ascii="Times New Roman" w:hAnsi="Times New Roman" w:cs="Times New Roman"/>
          <w:b/>
          <w:color w:val="auto"/>
          <w:sz w:val="24"/>
          <w:szCs w:val="24"/>
          <w:highlight w:val="none"/>
          <w:lang w:eastAsia="zh-CN"/>
        </w:rPr>
        <w:t>四、</w:t>
      </w:r>
      <w:r>
        <w:rPr>
          <w:rFonts w:hint="default" w:ascii="Times New Roman" w:hAnsi="Times New Roman" w:cs="Times New Roman" w:eastAsiaTheme="minorEastAsia"/>
          <w:b/>
          <w:color w:val="auto"/>
          <w:sz w:val="24"/>
          <w:szCs w:val="24"/>
          <w:highlight w:val="none"/>
          <w:lang w:eastAsia="zh-CN"/>
        </w:rPr>
        <w:t>技术标准与要求</w:t>
      </w:r>
      <w:bookmarkEnd w:id="15"/>
    </w:p>
    <w:tbl>
      <w:tblPr>
        <w:tblStyle w:val="18"/>
        <w:tblW w:w="9667"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1"/>
        <w:gridCol w:w="1313"/>
        <w:gridCol w:w="1626"/>
        <w:gridCol w:w="650"/>
        <w:gridCol w:w="701"/>
        <w:gridCol w:w="1235"/>
        <w:gridCol w:w="1235"/>
        <w:gridCol w:w="893"/>
        <w:gridCol w:w="1123"/>
      </w:tblGrid>
      <w:tr w14:paraId="7BDE4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8" w:hRule="atLeast"/>
        </w:trPr>
        <w:tc>
          <w:tcPr>
            <w:tcW w:w="891" w:type="dxa"/>
            <w:vAlign w:val="center"/>
          </w:tcPr>
          <w:p w14:paraId="30FA6DAB">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序号</w:t>
            </w:r>
          </w:p>
        </w:tc>
        <w:tc>
          <w:tcPr>
            <w:tcW w:w="1313" w:type="dxa"/>
            <w:vAlign w:val="center"/>
          </w:tcPr>
          <w:p w14:paraId="159C7F5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品目名称</w:t>
            </w:r>
          </w:p>
        </w:tc>
        <w:tc>
          <w:tcPr>
            <w:tcW w:w="1626" w:type="dxa"/>
            <w:vAlign w:val="center"/>
          </w:tcPr>
          <w:p w14:paraId="1F500168">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标的名称</w:t>
            </w:r>
          </w:p>
        </w:tc>
        <w:tc>
          <w:tcPr>
            <w:tcW w:w="650" w:type="dxa"/>
            <w:vAlign w:val="center"/>
          </w:tcPr>
          <w:p w14:paraId="336DC0F9">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单位</w:t>
            </w:r>
          </w:p>
        </w:tc>
        <w:tc>
          <w:tcPr>
            <w:tcW w:w="701" w:type="dxa"/>
            <w:vAlign w:val="center"/>
          </w:tcPr>
          <w:p w14:paraId="0D3E51E9">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数量</w:t>
            </w:r>
          </w:p>
        </w:tc>
        <w:tc>
          <w:tcPr>
            <w:tcW w:w="1235" w:type="dxa"/>
            <w:vAlign w:val="center"/>
          </w:tcPr>
          <w:p w14:paraId="1C43825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分项预算单价（元）</w:t>
            </w:r>
          </w:p>
        </w:tc>
        <w:tc>
          <w:tcPr>
            <w:tcW w:w="1235" w:type="dxa"/>
            <w:vAlign w:val="center"/>
          </w:tcPr>
          <w:p w14:paraId="62D0DB5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分项预算总价（元）</w:t>
            </w:r>
          </w:p>
        </w:tc>
        <w:tc>
          <w:tcPr>
            <w:tcW w:w="893" w:type="dxa"/>
            <w:vAlign w:val="center"/>
          </w:tcPr>
          <w:p w14:paraId="7E0E453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所属行业</w:t>
            </w:r>
          </w:p>
        </w:tc>
        <w:tc>
          <w:tcPr>
            <w:tcW w:w="1123" w:type="dxa"/>
            <w:vAlign w:val="center"/>
          </w:tcPr>
          <w:p w14:paraId="4E9DCFBD">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技术要求</w:t>
            </w:r>
          </w:p>
        </w:tc>
      </w:tr>
      <w:tr w14:paraId="7FF72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5" w:hRule="atLeast"/>
        </w:trPr>
        <w:tc>
          <w:tcPr>
            <w:tcW w:w="891" w:type="dxa"/>
            <w:vAlign w:val="center"/>
          </w:tcPr>
          <w:p w14:paraId="3644D7C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313" w:type="dxa"/>
            <w:vAlign w:val="center"/>
          </w:tcPr>
          <w:p w14:paraId="2696A083">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其他服务</w:t>
            </w:r>
          </w:p>
        </w:tc>
        <w:tc>
          <w:tcPr>
            <w:tcW w:w="1626" w:type="dxa"/>
            <w:vAlign w:val="center"/>
          </w:tcPr>
          <w:p w14:paraId="16FD66A8">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佛山市高明区人民法院执行案件集约化送达服务项目</w:t>
            </w:r>
          </w:p>
        </w:tc>
        <w:tc>
          <w:tcPr>
            <w:tcW w:w="650" w:type="dxa"/>
            <w:vAlign w:val="center"/>
          </w:tcPr>
          <w:p w14:paraId="5C5BF14A">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项</w:t>
            </w:r>
          </w:p>
        </w:tc>
        <w:tc>
          <w:tcPr>
            <w:tcW w:w="701" w:type="dxa"/>
            <w:vAlign w:val="center"/>
          </w:tcPr>
          <w:p w14:paraId="5261EA2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1</w:t>
            </w:r>
          </w:p>
        </w:tc>
        <w:tc>
          <w:tcPr>
            <w:tcW w:w="1235" w:type="dxa"/>
            <w:vAlign w:val="center"/>
          </w:tcPr>
          <w:p w14:paraId="6B4E20A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585,000.00</w:t>
            </w:r>
          </w:p>
        </w:tc>
        <w:tc>
          <w:tcPr>
            <w:tcW w:w="1235" w:type="dxa"/>
            <w:vAlign w:val="center"/>
          </w:tcPr>
          <w:p w14:paraId="15FE19C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585,000.00</w:t>
            </w:r>
          </w:p>
        </w:tc>
        <w:tc>
          <w:tcPr>
            <w:tcW w:w="893" w:type="dxa"/>
            <w:vAlign w:val="center"/>
          </w:tcPr>
          <w:p w14:paraId="53FEB693">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其他未列明行业</w:t>
            </w:r>
          </w:p>
        </w:tc>
        <w:tc>
          <w:tcPr>
            <w:tcW w:w="1123" w:type="dxa"/>
            <w:vAlign w:val="center"/>
          </w:tcPr>
          <w:p w14:paraId="59BFFFA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详见附表一</w:t>
            </w:r>
          </w:p>
        </w:tc>
      </w:tr>
    </w:tbl>
    <w:p w14:paraId="2BC6FFD3">
      <w:pPr>
        <w:keepLines w:val="0"/>
        <w:kinsoku/>
        <w:wordWrap/>
        <w:overflowPunct/>
        <w:topLinePunct w:val="0"/>
        <w:bidi w:val="0"/>
        <w:spacing w:beforeAutospacing="0" w:afterAutospacing="0" w:line="36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br w:type="page"/>
      </w:r>
    </w:p>
    <w:p w14:paraId="74F8B79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b/>
          <w:color w:val="auto"/>
          <w:sz w:val="21"/>
          <w:szCs w:val="21"/>
          <w:highlight w:val="none"/>
        </w:rPr>
        <w:t>附表一：</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63"/>
        <w:gridCol w:w="500"/>
        <w:gridCol w:w="8237"/>
      </w:tblGrid>
      <w:tr w14:paraId="162AAD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3" w:type="dxa"/>
            <w:vAlign w:val="center"/>
          </w:tcPr>
          <w:p w14:paraId="75D6264A">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参数性质</w:t>
            </w:r>
          </w:p>
        </w:tc>
        <w:tc>
          <w:tcPr>
            <w:tcW w:w="500" w:type="dxa"/>
            <w:vAlign w:val="center"/>
          </w:tcPr>
          <w:p w14:paraId="107018FB">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序号</w:t>
            </w:r>
          </w:p>
        </w:tc>
        <w:tc>
          <w:tcPr>
            <w:tcW w:w="8237" w:type="dxa"/>
            <w:vAlign w:val="center"/>
          </w:tcPr>
          <w:p w14:paraId="5744F3D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具体技术(参数)要求</w:t>
            </w:r>
          </w:p>
        </w:tc>
      </w:tr>
      <w:tr w14:paraId="190CE5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3" w:type="dxa"/>
          </w:tcPr>
          <w:p w14:paraId="2995BA0D">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tc>
        <w:tc>
          <w:tcPr>
            <w:tcW w:w="500" w:type="dxa"/>
          </w:tcPr>
          <w:p w14:paraId="7A0553AB">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8237" w:type="dxa"/>
          </w:tcPr>
          <w:p w14:paraId="786B35C2">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服务内容</w:t>
            </w:r>
          </w:p>
          <w:p w14:paraId="0F02F844">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提供集电话送达，电子送达，EMS邮寄送达等为一体的多元化“综合送达平台”系统服务，打造高明法院送达特色应用</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提供</w:t>
            </w:r>
            <w:r>
              <w:rPr>
                <w:rFonts w:hint="eastAsia" w:ascii="Times New Roman" w:hAnsi="Times New Roman" w:cs="Times New Roman"/>
                <w:color w:val="auto"/>
                <w:sz w:val="21"/>
                <w:szCs w:val="21"/>
                <w:highlight w:val="none"/>
                <w:lang w:val="en-US" w:eastAsia="zh-CN"/>
              </w:rPr>
              <w:t>不少于3</w:t>
            </w:r>
            <w:r>
              <w:rPr>
                <w:rFonts w:hint="default" w:ascii="Times New Roman" w:hAnsi="Times New Roman" w:cs="Times New Roman"/>
                <w:color w:val="auto"/>
                <w:sz w:val="21"/>
                <w:szCs w:val="21"/>
                <w:highlight w:val="none"/>
                <w:lang w:val="en-US" w:eastAsia="zh-CN"/>
              </w:rPr>
              <w:t>名驻场服务人员，为高明区人民法院提供集约化送达服务：</w:t>
            </w:r>
          </w:p>
          <w:tbl>
            <w:tblPr>
              <w:tblStyle w:val="19"/>
              <w:tblW w:w="7971"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4291"/>
              <w:gridCol w:w="2376"/>
            </w:tblGrid>
            <w:tr w14:paraId="015A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4" w:type="dxa"/>
                  <w:vAlign w:val="center"/>
                </w:tcPr>
                <w:p w14:paraId="62E32C9D">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类别</w:t>
                  </w:r>
                </w:p>
              </w:tc>
              <w:tc>
                <w:tcPr>
                  <w:tcW w:w="4291" w:type="dxa"/>
                  <w:vAlign w:val="center"/>
                </w:tcPr>
                <w:p w14:paraId="67DA9D7B">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工作内容及职责</w:t>
                  </w:r>
                </w:p>
              </w:tc>
              <w:tc>
                <w:tcPr>
                  <w:tcW w:w="2376" w:type="dxa"/>
                  <w:vAlign w:val="center"/>
                </w:tcPr>
                <w:p w14:paraId="748B4B8E">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服务质量/标准</w:t>
                  </w:r>
                </w:p>
              </w:tc>
            </w:tr>
            <w:tr w14:paraId="081A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4" w:type="dxa"/>
                  <w:vAlign w:val="center"/>
                </w:tcPr>
                <w:p w14:paraId="6B2FD7C3">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 xml:space="preserve">电子（话） </w:t>
                  </w:r>
                </w:p>
                <w:p w14:paraId="761FCEFA">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送达、短信送达</w:t>
                  </w:r>
                </w:p>
              </w:tc>
              <w:tc>
                <w:tcPr>
                  <w:tcW w:w="4291" w:type="dxa"/>
                  <w:vAlign w:val="top"/>
                </w:tcPr>
                <w:p w14:paraId="42D58924">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助理、书记员在送达平台上对有联系方式（特指从运营商平台查询得到的实名制号码）的受送达人，勾选/制作需要送达的文书后，发起集约送达订单，集约送达中心系统接收订单并电话联系引导其及时查看文书，当事人在指定时限内（48小时内打6次，24小时内分三个时段各打1次）未接听电话，将向其发送短信，当事人经电话联系后仍不查阅文件，24小时后需要流转邮寄送达。</w:t>
                  </w:r>
                </w:p>
              </w:tc>
              <w:tc>
                <w:tcPr>
                  <w:tcW w:w="2376" w:type="dxa"/>
                  <w:vAlign w:val="top"/>
                </w:tcPr>
                <w:p w14:paraId="43D34438">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b/>
                      <w:bCs/>
                      <w:color w:val="auto"/>
                      <w:sz w:val="21"/>
                      <w:szCs w:val="21"/>
                      <w:highlight w:val="none"/>
                      <w:lang w:bidi="ar"/>
                    </w:rPr>
                    <w:t>时限：</w:t>
                  </w:r>
                  <w:r>
                    <w:rPr>
                      <w:rFonts w:hint="eastAsia" w:ascii="宋体" w:hAnsi="宋体" w:eastAsia="宋体" w:cs="宋体"/>
                      <w:color w:val="auto"/>
                      <w:sz w:val="21"/>
                      <w:szCs w:val="21"/>
                      <w:highlight w:val="none"/>
                      <w:lang w:bidi="ar"/>
                    </w:rPr>
                    <w:t>系统实时接单，每天16:00前创建的任务，当天17:30前处理并反馈结果；16:00后建立的工单，第二天上午11:00前处理并反馈结果</w:t>
                  </w:r>
                  <w:r>
                    <w:rPr>
                      <w:rFonts w:hint="eastAsia" w:ascii="宋体" w:hAnsi="宋体" w:eastAsia="宋体" w:cs="宋体"/>
                      <w:color w:val="auto"/>
                      <w:sz w:val="21"/>
                      <w:szCs w:val="21"/>
                      <w:highlight w:val="none"/>
                      <w:lang w:eastAsia="zh-CN" w:bidi="ar"/>
                    </w:rPr>
                    <w:t>。</w:t>
                  </w:r>
                </w:p>
                <w:p w14:paraId="48A6D7D6">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成功率：</w:t>
                  </w:r>
                </w:p>
                <w:p w14:paraId="3613BAFF">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第一年：申请执行人不低于95%；被执行人不低于55%</w:t>
                  </w:r>
                </w:p>
                <w:p w14:paraId="13A7D377">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bidi="ar"/>
                    </w:rPr>
                    <w:t>第二年：申请执行人不低于96%；被执行人不低于60%</w:t>
                  </w:r>
                  <w:r>
                    <w:rPr>
                      <w:rFonts w:hint="eastAsia" w:ascii="宋体" w:hAnsi="宋体" w:eastAsia="宋体" w:cs="宋体"/>
                      <w:color w:val="auto"/>
                      <w:sz w:val="21"/>
                      <w:szCs w:val="21"/>
                      <w:highlight w:val="none"/>
                      <w:lang w:eastAsia="zh-CN" w:bidi="ar"/>
                    </w:rPr>
                    <w:t>。</w:t>
                  </w:r>
                </w:p>
              </w:tc>
            </w:tr>
            <w:tr w14:paraId="0ADA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304" w:type="dxa"/>
                  <w:vAlign w:val="center"/>
                </w:tcPr>
                <w:p w14:paraId="6C916E31">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邮寄送达</w:t>
                  </w:r>
                </w:p>
              </w:tc>
              <w:tc>
                <w:tcPr>
                  <w:tcW w:w="4291" w:type="dxa"/>
                  <w:vAlign w:val="top"/>
                </w:tcPr>
                <w:p w14:paraId="5FA106E2">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集约送达中心针对电子送达不成功流转至邮寄送达的订单在第一时间进行文书打印、审核、封装、邮寄；签收回执/退件返回集约送达中心后拍照上传至送达平台，实物根据业务庭、寄件人分类、登记返回法院。</w:t>
                  </w:r>
                </w:p>
                <w:p w14:paraId="66240207">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bidi="ar"/>
                    </w:rPr>
                  </w:pPr>
                  <w:r>
                    <w:rPr>
                      <w:rFonts w:hint="eastAsia" w:ascii="宋体" w:hAnsi="宋体" w:eastAsia="宋体" w:cs="宋体"/>
                      <w:b/>
                      <w:bCs/>
                      <w:color w:val="auto"/>
                      <w:sz w:val="21"/>
                      <w:szCs w:val="21"/>
                      <w:highlight w:val="none"/>
                      <w:lang w:bidi="ar"/>
                    </w:rPr>
                    <w:t>线上邮寄：</w:t>
                  </w:r>
                  <w:r>
                    <w:rPr>
                      <w:rFonts w:hint="eastAsia" w:ascii="宋体" w:hAnsi="宋体" w:eastAsia="宋体" w:cs="宋体"/>
                      <w:color w:val="auto"/>
                      <w:sz w:val="21"/>
                      <w:szCs w:val="21"/>
                      <w:highlight w:val="none"/>
                      <w:lang w:bidi="ar"/>
                    </w:rPr>
                    <w:t>在系统里创建任务，上传文书（判决书、裁判文书等有电子版的文书）、录入收件地址信息，发起邮寄送达。</w:t>
                  </w:r>
                </w:p>
                <w:p w14:paraId="1BA0AFDD">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线下邮寄：</w:t>
                  </w:r>
                  <w:r>
                    <w:rPr>
                      <w:rFonts w:hint="eastAsia" w:ascii="宋体" w:hAnsi="宋体" w:eastAsia="宋体" w:cs="宋体"/>
                      <w:color w:val="auto"/>
                      <w:sz w:val="21"/>
                      <w:szCs w:val="21"/>
                      <w:highlight w:val="none"/>
                      <w:lang w:bidi="ar"/>
                    </w:rPr>
                    <w:t>应诉资料类的文书进行封装文书（结案裁判文书使用A3纸打印并配封面）、打印详情单形成邮件交于揽收员进行邮件揽收寄出。</w:t>
                  </w:r>
                </w:p>
              </w:tc>
              <w:tc>
                <w:tcPr>
                  <w:tcW w:w="2376" w:type="dxa"/>
                  <w:vAlign w:val="top"/>
                </w:tcPr>
                <w:p w14:paraId="21BE8EF9">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b/>
                      <w:bCs/>
                      <w:color w:val="auto"/>
                      <w:sz w:val="21"/>
                      <w:szCs w:val="21"/>
                      <w:highlight w:val="none"/>
                      <w:lang w:bidi="ar"/>
                    </w:rPr>
                    <w:t>时限：</w:t>
                  </w:r>
                  <w:r>
                    <w:rPr>
                      <w:rFonts w:hint="eastAsia" w:ascii="宋体" w:hAnsi="宋体" w:eastAsia="宋体" w:cs="宋体"/>
                      <w:color w:val="auto"/>
                      <w:sz w:val="21"/>
                      <w:szCs w:val="21"/>
                      <w:highlight w:val="none"/>
                      <w:lang w:bidi="ar"/>
                    </w:rPr>
                    <w:t>按照法院与供应商签订的邮寄服务合同为准</w:t>
                  </w:r>
                  <w:r>
                    <w:rPr>
                      <w:rFonts w:hint="eastAsia" w:ascii="宋体" w:hAnsi="宋体" w:eastAsia="宋体" w:cs="宋体"/>
                      <w:color w:val="auto"/>
                      <w:sz w:val="21"/>
                      <w:szCs w:val="21"/>
                      <w:highlight w:val="none"/>
                      <w:lang w:eastAsia="zh-CN" w:bidi="ar"/>
                    </w:rPr>
                    <w:t>。</w:t>
                  </w:r>
                </w:p>
                <w:p w14:paraId="1B26CCDF">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bidi="ar"/>
                    </w:rPr>
                    <w:t>妥投率：不低于60%</w:t>
                  </w:r>
                  <w:r>
                    <w:rPr>
                      <w:rFonts w:hint="eastAsia" w:ascii="宋体" w:hAnsi="宋体" w:eastAsia="宋体" w:cs="宋体"/>
                      <w:color w:val="auto"/>
                      <w:sz w:val="21"/>
                      <w:szCs w:val="21"/>
                      <w:highlight w:val="none"/>
                      <w:lang w:eastAsia="zh-CN" w:bidi="ar"/>
                    </w:rPr>
                    <w:t>。</w:t>
                  </w:r>
                </w:p>
              </w:tc>
            </w:tr>
            <w:tr w14:paraId="40A7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304" w:type="dxa"/>
                </w:tcPr>
                <w:p w14:paraId="7952C243">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bidi="ar"/>
                    </w:rPr>
                  </w:pPr>
                </w:p>
                <w:p w14:paraId="604C808F">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公告送达</w:t>
                  </w:r>
                </w:p>
              </w:tc>
              <w:tc>
                <w:tcPr>
                  <w:tcW w:w="4291" w:type="dxa"/>
                </w:tcPr>
                <w:p w14:paraId="61587342">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负责邮寄送达、直接送达、委托送达不成功的，重新排期后的挂网公告送达及张贴公告文书工作。</w:t>
                  </w:r>
                </w:p>
              </w:tc>
              <w:tc>
                <w:tcPr>
                  <w:tcW w:w="2376" w:type="dxa"/>
                </w:tcPr>
                <w:p w14:paraId="7C4FC254">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实时接单</w:t>
                  </w:r>
                </w:p>
                <w:p w14:paraId="3125A92A">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实时挂网送达</w:t>
                  </w:r>
                </w:p>
              </w:tc>
            </w:tr>
          </w:tbl>
          <w:p w14:paraId="40E17D0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jc w:val="both"/>
              <w:textAlignment w:val="auto"/>
              <w:rPr>
                <w:rFonts w:hint="default" w:ascii="Times New Roman" w:hAnsi="Times New Roman" w:cs="Times New Roman" w:eastAsiaTheme="minorEastAsia"/>
                <w:color w:val="auto"/>
                <w:sz w:val="21"/>
                <w:szCs w:val="21"/>
                <w:highlight w:val="none"/>
              </w:rPr>
            </w:pPr>
          </w:p>
        </w:tc>
      </w:tr>
      <w:tr w14:paraId="408CD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3" w:type="dxa"/>
          </w:tcPr>
          <w:p w14:paraId="1B34087C">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tc>
        <w:tc>
          <w:tcPr>
            <w:tcW w:w="500" w:type="dxa"/>
          </w:tcPr>
          <w:p w14:paraId="12CBC4E8">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8237" w:type="dxa"/>
          </w:tcPr>
          <w:p w14:paraId="1137920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服务技术需求</w:t>
            </w:r>
          </w:p>
          <w:p w14:paraId="15BB5A5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建设集约式送达服务中心,通过社会化服务，运用信息化的手段，建设统一的送达平台,对佛山市高明区人民法院的13000件执行案件,囊括各种送达方式、集成各类送达渠道，实现文书送达信息化，保障送达程序合规化，实现送达全流程管理、证据链保全、送达成本可控、送达时效最优，兼顾公平与效率，从根本上解决 “送达难”。</w:t>
            </w:r>
          </w:p>
          <w:p w14:paraId="16584BF2">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1、送达系统功能要求</w:t>
            </w:r>
          </w:p>
          <w:p w14:paraId="61D3AC14">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1.1送达发起</w:t>
            </w:r>
          </w:p>
          <w:p w14:paraId="2834323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法官或书记员送达发起登记，包括案件、受送达人（当事人或代理人、辩护人等），送达材料电子选择或上传，清单及二维码打印，附加工作登记，送达机构及送达人确定等。</w:t>
            </w:r>
          </w:p>
          <w:p w14:paraId="62534F09">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1.2送达分派</w:t>
            </w:r>
          </w:p>
          <w:p w14:paraId="16F198B1">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针对未指定送达人的送达任务，为集中送达内勤或领导提供送达分派功能，支持批量分派。</w:t>
            </w:r>
          </w:p>
          <w:p w14:paraId="21DC866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1.3送达办理</w:t>
            </w:r>
          </w:p>
          <w:p w14:paraId="070E6DE4">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提供给送达人操作功能模块，提供送达办理功能。</w:t>
            </w:r>
          </w:p>
          <w:p w14:paraId="1172B19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按送达条件分类（新分派、送达中、办结、终止）。</w:t>
            </w:r>
          </w:p>
          <w:p w14:paraId="511E18C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办理送达任务包含送达方式（电子送达、电话送达、短信送达、邮寄送达、窗口领取、外出送达、公告送达）。</w:t>
            </w:r>
          </w:p>
          <w:p w14:paraId="5A22923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系统需要做到可以登记并办理，也可选择派发到专职岗位。如：邮寄送达可集中将邮寄打单任务派发到邮寄集中处理岗位统一打印面单，也可以自行打印面单。</w:t>
            </w:r>
          </w:p>
          <w:p w14:paraId="55929E2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1.4送达跟踪</w:t>
            </w:r>
          </w:p>
          <w:p w14:paraId="6C362F6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支持记录送达过程和结果，可上传回执附件，对送达过程全程留痕。送达记录以案件为单位，按当事人分组，显示全过程的送达记录。对送达完成记录重点标注。</w:t>
            </w:r>
          </w:p>
          <w:p w14:paraId="73409C07">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2、送达服务要求</w:t>
            </w:r>
          </w:p>
          <w:p w14:paraId="6899402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2.1电子送达</w:t>
            </w:r>
          </w:p>
          <w:p w14:paraId="2D945BD1">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电话送达</w:t>
            </w:r>
          </w:p>
          <w:p w14:paraId="4F9B0619">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送达专员通过电话联系当事人，可在送达系统中登记电话通知的主叫、被叫号码、通知时间、结果等信息。</w:t>
            </w:r>
          </w:p>
          <w:p w14:paraId="7569ABE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当事人接通电话同意电子送达后，可以生成送达回证，并支持送达回证的入卷功能。</w:t>
            </w:r>
          </w:p>
          <w:p w14:paraId="6E130BA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短信送达</w:t>
            </w:r>
          </w:p>
          <w:p w14:paraId="58CBB8E0">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提供短信送达的发送编辑功能，根据短信模板自动翻译生成短信内容，短信内容附带短连接，并通过法院短信平台发送短信。当事人点击短信，系统需自动生成短信送达凭证并入卷，并支持上传到电子卷宗的对应目录下。</w:t>
            </w:r>
          </w:p>
          <w:p w14:paraId="0821FC3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2.2来院领取</w:t>
            </w:r>
          </w:p>
          <w:p w14:paraId="6665FCC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送达专员或书记员通过该功能派发工单至诉讼服务中心窗口岗位，同时电子文书在系统中流转至领取文书岗位。当事人来院后，凭二代证办理领取文书、打印文书，采集当事人的送达回证电子签名等功能。</w:t>
            </w:r>
          </w:p>
          <w:p w14:paraId="1C682515">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当事人领取送达文书后，系统自动生成送达回证，并进行入卷。</w:t>
            </w:r>
          </w:p>
          <w:p w14:paraId="2B5E428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2.3邮寄送达</w:t>
            </w:r>
          </w:p>
          <w:p w14:paraId="446C3C0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对于格式化文书，支持直接提交发送送达，电子材料经集中文印岗位文印后流转至邮寄送达岗位；对于裁判文书，打印装订好后，支持提交纸质送达，纸质材料直接流转到邮寄送达岗位。</w:t>
            </w:r>
          </w:p>
          <w:p w14:paraId="2E807781">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支持合并邮寄功能：对于同案件下同收件人同收件地址的情况下，合并邮寄成一个邮单。</w:t>
            </w:r>
          </w:p>
          <w:p w14:paraId="7E29757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支持EMS物流信息：系统可自动获取EMS的物流详情。</w:t>
            </w:r>
          </w:p>
          <w:p w14:paraId="0977899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支持邮件退件登记功能：对于退件的邮件，由EMS岗位人员，集中利用高拍仪扫描寄件联照片，扫条形码定位送达记录，登记邮寄结果。</w:t>
            </w:r>
          </w:p>
          <w:p w14:paraId="17F9B922">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系统支持从扫描的EMS回执联图片中直接识别出快递号，避免手工录入。</w:t>
            </w:r>
          </w:p>
          <w:p w14:paraId="18B1350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EMS回执联图片可直接入卷，并上传到电子卷宗的对应目录下面。</w:t>
            </w:r>
          </w:p>
          <w:p w14:paraId="44CAE06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2.4案件管理</w:t>
            </w:r>
          </w:p>
          <w:p w14:paraId="31E78E6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 xml:space="preserve">可以查询到每个案号对应的文书，每份文书对应的签收记录；送达记录，查看每份文书，发送记录及签收情况，方便查阅；（需提供软件功能截图页面） </w:t>
            </w:r>
          </w:p>
          <w:p w14:paraId="3B48AD6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2.5案件关联功能</w:t>
            </w:r>
          </w:p>
          <w:p w14:paraId="46D258DD">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可关联同一当事人的所有案件信息（包括民事、刑事、执行案件的关联）。</w:t>
            </w:r>
          </w:p>
          <w:p w14:paraId="0F27C04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3、送达地址库维护服务</w:t>
            </w:r>
          </w:p>
          <w:p w14:paraId="48F5C3A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针对受送达人提供智能送达地址管理。</w:t>
            </w:r>
          </w:p>
          <w:p w14:paraId="33ADD770">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受送达人地址库建设：针对身份证号建立每个诉讼参与人的送达地址库；</w:t>
            </w:r>
          </w:p>
          <w:p w14:paraId="6583635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4、送达可视化服务</w:t>
            </w:r>
          </w:p>
          <w:p w14:paraId="6C1A91C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系统提供对送达数据（送达次数、送达方式等）进行统计分析的功能，提供送达可视化系统。</w:t>
            </w:r>
          </w:p>
          <w:p w14:paraId="5C0DDAA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5、系统对接服务</w:t>
            </w:r>
          </w:p>
          <w:p w14:paraId="6FE53367">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送达系统支持与如下系统实现对接：</w:t>
            </w:r>
          </w:p>
          <w:p w14:paraId="7275BFF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（1）与执行系统对接</w:t>
            </w:r>
          </w:p>
          <w:p w14:paraId="144C98E7">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支持与执行系统无缝对接，并皆部署于法院内网。通过与执行系统的对接，可以直接在执行系统界面发起送达。</w:t>
            </w:r>
          </w:p>
          <w:p w14:paraId="2784CCE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（2）与智能卷宗管理系统对接</w:t>
            </w:r>
          </w:p>
          <w:p w14:paraId="083A0814">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支持与智能卷宗系统无缝对接。并皆部署于法院内网。通过与智能卷宗系统的对接，可以在智能卷宗系统中提取受送达人的地址、电话等相关信息。</w:t>
            </w:r>
          </w:p>
          <w:p w14:paraId="6EA7F789">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（3）与电话语音管理系统对接</w:t>
            </w:r>
          </w:p>
          <w:p w14:paraId="11A2FB15">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支持与电话语音管理系统无缝对接。电话语音管理系统部署于外网，通过光闸与综合送达管理系统进行数据交互。送达专员在综合送达管理系统中一键拨打电话，通话完成后自动获取通话信息及录音。</w:t>
            </w:r>
          </w:p>
          <w:p w14:paraId="2BF14D2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（4）与短信管理系统对接</w:t>
            </w:r>
          </w:p>
          <w:p w14:paraId="258559B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支持与短信管理系统无缝对接，短信管理系统部署于外网，通过光闸与内网的综合送达管理系统进行数据交互。送达专员可以一键发送送达短信，系统自动生成送达报告保存到送达回执材料中。</w:t>
            </w:r>
          </w:p>
          <w:p w14:paraId="25C6A6D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（5）与送达网站发布系统对接</w:t>
            </w:r>
          </w:p>
          <w:p w14:paraId="4DFBF62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支持与司法送达网无缝对接，司法送达网部署于外网，通过光闸与内网的综合送达管理系统进行数据交互。送达专员可以发起公告，公告内容通过公告模板一键生成，并同步至外网司法送达网。</w:t>
            </w:r>
          </w:p>
          <w:p w14:paraId="2D558AA2">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（6）与自助打印管理系统对接</w:t>
            </w:r>
          </w:p>
          <w:p w14:paraId="3F1BABC0">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与自助打印系统对接，并皆部署于法院内网。当事人可通过自助打印管理系统打印电子文书、送达清单、送达凭证。智能生成清晰可视送达报告，方便法官团队查阅：自动生成文书，并实现电子签章，实现在线自动加盖电子签章。送达报告书中包含本次送达任务电话通知记录、短信发送记录、当事人同意电子送达、与当事人约定送达地址、邮寄送达的投递记录、邮寄状态、签收状态等。</w:t>
            </w:r>
          </w:p>
          <w:p w14:paraId="4C03A587">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（7）与物流管理系统对接</w:t>
            </w:r>
          </w:p>
          <w:p w14:paraId="12D5205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支持与物流管理系统对接，物流管理系统部署于外网，通过光闸与内网的综合送达管理系统进行数据交互。邮寄送达时，可通过物流管理系统跟踪查看物流详情。</w:t>
            </w:r>
          </w:p>
          <w:p w14:paraId="49C16F71">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 xml:space="preserve">（8）增设身份确认、地址确认、电话数据采集等服务，提高结案效率。 </w:t>
            </w:r>
          </w:p>
          <w:p w14:paraId="545F693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6、项目组织</w:t>
            </w:r>
          </w:p>
          <w:p w14:paraId="1559F855">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为顺利完成项目的需求分析、送达服务流程设计和部署实施等工作，必须加强项目的组织和管理。供应商必须组织稳定的、经验丰富的项目团队来完成项目的设计和实施工作。要求供应商要制订本项目的项目实施的人力安排和组织保证。</w:t>
            </w:r>
          </w:p>
          <w:p w14:paraId="4FA9535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项目组成员必须包括项目经理岗、送达任务分派岗、电子送达岗、材料文印岗、面单套打岗、领取文书岗等岗位，驻场服务人员不少于3人，项目人员服从法院管理。若供应商无法达到各环节规定的时限要求，应当增加现场人员和设备以保证服务效果。</w:t>
            </w:r>
          </w:p>
          <w:p w14:paraId="2761B50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本项目的项目经理应具有丰富的集约送达服务管理经验，胜任工作分派、进度掌控及质量监管等管理工作，按要求向法院提供数据报表并分析数据能力。如项目实施过程中法院发现项目经理不能胜任相应工作，有权要求更换，供应商应按法院要求及时更换项目经理且资质不得低于原要求。</w:t>
            </w:r>
          </w:p>
          <w:p w14:paraId="4CDF620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（3）本项目的项目团队中至少需包含一名线上技术运维工程师。线上技术运维工程师在采购人建立的微信群等沟通工具中实时进行答疑和相关故障排除。</w:t>
            </w:r>
          </w:p>
          <w:p w14:paraId="0E92BD41">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（4）本项目拟派团队人员在上岗前须具备专业技能培训经历；至少具备大专以上学历，服务态度端正、作风优良，熟悉法院中需要服务岗位的业务流程，熟练掌握电脑等办公设备，遵守法院的规章制度。</w:t>
            </w:r>
          </w:p>
          <w:p w14:paraId="1DCA3412">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（5）采购人提供相应的办公设备和耗材，以实际满足服务需求为准。</w:t>
            </w:r>
          </w:p>
          <w:p w14:paraId="2704BAA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7、时间进度要求</w:t>
            </w:r>
          </w:p>
          <w:p w14:paraId="0DB6F38B">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本项目要求供应商于合同签订后10个工作日内完成相关软、硬件配备、送达业务流程梳理及全面开展服务。</w:t>
            </w:r>
          </w:p>
          <w:p w14:paraId="074B6E5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8、安全保密要求</w:t>
            </w:r>
          </w:p>
          <w:p w14:paraId="0931DB4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8.1保密要求</w:t>
            </w:r>
          </w:p>
          <w:p w14:paraId="34778E77">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（1）供应商应严格遵守国家相关的保密法律规定，无条件遵守《保密协议》（由采购人提供，双方另行签订）和法院的有关规定。</w:t>
            </w:r>
          </w:p>
          <w:p w14:paraId="022176F0">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（2）服务工作必须在法院指定的场所内进行，确保场所正常秩序和安全。不得遗失、损坏卷宗，如有违法行为或违反相关规定，将依法或依据约定追究相应的责任。</w:t>
            </w:r>
          </w:p>
          <w:p w14:paraId="40298794">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3）供应商的所有工作人员必须通过采购人的审核，并登记备案。供应商必须向采购人提供以下资料：《工作人员登记表》（每人一式一份），工作人员身份证复印件（每人一式一份），工作人员档案岗位资格证书复印件（每人一式一份），《保密协议》（每人一式一份）。</w:t>
            </w:r>
          </w:p>
          <w:p w14:paraId="7B02D0D6">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4）项目实施过程中，供应商如需更换、增加工作人员，必须提前一周向法院提供拟加入人员的资料，取得法院签字同意后方可更换或者增加人手。对离开本项目实施岗位的人员，供应商需在人员离岗后一周内，在法院保存的相关工作人员的备案表格中标注离岗日期。</w:t>
            </w:r>
          </w:p>
          <w:p w14:paraId="3B84E6B4">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（5）供应商参的工作人员必须接受档案保密安全教育，并自觉学习保密知识，严格遵守《档案法》、《保密法》及其他有关法规，严防泄密现象发生。</w:t>
            </w:r>
          </w:p>
          <w:p w14:paraId="23ACBB2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6）除钥匙及眼镜等外，供应商工作人员未经法院同意，不得将手袋、提包、钱包、磁盘（含U盘、软盘、硬盘等）、刻录光盘、手机、MP3、MP4、报刊、纸张及其他随身物品带入工作室，也不得将工作室的物品擅自带出工作室外。</w:t>
            </w:r>
          </w:p>
          <w:p w14:paraId="5BB8E1A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（7）未经法院批准，供应商不得以任何形式复制离线的卷宗图像和卷宗目录数据。</w:t>
            </w:r>
          </w:p>
          <w:p w14:paraId="249A870C">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（8）供应商工作人员剔除同一案卷内的重复文件必须经法院有关人员审核同意方可实施。</w:t>
            </w:r>
          </w:p>
          <w:p w14:paraId="5C3600E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9）工作室内的废纸、没有送达的纸质材料（起诉状副本、证据复印件等）必须集中放置定期清理，清理时要有专人对纸张进行仔细检查，确保其中没有夹带任何档案文件后才能清出工作室，运送至法院指定位置进行销毁。</w:t>
            </w:r>
          </w:p>
          <w:p w14:paraId="25423BA9">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（10）供应商工作人员不得以任何方式非法向外人泄露档案所涉及的审判秘密、工作秘密及其他不宜公开的信息，否则按国家有关规定处理，情节严重的要承担相应的刑事责任。</w:t>
            </w:r>
          </w:p>
          <w:p w14:paraId="167C50B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（11）供应商应对本项目所有产生的电子化数据的完整性和安全性负责，全面做好电子化数据的本地备份（至少有一份以上的电子化数据备份），确保数据的安全。</w:t>
            </w:r>
          </w:p>
          <w:p w14:paraId="55282681">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（12）供应商购置的全部电脑硬盘等存储介质所有权归采购人所有。项目结束，供应商离场前需将电脑硬盘等全部存储介质交给采购人，由采购人进行处理。</w:t>
            </w:r>
          </w:p>
          <w:p w14:paraId="78F6C492">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9、其他要求</w:t>
            </w:r>
          </w:p>
          <w:p w14:paraId="133B25A6">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（1）供应商需及时将项目实施情况汇报给采购人，及时告知项目实施过程中存在的各种风险及防范措施，每周向采购人提交项目实施报告，每月定期提交工作进度报告。</w:t>
            </w:r>
          </w:p>
          <w:p w14:paraId="07C92AE5">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（2）未尽事项。本文件未尽之处按照最高院、省法院、佛山中院有关规定执行。</w:t>
            </w:r>
          </w:p>
        </w:tc>
      </w:tr>
      <w:tr w14:paraId="2AD593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3" w:type="dxa"/>
          </w:tcPr>
          <w:p w14:paraId="68B22185">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tc>
        <w:tc>
          <w:tcPr>
            <w:tcW w:w="500" w:type="dxa"/>
          </w:tcPr>
          <w:p w14:paraId="0EF34F8B">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8237" w:type="dxa"/>
          </w:tcPr>
          <w:p w14:paraId="6DAD4B10">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right="0" w:rightChars="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技术服务、培训等</w:t>
            </w:r>
          </w:p>
          <w:p w14:paraId="00EA2F96">
            <w:pPr>
              <w:pStyle w:val="21"/>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tLeast"/>
              <w:ind w:left="0" w:leftChars="0" w:right="0" w:rightChars="0" w:firstLine="422" w:firstLineChars="20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工作时间</w:t>
            </w:r>
          </w:p>
          <w:p w14:paraId="620454DE">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tLeast"/>
              <w:ind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国家法定工作日和法院统一要求加班的节假日，上午8:00-12：00，下午：13:30-17:30。供应商应严格执行考勤制度，做好考勤登记，确保员工准时上班。</w:t>
            </w:r>
          </w:p>
          <w:p w14:paraId="31999E5C">
            <w:pPr>
              <w:pStyle w:val="21"/>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tLeast"/>
              <w:ind w:left="0" w:leftChars="0" w:right="0" w:rightChars="0" w:firstLine="422" w:firstLineChars="20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技术服务</w:t>
            </w:r>
          </w:p>
          <w:p w14:paraId="2D509E52">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tLeast"/>
              <w:ind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工作时间供应商须提供运维工程师现场或远程解答采购人关于送达系统的技术问题。</w:t>
            </w:r>
          </w:p>
          <w:p w14:paraId="5AB7FBF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2" w:firstLineChars="20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3、售后服务</w:t>
            </w:r>
          </w:p>
          <w:p w14:paraId="39F96193">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提供每天24小时的不间断技术支持服务，为采购人提供电话、传真、视频、现场等多种方式技术支持服务，全方位响应需求；确有必要需在2小时内到达现场，并最迟在第2个工作日内排除错误，2个工作日内不能解决的，必须采取临时应急等措施，以保证采购人的正常使用。</w:t>
            </w:r>
          </w:p>
          <w:p w14:paraId="33EE442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供应商须提供从项目整体验收合格之日起，提供一年的免费质保期服务；质保期满后，提供的技术支持和维护，只收取技术服务成本价。无论在质保期内还是质保期满后，供应商负责对其实施的项目提供24小时不间断技术支持服务，全方位技术响应。</w:t>
            </w:r>
          </w:p>
          <w:p w14:paraId="2DC2C40E">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2" w:firstLineChars="20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4、培训</w:t>
            </w:r>
          </w:p>
          <w:p w14:paraId="77B7C69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供应商需对其所有工作人员定期进行岗位培训，每季度至少培训一次，培训内容包括但不限于技术、保密等相关内容，保证项目的安全、进度和质量。</w:t>
            </w:r>
          </w:p>
          <w:p w14:paraId="3C01B776">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2" w:firstLineChars="20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5、人员调整</w:t>
            </w:r>
          </w:p>
          <w:p w14:paraId="5F9D8F3F">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供应商须按其投标文件中承诺提供的项目组人员按要求投入到本项目中，在合同期内不得擅自更换，并向采购人报备投入本项目人员信息。供应商如因工作安排或其他原因，需要更换项目组人员时，应事前向采购人书面提出申请，未经采购人同意，不得更换人员。</w:t>
            </w:r>
          </w:p>
          <w:p w14:paraId="218A52FA">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采购人有权以书面形式要求供应商更换不能按规定履行合同或工作质量出现问题的工作人员，同时并收回相关出入采购人场所证件，替代人员的资质仍应得到采购人的认可，且其资历和经验均不低于被更换人员，由此而产生的费用由供应商承担。</w:t>
            </w:r>
          </w:p>
          <w:p w14:paraId="4FCD82D8">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3）供应商未经采购人书面同意擅自更换项目组人员，采购人有权扣除供应商一定的违约金；发生本条上述情况累计达4次后，采购人有权终止合同，由此引致的经济损失，供应商须全额赔偿，采购人保留追究供应商相关责任的权利。</w:t>
            </w:r>
          </w:p>
          <w:p w14:paraId="25A51FE7">
            <w:pPr>
              <w:pStyle w:val="21"/>
              <w:keepNext w:val="0"/>
              <w:keepLines w:val="0"/>
              <w:pageBreakBefore w:val="0"/>
              <w:widowControl/>
              <w:kinsoku/>
              <w:wordWrap/>
              <w:overflowPunct/>
              <w:topLinePunct w:val="0"/>
              <w:autoSpaceDE/>
              <w:autoSpaceDN/>
              <w:bidi w:val="0"/>
              <w:adjustRightInd/>
              <w:snapToGrid/>
              <w:spacing w:beforeAutospacing="0" w:afterAutospacing="0" w:line="360" w:lineRule="atLeast"/>
              <w:ind w:left="0"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（4）供应商对其项目人员的人身安全负全部责任。</w:t>
            </w:r>
          </w:p>
        </w:tc>
      </w:tr>
      <w:tr w14:paraId="0403E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3" w:type="dxa"/>
          </w:tcPr>
          <w:p w14:paraId="5437E3B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说明</w:t>
            </w:r>
          </w:p>
        </w:tc>
        <w:tc>
          <w:tcPr>
            <w:tcW w:w="8737" w:type="dxa"/>
            <w:gridSpan w:val="2"/>
          </w:tcPr>
          <w:p w14:paraId="206DAE69">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 xml:space="preserve">打“★”号条款为实质性条款，若有任何一条负偏离或不满足则导致投标无效。 </w:t>
            </w:r>
          </w:p>
          <w:p w14:paraId="1919A382">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打“▲”号条款为重要技术参数，若有部分“▲”条款未响应或不满足，将导致其响应性评审加重扣分，但不作为无效投标条款。</w:t>
            </w:r>
          </w:p>
        </w:tc>
      </w:tr>
    </w:tbl>
    <w:p w14:paraId="35E4B5DC">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36"/>
          <w:highlight w:val="none"/>
        </w:rPr>
      </w:pPr>
      <w:r>
        <w:rPr>
          <w:rFonts w:hint="default" w:ascii="Times New Roman" w:hAnsi="Times New Roman" w:cs="Times New Roman" w:eastAsiaTheme="minorEastAsia"/>
          <w:b/>
          <w:color w:val="auto"/>
          <w:sz w:val="36"/>
          <w:highlight w:val="none"/>
        </w:rPr>
        <w:br w:type="page"/>
      </w:r>
    </w:p>
    <w:p w14:paraId="359EBDFE">
      <w:pPr>
        <w:pStyle w:val="21"/>
        <w:keepLines w:val="0"/>
        <w:kinsoku/>
        <w:wordWrap/>
        <w:overflowPunct/>
        <w:topLinePunct w:val="0"/>
        <w:bidi w:val="0"/>
        <w:spacing w:beforeAutospacing="0" w:afterAutospacing="0" w:line="440" w:lineRule="atLeast"/>
        <w:ind w:left="0" w:leftChars="0" w:right="0" w:rightChars="0"/>
        <w:jc w:val="center"/>
        <w:outlineLvl w:val="0"/>
        <w:rPr>
          <w:rFonts w:hint="default" w:ascii="Times New Roman" w:hAnsi="Times New Roman" w:cs="Times New Roman" w:eastAsiaTheme="minorEastAsia"/>
          <w:color w:val="auto"/>
          <w:sz w:val="28"/>
          <w:szCs w:val="28"/>
          <w:highlight w:val="none"/>
        </w:rPr>
      </w:pPr>
      <w:bookmarkStart w:id="16" w:name="_Toc24412"/>
      <w:r>
        <w:rPr>
          <w:rFonts w:hint="default" w:ascii="Times New Roman" w:hAnsi="Times New Roman" w:cs="Times New Roman" w:eastAsiaTheme="minorEastAsia"/>
          <w:b/>
          <w:color w:val="auto"/>
          <w:sz w:val="28"/>
          <w:szCs w:val="28"/>
          <w:highlight w:val="none"/>
        </w:rPr>
        <w:t>第三</w:t>
      </w:r>
      <w:r>
        <w:rPr>
          <w:rFonts w:hint="default" w:ascii="Times New Roman" w:hAnsi="Times New Roman" w:cs="Times New Roman" w:eastAsiaTheme="minorEastAsia"/>
          <w:b/>
          <w:color w:val="auto"/>
          <w:sz w:val="28"/>
          <w:szCs w:val="28"/>
          <w:highlight w:val="none"/>
          <w:lang w:eastAsia="zh-CN"/>
        </w:rPr>
        <w:t>部分</w:t>
      </w:r>
      <w:r>
        <w:rPr>
          <w:rFonts w:hint="default" w:ascii="Times New Roman" w:hAnsi="Times New Roman" w:cs="Times New Roman" w:eastAsiaTheme="minorEastAsia"/>
          <w:b/>
          <w:color w:val="auto"/>
          <w:sz w:val="28"/>
          <w:szCs w:val="28"/>
          <w:highlight w:val="none"/>
        </w:rPr>
        <w:t xml:space="preserve"> 供应商须知</w:t>
      </w:r>
      <w:bookmarkEnd w:id="16"/>
    </w:p>
    <w:p w14:paraId="4A444592">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197D22C2">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请注意：供应商需在响应文件截止时间前，将响应文件</w:t>
      </w:r>
      <w:r>
        <w:rPr>
          <w:rFonts w:hint="eastAsia" w:ascii="Times New Roman" w:hAnsi="Times New Roman" w:cs="Times New Roman"/>
          <w:color w:val="auto"/>
          <w:sz w:val="21"/>
          <w:szCs w:val="21"/>
          <w:highlight w:val="none"/>
          <w:lang w:eastAsia="zh-CN"/>
        </w:rPr>
        <w:t>投递到采购公告中规定地点处</w:t>
      </w:r>
      <w:r>
        <w:rPr>
          <w:rFonts w:hint="default" w:ascii="Times New Roman" w:hAnsi="Times New Roman" w:cs="Times New Roman" w:eastAsiaTheme="minorEastAsia"/>
          <w:color w:val="auto"/>
          <w:sz w:val="21"/>
          <w:szCs w:val="21"/>
          <w:highlight w:val="none"/>
        </w:rPr>
        <w:t>，逾期投递送达将导致响应无效。</w:t>
      </w:r>
    </w:p>
    <w:p w14:paraId="60EC1424">
      <w:pPr>
        <w:pStyle w:val="21"/>
        <w:keepLines w:val="0"/>
        <w:kinsoku/>
        <w:wordWrap/>
        <w:overflowPunct/>
        <w:topLinePunct w:val="0"/>
        <w:bidi w:val="0"/>
        <w:spacing w:beforeAutospacing="0" w:afterAutospacing="0" w:line="440" w:lineRule="atLeast"/>
        <w:ind w:left="0" w:leftChars="0" w:right="0" w:rightChars="0"/>
        <w:outlineLvl w:val="1"/>
        <w:rPr>
          <w:rFonts w:hint="default" w:ascii="Times New Roman" w:hAnsi="Times New Roman" w:cs="Times New Roman" w:eastAsiaTheme="minorEastAsia"/>
          <w:color w:val="auto"/>
          <w:sz w:val="24"/>
          <w:szCs w:val="24"/>
          <w:highlight w:val="none"/>
        </w:rPr>
      </w:pPr>
      <w:bookmarkStart w:id="17" w:name="_Toc23160"/>
      <w:r>
        <w:rPr>
          <w:rFonts w:hint="default" w:ascii="Times New Roman" w:hAnsi="Times New Roman" w:cs="Times New Roman" w:eastAsiaTheme="minorEastAsia"/>
          <w:b/>
          <w:color w:val="auto"/>
          <w:sz w:val="24"/>
          <w:szCs w:val="24"/>
          <w:highlight w:val="none"/>
        </w:rPr>
        <w:t>一、名词解释</w:t>
      </w:r>
      <w:bookmarkEnd w:id="17"/>
    </w:p>
    <w:p w14:paraId="7585AD5B">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1.采购代理机构：本项目是指</w:t>
      </w:r>
      <w:r>
        <w:rPr>
          <w:rFonts w:hint="default" w:ascii="Times New Roman" w:hAnsi="Times New Roman" w:cs="Times New Roman" w:eastAsiaTheme="minorEastAsia"/>
          <w:color w:val="auto"/>
          <w:sz w:val="21"/>
          <w:szCs w:val="21"/>
          <w:highlight w:val="none"/>
          <w:lang w:eastAsia="zh-CN"/>
        </w:rPr>
        <w:t>广东远东招标代理有限公司</w:t>
      </w:r>
      <w:r>
        <w:rPr>
          <w:rFonts w:hint="default" w:ascii="Times New Roman" w:hAnsi="Times New Roman" w:cs="Times New Roman" w:eastAsiaTheme="minorEastAsia"/>
          <w:color w:val="auto"/>
          <w:sz w:val="21"/>
          <w:szCs w:val="21"/>
          <w:highlight w:val="none"/>
        </w:rPr>
        <w:t>，负责整个采购活动的组织，依法负责编制和发布磋商文件，对磋商文件拥有最终的解释权，不以任何身份出任磋商小组成员。</w:t>
      </w:r>
    </w:p>
    <w:p w14:paraId="7AFE001C">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2.采购人：本项目是指</w:t>
      </w:r>
      <w:r>
        <w:rPr>
          <w:rFonts w:hint="eastAsia" w:ascii="Times New Roman" w:hAnsi="Times New Roman" w:cs="Times New Roman"/>
          <w:color w:val="auto"/>
          <w:sz w:val="21"/>
          <w:szCs w:val="21"/>
          <w:highlight w:val="none"/>
          <w:lang w:eastAsia="zh-CN"/>
        </w:rPr>
        <w:t>佛山市高明区人民法院</w:t>
      </w:r>
      <w:r>
        <w:rPr>
          <w:rFonts w:hint="default" w:ascii="Times New Roman" w:hAnsi="Times New Roman" w:cs="Times New Roman" w:eastAsiaTheme="minorEastAsia"/>
          <w:color w:val="auto"/>
          <w:sz w:val="21"/>
          <w:szCs w:val="21"/>
          <w:highlight w:val="none"/>
        </w:rPr>
        <w:t>，是采购活动当事人之一，负责项目的整体规划、技术方案可行性设计论证与实施，作为合同</w:t>
      </w:r>
      <w:r>
        <w:rPr>
          <w:rFonts w:hint="eastAsia" w:ascii="Times New Roman" w:hAnsi="Times New Roman" w:cs="Times New Roman"/>
          <w:color w:val="auto"/>
          <w:sz w:val="21"/>
          <w:szCs w:val="21"/>
          <w:highlight w:val="none"/>
          <w:lang w:eastAsia="zh-CN"/>
        </w:rPr>
        <w:t>采购人</w:t>
      </w:r>
      <w:r>
        <w:rPr>
          <w:rFonts w:hint="default" w:ascii="Times New Roman" w:hAnsi="Times New Roman" w:cs="Times New Roman" w:eastAsiaTheme="minorEastAsia"/>
          <w:color w:val="auto"/>
          <w:sz w:val="21"/>
          <w:szCs w:val="21"/>
          <w:highlight w:val="none"/>
        </w:rPr>
        <w:t>（用户）的主体承担质疑回复、履行合同、验收与评价等义务。</w:t>
      </w:r>
    </w:p>
    <w:p w14:paraId="7CF2C98B">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3.供应商：是指完成本项目响应登记并提交电子响应文件的供应商。</w:t>
      </w:r>
    </w:p>
    <w:p w14:paraId="3DD4F159">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4.“磋商小组”是指根据《中华人民共和国政府采购法》等法律法规规定，由采购人代表和有关专家组成以确定成交供应商或者推荐成交候选供应商的临时组织。</w:t>
      </w:r>
    </w:p>
    <w:p w14:paraId="5BEC8D02">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5.“成交供应商”是指经磋商小组评审确定的对磋商文件做出实质性响应，经采购人按照规定在磋商小组推荐的成交候选供应商中确定的或磋商小组受采购人委托直接确认的供应商。</w:t>
      </w:r>
    </w:p>
    <w:p w14:paraId="661C29E5">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6.磋商文件：是指包括磋商公告和磋商文件及其补充、变更和澄清等一系列文件。</w:t>
      </w:r>
    </w:p>
    <w:p w14:paraId="494BD3B1">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w:t>
      </w:r>
      <w:r>
        <w:rPr>
          <w:rFonts w:hint="default" w:ascii="Times New Roman" w:hAnsi="Times New Roman" w:cs="Times New Roman" w:eastAsiaTheme="minorEastAsia"/>
          <w:color w:val="auto"/>
          <w:sz w:val="21"/>
          <w:szCs w:val="21"/>
          <w:highlight w:val="none"/>
        </w:rPr>
        <w:t>.“投标人代表签字”及“授权代表”：在投标（响应）文件及相关的其他资料中，涉及“投标人代表签字”或“授权代表”应在纸质投标（响应）文件上进行手写签名。</w:t>
      </w:r>
    </w:p>
    <w:p w14:paraId="7126B973">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w:t>
      </w:r>
      <w:r>
        <w:rPr>
          <w:rFonts w:hint="default" w:ascii="Times New Roman" w:hAnsi="Times New Roman" w:cs="Times New Roman" w:eastAsiaTheme="minorEastAsia"/>
          <w:color w:val="auto"/>
          <w:sz w:val="21"/>
          <w:szCs w:val="21"/>
          <w:highlight w:val="none"/>
        </w:rPr>
        <w:t>.“法定代表人”：在投标（响应）文件及相关的其他资料中，涉及“法定代表人”应在纸质投标（响应）文件上进行手写签名。</w:t>
      </w:r>
    </w:p>
    <w:p w14:paraId="690D8E03">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w:t>
      </w:r>
      <w:r>
        <w:rPr>
          <w:rFonts w:hint="default" w:ascii="Times New Roman" w:hAnsi="Times New Roman" w:cs="Times New Roman" w:eastAsiaTheme="minorEastAsia"/>
          <w:color w:val="auto"/>
          <w:sz w:val="21"/>
          <w:szCs w:val="21"/>
          <w:highlight w:val="none"/>
        </w:rPr>
        <w:t>.日期、天数、时间：未有特别说明时，均为公历日（天）及北京时间。</w:t>
      </w:r>
    </w:p>
    <w:p w14:paraId="5F1122C7">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br w:type="page"/>
      </w:r>
    </w:p>
    <w:p w14:paraId="7401D4E4">
      <w:pPr>
        <w:pStyle w:val="21"/>
        <w:keepLines w:val="0"/>
        <w:kinsoku/>
        <w:wordWrap/>
        <w:overflowPunct/>
        <w:topLinePunct w:val="0"/>
        <w:bidi w:val="0"/>
        <w:spacing w:beforeAutospacing="0" w:afterAutospacing="0" w:line="440" w:lineRule="atLeast"/>
        <w:ind w:left="0" w:leftChars="0" w:right="0" w:rightChars="0"/>
        <w:outlineLvl w:val="1"/>
        <w:rPr>
          <w:rFonts w:hint="default" w:ascii="Times New Roman" w:hAnsi="Times New Roman" w:cs="Times New Roman" w:eastAsiaTheme="minorEastAsia"/>
          <w:color w:val="auto"/>
          <w:sz w:val="24"/>
          <w:szCs w:val="24"/>
          <w:highlight w:val="none"/>
        </w:rPr>
      </w:pPr>
      <w:bookmarkStart w:id="18" w:name="_Toc15214"/>
      <w:r>
        <w:rPr>
          <w:rFonts w:hint="default" w:ascii="Times New Roman" w:hAnsi="Times New Roman" w:cs="Times New Roman" w:eastAsiaTheme="minorEastAsia"/>
          <w:b/>
          <w:color w:val="auto"/>
          <w:sz w:val="24"/>
          <w:szCs w:val="24"/>
          <w:highlight w:val="none"/>
        </w:rPr>
        <w:t>二、须知前附表</w:t>
      </w:r>
      <w:bookmarkEnd w:id="18"/>
    </w:p>
    <w:tbl>
      <w:tblPr>
        <w:tblStyle w:val="18"/>
        <w:tblW w:w="920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5"/>
        <w:gridCol w:w="2529"/>
        <w:gridCol w:w="5951"/>
      </w:tblGrid>
      <w:tr w14:paraId="0C2DDC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05" w:type="dxa"/>
            <w:gridSpan w:val="3"/>
          </w:tcPr>
          <w:p w14:paraId="5D4AE99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本表与磋商文件对应章节的内容若不一致，以本表为准。</w:t>
            </w:r>
          </w:p>
        </w:tc>
      </w:tr>
      <w:tr w14:paraId="289B05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vAlign w:val="center"/>
          </w:tcPr>
          <w:p w14:paraId="0A6C5E5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序号</w:t>
            </w:r>
          </w:p>
        </w:tc>
        <w:tc>
          <w:tcPr>
            <w:tcW w:w="2529" w:type="dxa"/>
            <w:vAlign w:val="center"/>
          </w:tcPr>
          <w:p w14:paraId="1ECE7A6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条款名称</w:t>
            </w:r>
          </w:p>
        </w:tc>
        <w:tc>
          <w:tcPr>
            <w:tcW w:w="5951" w:type="dxa"/>
            <w:vAlign w:val="center"/>
          </w:tcPr>
          <w:p w14:paraId="2271130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内容及要求</w:t>
            </w:r>
          </w:p>
        </w:tc>
      </w:tr>
      <w:tr w14:paraId="1924D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81278D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2529" w:type="dxa"/>
          </w:tcPr>
          <w:p w14:paraId="54346B3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采购包情况</w:t>
            </w:r>
          </w:p>
        </w:tc>
        <w:tc>
          <w:tcPr>
            <w:tcW w:w="5951" w:type="dxa"/>
          </w:tcPr>
          <w:p w14:paraId="1B8101E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本项目共1个采购包</w:t>
            </w:r>
          </w:p>
        </w:tc>
      </w:tr>
      <w:tr w14:paraId="7E1A3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75A228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2529" w:type="dxa"/>
          </w:tcPr>
          <w:p w14:paraId="3076BDB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开启方式</w:t>
            </w:r>
          </w:p>
        </w:tc>
        <w:tc>
          <w:tcPr>
            <w:tcW w:w="5951" w:type="dxa"/>
          </w:tcPr>
          <w:p w14:paraId="50CEB43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开标现场</w:t>
            </w:r>
            <w:r>
              <w:rPr>
                <w:rFonts w:hint="default" w:ascii="Times New Roman" w:hAnsi="Times New Roman" w:cs="Times New Roman" w:eastAsiaTheme="minorEastAsia"/>
                <w:color w:val="auto"/>
                <w:sz w:val="21"/>
                <w:szCs w:val="21"/>
                <w:highlight w:val="none"/>
                <w:lang w:eastAsia="zh-CN"/>
              </w:rPr>
              <w:t>开启</w:t>
            </w:r>
          </w:p>
        </w:tc>
      </w:tr>
      <w:tr w14:paraId="18555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5B6E24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2529" w:type="dxa"/>
          </w:tcPr>
          <w:p w14:paraId="1F0536A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评审方式</w:t>
            </w:r>
          </w:p>
        </w:tc>
        <w:tc>
          <w:tcPr>
            <w:tcW w:w="5951" w:type="dxa"/>
          </w:tcPr>
          <w:p w14:paraId="05FB294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现场</w:t>
            </w:r>
            <w:r>
              <w:rPr>
                <w:rFonts w:hint="default" w:ascii="Times New Roman" w:hAnsi="Times New Roman" w:cs="Times New Roman" w:eastAsiaTheme="minorEastAsia"/>
                <w:color w:val="auto"/>
                <w:sz w:val="21"/>
                <w:szCs w:val="21"/>
                <w:highlight w:val="none"/>
                <w:lang w:eastAsia="zh-CN"/>
              </w:rPr>
              <w:t>评审</w:t>
            </w:r>
          </w:p>
        </w:tc>
      </w:tr>
      <w:tr w14:paraId="6E4BC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273B46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2529" w:type="dxa"/>
          </w:tcPr>
          <w:p w14:paraId="0E9CBDD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评审办法</w:t>
            </w:r>
          </w:p>
        </w:tc>
        <w:tc>
          <w:tcPr>
            <w:tcW w:w="5951" w:type="dxa"/>
          </w:tcPr>
          <w:p w14:paraId="0DA7834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综合评分法</w:t>
            </w:r>
          </w:p>
        </w:tc>
      </w:tr>
      <w:tr w14:paraId="680F3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538E36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2529" w:type="dxa"/>
          </w:tcPr>
          <w:p w14:paraId="619D2D9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报价形式</w:t>
            </w:r>
          </w:p>
        </w:tc>
        <w:tc>
          <w:tcPr>
            <w:tcW w:w="5951" w:type="dxa"/>
          </w:tcPr>
          <w:p w14:paraId="6C1B528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总价</w:t>
            </w:r>
          </w:p>
        </w:tc>
      </w:tr>
      <w:tr w14:paraId="3F758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4F31AF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w:t>
            </w:r>
          </w:p>
        </w:tc>
        <w:tc>
          <w:tcPr>
            <w:tcW w:w="2529" w:type="dxa"/>
          </w:tcPr>
          <w:p w14:paraId="0A2A9C3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报价要求</w:t>
            </w:r>
          </w:p>
        </w:tc>
        <w:tc>
          <w:tcPr>
            <w:tcW w:w="5951" w:type="dxa"/>
          </w:tcPr>
          <w:p w14:paraId="2DBD7C7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color w:val="auto"/>
                <w:sz w:val="21"/>
                <w:szCs w:val="21"/>
                <w:highlight w:val="none"/>
                <w:lang w:eastAsia="zh-CN"/>
              </w:rPr>
              <w:t>报价不得高于本项目</w:t>
            </w:r>
            <w:r>
              <w:rPr>
                <w:rFonts w:hint="eastAsia" w:ascii="Times New Roman" w:hAnsi="Times New Roman" w:cs="Times New Roman"/>
                <w:color w:val="auto"/>
                <w:sz w:val="21"/>
                <w:szCs w:val="21"/>
                <w:highlight w:val="none"/>
                <w:lang w:eastAsia="zh-CN"/>
              </w:rPr>
              <w:t>的总价最高限价及单价最高限价</w:t>
            </w:r>
          </w:p>
        </w:tc>
      </w:tr>
      <w:tr w14:paraId="37341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346852C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w:t>
            </w:r>
          </w:p>
        </w:tc>
        <w:tc>
          <w:tcPr>
            <w:tcW w:w="2529" w:type="dxa"/>
          </w:tcPr>
          <w:p w14:paraId="002E45A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现场踏勘</w:t>
            </w:r>
          </w:p>
        </w:tc>
        <w:tc>
          <w:tcPr>
            <w:tcW w:w="5951" w:type="dxa"/>
          </w:tcPr>
          <w:p w14:paraId="620DA7B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否</w:t>
            </w:r>
          </w:p>
        </w:tc>
      </w:tr>
      <w:tr w14:paraId="3E89D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5BF38B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w:t>
            </w:r>
          </w:p>
        </w:tc>
        <w:tc>
          <w:tcPr>
            <w:tcW w:w="2529" w:type="dxa"/>
          </w:tcPr>
          <w:p w14:paraId="7984B67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响应有效期</w:t>
            </w:r>
          </w:p>
        </w:tc>
        <w:tc>
          <w:tcPr>
            <w:tcW w:w="5951" w:type="dxa"/>
          </w:tcPr>
          <w:p w14:paraId="0A82B66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从提交投标（响应）文件的截止之日起90日历天</w:t>
            </w:r>
          </w:p>
        </w:tc>
      </w:tr>
      <w:tr w14:paraId="4E199E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0B6499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w:t>
            </w:r>
          </w:p>
        </w:tc>
        <w:tc>
          <w:tcPr>
            <w:tcW w:w="2529" w:type="dxa"/>
          </w:tcPr>
          <w:p w14:paraId="590606C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响应保证金</w:t>
            </w:r>
          </w:p>
        </w:tc>
        <w:tc>
          <w:tcPr>
            <w:tcW w:w="5951" w:type="dxa"/>
          </w:tcPr>
          <w:p w14:paraId="23C0180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无要求</w:t>
            </w:r>
          </w:p>
        </w:tc>
      </w:tr>
      <w:tr w14:paraId="5F04D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DEAF0A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2529" w:type="dxa"/>
          </w:tcPr>
          <w:p w14:paraId="5AFF5F3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成交候选供应商推荐家数</w:t>
            </w:r>
          </w:p>
        </w:tc>
        <w:tc>
          <w:tcPr>
            <w:tcW w:w="5951" w:type="dxa"/>
          </w:tcPr>
          <w:p w14:paraId="09C6B2A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3家</w:t>
            </w:r>
          </w:p>
        </w:tc>
      </w:tr>
      <w:tr w14:paraId="6724A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3FB1A6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11</w:t>
            </w:r>
          </w:p>
        </w:tc>
        <w:tc>
          <w:tcPr>
            <w:tcW w:w="2529" w:type="dxa"/>
          </w:tcPr>
          <w:p w14:paraId="52FE6F1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成交供应商家数</w:t>
            </w:r>
          </w:p>
        </w:tc>
        <w:tc>
          <w:tcPr>
            <w:tcW w:w="5951" w:type="dxa"/>
          </w:tcPr>
          <w:p w14:paraId="5199B3D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1家</w:t>
            </w:r>
          </w:p>
        </w:tc>
      </w:tr>
      <w:tr w14:paraId="1832EF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FCB117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12</w:t>
            </w:r>
          </w:p>
        </w:tc>
        <w:tc>
          <w:tcPr>
            <w:tcW w:w="2529" w:type="dxa"/>
          </w:tcPr>
          <w:p w14:paraId="46FF386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有效供应商家数</w:t>
            </w:r>
          </w:p>
        </w:tc>
        <w:tc>
          <w:tcPr>
            <w:tcW w:w="5951" w:type="dxa"/>
          </w:tcPr>
          <w:p w14:paraId="65F6176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3家</w:t>
            </w:r>
          </w:p>
          <w:p w14:paraId="7757923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此人数约定了开启与评审过程中的最低有效供应商家数，当家数不足时项目将不得开启、不得评审或直接终止采购。</w:t>
            </w:r>
          </w:p>
        </w:tc>
      </w:tr>
      <w:tr w14:paraId="1F0AC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723A41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w:t>
            </w:r>
          </w:p>
        </w:tc>
        <w:tc>
          <w:tcPr>
            <w:tcW w:w="2529" w:type="dxa"/>
          </w:tcPr>
          <w:p w14:paraId="1B459E1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项目兼投兼中（兼投不兼中）规则</w:t>
            </w:r>
          </w:p>
        </w:tc>
        <w:tc>
          <w:tcPr>
            <w:tcW w:w="5951" w:type="dxa"/>
          </w:tcPr>
          <w:p w14:paraId="7BF7165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无：-</w:t>
            </w:r>
          </w:p>
        </w:tc>
      </w:tr>
      <w:tr w14:paraId="7B7D2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8CA393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14</w:t>
            </w:r>
          </w:p>
        </w:tc>
        <w:tc>
          <w:tcPr>
            <w:tcW w:w="2529" w:type="dxa"/>
          </w:tcPr>
          <w:p w14:paraId="6D1243E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成交供应商确定方式</w:t>
            </w:r>
          </w:p>
        </w:tc>
        <w:tc>
          <w:tcPr>
            <w:tcW w:w="5951" w:type="dxa"/>
          </w:tcPr>
          <w:p w14:paraId="0DE39BF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采购人按照评审报告中推荐的成交候选人确定成交</w:t>
            </w:r>
            <w:r>
              <w:rPr>
                <w:rFonts w:hint="default" w:ascii="Times New Roman" w:hAnsi="Times New Roman" w:cs="Times New Roman" w:eastAsiaTheme="minorEastAsia"/>
                <w:color w:val="auto"/>
                <w:sz w:val="21"/>
                <w:szCs w:val="21"/>
                <w:highlight w:val="none"/>
                <w:lang w:eastAsia="zh-CN"/>
              </w:rPr>
              <w:t>供应商</w:t>
            </w:r>
            <w:r>
              <w:rPr>
                <w:rFonts w:hint="default" w:ascii="Times New Roman" w:hAnsi="Times New Roman" w:cs="Times New Roman" w:eastAsiaTheme="minorEastAsia"/>
                <w:color w:val="auto"/>
                <w:sz w:val="21"/>
                <w:szCs w:val="21"/>
                <w:highlight w:val="none"/>
              </w:rPr>
              <w:t>。</w:t>
            </w:r>
          </w:p>
        </w:tc>
      </w:tr>
      <w:tr w14:paraId="71854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B1124E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w:t>
            </w:r>
          </w:p>
        </w:tc>
        <w:tc>
          <w:tcPr>
            <w:tcW w:w="2529" w:type="dxa"/>
          </w:tcPr>
          <w:p w14:paraId="001B3AB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代理服务费</w:t>
            </w:r>
          </w:p>
        </w:tc>
        <w:tc>
          <w:tcPr>
            <w:tcW w:w="5951" w:type="dxa"/>
          </w:tcPr>
          <w:p w14:paraId="025C629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收取。</w:t>
            </w:r>
          </w:p>
          <w:p w14:paraId="496B24C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采购机构代理服务收费标准：以成交金额作为代理服务费的计算基数。代理服务费收费采用差额定率累进法计算方式。参照国家计委文件“计价格[2002]1980号文”中服务类代理服务费收费标准执行。</w:t>
            </w:r>
          </w:p>
        </w:tc>
      </w:tr>
      <w:tr w14:paraId="5B8F1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824EB8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16</w:t>
            </w:r>
          </w:p>
        </w:tc>
        <w:tc>
          <w:tcPr>
            <w:tcW w:w="2529" w:type="dxa"/>
          </w:tcPr>
          <w:p w14:paraId="6E08F94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代理服务费收取方式</w:t>
            </w:r>
          </w:p>
        </w:tc>
        <w:tc>
          <w:tcPr>
            <w:tcW w:w="5951" w:type="dxa"/>
          </w:tcPr>
          <w:p w14:paraId="6116DDB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eastAsia"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向成交供应商收取</w:t>
            </w:r>
            <w:r>
              <w:rPr>
                <w:rFonts w:hint="eastAsia" w:ascii="Times New Roman" w:hAnsi="Times New Roman" w:cs="Times New Roman"/>
                <w:color w:val="auto"/>
                <w:sz w:val="21"/>
                <w:szCs w:val="21"/>
                <w:highlight w:val="none"/>
                <w:lang w:eastAsia="zh-CN"/>
              </w:rPr>
              <w:t>。</w:t>
            </w:r>
          </w:p>
        </w:tc>
      </w:tr>
      <w:tr w14:paraId="07015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A9DB1F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17</w:t>
            </w:r>
          </w:p>
        </w:tc>
        <w:tc>
          <w:tcPr>
            <w:tcW w:w="2529" w:type="dxa"/>
          </w:tcPr>
          <w:p w14:paraId="36DD957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响应文件要求</w:t>
            </w:r>
          </w:p>
        </w:tc>
        <w:tc>
          <w:tcPr>
            <w:tcW w:w="5951" w:type="dxa"/>
          </w:tcPr>
          <w:p w14:paraId="056D128E">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bCs/>
                <w:color w:val="auto"/>
                <w:sz w:val="21"/>
                <w:szCs w:val="21"/>
                <w:highlight w:val="none"/>
                <w:lang w:eastAsia="zh-CN"/>
              </w:rPr>
            </w:pPr>
            <w:r>
              <w:rPr>
                <w:rFonts w:hint="default" w:ascii="Times New Roman" w:hAnsi="Times New Roman" w:cs="Times New Roman" w:eastAsiaTheme="minorEastAsia"/>
                <w:b/>
                <w:bCs/>
                <w:color w:val="auto"/>
                <w:sz w:val="21"/>
                <w:szCs w:val="21"/>
                <w:highlight w:val="none"/>
                <w:lang w:val="en-US" w:eastAsia="zh-CN"/>
              </w:rPr>
              <w:t>一、</w:t>
            </w:r>
            <w:r>
              <w:rPr>
                <w:rFonts w:hint="default" w:ascii="Times New Roman" w:hAnsi="Times New Roman" w:cs="Times New Roman" w:eastAsiaTheme="minorEastAsia"/>
                <w:b/>
                <w:bCs/>
                <w:color w:val="auto"/>
                <w:sz w:val="21"/>
                <w:szCs w:val="21"/>
                <w:highlight w:val="none"/>
                <w:lang w:eastAsia="zh-CN"/>
              </w:rPr>
              <w:t>响应文件的递交</w:t>
            </w:r>
          </w:p>
          <w:p w14:paraId="2EADCB6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供应商应凭以下资料递交响应文件（加盖供应商公章），否则，采购代理机构将有权拒收：</w:t>
            </w:r>
          </w:p>
          <w:p w14:paraId="4CCA5B9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eastAsia="zh-CN"/>
              </w:rPr>
              <w:t>1）</w:t>
            </w:r>
            <w:r>
              <w:rPr>
                <w:rFonts w:hint="default" w:ascii="Times New Roman" w:hAnsi="Times New Roman" w:cs="Times New Roman" w:eastAsiaTheme="minorEastAsia"/>
                <w:color w:val="auto"/>
                <w:sz w:val="21"/>
                <w:szCs w:val="21"/>
                <w:highlight w:val="none"/>
                <w:lang w:val="zh-CN"/>
              </w:rPr>
              <w:t>法定代表人/负责人资格证明书 原件；</w:t>
            </w:r>
          </w:p>
          <w:p w14:paraId="2B170C4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eastAsia="zh-CN"/>
              </w:rPr>
              <w:t>2）</w:t>
            </w:r>
            <w:r>
              <w:rPr>
                <w:rFonts w:hint="default" w:ascii="Times New Roman" w:hAnsi="Times New Roman" w:cs="Times New Roman" w:eastAsiaTheme="minorEastAsia"/>
                <w:color w:val="auto"/>
                <w:sz w:val="21"/>
                <w:szCs w:val="21"/>
                <w:highlight w:val="none"/>
                <w:lang w:val="zh-CN"/>
              </w:rPr>
              <w:t>法定代表人授权书 原件【若法定代表人亲临现场参与投标的，则不需提供】；</w:t>
            </w:r>
          </w:p>
          <w:p w14:paraId="251CF23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eastAsia="zh-CN"/>
              </w:rPr>
              <w:t>3)</w:t>
            </w:r>
            <w:r>
              <w:rPr>
                <w:rFonts w:hint="default" w:ascii="Times New Roman" w:hAnsi="Times New Roman" w:cs="Times New Roman" w:eastAsiaTheme="minorEastAsia"/>
                <w:color w:val="auto"/>
                <w:sz w:val="21"/>
                <w:szCs w:val="21"/>
                <w:highlight w:val="none"/>
                <w:lang w:val="zh-CN"/>
              </w:rPr>
              <w:t>法定代表人或授权代表本人身份证 原件。</w:t>
            </w:r>
          </w:p>
          <w:p w14:paraId="3A5CCFF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bCs/>
                <w:color w:val="auto"/>
                <w:sz w:val="21"/>
                <w:szCs w:val="21"/>
                <w:highlight w:val="none"/>
                <w:lang w:val="zh-CN" w:eastAsia="zh-CN"/>
              </w:rPr>
            </w:pPr>
            <w:r>
              <w:rPr>
                <w:rFonts w:hint="default" w:ascii="Times New Roman" w:hAnsi="Times New Roman" w:cs="Times New Roman" w:eastAsiaTheme="minorEastAsia"/>
                <w:b/>
                <w:bCs/>
                <w:color w:val="auto"/>
                <w:sz w:val="21"/>
                <w:szCs w:val="21"/>
                <w:highlight w:val="none"/>
                <w:lang w:val="zh-CN" w:eastAsia="zh-CN"/>
              </w:rPr>
              <w:t>二、响应文件递交数量</w:t>
            </w:r>
          </w:p>
          <w:p w14:paraId="02D33F7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eastAsia="zh-CN"/>
              </w:rPr>
              <w:t>1）</w:t>
            </w:r>
            <w:r>
              <w:rPr>
                <w:rFonts w:hint="default" w:ascii="Times New Roman" w:hAnsi="Times New Roman" w:cs="Times New Roman" w:eastAsiaTheme="minorEastAsia"/>
                <w:b/>
                <w:bCs/>
                <w:color w:val="auto"/>
                <w:sz w:val="21"/>
                <w:szCs w:val="21"/>
                <w:highlight w:val="none"/>
                <w:lang w:val="en-GB"/>
              </w:rPr>
              <w:t>《响应文件》</w:t>
            </w:r>
            <w:r>
              <w:rPr>
                <w:rFonts w:hint="default" w:ascii="Times New Roman" w:hAnsi="Times New Roman" w:cs="Times New Roman" w:eastAsiaTheme="minorEastAsia"/>
                <w:color w:val="auto"/>
                <w:sz w:val="21"/>
                <w:szCs w:val="21"/>
                <w:highlight w:val="none"/>
                <w:lang w:val="en-GB"/>
              </w:rPr>
              <w:t>密封包：一份【内含《响应文件》1份正本和</w:t>
            </w:r>
            <w:r>
              <w:rPr>
                <w:rFonts w:hint="default" w:ascii="Times New Roman" w:hAnsi="Times New Roman" w:cs="Times New Roman" w:eastAsiaTheme="minorEastAsia"/>
                <w:color w:val="auto"/>
                <w:sz w:val="21"/>
                <w:szCs w:val="21"/>
                <w:highlight w:val="none"/>
                <w:lang w:val="zh-CN"/>
              </w:rPr>
              <w:t>2</w:t>
            </w:r>
            <w:r>
              <w:rPr>
                <w:rFonts w:hint="default" w:ascii="Times New Roman" w:hAnsi="Times New Roman" w:cs="Times New Roman" w:eastAsiaTheme="minorEastAsia"/>
                <w:color w:val="auto"/>
                <w:sz w:val="21"/>
                <w:szCs w:val="21"/>
                <w:highlight w:val="none"/>
                <w:lang w:val="en-GB"/>
              </w:rPr>
              <w:t>份副本】；</w:t>
            </w:r>
          </w:p>
          <w:p w14:paraId="123ADD9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eastAsia="zh-CN"/>
              </w:rPr>
              <w:t>2）</w:t>
            </w:r>
            <w:r>
              <w:rPr>
                <w:rFonts w:hint="default" w:ascii="Times New Roman" w:hAnsi="Times New Roman" w:cs="Times New Roman" w:eastAsiaTheme="minorEastAsia"/>
                <w:b/>
                <w:bCs/>
                <w:color w:val="auto"/>
                <w:sz w:val="21"/>
                <w:szCs w:val="21"/>
                <w:highlight w:val="none"/>
                <w:lang w:val="en-GB"/>
              </w:rPr>
              <w:t>唱标信封</w:t>
            </w:r>
            <w:r>
              <w:rPr>
                <w:rFonts w:hint="default" w:ascii="Times New Roman" w:hAnsi="Times New Roman" w:cs="Times New Roman" w:eastAsiaTheme="minorEastAsia"/>
                <w:color w:val="auto"/>
                <w:sz w:val="21"/>
                <w:szCs w:val="21"/>
                <w:highlight w:val="none"/>
                <w:lang w:val="en-GB"/>
              </w:rPr>
              <w:t>密封包：一份【内含《报价汇总表》原件1份，响应文件电子光盘</w:t>
            </w:r>
            <w:r>
              <w:rPr>
                <w:rFonts w:hint="default" w:ascii="Times New Roman" w:hAnsi="Times New Roman" w:cs="Times New Roman" w:eastAsiaTheme="minorEastAsia"/>
                <w:color w:val="auto"/>
                <w:sz w:val="21"/>
                <w:szCs w:val="21"/>
                <w:highlight w:val="none"/>
                <w:lang w:val="zh-CN"/>
              </w:rPr>
              <w:t>/U盘</w:t>
            </w:r>
            <w:r>
              <w:rPr>
                <w:rFonts w:hint="default" w:ascii="Times New Roman" w:hAnsi="Times New Roman" w:cs="Times New Roman" w:eastAsiaTheme="minorEastAsia"/>
                <w:color w:val="auto"/>
                <w:sz w:val="21"/>
                <w:szCs w:val="21"/>
                <w:highlight w:val="none"/>
                <w:lang w:val="en-GB"/>
              </w:rPr>
              <w:t>1份】。</w:t>
            </w:r>
          </w:p>
          <w:p w14:paraId="6C7381D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bCs/>
                <w:color w:val="auto"/>
                <w:sz w:val="21"/>
                <w:szCs w:val="21"/>
                <w:highlight w:val="none"/>
                <w:lang w:val="en-GB" w:eastAsia="zh-CN"/>
              </w:rPr>
            </w:pPr>
            <w:r>
              <w:rPr>
                <w:rFonts w:hint="default" w:ascii="Times New Roman" w:hAnsi="Times New Roman" w:cs="Times New Roman" w:eastAsiaTheme="minorEastAsia"/>
                <w:b/>
                <w:bCs/>
                <w:color w:val="auto"/>
                <w:sz w:val="21"/>
                <w:szCs w:val="21"/>
                <w:highlight w:val="none"/>
                <w:lang w:val="en-GB" w:eastAsia="zh-CN"/>
              </w:rPr>
              <w:t>三、响应文件的制作要求及密封要求</w:t>
            </w:r>
          </w:p>
          <w:p w14:paraId="22E21A6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eastAsia="zh-CN"/>
              </w:rPr>
              <w:t>1）</w:t>
            </w:r>
            <w:r>
              <w:rPr>
                <w:rFonts w:hint="default" w:ascii="Times New Roman" w:hAnsi="Times New Roman" w:cs="Times New Roman" w:eastAsiaTheme="minorEastAsia"/>
                <w:color w:val="auto"/>
                <w:sz w:val="21"/>
                <w:szCs w:val="21"/>
                <w:highlight w:val="none"/>
                <w:lang w:val="en-GB"/>
              </w:rPr>
              <w:t>《响应文件》由资格性文件、评审内容索引、商务部分、技术部分、价格部分及其他文件共六部分组成。</w:t>
            </w:r>
          </w:p>
          <w:p w14:paraId="4CED787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eastAsia="zh-CN"/>
              </w:rPr>
              <w:t>2）</w:t>
            </w:r>
            <w:r>
              <w:rPr>
                <w:rFonts w:hint="default" w:ascii="Times New Roman" w:hAnsi="Times New Roman" w:cs="Times New Roman" w:eastAsiaTheme="minorEastAsia"/>
                <w:color w:val="auto"/>
                <w:sz w:val="21"/>
                <w:szCs w:val="21"/>
                <w:highlight w:val="none"/>
                <w:lang w:val="en-GB"/>
              </w:rPr>
              <w:t>《响应文件》的【正本】及所有【副本】的封面及骑缝均须加盖投标人公章。</w:t>
            </w:r>
          </w:p>
          <w:p w14:paraId="104D775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eastAsia="zh-CN"/>
              </w:rPr>
              <w:t>3）</w:t>
            </w:r>
            <w:r>
              <w:rPr>
                <w:rFonts w:hint="default" w:ascii="Times New Roman" w:hAnsi="Times New Roman" w:cs="Times New Roman" w:eastAsiaTheme="minorEastAsia"/>
                <w:b/>
                <w:bCs/>
                <w:color w:val="auto"/>
                <w:sz w:val="21"/>
                <w:szCs w:val="21"/>
                <w:highlight w:val="none"/>
                <w:lang w:val="en-GB"/>
              </w:rPr>
              <w:t>唱标信封必须与响应文件【正、副本】分开单独密封，并应在规定时间内同时递交，每份密封文件应在封口处加盖投标人公章。“电子文档”（光盘</w:t>
            </w:r>
            <w:r>
              <w:rPr>
                <w:rFonts w:hint="default" w:ascii="Times New Roman" w:hAnsi="Times New Roman" w:cs="Times New Roman" w:eastAsiaTheme="minorEastAsia"/>
                <w:b/>
                <w:bCs/>
                <w:color w:val="auto"/>
                <w:sz w:val="21"/>
                <w:szCs w:val="21"/>
                <w:highlight w:val="none"/>
                <w:lang w:val="zh-CN"/>
              </w:rPr>
              <w:t>/U盘</w:t>
            </w:r>
            <w:r>
              <w:rPr>
                <w:rFonts w:hint="default" w:ascii="Times New Roman" w:hAnsi="Times New Roman" w:cs="Times New Roman" w:eastAsiaTheme="minorEastAsia"/>
                <w:b/>
                <w:bCs/>
                <w:color w:val="auto"/>
                <w:sz w:val="21"/>
                <w:szCs w:val="21"/>
                <w:highlight w:val="none"/>
                <w:lang w:val="en-GB"/>
              </w:rPr>
              <w:t>）表面须标明投标人名称，密封于唱标信封之内。</w:t>
            </w:r>
          </w:p>
          <w:p w14:paraId="1CAD399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bCs/>
                <w:color w:val="auto"/>
                <w:sz w:val="21"/>
                <w:szCs w:val="21"/>
                <w:highlight w:val="none"/>
                <w:lang w:val="zh-CN" w:eastAsia="zh-CN"/>
              </w:rPr>
            </w:pPr>
            <w:r>
              <w:rPr>
                <w:rFonts w:hint="default" w:ascii="Times New Roman" w:hAnsi="Times New Roman" w:cs="Times New Roman" w:eastAsiaTheme="minorEastAsia"/>
                <w:color w:val="auto"/>
                <w:sz w:val="21"/>
                <w:szCs w:val="21"/>
                <w:highlight w:val="none"/>
                <w:lang w:val="en-GB" w:eastAsia="zh-CN"/>
              </w:rPr>
              <w:t>4）</w:t>
            </w:r>
            <w:r>
              <w:rPr>
                <w:rFonts w:hint="default" w:ascii="Times New Roman" w:hAnsi="Times New Roman" w:cs="Times New Roman" w:eastAsiaTheme="minorEastAsia"/>
                <w:color w:val="auto"/>
                <w:sz w:val="21"/>
                <w:szCs w:val="21"/>
                <w:highlight w:val="none"/>
                <w:lang w:val="en-GB"/>
              </w:rPr>
              <w:t>所有密封文件封套正面统一按“文件包装袋封面”格式填写标贴。</w:t>
            </w:r>
          </w:p>
        </w:tc>
      </w:tr>
      <w:tr w14:paraId="1D0AD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F716D3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18</w:t>
            </w:r>
          </w:p>
        </w:tc>
        <w:tc>
          <w:tcPr>
            <w:tcW w:w="2529" w:type="dxa"/>
          </w:tcPr>
          <w:p w14:paraId="0BC5B03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其他</w:t>
            </w:r>
          </w:p>
        </w:tc>
        <w:tc>
          <w:tcPr>
            <w:tcW w:w="5951" w:type="dxa"/>
          </w:tcPr>
          <w:p w14:paraId="58CC1F5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rPr>
              <w:t>。</w:t>
            </w:r>
          </w:p>
        </w:tc>
      </w:tr>
      <w:tr w14:paraId="173FB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3417911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19</w:t>
            </w:r>
          </w:p>
        </w:tc>
        <w:tc>
          <w:tcPr>
            <w:tcW w:w="2529" w:type="dxa"/>
          </w:tcPr>
          <w:p w14:paraId="4165747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专门面向中小企业采购</w:t>
            </w:r>
          </w:p>
        </w:tc>
        <w:tc>
          <w:tcPr>
            <w:tcW w:w="5951" w:type="dxa"/>
          </w:tcPr>
          <w:p w14:paraId="0E76355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面向中小企业，采购包专门预留</w:t>
            </w:r>
          </w:p>
        </w:tc>
      </w:tr>
    </w:tbl>
    <w:p w14:paraId="61957654">
      <w:pPr>
        <w:pStyle w:val="21"/>
        <w:keepLines w:val="0"/>
        <w:kinsoku/>
        <w:wordWrap/>
        <w:overflowPunct/>
        <w:topLinePunct w:val="0"/>
        <w:bidi w:val="0"/>
        <w:spacing w:beforeAutospacing="0" w:afterAutospacing="0" w:line="440" w:lineRule="atLeast"/>
        <w:ind w:left="0" w:leftChars="0" w:right="0" w:rightChars="0"/>
        <w:outlineLvl w:val="1"/>
        <w:rPr>
          <w:rFonts w:hint="default" w:ascii="Times New Roman" w:hAnsi="Times New Roman" w:cs="Times New Roman" w:eastAsiaTheme="minorEastAsia"/>
          <w:b/>
          <w:color w:val="auto"/>
          <w:sz w:val="24"/>
          <w:szCs w:val="24"/>
          <w:highlight w:val="none"/>
        </w:rPr>
      </w:pPr>
      <w:bookmarkStart w:id="19" w:name="_Toc30236"/>
    </w:p>
    <w:p w14:paraId="4EBCA1A9">
      <w:pPr>
        <w:pStyle w:val="21"/>
        <w:keepLines w:val="0"/>
        <w:kinsoku/>
        <w:wordWrap/>
        <w:overflowPunct/>
        <w:topLinePunct w:val="0"/>
        <w:bidi w:val="0"/>
        <w:spacing w:beforeAutospacing="0" w:afterAutospacing="0" w:line="440" w:lineRule="atLeast"/>
        <w:ind w:left="0" w:leftChars="0" w:right="0" w:rightChars="0"/>
        <w:outlineLvl w:val="1"/>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b/>
          <w:color w:val="auto"/>
          <w:sz w:val="24"/>
          <w:szCs w:val="24"/>
          <w:highlight w:val="none"/>
        </w:rPr>
        <w:t>三、说明</w:t>
      </w:r>
      <w:bookmarkEnd w:id="19"/>
    </w:p>
    <w:p w14:paraId="100DAB5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1.总则</w:t>
      </w:r>
    </w:p>
    <w:p w14:paraId="1B4A628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本磋商文件依据《中华人民共和国政府采购法》、《中华人民共和国政府采购法实施条例》（国务院令第658号）和《政府采购竞争性磋商</w:t>
      </w:r>
      <w:r>
        <w:rPr>
          <w:rFonts w:hint="eastAsia" w:ascii="Times New Roman" w:hAnsi="Times New Roman" w:cs="Times New Roman"/>
          <w:color w:val="auto"/>
          <w:sz w:val="21"/>
          <w:szCs w:val="21"/>
          <w:highlight w:val="none"/>
          <w:lang w:eastAsia="zh-CN"/>
        </w:rPr>
        <w:t>采购人</w:t>
      </w:r>
      <w:r>
        <w:rPr>
          <w:rFonts w:hint="default" w:ascii="Times New Roman" w:hAnsi="Times New Roman" w:cs="Times New Roman" w:eastAsiaTheme="minorEastAsia"/>
          <w:color w:val="auto"/>
          <w:sz w:val="21"/>
          <w:szCs w:val="21"/>
          <w:highlight w:val="none"/>
        </w:rPr>
        <w:t>式管理暂行办法》（财库〔2014〕214号）及国家和广东省有关法律、法规、规章制度编制。</w:t>
      </w:r>
    </w:p>
    <w:p w14:paraId="57CF4F0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供应商应仔细阅读本项目信息公告及磋商文件的所有内容（包括变更、补充、澄清以及修改等，且均为磋商文件的组成部分），按照磋商文件要求以及格式编制响应文件，并保证其真实性，否则一切后果自负。</w:t>
      </w:r>
    </w:p>
    <w:p w14:paraId="227243F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本次竞争性磋商项目，是以磋商公告的方式邀请非特定的供应商参加磋商。</w:t>
      </w:r>
    </w:p>
    <w:p w14:paraId="38EFF5E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2.适用范围</w:t>
      </w:r>
    </w:p>
    <w:p w14:paraId="27F9A2D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本磋商文件仅适用于本次磋商公告中所涉及的项目和内容。</w:t>
      </w:r>
    </w:p>
    <w:p w14:paraId="55D14F1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3.进口产品</w:t>
      </w:r>
    </w:p>
    <w:p w14:paraId="184E1E9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若本项目允许采购进口产品，供应商应保证所投产品可履行合法报通关手续进入中国关境内。</w:t>
      </w:r>
    </w:p>
    <w:p w14:paraId="50CACDA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若本项目不允许采购进口产品，如供应商所投产品为进口产品，其响应将被认定为响应无效。</w:t>
      </w:r>
    </w:p>
    <w:p w14:paraId="5C17E57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4.磋商费用</w:t>
      </w:r>
    </w:p>
    <w:p w14:paraId="2888C3F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不论磋商结果如何，供应商应承担所有与准备和参加磋商有关的费用。采购代理机构和采购人均无义务和责任承担相关费用。</w:t>
      </w:r>
    </w:p>
    <w:p w14:paraId="7E92F53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5.关联企业响应说明</w:t>
      </w:r>
    </w:p>
    <w:p w14:paraId="390BE76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r>
        <w:rPr>
          <w:rFonts w:hint="default" w:ascii="Times New Roman" w:hAnsi="Times New Roman" w:cs="Times New Roman" w:eastAsiaTheme="minorEastAsia"/>
          <w:color w:val="auto"/>
          <w:sz w:val="21"/>
          <w:szCs w:val="21"/>
          <w:highlight w:val="none"/>
        </w:rPr>
        <w:t>.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3B9B560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r>
        <w:rPr>
          <w:rFonts w:hint="default" w:ascii="Times New Roman" w:hAnsi="Times New Roman" w:cs="Times New Roman" w:eastAsiaTheme="minorEastAsia"/>
          <w:color w:val="auto"/>
          <w:sz w:val="21"/>
          <w:szCs w:val="21"/>
          <w:highlight w:val="none"/>
        </w:rPr>
        <w:t>.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41FD2B9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lang w:val="en-US" w:eastAsia="zh-CN"/>
        </w:rPr>
        <w:t>6</w:t>
      </w:r>
      <w:r>
        <w:rPr>
          <w:rFonts w:hint="default" w:ascii="Times New Roman" w:hAnsi="Times New Roman" w:cs="Times New Roman" w:eastAsiaTheme="minorEastAsia"/>
          <w:b/>
          <w:color w:val="auto"/>
          <w:sz w:val="21"/>
          <w:szCs w:val="21"/>
          <w:highlight w:val="none"/>
        </w:rPr>
        <w:t>.关于中小微企业响应</w:t>
      </w:r>
    </w:p>
    <w:p w14:paraId="5E280FA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DCED6B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23E2E4F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02A6C08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lang w:val="en-US" w:eastAsia="zh-CN"/>
        </w:rPr>
        <w:t>7</w:t>
      </w:r>
      <w:r>
        <w:rPr>
          <w:rFonts w:hint="default" w:ascii="Times New Roman" w:hAnsi="Times New Roman" w:cs="Times New Roman" w:eastAsiaTheme="minorEastAsia"/>
          <w:b/>
          <w:color w:val="auto"/>
          <w:sz w:val="21"/>
          <w:szCs w:val="21"/>
          <w:highlight w:val="none"/>
        </w:rPr>
        <w:t>.纪律与保密事项</w:t>
      </w:r>
    </w:p>
    <w:p w14:paraId="5FA7455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w:t>
      </w:r>
      <w:r>
        <w:rPr>
          <w:rFonts w:hint="default" w:ascii="Times New Roman" w:hAnsi="Times New Roman" w:cs="Times New Roman" w:eastAsiaTheme="minorEastAsia"/>
          <w:color w:val="auto"/>
          <w:sz w:val="21"/>
          <w:szCs w:val="21"/>
          <w:highlight w:val="none"/>
        </w:rPr>
        <w:t>.1供应商不得相互串通磋商报价，不得妨碍其他供应商的公平竞争，不得损害采购人或其他供应商的合法权益，供应商不得以向采购人、磋商小组成员行贿或者采取其他不正当手段谋取成交。</w:t>
      </w:r>
    </w:p>
    <w:p w14:paraId="7D174EA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w:t>
      </w:r>
      <w:r>
        <w:rPr>
          <w:rFonts w:hint="default" w:ascii="Times New Roman" w:hAnsi="Times New Roman" w:cs="Times New Roman" w:eastAsiaTheme="minorEastAsia"/>
          <w:color w:val="auto"/>
          <w:sz w:val="21"/>
          <w:szCs w:val="21"/>
          <w:highlight w:val="none"/>
        </w:rPr>
        <w:t>.2供应商不得与采购人就响应价格、响应方案等实质性内容进行磋商，也不得私下接触磋商小组成员。</w:t>
      </w:r>
    </w:p>
    <w:p w14:paraId="1A598DA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w:t>
      </w:r>
      <w:r>
        <w:rPr>
          <w:rFonts w:hint="default" w:ascii="Times New Roman" w:hAnsi="Times New Roman" w:cs="Times New Roman" w:eastAsiaTheme="minorEastAsia"/>
          <w:color w:val="auto"/>
          <w:sz w:val="21"/>
          <w:szCs w:val="21"/>
          <w:highlight w:val="none"/>
        </w:rPr>
        <w:t>.3在确定成交供应商之前，供应商试图在响应文件审查、澄清、比较和评价时对磋商小组、采购人和采购代理机构施加任何影响都可能导致其响应无效。</w:t>
      </w:r>
    </w:p>
    <w:p w14:paraId="548E398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w:t>
      </w:r>
      <w:r>
        <w:rPr>
          <w:rFonts w:hint="default" w:ascii="Times New Roman" w:hAnsi="Times New Roman" w:cs="Times New Roman" w:eastAsiaTheme="minorEastAsia"/>
          <w:color w:val="auto"/>
          <w:sz w:val="21"/>
          <w:szCs w:val="21"/>
          <w:highlight w:val="none"/>
        </w:rPr>
        <w:t>.4获得本磋商文件者，须履行本磋商项目下保密义务，不得将因本次磋商获得的信息向第三人外传，不得将磋商文件用作本次响应以外的任何用途。</w:t>
      </w:r>
    </w:p>
    <w:p w14:paraId="50E0140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w:t>
      </w:r>
      <w:r>
        <w:rPr>
          <w:rFonts w:hint="default" w:ascii="Times New Roman" w:hAnsi="Times New Roman" w:cs="Times New Roman" w:eastAsiaTheme="minorEastAsia"/>
          <w:color w:val="auto"/>
          <w:sz w:val="21"/>
          <w:szCs w:val="21"/>
          <w:highlight w:val="none"/>
        </w:rPr>
        <w:t>.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3BDF3F5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w:t>
      </w:r>
      <w:r>
        <w:rPr>
          <w:rFonts w:hint="default" w:ascii="Times New Roman" w:hAnsi="Times New Roman" w:cs="Times New Roman" w:eastAsiaTheme="minorEastAsia"/>
          <w:color w:val="auto"/>
          <w:sz w:val="21"/>
          <w:szCs w:val="21"/>
          <w:highlight w:val="none"/>
        </w:rPr>
        <w:t>.6采购人或采购代理机构有权将供应商提供的所有资料向有关政府部门或询价小组披露。</w:t>
      </w:r>
    </w:p>
    <w:p w14:paraId="75830C0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w:t>
      </w:r>
      <w:r>
        <w:rPr>
          <w:rFonts w:hint="default" w:ascii="Times New Roman" w:hAnsi="Times New Roman" w:cs="Times New Roman" w:eastAsiaTheme="minorEastAsia"/>
          <w:color w:val="auto"/>
          <w:sz w:val="21"/>
          <w:szCs w:val="21"/>
          <w:highlight w:val="none"/>
        </w:rPr>
        <w:t>.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0A5DFB4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lang w:val="en-US" w:eastAsia="zh-CN"/>
        </w:rPr>
        <w:t>8</w:t>
      </w:r>
      <w:r>
        <w:rPr>
          <w:rFonts w:hint="default" w:ascii="Times New Roman" w:hAnsi="Times New Roman" w:cs="Times New Roman" w:eastAsiaTheme="minorEastAsia"/>
          <w:b/>
          <w:color w:val="auto"/>
          <w:sz w:val="21"/>
          <w:szCs w:val="21"/>
          <w:highlight w:val="none"/>
        </w:rPr>
        <w:t>.语言文字以及度量衡单位</w:t>
      </w:r>
    </w:p>
    <w:p w14:paraId="514B02E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w:t>
      </w:r>
      <w:r>
        <w:rPr>
          <w:rFonts w:hint="default" w:ascii="Times New Roman" w:hAnsi="Times New Roman" w:cs="Times New Roman" w:eastAsiaTheme="minorEastAsia"/>
          <w:color w:val="auto"/>
          <w:sz w:val="21"/>
          <w:szCs w:val="21"/>
          <w:highlight w:val="none"/>
        </w:rPr>
        <w:t>.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44B86D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w:t>
      </w:r>
      <w:r>
        <w:rPr>
          <w:rFonts w:hint="default" w:ascii="Times New Roman" w:hAnsi="Times New Roman" w:cs="Times New Roman" w:eastAsiaTheme="minorEastAsia"/>
          <w:color w:val="auto"/>
          <w:sz w:val="21"/>
          <w:szCs w:val="21"/>
          <w:highlight w:val="none"/>
        </w:rPr>
        <w:t>.2除非磋商文件的技术规格中另有规定，供应商在响应文件中及其与采购人和采购代理机构的所有往来文件中的计量单位均应采用中华人民共和国法定计量单位。</w:t>
      </w:r>
    </w:p>
    <w:p w14:paraId="5E9B8E1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w:t>
      </w:r>
      <w:r>
        <w:rPr>
          <w:rFonts w:hint="default" w:ascii="Times New Roman" w:hAnsi="Times New Roman" w:cs="Times New Roman" w:eastAsiaTheme="minorEastAsia"/>
          <w:color w:val="auto"/>
          <w:sz w:val="21"/>
          <w:szCs w:val="21"/>
          <w:highlight w:val="none"/>
        </w:rPr>
        <w:t>.3供应商所提供的货物和服务均应以人民币报价，货币单位：元。</w:t>
      </w:r>
    </w:p>
    <w:p w14:paraId="46435D4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lang w:val="en-US" w:eastAsia="zh-CN"/>
        </w:rPr>
        <w:t>9</w:t>
      </w:r>
      <w:r>
        <w:rPr>
          <w:rFonts w:hint="default" w:ascii="Times New Roman" w:hAnsi="Times New Roman" w:cs="Times New Roman" w:eastAsiaTheme="minorEastAsia"/>
          <w:b/>
          <w:color w:val="auto"/>
          <w:sz w:val="21"/>
          <w:szCs w:val="21"/>
          <w:highlight w:val="none"/>
        </w:rPr>
        <w:t>. 现场踏勘（如有）</w:t>
      </w:r>
    </w:p>
    <w:p w14:paraId="6CC6B6C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w:t>
      </w:r>
      <w:r>
        <w:rPr>
          <w:rFonts w:hint="default" w:ascii="Times New Roman" w:hAnsi="Times New Roman" w:cs="Times New Roman" w:eastAsiaTheme="minorEastAsia"/>
          <w:color w:val="auto"/>
          <w:sz w:val="21"/>
          <w:szCs w:val="21"/>
          <w:highlight w:val="none"/>
        </w:rPr>
        <w:t>.1磋商文件规定组织踏勘现场的，采购人按磋商文件规定的时间、地点组织供应商踏勘项目现场。</w:t>
      </w:r>
    </w:p>
    <w:p w14:paraId="47D3D2E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w:t>
      </w:r>
      <w:r>
        <w:rPr>
          <w:rFonts w:hint="default" w:ascii="Times New Roman" w:hAnsi="Times New Roman" w:cs="Times New Roman" w:eastAsiaTheme="minorEastAsia"/>
          <w:color w:val="auto"/>
          <w:sz w:val="21"/>
          <w:szCs w:val="21"/>
          <w:highlight w:val="none"/>
        </w:rPr>
        <w:t>.2供应商自行承担踏勘现场发生的责任、风险和自身费用。</w:t>
      </w:r>
    </w:p>
    <w:p w14:paraId="04D6B23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w:t>
      </w:r>
      <w:r>
        <w:rPr>
          <w:rFonts w:hint="default" w:ascii="Times New Roman" w:hAnsi="Times New Roman" w:cs="Times New Roman" w:eastAsiaTheme="minorEastAsia"/>
          <w:color w:val="auto"/>
          <w:sz w:val="21"/>
          <w:szCs w:val="21"/>
          <w:highlight w:val="none"/>
        </w:rPr>
        <w:t>.3采购人在踏勘现场中介绍的资料和数据等，不构成对磋商文件的修改或不作为供应商编制响应文件的依据。</w:t>
      </w:r>
    </w:p>
    <w:p w14:paraId="5F11CC8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p>
    <w:p w14:paraId="721E428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1"/>
        <w:rPr>
          <w:rFonts w:hint="default" w:ascii="Times New Roman" w:hAnsi="Times New Roman" w:cs="Times New Roman" w:eastAsiaTheme="minorEastAsia"/>
          <w:color w:val="auto"/>
          <w:sz w:val="24"/>
          <w:szCs w:val="24"/>
          <w:highlight w:val="none"/>
        </w:rPr>
      </w:pPr>
      <w:bookmarkStart w:id="20" w:name="_Toc28688"/>
      <w:r>
        <w:rPr>
          <w:rFonts w:hint="default" w:ascii="Times New Roman" w:hAnsi="Times New Roman" w:cs="Times New Roman" w:eastAsiaTheme="minorEastAsia"/>
          <w:b/>
          <w:color w:val="auto"/>
          <w:sz w:val="24"/>
          <w:szCs w:val="24"/>
          <w:highlight w:val="none"/>
        </w:rPr>
        <w:t>四、磋商文件的澄清和修改</w:t>
      </w:r>
      <w:bookmarkEnd w:id="20"/>
    </w:p>
    <w:p w14:paraId="4F98E01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3A134DE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0EC0C0A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3.供应商在规定的时间内未对磋商文件提出疑问、质疑或要求澄清的，将视其为无异议。对磋商文件中描述有歧义或前后不一致的地方，磋商小组有权进行评判，但对同一条款的评判应适用于每个供应商。</w:t>
      </w:r>
    </w:p>
    <w:p w14:paraId="77D7DB2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p>
    <w:p w14:paraId="7BDBF55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1"/>
        <w:rPr>
          <w:rFonts w:hint="default" w:ascii="Times New Roman" w:hAnsi="Times New Roman" w:cs="Times New Roman" w:eastAsiaTheme="minorEastAsia"/>
          <w:color w:val="auto"/>
          <w:sz w:val="24"/>
          <w:szCs w:val="24"/>
          <w:highlight w:val="none"/>
        </w:rPr>
      </w:pPr>
      <w:bookmarkStart w:id="21" w:name="_Toc31787"/>
      <w:r>
        <w:rPr>
          <w:rFonts w:hint="default" w:ascii="Times New Roman" w:hAnsi="Times New Roman" w:cs="Times New Roman" w:eastAsiaTheme="minorEastAsia"/>
          <w:b/>
          <w:color w:val="auto"/>
          <w:sz w:val="24"/>
          <w:szCs w:val="24"/>
          <w:highlight w:val="none"/>
        </w:rPr>
        <w:t>五、响应要求</w:t>
      </w:r>
      <w:bookmarkEnd w:id="21"/>
    </w:p>
    <w:p w14:paraId="2CE6320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1.响应登记</w:t>
      </w:r>
    </w:p>
    <w:p w14:paraId="5C61162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供应商应</w:t>
      </w:r>
      <w:r>
        <w:rPr>
          <w:rFonts w:hint="default" w:ascii="Times New Roman" w:hAnsi="Times New Roman" w:cs="Times New Roman" w:eastAsiaTheme="minorEastAsia"/>
          <w:color w:val="auto"/>
          <w:sz w:val="21"/>
          <w:szCs w:val="21"/>
          <w:highlight w:val="none"/>
          <w:lang w:eastAsia="zh-CN"/>
        </w:rPr>
        <w:t>按“获取磋商文件”流程</w:t>
      </w:r>
      <w:r>
        <w:rPr>
          <w:rFonts w:hint="default" w:ascii="Times New Roman" w:hAnsi="Times New Roman" w:cs="Times New Roman" w:eastAsiaTheme="minorEastAsia"/>
          <w:color w:val="auto"/>
          <w:sz w:val="21"/>
          <w:szCs w:val="21"/>
          <w:highlight w:val="none"/>
        </w:rPr>
        <w:t>获取磋商文件（未按上述方式获取磋商文件的供应商，其响应资格将被视为无效）。</w:t>
      </w:r>
    </w:p>
    <w:p w14:paraId="5979C4A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2.响应文件的制作</w:t>
      </w:r>
    </w:p>
    <w:p w14:paraId="3963BFB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2.1响应文件由资格性文件、评审内容索引、商务部分、技术部分、价格部分、其他文件共六部分组成，具体按采购文件中第五部分“响应文件格式”的要求以A4版面统一编制。</w:t>
      </w:r>
    </w:p>
    <w:p w14:paraId="74FFA46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2.2响应文件的制作、不同文字文本的释义均以简体中文文本为准，重要的外文资料须附有中文译注。</w:t>
      </w:r>
    </w:p>
    <w:p w14:paraId="7FE3C46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2.3响应文件所使用的公章必须为机构公章，且与参与磋商与报价的供应商名称一致，不能以其它业务章或附属机构章代替。需签名之处必须由当事人亲笔签署。</w:t>
      </w:r>
    </w:p>
    <w:p w14:paraId="01040B3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2.4《响应承诺函》、《法定代表人/法定负责人证明书》、《法定代表人/法定负责人授权书》、《具有履行合同所必需的设备和专业技术能力的承诺》、《参与采购活动前三年内在经营活动中没有重大违法记录的书面声明函》的格式内容不允许擅自删改。</w:t>
      </w:r>
    </w:p>
    <w:p w14:paraId="265234A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2.5响应文件自制部分必须打印，每份内页须按序加注页码，整册装订牢固可靠且不能轻易脱落。如因装订问题而出现漏页或缺页，由此产生的一切后果由供应商自行承担。</w:t>
      </w:r>
    </w:p>
    <w:p w14:paraId="3DCAD6E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r>
        <w:rPr>
          <w:rFonts w:hint="default" w:ascii="Times New Roman" w:hAnsi="Times New Roman" w:cs="Times New Roman" w:eastAsiaTheme="minorEastAsia"/>
          <w:color w:val="auto"/>
          <w:sz w:val="21"/>
          <w:szCs w:val="21"/>
          <w:highlight w:val="none"/>
          <w:lang w:val="en-US" w:eastAsia="zh-CN"/>
        </w:rPr>
        <w:t>6</w:t>
      </w:r>
      <w:r>
        <w:rPr>
          <w:rFonts w:hint="default" w:ascii="Times New Roman" w:hAnsi="Times New Roman" w:cs="Times New Roman" w:eastAsiaTheme="minorEastAsia"/>
          <w:color w:val="auto"/>
          <w:sz w:val="21"/>
          <w:szCs w:val="21"/>
          <w:highlight w:val="none"/>
        </w:rPr>
        <w:t>任何行间插字、涂改和增删，必须由供应商授权代表在旁边签字或加盖供应商公章后方为有效。</w:t>
      </w:r>
    </w:p>
    <w:p w14:paraId="18C44EB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2.7响应文件应包含正本、副本。唱标报价信封须和正本、副本分开单独密封并同时递交。包装文件的封口处须加盖供应商公章或授权代表签名，每一份响应文件上应明确注明“正本”或“副本”字样。</w:t>
      </w:r>
    </w:p>
    <w:p w14:paraId="4B1D6CC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2.8所有密封文件封套正面统一按“响应文件包装袋封面”格式填写标贴。</w:t>
      </w:r>
    </w:p>
    <w:p w14:paraId="642310E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2.9采购机构有权拒绝接受报价的情形：以电报、电话传真形式响应；密封、数量、规格、册装不合要求或逾期提交的响应文件；不按要求提供重要物证资料；不按时交纳足额磋商保证金。</w:t>
      </w:r>
    </w:p>
    <w:p w14:paraId="2C20E70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3.响应报价</w:t>
      </w:r>
    </w:p>
    <w:p w14:paraId="7890920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3.1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14:paraId="39795DE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3.2对超出常规、具有特别意义的报价，或报价明显低于成本价或高于同业同期市场平均价时须作出重点说明，详述其理由和依据。</w:t>
      </w:r>
    </w:p>
    <w:p w14:paraId="4B141F6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3.3在提交首次响应文件时间截止后至响应有效期截止前的任何报价为固定不变价，此报价将作为评审的重要依据之一，但并不是确定成交人的唯一依据。</w:t>
      </w:r>
    </w:p>
    <w:p w14:paraId="43EB671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3.4响应报价提出有折扣优惠者，以折扣后的最终优惠价为准。</w:t>
      </w:r>
    </w:p>
    <w:p w14:paraId="30583E2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t>4.响应文件差异修正准则</w:t>
      </w:r>
    </w:p>
    <w:p w14:paraId="70F48E5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outlineLvl w:val="9"/>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val="0"/>
          <w:bCs/>
          <w:color w:val="auto"/>
          <w:sz w:val="21"/>
          <w:szCs w:val="21"/>
          <w:highlight w:val="none"/>
        </w:rPr>
        <w:t>响应文件出现差异时，修正原则如下：</w:t>
      </w:r>
    </w:p>
    <w:p w14:paraId="2A2E7A2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4.1公开唱读内容与响应文件对应内容不一致，均以公开唱读内容为准。正本和副本之间内容有差异，以正本为准；</w:t>
      </w:r>
    </w:p>
    <w:p w14:paraId="388247E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4.2响应文件描述内容与原始材料引述内容不一致时，以原始材料内容为准；</w:t>
      </w:r>
    </w:p>
    <w:p w14:paraId="14D271C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4.3对出现以上情况或因明显笔误而需修正任何内容时，均以磋商小组审定通过方为有效；</w:t>
      </w:r>
    </w:p>
    <w:p w14:paraId="10BA6EB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4.4磋商小组认定为表述不清晰或无法确定的报价均不予修正。</w:t>
      </w:r>
    </w:p>
    <w:p w14:paraId="7061505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5.磋商保证金（本项目不适用）</w:t>
      </w:r>
    </w:p>
    <w:p w14:paraId="08B81FE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lang w:val="en-US" w:eastAsia="zh-CN"/>
        </w:rPr>
        <w:t>6</w:t>
      </w:r>
      <w:r>
        <w:rPr>
          <w:rFonts w:hint="default" w:ascii="Times New Roman" w:hAnsi="Times New Roman" w:cs="Times New Roman" w:eastAsiaTheme="minorEastAsia"/>
          <w:b/>
          <w:color w:val="auto"/>
          <w:sz w:val="21"/>
          <w:szCs w:val="21"/>
          <w:highlight w:val="none"/>
        </w:rPr>
        <w:t>.响应有效期</w:t>
      </w:r>
    </w:p>
    <w:p w14:paraId="5367C3B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w:t>
      </w:r>
      <w:r>
        <w:rPr>
          <w:rFonts w:hint="default" w:ascii="Times New Roman" w:hAnsi="Times New Roman" w:cs="Times New Roman" w:eastAsiaTheme="minorEastAsia"/>
          <w:color w:val="auto"/>
          <w:sz w:val="21"/>
          <w:szCs w:val="21"/>
          <w:highlight w:val="none"/>
        </w:rPr>
        <w:t>.1响应有效期内供应商撤销响应文件的，采购人或者采购代理机构可以不退还响应保证金（如有）。采用响应保函方式替代保证金的，采购人或者采购代理机构可以向担保机构索赔保证金。</w:t>
      </w:r>
    </w:p>
    <w:p w14:paraId="3D3A72F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w:t>
      </w:r>
      <w:r>
        <w:rPr>
          <w:rFonts w:hint="default" w:ascii="Times New Roman" w:hAnsi="Times New Roman" w:cs="Times New Roman" w:eastAsiaTheme="minorEastAsia"/>
          <w:color w:val="auto"/>
          <w:sz w:val="21"/>
          <w:szCs w:val="21"/>
          <w:highlight w:val="none"/>
        </w:rPr>
        <w:t>.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3657B96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8.样品（演示）</w:t>
      </w:r>
    </w:p>
    <w:p w14:paraId="5491F49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8.1磋商文件规定供应商提交样品的，样品属于响应文件的组成部分。样品的生产、运输、安装、保全等一切费用由供应商自理。</w:t>
      </w:r>
    </w:p>
    <w:p w14:paraId="092CDA0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8.2递交响应文件截止时间前，供应商应将样品送达至指定地点。若需要现场演示的，供应商应提前做好演示准备（包括演示设备）。</w:t>
      </w:r>
    </w:p>
    <w:p w14:paraId="08AEA53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0944671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9.除磋商文件另有规定外，有下列情形之一的，响应无效：</w:t>
      </w:r>
    </w:p>
    <w:p w14:paraId="109C3A1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9.1响应文件未按照磋商文件要求签署、盖章；</w:t>
      </w:r>
    </w:p>
    <w:p w14:paraId="1319F65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9.2不符合磋商文件中规定的资格要求；</w:t>
      </w:r>
    </w:p>
    <w:p w14:paraId="4295928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9.3磋商报价超过磋商文件中规定的预算金额或最高限价；</w:t>
      </w:r>
    </w:p>
    <w:p w14:paraId="3C8AE04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9.4响应文件含有采购人不能接受的附加条件；</w:t>
      </w:r>
    </w:p>
    <w:p w14:paraId="2A166E8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9.5有关法律、法规和规章及磋商文件规定的其他无效情形。</w:t>
      </w:r>
    </w:p>
    <w:p w14:paraId="09DFDFD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1"/>
        <w:rPr>
          <w:rFonts w:hint="default" w:ascii="Times New Roman" w:hAnsi="Times New Roman" w:cs="Times New Roman" w:eastAsiaTheme="minorEastAsia"/>
          <w:color w:val="auto"/>
          <w:sz w:val="24"/>
          <w:szCs w:val="24"/>
          <w:highlight w:val="none"/>
        </w:rPr>
      </w:pPr>
      <w:bookmarkStart w:id="22" w:name="_Toc16931"/>
      <w:r>
        <w:rPr>
          <w:rFonts w:hint="default" w:ascii="Times New Roman" w:hAnsi="Times New Roman" w:cs="Times New Roman" w:eastAsiaTheme="minorEastAsia"/>
          <w:b/>
          <w:color w:val="auto"/>
          <w:sz w:val="24"/>
          <w:szCs w:val="24"/>
          <w:highlight w:val="none"/>
        </w:rPr>
        <w:t>六、磋商、评审和结果确定</w:t>
      </w:r>
      <w:bookmarkEnd w:id="22"/>
    </w:p>
    <w:p w14:paraId="5F98CE4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1.响应文件的开启</w:t>
      </w:r>
    </w:p>
    <w:p w14:paraId="64B471B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1.1异议</w:t>
      </w:r>
    </w:p>
    <w:p w14:paraId="6CEE7E2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供应商代表对开启过程和开启记录有疑义，以及认为采购人、采购代理机构相关工作人员有需要回避的情形的，应当场提出询问或者回避申请。供应商未参加开启的，视同认可开启结果。</w:t>
      </w:r>
    </w:p>
    <w:p w14:paraId="558E539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2.评审（详见第四章）</w:t>
      </w:r>
    </w:p>
    <w:p w14:paraId="634DA85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3.成交</w:t>
      </w:r>
    </w:p>
    <w:p w14:paraId="7442900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成交结果公告：</w:t>
      </w:r>
    </w:p>
    <w:p w14:paraId="79C7C7D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成交供应商确定之日起2个工作日内，采购人或采购代理机构将在</w:t>
      </w:r>
      <w:r>
        <w:rPr>
          <w:rFonts w:hint="default" w:ascii="Times New Roman" w:hAnsi="Times New Roman" w:cs="Times New Roman" w:eastAsiaTheme="minorEastAsia"/>
          <w:color w:val="auto"/>
          <w:sz w:val="21"/>
          <w:szCs w:val="21"/>
          <w:highlight w:val="none"/>
          <w:lang w:eastAsia="zh-CN"/>
        </w:rPr>
        <w:t>相关网站</w:t>
      </w:r>
      <w:r>
        <w:rPr>
          <w:rFonts w:hint="default" w:ascii="Times New Roman" w:hAnsi="Times New Roman" w:cs="Times New Roman" w:eastAsiaTheme="minorEastAsia"/>
          <w:color w:val="auto"/>
          <w:sz w:val="21"/>
          <w:szCs w:val="21"/>
          <w:highlight w:val="none"/>
        </w:rPr>
        <w:t>以公告的形式发布成交结果，结果公告的公告期限为 1 个工作日。结果公告同时作为采购代理机构通知除成交供应商外的其他供应商没有成交的书面形式，采购代理机构不再以其它方式另行通知。</w:t>
      </w:r>
    </w:p>
    <w:p w14:paraId="0B4881B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1"/>
        <w:rPr>
          <w:rFonts w:hint="default" w:ascii="Times New Roman" w:hAnsi="Times New Roman" w:cs="Times New Roman" w:eastAsiaTheme="minorEastAsia"/>
          <w:color w:val="auto"/>
          <w:sz w:val="21"/>
          <w:szCs w:val="21"/>
          <w:highlight w:val="none"/>
        </w:rPr>
      </w:pPr>
      <w:bookmarkStart w:id="23" w:name="_Toc26837"/>
      <w:r>
        <w:rPr>
          <w:rFonts w:hint="default" w:ascii="Times New Roman" w:hAnsi="Times New Roman" w:cs="Times New Roman" w:eastAsiaTheme="minorEastAsia"/>
          <w:b/>
          <w:color w:val="auto"/>
          <w:sz w:val="21"/>
          <w:szCs w:val="21"/>
          <w:highlight w:val="none"/>
        </w:rPr>
        <w:t>七、询问、质疑与投诉</w:t>
      </w:r>
      <w:bookmarkEnd w:id="23"/>
    </w:p>
    <w:p w14:paraId="1405B2B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1.询问</w:t>
      </w:r>
    </w:p>
    <w:p w14:paraId="0445D2F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2C036A6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2.质疑</w:t>
      </w:r>
    </w:p>
    <w:p w14:paraId="5F154A6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4AF1FCD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（1）对磋商文件提出质疑的，为获取磋商文件之日或者磋商文件公告期限届满之日；</w:t>
      </w:r>
    </w:p>
    <w:p w14:paraId="3676737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（2）对采购过程提出质疑的，为各采购程序环节结束之日；</w:t>
      </w:r>
    </w:p>
    <w:p w14:paraId="685499B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（3）对成交结果提出质疑的，为成交结果公告期限届满之日。</w:t>
      </w:r>
    </w:p>
    <w:p w14:paraId="4493B27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2.2质疑函应当包括下列主要内容：</w:t>
      </w:r>
    </w:p>
    <w:p w14:paraId="032C155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（1）质疑供应商和相关供应商的名称、地址、邮编、联系人及联系电话等；</w:t>
      </w:r>
    </w:p>
    <w:p w14:paraId="66719F3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（2）质疑项目名称及编号、具体明确的质疑事项和与质疑事项相关的请求；</w:t>
      </w:r>
    </w:p>
    <w:p w14:paraId="23C64B9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（3）认为磋商文件、采购过程和成交结果使自己的合法权益受到损害的法律依据、事实依据、相关证明材料及证据来源；</w:t>
      </w:r>
    </w:p>
    <w:p w14:paraId="022A2E7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（4）提出质疑的日期。</w:t>
      </w:r>
    </w:p>
    <w:p w14:paraId="4C7B68E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2.3质疑函应当署名。质疑供应商为自然人的，应当由本人签字；质疑供应商为法人或者其他组织的，应当由法定代表人、主要负责人，或者其授权代表签字或者盖章，并加盖公章。</w:t>
      </w:r>
    </w:p>
    <w:p w14:paraId="262CACD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2.4以联合体形式参加政府采购活动的，其质疑应当由联合体成员委托主体提出。</w:t>
      </w:r>
    </w:p>
    <w:p w14:paraId="2D29585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2F07404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2.6质疑联系方式如下：</w:t>
      </w:r>
    </w:p>
    <w:p w14:paraId="08F1053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质疑联系人：</w:t>
      </w:r>
      <w:r>
        <w:rPr>
          <w:rFonts w:hint="eastAsia" w:ascii="Times New Roman" w:hAnsi="Times New Roman" w:cs="Times New Roman"/>
          <w:color w:val="auto"/>
          <w:sz w:val="21"/>
          <w:szCs w:val="21"/>
          <w:highlight w:val="none"/>
          <w:lang w:eastAsia="zh-CN"/>
        </w:rPr>
        <w:t>李</w:t>
      </w:r>
      <w:r>
        <w:rPr>
          <w:rFonts w:hint="default" w:ascii="Times New Roman" w:hAnsi="Times New Roman" w:cs="Times New Roman" w:eastAsiaTheme="minorEastAsia"/>
          <w:color w:val="auto"/>
          <w:sz w:val="21"/>
          <w:szCs w:val="21"/>
          <w:highlight w:val="none"/>
        </w:rPr>
        <w:t>先生</w:t>
      </w:r>
    </w:p>
    <w:p w14:paraId="266D08C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电话：0757-83332518</w:t>
      </w:r>
    </w:p>
    <w:p w14:paraId="11CA565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传真：0757-83332578</w:t>
      </w:r>
    </w:p>
    <w:p w14:paraId="10A913D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邮箱：zgydfs@126.com</w:t>
      </w:r>
    </w:p>
    <w:p w14:paraId="6EEED60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地址：佛山市禅城区季华五路10号金融广场17楼A区之一</w:t>
      </w:r>
    </w:p>
    <w:p w14:paraId="0BC9DBD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邮编：528000</w:t>
      </w:r>
    </w:p>
    <w:p w14:paraId="1C6D2F7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p>
    <w:p w14:paraId="50114CC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1"/>
        <w:rPr>
          <w:rFonts w:hint="default" w:ascii="Times New Roman" w:hAnsi="Times New Roman" w:cs="Times New Roman" w:eastAsiaTheme="minorEastAsia"/>
          <w:color w:val="auto"/>
          <w:sz w:val="24"/>
          <w:szCs w:val="24"/>
          <w:highlight w:val="none"/>
        </w:rPr>
      </w:pPr>
      <w:bookmarkStart w:id="24" w:name="_Toc9375"/>
      <w:r>
        <w:rPr>
          <w:rFonts w:hint="default" w:ascii="Times New Roman" w:hAnsi="Times New Roman" w:cs="Times New Roman" w:eastAsiaTheme="minorEastAsia"/>
          <w:b/>
          <w:color w:val="auto"/>
          <w:sz w:val="24"/>
          <w:szCs w:val="24"/>
          <w:highlight w:val="none"/>
        </w:rPr>
        <w:t>八、合同签订和履行</w:t>
      </w:r>
      <w:bookmarkEnd w:id="24"/>
    </w:p>
    <w:p w14:paraId="71BA47E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1.合同签订</w:t>
      </w:r>
    </w:p>
    <w:p w14:paraId="3697807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1.1采购人应当自《成交通知书》发出之日起三十日内，按照磋商文件和成交供应商响应文件的约定，与成交供应商签订合同。所签订的合同不得对磋商文件和成交供应商响应文件作实质性修改。</w:t>
      </w:r>
    </w:p>
    <w:p w14:paraId="6E06C64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1.2采购人不得提出试用合格等任何不合理的要求作为签订合同的条件，且不得与成交供应商私下订立背离合同实质性内容的协议。</w:t>
      </w:r>
    </w:p>
    <w:p w14:paraId="5BEDC13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1.3合同条款中应规定，乙方完全遵守《中华人民共和国劳动合同法》有关规定和《中华人民共和国妇女权益保障法》中关于“劳动和社会保障权益”的有关要求。</w:t>
      </w:r>
    </w:p>
    <w:p w14:paraId="4A2A761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2.合同的履行</w:t>
      </w:r>
    </w:p>
    <w:p w14:paraId="1CBAEDF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2.1采购合同订立后，合同各方不得擅自变更、中止或者终止合同。采购合同需要变更的，采购人应签订</w:t>
      </w:r>
      <w:r>
        <w:rPr>
          <w:rFonts w:hint="default" w:ascii="Times New Roman" w:hAnsi="Times New Roman" w:cs="Times New Roman" w:eastAsiaTheme="minorEastAsia"/>
          <w:color w:val="auto"/>
          <w:sz w:val="21"/>
          <w:szCs w:val="21"/>
          <w:highlight w:val="none"/>
          <w:lang w:eastAsia="zh-CN"/>
        </w:rPr>
        <w:t>补充合同</w:t>
      </w:r>
      <w:r>
        <w:rPr>
          <w:rFonts w:hint="default" w:ascii="Times New Roman" w:hAnsi="Times New Roman" w:cs="Times New Roman" w:eastAsiaTheme="minorEastAsia"/>
          <w:color w:val="auto"/>
          <w:sz w:val="21"/>
          <w:szCs w:val="21"/>
          <w:highlight w:val="none"/>
        </w:rPr>
        <w:t>。</w:t>
      </w:r>
    </w:p>
    <w:p w14:paraId="7D5CB37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2.2采购合同履行中，采购人需追加与合同标的相同的货物、工程或者服务的，在不改变合同其他条款的前提下，可以与成交供应商签订补充合同，但所补充合同的采购金额不得超过原采购金额的10%。</w:t>
      </w:r>
    </w:p>
    <w:p w14:paraId="5AFC1861">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br w:type="page"/>
      </w:r>
    </w:p>
    <w:p w14:paraId="6B09B13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outlineLvl w:val="0"/>
        <w:rPr>
          <w:rFonts w:hint="default" w:ascii="Times New Roman" w:hAnsi="Times New Roman" w:cs="Times New Roman" w:eastAsiaTheme="minorEastAsia"/>
          <w:color w:val="auto"/>
          <w:sz w:val="28"/>
          <w:szCs w:val="28"/>
          <w:highlight w:val="none"/>
        </w:rPr>
      </w:pPr>
      <w:bookmarkStart w:id="25" w:name="_Toc21650"/>
      <w:r>
        <w:rPr>
          <w:rFonts w:hint="default" w:ascii="Times New Roman" w:hAnsi="Times New Roman" w:cs="Times New Roman" w:eastAsiaTheme="minorEastAsia"/>
          <w:b/>
          <w:color w:val="auto"/>
          <w:sz w:val="28"/>
          <w:szCs w:val="28"/>
          <w:highlight w:val="none"/>
        </w:rPr>
        <w:t>第四</w:t>
      </w:r>
      <w:r>
        <w:rPr>
          <w:rFonts w:hint="default" w:ascii="Times New Roman" w:hAnsi="Times New Roman" w:cs="Times New Roman" w:eastAsiaTheme="minorEastAsia"/>
          <w:b/>
          <w:color w:val="auto"/>
          <w:sz w:val="28"/>
          <w:szCs w:val="28"/>
          <w:highlight w:val="none"/>
          <w:lang w:eastAsia="zh-CN"/>
        </w:rPr>
        <w:t>部分</w:t>
      </w:r>
      <w:r>
        <w:rPr>
          <w:rFonts w:hint="default" w:ascii="Times New Roman" w:hAnsi="Times New Roman" w:cs="Times New Roman" w:eastAsiaTheme="minorEastAsia"/>
          <w:b/>
          <w:color w:val="auto"/>
          <w:sz w:val="28"/>
          <w:szCs w:val="28"/>
          <w:highlight w:val="none"/>
        </w:rPr>
        <w:t xml:space="preserve"> 评审</w:t>
      </w:r>
      <w:bookmarkEnd w:id="25"/>
    </w:p>
    <w:p w14:paraId="53FCF92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1"/>
        <w:rPr>
          <w:rFonts w:hint="default" w:ascii="Times New Roman" w:hAnsi="Times New Roman" w:cs="Times New Roman" w:eastAsiaTheme="minorEastAsia"/>
          <w:color w:val="auto"/>
          <w:sz w:val="24"/>
          <w:szCs w:val="24"/>
          <w:highlight w:val="none"/>
        </w:rPr>
      </w:pPr>
      <w:bookmarkStart w:id="26" w:name="_Toc504"/>
      <w:r>
        <w:rPr>
          <w:rFonts w:hint="default" w:ascii="Times New Roman" w:hAnsi="Times New Roman" w:cs="Times New Roman" w:eastAsiaTheme="minorEastAsia"/>
          <w:b/>
          <w:color w:val="auto"/>
          <w:sz w:val="24"/>
          <w:szCs w:val="24"/>
          <w:highlight w:val="none"/>
        </w:rPr>
        <w:t>一、评审要求</w:t>
      </w:r>
      <w:bookmarkEnd w:id="26"/>
    </w:p>
    <w:p w14:paraId="64BF099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1.评审方法</w:t>
      </w:r>
    </w:p>
    <w:p w14:paraId="1B5C770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cs="Times New Roman" w:eastAsiaTheme="minorEastAsia"/>
          <w:color w:val="auto"/>
          <w:sz w:val="21"/>
          <w:szCs w:val="21"/>
          <w:highlight w:val="none"/>
        </w:rPr>
        <w:t>综合评分法,是指响应文件满足磋商文件全部实质性要求，且按照评审因素的量化指标评审得分最高的投标人为成交候选人的评标方法。（最低报价不是成交的唯一依据。）</w:t>
      </w:r>
    </w:p>
    <w:p w14:paraId="6A1B742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2.评审原则</w:t>
      </w:r>
    </w:p>
    <w:p w14:paraId="6BD3C62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2.1评审活动遵循公平、公正、科学和择优的原则，以磋商文件和响应文件为评审的基本依据，并按照磋商文件规定的评审方法和评审标准进行评审。</w:t>
      </w:r>
    </w:p>
    <w:p w14:paraId="5AE942C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6087ECB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3.磋商小组</w:t>
      </w:r>
    </w:p>
    <w:p w14:paraId="79C5B8E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3.1磋商小组由采购人代表和评审专家组成，成员人数应当为3人及以上单数，其中技术、经济等方面的评审专家不得少于成员总数的三分之二。</w:t>
      </w:r>
    </w:p>
    <w:p w14:paraId="4B4C259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3.2评审应遵守下列评审纪律：</w:t>
      </w:r>
    </w:p>
    <w:p w14:paraId="3BD254D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（1）评审情况不得私自外泄，有关信息由</w:t>
      </w:r>
      <w:r>
        <w:rPr>
          <w:rFonts w:hint="default" w:ascii="Times New Roman" w:hAnsi="Times New Roman" w:cs="Times New Roman" w:eastAsiaTheme="minorEastAsia"/>
          <w:color w:val="auto"/>
          <w:sz w:val="21"/>
          <w:szCs w:val="21"/>
          <w:highlight w:val="none"/>
          <w:lang w:eastAsia="zh-CN"/>
        </w:rPr>
        <w:t>广东远东招标代理有限公司</w:t>
      </w:r>
      <w:r>
        <w:rPr>
          <w:rFonts w:hint="default" w:ascii="Times New Roman" w:hAnsi="Times New Roman" w:cs="Times New Roman" w:eastAsiaTheme="minorEastAsia"/>
          <w:color w:val="auto"/>
          <w:sz w:val="21"/>
          <w:szCs w:val="21"/>
          <w:highlight w:val="none"/>
        </w:rPr>
        <w:t>统一对外发布。</w:t>
      </w:r>
    </w:p>
    <w:p w14:paraId="6C28FEA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（2）对</w:t>
      </w:r>
      <w:r>
        <w:rPr>
          <w:rFonts w:hint="default" w:ascii="Times New Roman" w:hAnsi="Times New Roman" w:cs="Times New Roman" w:eastAsiaTheme="minorEastAsia"/>
          <w:color w:val="auto"/>
          <w:sz w:val="21"/>
          <w:szCs w:val="21"/>
          <w:highlight w:val="none"/>
          <w:lang w:eastAsia="zh-CN"/>
        </w:rPr>
        <w:t>广东远东招标代理有限公司</w:t>
      </w:r>
      <w:r>
        <w:rPr>
          <w:rFonts w:hint="default" w:ascii="Times New Roman" w:hAnsi="Times New Roman" w:cs="Times New Roman" w:eastAsiaTheme="minorEastAsia"/>
          <w:color w:val="auto"/>
          <w:sz w:val="21"/>
          <w:szCs w:val="21"/>
          <w:highlight w:val="none"/>
        </w:rPr>
        <w:t>或供应商提供的要求保密的资料，不得摘记翻印和外传。</w:t>
      </w:r>
    </w:p>
    <w:p w14:paraId="69D5B41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（3）不得收受响应供应商或有关人员的任何礼物，不得串联鼓动其他人袒护某供应商。若与供应商存在利害关系，则应主动声明并回避。</w:t>
      </w:r>
    </w:p>
    <w:p w14:paraId="080B6A2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（4）全体评委应按照磋商文件规定进行评审，一切认定事项应查有实据且不得弄虚作假。</w:t>
      </w:r>
    </w:p>
    <w:p w14:paraId="1F96D70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（5）磋商小组各成员应当独立对每个响应供应商的响应文件进行评价，并对评价意见承担个人责任。评审过程中，不得发表倾向性言论。</w:t>
      </w:r>
    </w:p>
    <w:p w14:paraId="710A028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※对违反评审纪律的评委，将取消其评委资格，对评审工作造成严重损失者将予以通报批评乃至追究法律责任。</w:t>
      </w:r>
    </w:p>
    <w:p w14:paraId="36B3044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4.有下列情形之一的，视为供应商串通响应，其响应无效</w:t>
      </w:r>
    </w:p>
    <w:p w14:paraId="77316F0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4.1不同供应商的响应文件由同一单位或者个人编制；</w:t>
      </w:r>
    </w:p>
    <w:p w14:paraId="7079E2E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4.2不同供应商委托同一单位或者个人办理响应事宜；</w:t>
      </w:r>
    </w:p>
    <w:p w14:paraId="70475BB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4.3不同供应商的响应文件载明的项目管理成员或者联系人员为同一人；</w:t>
      </w:r>
    </w:p>
    <w:p w14:paraId="5F17B3C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4.4不同供应商的响应文件异常一致或者响应报价呈规律性差异；</w:t>
      </w:r>
    </w:p>
    <w:p w14:paraId="4DD7D8F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4.5不同供应商的响应文件相互混装；</w:t>
      </w:r>
    </w:p>
    <w:p w14:paraId="155F59B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4.6不同供应商的响应保证金或购买电子保函支付款为从同一单位或个人的账户转出。</w:t>
      </w:r>
    </w:p>
    <w:p w14:paraId="4E0A655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 说明：在评审过程中发现供应商有上述情形的，磋商小组应当认定其响应无效。同时，项目评审时被认定为串通响应的供应商不得参加该合同项下的采购活动。</w:t>
      </w:r>
    </w:p>
    <w:p w14:paraId="7F54A36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5.有下列情形之一的，属于恶意串通响应：</w:t>
      </w:r>
    </w:p>
    <w:p w14:paraId="6339F20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（1）供应商直接或者间接从采购人或者采购代理机构处获得其他供应商的相关情况并修改其响应文件；</w:t>
      </w:r>
    </w:p>
    <w:p w14:paraId="062BB73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（2）供应商按照采购人或者采购代理机构的授意撤换、修改响应文件；</w:t>
      </w:r>
    </w:p>
    <w:p w14:paraId="0F23EFE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（3）供应商之间协商报价、技术方案等响应文件的实质性内容；</w:t>
      </w:r>
    </w:p>
    <w:p w14:paraId="5FF5367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（4）属于同一集团、协会、商会等组织成员的供应商按照该组织要求协同参加政府采购活动；</w:t>
      </w:r>
    </w:p>
    <w:p w14:paraId="4EEEA16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（5）供应商之间事先约定由某一特定供应商成交；</w:t>
      </w:r>
    </w:p>
    <w:p w14:paraId="02A8EDA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（6）供应商之间商定部分供应商放弃参加政府采购活动或者放弃成交；</w:t>
      </w:r>
    </w:p>
    <w:p w14:paraId="0151A50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（7）供应商与采购人或者采购代理机构之间、供应商相互之间，为谋求特定供应商成交或者排斥其他供应商的其他串通行为。</w:t>
      </w:r>
    </w:p>
    <w:p w14:paraId="2BEFA2B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6.其他响应无效的情形</w:t>
      </w:r>
    </w:p>
    <w:p w14:paraId="7A47BCA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详见资格性审查、符合性审查和磋商文件其他响应无效条款。</w:t>
      </w:r>
    </w:p>
    <w:p w14:paraId="4197DFF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7.终止竞争性磋商采购活动的情形</w:t>
      </w:r>
    </w:p>
    <w:p w14:paraId="5706D15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出现下列情形之一的，采购人或者采购代理机构应当终止竞争性磋商采购活动，发布项目终止公告并说明原因，重新开展采购活动：</w:t>
      </w:r>
    </w:p>
    <w:p w14:paraId="101535F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（1）因情况变化，不再符合规定的竞争性磋商</w:t>
      </w:r>
      <w:r>
        <w:rPr>
          <w:rFonts w:hint="eastAsia" w:ascii="Times New Roman" w:hAnsi="Times New Roman" w:cs="Times New Roman"/>
          <w:color w:val="auto"/>
          <w:sz w:val="21"/>
          <w:szCs w:val="21"/>
          <w:highlight w:val="none"/>
          <w:lang w:eastAsia="zh-CN"/>
        </w:rPr>
        <w:t>采购人</w:t>
      </w:r>
      <w:r>
        <w:rPr>
          <w:rFonts w:hint="default" w:ascii="Times New Roman" w:hAnsi="Times New Roman" w:cs="Times New Roman" w:eastAsiaTheme="minorEastAsia"/>
          <w:color w:val="auto"/>
          <w:sz w:val="21"/>
          <w:szCs w:val="21"/>
          <w:highlight w:val="none"/>
        </w:rPr>
        <w:t>式适用情形的；</w:t>
      </w:r>
    </w:p>
    <w:p w14:paraId="43B3183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（2）出现影响采购公正的违法、违规行为的；</w:t>
      </w:r>
    </w:p>
    <w:p w14:paraId="1CDAB6E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（3）除《政府采购竞争性磋商</w:t>
      </w:r>
      <w:r>
        <w:rPr>
          <w:rFonts w:hint="eastAsia" w:ascii="Times New Roman" w:hAnsi="Times New Roman" w:cs="Times New Roman"/>
          <w:color w:val="auto"/>
          <w:sz w:val="21"/>
          <w:szCs w:val="21"/>
          <w:highlight w:val="none"/>
          <w:lang w:eastAsia="zh-CN"/>
        </w:rPr>
        <w:t>采购人</w:t>
      </w:r>
      <w:r>
        <w:rPr>
          <w:rFonts w:hint="default" w:ascii="Times New Roman" w:hAnsi="Times New Roman" w:cs="Times New Roman" w:eastAsiaTheme="minorEastAsia"/>
          <w:color w:val="auto"/>
          <w:sz w:val="21"/>
          <w:szCs w:val="21"/>
          <w:highlight w:val="none"/>
        </w:rPr>
        <w:t>式暂行办法》第二十一条第三款，《财政部关于政府采购竞争性磋商</w:t>
      </w:r>
      <w:r>
        <w:rPr>
          <w:rFonts w:hint="eastAsia" w:ascii="Times New Roman" w:hAnsi="Times New Roman" w:cs="Times New Roman"/>
          <w:color w:val="auto"/>
          <w:sz w:val="21"/>
          <w:szCs w:val="21"/>
          <w:highlight w:val="none"/>
          <w:lang w:eastAsia="zh-CN"/>
        </w:rPr>
        <w:t>采购人</w:t>
      </w:r>
      <w:r>
        <w:rPr>
          <w:rFonts w:hint="default" w:ascii="Times New Roman" w:hAnsi="Times New Roman" w:cs="Times New Roman" w:eastAsiaTheme="minorEastAsia"/>
          <w:color w:val="auto"/>
          <w:sz w:val="21"/>
          <w:szCs w:val="21"/>
          <w:highlight w:val="none"/>
        </w:rPr>
        <w:t>式管理暂行办法有关问题的补充通知》（财库〔2015〕124号）规定的情形外，在采购过程中符合要求的供应商或者报价未超过采购预算的供应商不足3家的；</w:t>
      </w:r>
    </w:p>
    <w:p w14:paraId="250D969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（4）法律、法规以及磋商文件规定其他情形。</w:t>
      </w:r>
    </w:p>
    <w:p w14:paraId="62BF32D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8.确定成交供应商</w:t>
      </w:r>
    </w:p>
    <w:p w14:paraId="7757B00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磋商小组按照磋商文件确定的评审方法、步骤、标准，对响应文件进行评审。评审结束后，对供应商的评审名次进行排序，确定成交供应商或者推荐成交候选供应商。</w:t>
      </w:r>
    </w:p>
    <w:p w14:paraId="072A74D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9.价格修正</w:t>
      </w:r>
    </w:p>
    <w:p w14:paraId="0D2D0AB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对报价的计算错误按以下原则修正：</w:t>
      </w:r>
    </w:p>
    <w:p w14:paraId="7D6E356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（1）响应文件中首轮报价表（报价表）内容与响应文件中相应内容不一致的，以首轮报价表（报价表）为准；</w:t>
      </w:r>
    </w:p>
    <w:p w14:paraId="301B903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（2）大写金额和小写金额不一致的，以大写金额为准；</w:t>
      </w:r>
    </w:p>
    <w:p w14:paraId="3308219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（3）单价金额小数点或者百分比有明显错位的，以首轮报价表的总价为准，并修改单价；</w:t>
      </w:r>
    </w:p>
    <w:p w14:paraId="1926C3D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（4）总价金额与按单价汇总金额不一致的，以单价金额计算结果为准。但是单价金额计算结果超过预算价的，对其按无效响应处理；</w:t>
      </w:r>
    </w:p>
    <w:p w14:paraId="23FFC61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注：同时出现两种以上不一致的，按照前款规定的顺序进行价格澄清。供应商澄清后的价格加</w:t>
      </w:r>
      <w:r>
        <w:rPr>
          <w:rFonts w:hint="default" w:ascii="Times New Roman" w:hAnsi="Times New Roman" w:cs="Times New Roman" w:eastAsiaTheme="minorEastAsia"/>
          <w:color w:val="auto"/>
          <w:sz w:val="21"/>
          <w:szCs w:val="21"/>
          <w:highlight w:val="none"/>
          <w:lang w:eastAsia="zh-CN"/>
        </w:rPr>
        <w:t>盖公章</w:t>
      </w:r>
      <w:r>
        <w:rPr>
          <w:rFonts w:hint="default" w:ascii="Times New Roman" w:hAnsi="Times New Roman" w:cs="Times New Roman" w:eastAsiaTheme="minorEastAsia"/>
          <w:color w:val="auto"/>
          <w:sz w:val="21"/>
          <w:szCs w:val="21"/>
          <w:highlight w:val="none"/>
        </w:rPr>
        <w:t>确认后产生约束力，但不得超出响应文件的范围或者改变响应文件的实质性内容，供应商不确认的，其响应无效。</w:t>
      </w:r>
    </w:p>
    <w:p w14:paraId="66E52A4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p>
    <w:p w14:paraId="5E5889D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1"/>
        <w:rPr>
          <w:rFonts w:hint="default" w:ascii="Times New Roman" w:hAnsi="Times New Roman" w:cs="Times New Roman" w:eastAsiaTheme="minorEastAsia"/>
          <w:color w:val="auto"/>
          <w:sz w:val="24"/>
          <w:szCs w:val="24"/>
          <w:highlight w:val="none"/>
        </w:rPr>
      </w:pPr>
      <w:bookmarkStart w:id="27" w:name="_Toc19574"/>
      <w:r>
        <w:rPr>
          <w:rFonts w:hint="default" w:ascii="Times New Roman" w:hAnsi="Times New Roman" w:cs="Times New Roman" w:eastAsiaTheme="minorEastAsia"/>
          <w:b/>
          <w:color w:val="auto"/>
          <w:sz w:val="24"/>
          <w:szCs w:val="24"/>
          <w:highlight w:val="none"/>
        </w:rPr>
        <w:t>二</w:t>
      </w:r>
      <w:r>
        <w:rPr>
          <w:rFonts w:hint="default" w:ascii="Times New Roman" w:hAnsi="Times New Roman" w:cs="Times New Roman" w:eastAsiaTheme="minorEastAsia"/>
          <w:b/>
          <w:color w:val="auto"/>
          <w:sz w:val="24"/>
          <w:szCs w:val="24"/>
          <w:highlight w:val="none"/>
          <w:lang w:eastAsia="zh-CN"/>
        </w:rPr>
        <w:t>、</w:t>
      </w:r>
      <w:r>
        <w:rPr>
          <w:rFonts w:hint="default" w:ascii="Times New Roman" w:hAnsi="Times New Roman" w:cs="Times New Roman" w:eastAsiaTheme="minorEastAsia"/>
          <w:b/>
          <w:color w:val="auto"/>
          <w:sz w:val="24"/>
          <w:szCs w:val="24"/>
          <w:highlight w:val="none"/>
        </w:rPr>
        <w:t>政府采购政策落实</w:t>
      </w:r>
      <w:bookmarkEnd w:id="27"/>
    </w:p>
    <w:p w14:paraId="059148B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1.节能、环保要求</w:t>
      </w:r>
    </w:p>
    <w:p w14:paraId="4BA5ACF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7A0B35C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相关认证机构和获证产品信息以市场监管总局组织建立的节能产品、环境标志产品认证结果信息发布平台公布为准。</w:t>
      </w:r>
    </w:p>
    <w:p w14:paraId="41CA28A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2.对小型、微型企业、监狱企业或残疾人福利性单位给予价格扣除</w:t>
      </w:r>
    </w:p>
    <w:p w14:paraId="34D259B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2A87CFF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3.价格扣除相关要求</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2413"/>
        <w:gridCol w:w="2110"/>
        <w:gridCol w:w="1694"/>
        <w:gridCol w:w="2413"/>
      </w:tblGrid>
      <w:tr w14:paraId="6AA97F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649" w:type="dxa"/>
            <w:vAlign w:val="center"/>
          </w:tcPr>
          <w:p w14:paraId="5B38748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序号</w:t>
            </w:r>
          </w:p>
        </w:tc>
        <w:tc>
          <w:tcPr>
            <w:tcW w:w="2413" w:type="dxa"/>
            <w:vAlign w:val="center"/>
          </w:tcPr>
          <w:p w14:paraId="0D58B11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情形</w:t>
            </w:r>
          </w:p>
        </w:tc>
        <w:tc>
          <w:tcPr>
            <w:tcW w:w="2110" w:type="dxa"/>
            <w:vAlign w:val="center"/>
          </w:tcPr>
          <w:p w14:paraId="6281F1A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适用对象</w:t>
            </w:r>
          </w:p>
        </w:tc>
        <w:tc>
          <w:tcPr>
            <w:tcW w:w="1694" w:type="dxa"/>
            <w:vAlign w:val="center"/>
          </w:tcPr>
          <w:p w14:paraId="15C8AE3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价格扣除比例</w:t>
            </w:r>
          </w:p>
        </w:tc>
        <w:tc>
          <w:tcPr>
            <w:tcW w:w="2413" w:type="dxa"/>
            <w:vAlign w:val="center"/>
          </w:tcPr>
          <w:p w14:paraId="31A6362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计算公式</w:t>
            </w:r>
          </w:p>
        </w:tc>
      </w:tr>
      <w:tr w14:paraId="6E40D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4" w:hRule="atLeast"/>
        </w:trPr>
        <w:tc>
          <w:tcPr>
            <w:tcW w:w="9279" w:type="dxa"/>
            <w:gridSpan w:val="5"/>
          </w:tcPr>
          <w:p w14:paraId="14A12B7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注：（1）上述评标价仅用于计算价格分，成交金额以实际投标价为准。</w:t>
            </w:r>
          </w:p>
          <w:p w14:paraId="581C3DE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（2）组成联合体的大中型企业和其他自然人、法人或者其他组织、与小型、微型企业之间不得存在投资关系。</w:t>
            </w:r>
          </w:p>
        </w:tc>
      </w:tr>
    </w:tbl>
    <w:p w14:paraId="015A816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（1）所称小型和微型企业应当符合以下条件：</w:t>
      </w:r>
    </w:p>
    <w:p w14:paraId="275094D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51D14DB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符合中小企业划分标准的个体工商户，在政府采购活动中视同中小企业。</w:t>
      </w:r>
    </w:p>
    <w:p w14:paraId="47EDB6B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提供本企业（属于小微企业）制造的货物或者提供其他小型或微型企业制造的货物/提供本企业（属于小微企业）承接的服务。</w:t>
      </w:r>
    </w:p>
    <w:p w14:paraId="2281F61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758C4EB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说明：供应商应当对其出具的《中小企业声明函》真实性负责，供应商出具的《中小企业声明函》内容不实的，属于提供虚假材料谋取成交。</w:t>
      </w:r>
    </w:p>
    <w:p w14:paraId="5670415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4FAFB94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p>
    <w:p w14:paraId="361782F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1"/>
        <w:rPr>
          <w:rFonts w:hint="default" w:ascii="Times New Roman" w:hAnsi="Times New Roman" w:cs="Times New Roman" w:eastAsiaTheme="minorEastAsia"/>
          <w:color w:val="auto"/>
          <w:sz w:val="24"/>
          <w:szCs w:val="24"/>
          <w:highlight w:val="none"/>
        </w:rPr>
      </w:pPr>
      <w:bookmarkStart w:id="28" w:name="_Toc5531"/>
      <w:r>
        <w:rPr>
          <w:rFonts w:hint="default" w:ascii="Times New Roman" w:hAnsi="Times New Roman" w:cs="Times New Roman" w:eastAsiaTheme="minorEastAsia"/>
          <w:b/>
          <w:color w:val="auto"/>
          <w:sz w:val="24"/>
          <w:szCs w:val="24"/>
          <w:highlight w:val="none"/>
        </w:rPr>
        <w:t>三、评审程序</w:t>
      </w:r>
      <w:bookmarkEnd w:id="28"/>
    </w:p>
    <w:p w14:paraId="29F4753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1.资格性审查和符合性审查</w:t>
      </w:r>
    </w:p>
    <w:p w14:paraId="54641FE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14:paraId="49ACB66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磋商小组对各磋商供应商进行资格性和符合性审查过程中，对初步被认定为初审不合格或无效响应者应实行及时告知，由磋商小组组长或采购人代表将集体意见及时告知报价当事人。</w:t>
      </w:r>
    </w:p>
    <w:p w14:paraId="64E2E6D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表一资格性审查表：</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09"/>
        <w:gridCol w:w="2050"/>
        <w:gridCol w:w="6418"/>
      </w:tblGrid>
      <w:tr w14:paraId="01974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vAlign w:val="center"/>
          </w:tcPr>
          <w:p w14:paraId="1913205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序号</w:t>
            </w:r>
          </w:p>
        </w:tc>
        <w:tc>
          <w:tcPr>
            <w:tcW w:w="8468" w:type="dxa"/>
            <w:gridSpan w:val="2"/>
            <w:vAlign w:val="center"/>
          </w:tcPr>
          <w:p w14:paraId="1629688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资格审查内容</w:t>
            </w:r>
          </w:p>
        </w:tc>
      </w:tr>
      <w:tr w14:paraId="13A1D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3397591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2050" w:type="dxa"/>
          </w:tcPr>
          <w:p w14:paraId="2112B8F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具有独立承担民事责任的能力</w:t>
            </w:r>
          </w:p>
        </w:tc>
        <w:tc>
          <w:tcPr>
            <w:tcW w:w="6418" w:type="dxa"/>
          </w:tcPr>
          <w:p w14:paraId="7148210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在中华人民共和国境内注册的法人或其他组织或自然人，投标（响应）时提交有效的营业执照（或事业法人登记证或身份证等相关证明）副本复印件。</w:t>
            </w:r>
          </w:p>
        </w:tc>
      </w:tr>
      <w:tr w14:paraId="62D403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918DA5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2050" w:type="dxa"/>
          </w:tcPr>
          <w:p w14:paraId="5D06AF6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有依法缴纳税收和社会保障资金的良好记录</w:t>
            </w:r>
          </w:p>
        </w:tc>
        <w:tc>
          <w:tcPr>
            <w:tcW w:w="6418" w:type="dxa"/>
          </w:tcPr>
          <w:p w14:paraId="41C29BB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提供以下两种证明材料之一：1.提供《政府采购供应商资格信用承诺函》，具体要求详见投标文件格式；2.提供投标截止日前6个月内任意1个月依法缴纳税收和社会保障资金的相关材料。如依法免税或不需要缴纳社会保障资金的，提供相应证明材料。</w:t>
            </w:r>
          </w:p>
        </w:tc>
      </w:tr>
      <w:tr w14:paraId="6130DD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EA4185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2050" w:type="dxa"/>
          </w:tcPr>
          <w:p w14:paraId="0B858A4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具有良好的商业信誉和健全的财务会计制度</w:t>
            </w:r>
          </w:p>
        </w:tc>
        <w:tc>
          <w:tcPr>
            <w:tcW w:w="6418" w:type="dxa"/>
          </w:tcPr>
          <w:p w14:paraId="671A2635">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提供以下三种证明材料之一：1.提供《政府采购供应商资格信用承诺函》，具体要求详见投标文件格式；2.提供2022或2023年度财务状况报告，财务状况报告须由第三方会计师事务所出具，能清晰显示第三方会计师事务所的印章，并能反映审计结论；3.提供投标截止日前6个月内基本开户银行出具的资信证明，并同时提交开户（基本户）许可证扫描件，开户（基本户）许可证已取消的，应提供能体现基本开户银行的“基本存款账户编号”的相关证明。</w:t>
            </w:r>
          </w:p>
        </w:tc>
      </w:tr>
      <w:tr w14:paraId="4A7AD8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57C5897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2050" w:type="dxa"/>
          </w:tcPr>
          <w:p w14:paraId="0C05D7D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履行合同所必需的设备和专业技术能力</w:t>
            </w:r>
          </w:p>
        </w:tc>
        <w:tc>
          <w:tcPr>
            <w:tcW w:w="6418" w:type="dxa"/>
          </w:tcPr>
          <w:p w14:paraId="76FBAED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按投标（响应）文件格式填写《具有履行合同所必需的设备和专业技术能力的承诺函》。</w:t>
            </w:r>
          </w:p>
        </w:tc>
      </w:tr>
      <w:tr w14:paraId="090F9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3C396C2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2050" w:type="dxa"/>
          </w:tcPr>
          <w:p w14:paraId="31EE4DB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参加采购活动前3年内，在经营活动中没有重大违法记录</w:t>
            </w:r>
          </w:p>
        </w:tc>
        <w:tc>
          <w:tcPr>
            <w:tcW w:w="6418" w:type="dxa"/>
          </w:tcPr>
          <w:p w14:paraId="67053A5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6FF126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91B3ED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w:t>
            </w:r>
          </w:p>
        </w:tc>
        <w:tc>
          <w:tcPr>
            <w:tcW w:w="2050" w:type="dxa"/>
          </w:tcPr>
          <w:p w14:paraId="644E980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信用记录</w:t>
            </w:r>
          </w:p>
        </w:tc>
        <w:tc>
          <w:tcPr>
            <w:tcW w:w="6418" w:type="dxa"/>
          </w:tcPr>
          <w:p w14:paraId="3101518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tc>
      </w:tr>
      <w:tr w14:paraId="12D48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852D28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w:t>
            </w:r>
          </w:p>
        </w:tc>
        <w:tc>
          <w:tcPr>
            <w:tcW w:w="2050" w:type="dxa"/>
          </w:tcPr>
          <w:p w14:paraId="138A4C12">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供应商必须符合法律、行政法规规定的其他条件</w:t>
            </w:r>
          </w:p>
        </w:tc>
        <w:tc>
          <w:tcPr>
            <w:tcW w:w="6418" w:type="dxa"/>
          </w:tcPr>
          <w:p w14:paraId="63AD19C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单位负责人为同一人或者存在直接控股、管理关系的不同供应商，不得同时参加本采购项目投标（响应）。投标（报价）函相关承诺要求内容。</w:t>
            </w:r>
          </w:p>
        </w:tc>
      </w:tr>
      <w:tr w14:paraId="4325A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00C330D">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w:t>
            </w:r>
          </w:p>
        </w:tc>
        <w:tc>
          <w:tcPr>
            <w:tcW w:w="2050" w:type="dxa"/>
          </w:tcPr>
          <w:p w14:paraId="15F1271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w:t>
            </w:r>
            <w:r>
              <w:rPr>
                <w:rFonts w:hint="eastAsia" w:ascii="Times New Roman" w:hAnsi="Times New Roman" w:cs="Times New Roman"/>
                <w:color w:val="auto"/>
                <w:sz w:val="21"/>
                <w:szCs w:val="21"/>
                <w:highlight w:val="none"/>
                <w:lang w:eastAsia="zh-CN"/>
              </w:rPr>
              <w:t>项目</w:t>
            </w:r>
            <w:r>
              <w:rPr>
                <w:rFonts w:hint="default" w:ascii="Times New Roman" w:hAnsi="Times New Roman" w:cs="Times New Roman" w:eastAsiaTheme="minorEastAsia"/>
                <w:color w:val="auto"/>
                <w:sz w:val="21"/>
                <w:szCs w:val="21"/>
                <w:highlight w:val="none"/>
              </w:rPr>
              <w:t>专门面向中小企业采购</w:t>
            </w:r>
          </w:p>
        </w:tc>
        <w:tc>
          <w:tcPr>
            <w:tcW w:w="6418" w:type="dxa"/>
          </w:tcPr>
          <w:p w14:paraId="08DED383">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本项目</w:t>
            </w:r>
            <w:r>
              <w:rPr>
                <w:rFonts w:hint="default" w:ascii="Times New Roman" w:hAnsi="Times New Roman" w:cs="Times New Roman" w:eastAsiaTheme="minorEastAsia"/>
                <w:color w:val="auto"/>
                <w:sz w:val="21"/>
                <w:szCs w:val="21"/>
                <w:highlight w:val="none"/>
              </w:rPr>
              <w:t>整体专门面向中小企业采购，监狱企业、残疾人福利性单位视同小型、微型企业。</w:t>
            </w:r>
          </w:p>
          <w:p w14:paraId="66F06E8D">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（1）中小企业评审及《中小企业声明函》填写要求：</w:t>
            </w:r>
          </w:p>
          <w:p w14:paraId="6B9A2CE4">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① 本项目为服务类项目，供应商须根据本项目采购类别选择对应的《中小企业声明函》填写。</w:t>
            </w:r>
          </w:p>
          <w:p w14:paraId="4EADFEF5">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② 本项目采购标的对应的中小企业划分标准所属行业</w:t>
            </w:r>
            <w:r>
              <w:rPr>
                <w:rFonts w:hint="eastAsia" w:ascii="Times New Roman" w:hAnsi="Times New Roman" w:cs="Times New Roman"/>
                <w:color w:val="auto"/>
                <w:sz w:val="21"/>
                <w:szCs w:val="21"/>
                <w:highlight w:val="none"/>
                <w:lang w:eastAsia="zh-CN"/>
              </w:rPr>
              <w:t>为租赁和商务服务业</w:t>
            </w:r>
            <w:r>
              <w:rPr>
                <w:rFonts w:hint="default" w:ascii="Times New Roman" w:hAnsi="Times New Roman" w:cs="Times New Roman" w:eastAsiaTheme="minorEastAsia"/>
                <w:color w:val="auto"/>
                <w:sz w:val="21"/>
                <w:szCs w:val="21"/>
                <w:highlight w:val="none"/>
              </w:rPr>
              <w:t>。</w:t>
            </w:r>
          </w:p>
          <w:p w14:paraId="1E0009F0">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③ 供应商提交的《中小企业声明函》应按要求完整填报所有信息。</w:t>
            </w:r>
          </w:p>
          <w:p w14:paraId="6AE54A38">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④涉及多个采购标的且由不同制造商制造或者由不同供应商承建（承接）的，应当逐一填报每个采购标的的制造商或者承建（承接）供应商信息。</w:t>
            </w:r>
          </w:p>
          <w:p w14:paraId="79DA6C64">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（2）监狱企业评审要求：提供由省级以上监狱管理局、戒毒管理局（含新疆生产建设兵团）出具的属于监狱企业的证明文件。</w:t>
            </w:r>
          </w:p>
          <w:p w14:paraId="0F499872">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（3）残疾人福利性单位评审要求：提供《残疾人福利性单位声明函》。</w:t>
            </w:r>
          </w:p>
          <w:p w14:paraId="600CE99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（4）中小企业划型标准详见《关于印发中小企业划型标准规定的通知》（工信部联企业〔2011〕300号）（http://www.gov.cn/zwgk/2011-07/04/content_1898747.htm）</w:t>
            </w:r>
            <w:r>
              <w:rPr>
                <w:rFonts w:hint="default" w:ascii="Times New Roman" w:hAnsi="Times New Roman" w:cs="Times New Roman" w:eastAsiaTheme="minorEastAsia"/>
                <w:color w:val="auto"/>
                <w:sz w:val="21"/>
                <w:szCs w:val="21"/>
                <w:highlight w:val="none"/>
                <w:lang w:eastAsia="zh-CN"/>
              </w:rPr>
              <w:t>。</w:t>
            </w:r>
          </w:p>
        </w:tc>
      </w:tr>
    </w:tbl>
    <w:p w14:paraId="7A6309E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表二符合性审查表：</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4"/>
        <w:gridCol w:w="3550"/>
        <w:gridCol w:w="4734"/>
      </w:tblGrid>
      <w:tr w14:paraId="183F9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4CFF1DB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序号</w:t>
            </w:r>
          </w:p>
        </w:tc>
        <w:tc>
          <w:tcPr>
            <w:tcW w:w="3550" w:type="dxa"/>
            <w:vAlign w:val="center"/>
          </w:tcPr>
          <w:p w14:paraId="3663EAE0">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评审点要求概况</w:t>
            </w:r>
          </w:p>
        </w:tc>
        <w:tc>
          <w:tcPr>
            <w:tcW w:w="4734" w:type="dxa"/>
            <w:vAlign w:val="center"/>
          </w:tcPr>
          <w:p w14:paraId="368397A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评审点具体描述</w:t>
            </w:r>
          </w:p>
        </w:tc>
      </w:tr>
      <w:tr w14:paraId="67E639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2" w:hRule="atLeast"/>
        </w:trPr>
        <w:tc>
          <w:tcPr>
            <w:tcW w:w="994" w:type="dxa"/>
            <w:vAlign w:val="center"/>
          </w:tcPr>
          <w:p w14:paraId="60D0E04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3550" w:type="dxa"/>
            <w:vAlign w:val="center"/>
          </w:tcPr>
          <w:p w14:paraId="2A96B418">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投标文件有效性</w:t>
            </w:r>
          </w:p>
        </w:tc>
        <w:tc>
          <w:tcPr>
            <w:tcW w:w="4734" w:type="dxa"/>
          </w:tcPr>
          <w:p w14:paraId="6FD48A0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按照采购文件规定要求签署、盖章且投标文件有法定代表人签字或盖章，或签字人有法定代表人有效授权书的。</w:t>
            </w:r>
          </w:p>
        </w:tc>
      </w:tr>
      <w:tr w14:paraId="57D3B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1F4E7AC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3550" w:type="dxa"/>
            <w:vAlign w:val="center"/>
          </w:tcPr>
          <w:p w14:paraId="4FD4804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响应承诺函</w:t>
            </w:r>
          </w:p>
        </w:tc>
        <w:tc>
          <w:tcPr>
            <w:tcW w:w="4734" w:type="dxa"/>
          </w:tcPr>
          <w:p w14:paraId="5E3956D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响应承诺函已提交并符合采购文件要求的。</w:t>
            </w:r>
          </w:p>
        </w:tc>
      </w:tr>
      <w:tr w14:paraId="09E5E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302D0006">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3550" w:type="dxa"/>
            <w:vAlign w:val="center"/>
          </w:tcPr>
          <w:p w14:paraId="0C7CA8EE">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实质性响应条款（即标注★号条款）</w:t>
            </w:r>
          </w:p>
        </w:tc>
        <w:tc>
          <w:tcPr>
            <w:tcW w:w="4734" w:type="dxa"/>
          </w:tcPr>
          <w:p w14:paraId="07FDD1B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满足招标文件中要求的实质性响应条款的（即标注★号条款）。</w:t>
            </w:r>
          </w:p>
        </w:tc>
      </w:tr>
      <w:tr w14:paraId="30839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38E8871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3550" w:type="dxa"/>
            <w:vAlign w:val="center"/>
          </w:tcPr>
          <w:p w14:paraId="1C2766B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报价要求</w:t>
            </w:r>
          </w:p>
        </w:tc>
        <w:tc>
          <w:tcPr>
            <w:tcW w:w="4734" w:type="dxa"/>
          </w:tcPr>
          <w:p w14:paraId="4E585E1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投标报价方案是唯一的，符合招标文件的其他投标报价相关要求。</w:t>
            </w:r>
          </w:p>
        </w:tc>
      </w:tr>
      <w:tr w14:paraId="3EF1F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6" w:hRule="atLeast"/>
        </w:trPr>
        <w:tc>
          <w:tcPr>
            <w:tcW w:w="994" w:type="dxa"/>
            <w:vAlign w:val="center"/>
          </w:tcPr>
          <w:p w14:paraId="0D8BB3C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3550" w:type="dxa"/>
            <w:vAlign w:val="center"/>
          </w:tcPr>
          <w:p w14:paraId="736564D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其它</w:t>
            </w:r>
          </w:p>
        </w:tc>
        <w:tc>
          <w:tcPr>
            <w:tcW w:w="4734" w:type="dxa"/>
          </w:tcPr>
          <w:p w14:paraId="798B743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没有违反有关法律、法规、规章要求，没有采购文件中规定的其它无效投标条款的。</w:t>
            </w:r>
          </w:p>
        </w:tc>
      </w:tr>
    </w:tbl>
    <w:p w14:paraId="4F389859">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2.响应文件澄清</w:t>
      </w:r>
    </w:p>
    <w:p w14:paraId="0FDECAD3">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2.1对于响应文件中含义不明确、同类问题表述不一致或者有明显文字和计算错误的内容，磋商小组应当在评审过程中发起澄清，要求供应商针对价格或内容做出必要的澄清、说明或补正。代理机构可根据开启环节记录的</w:t>
      </w:r>
      <w:r>
        <w:rPr>
          <w:rFonts w:hint="default" w:ascii="Times New Roman" w:hAnsi="Times New Roman" w:cs="Times New Roman" w:eastAsiaTheme="minorEastAsia"/>
          <w:b/>
          <w:color w:val="auto"/>
          <w:sz w:val="21"/>
          <w:szCs w:val="21"/>
          <w:highlight w:val="none"/>
        </w:rPr>
        <w:t>授权代表人联系方式</w:t>
      </w:r>
      <w:r>
        <w:rPr>
          <w:rFonts w:hint="default" w:ascii="Times New Roman" w:hAnsi="Times New Roman" w:cs="Times New Roman" w:eastAsiaTheme="minorEastAsia"/>
          <w:color w:val="auto"/>
          <w:sz w:val="21"/>
          <w:szCs w:val="21"/>
          <w:highlight w:val="none"/>
        </w:rPr>
        <w:t>发送短信提醒或电话告知。</w:t>
      </w:r>
    </w:p>
    <w:p w14:paraId="6DE6796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若因供应商联系方式错误未接收短信、未接听电话或超时未进行澄清（响应）造成的不利后果由供应商自行承担。供应商的澄清、说明或者补正不得超出响应文件的范围或者改变响应文件的实质性内容。</w:t>
      </w:r>
    </w:p>
    <w:p w14:paraId="7E25023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2.2磋商小组不接受供应商主动提出的澄清、说明或补正。</w:t>
      </w:r>
    </w:p>
    <w:p w14:paraId="6B075DB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2.3磋商小组对供应商提交的澄清、说明或补正有疑问的，可以要求供应商进一步澄清、说明或补正。</w:t>
      </w:r>
    </w:p>
    <w:p w14:paraId="2CC81594">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3.磋商</w:t>
      </w:r>
    </w:p>
    <w:p w14:paraId="3D59ACEA">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3.1磋商小组所有成员应当集中与单一供应商分别进行磋商，并给予所有参加磋商的供应商平等的磋商机会。</w:t>
      </w:r>
    </w:p>
    <w:p w14:paraId="1829215C">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w:t>
      </w:r>
    </w:p>
    <w:p w14:paraId="7DD27D4B">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3.3对磋商文件作出的实质性变动是磋商文件的有效组成部分，磋商小组应当及时、同时通知所有参加磋商的供应商。</w:t>
      </w:r>
    </w:p>
    <w:p w14:paraId="0FEAFC3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14:paraId="37A6E49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4.最后报价</w:t>
      </w:r>
    </w:p>
    <w:p w14:paraId="01A81DA7">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4.1磋商结束后，磋商小组应当要求所有实质性响应的供应商在规定时间内提交最后报价。最后报价是供应商响应文件的有效组成部分。</w:t>
      </w:r>
    </w:p>
    <w:p w14:paraId="3E008621">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4.2已提交响应文件的供应商，在提交最后报价之前，可以根据磋商情况退出磋商。</w:t>
      </w:r>
    </w:p>
    <w:p w14:paraId="6BF9BCAF">
      <w:pPr>
        <w:pStyle w:val="21"/>
        <w:keepNext w:val="0"/>
        <w:keepLines w:val="0"/>
        <w:pageBreakBefore w:val="0"/>
        <w:widowControl/>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4.3除法规规定的特殊性情形外，提交最后报价的供应商不得少于3家。</w:t>
      </w:r>
    </w:p>
    <w:p w14:paraId="227F89DF">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br w:type="page"/>
      </w:r>
    </w:p>
    <w:p w14:paraId="504BAD02">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5.详细评审</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4"/>
        <w:gridCol w:w="1580"/>
        <w:gridCol w:w="7030"/>
      </w:tblGrid>
      <w:tr w14:paraId="1C4EF1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0FF2C73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评审因素</w:t>
            </w:r>
          </w:p>
        </w:tc>
        <w:tc>
          <w:tcPr>
            <w:tcW w:w="8610" w:type="dxa"/>
            <w:gridSpan w:val="2"/>
            <w:vAlign w:val="center"/>
          </w:tcPr>
          <w:p w14:paraId="76DF477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评审标准</w:t>
            </w:r>
          </w:p>
        </w:tc>
      </w:tr>
      <w:tr w14:paraId="027A0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tcPr>
          <w:p w14:paraId="116DE253">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分值构成</w:t>
            </w:r>
          </w:p>
        </w:tc>
        <w:tc>
          <w:tcPr>
            <w:tcW w:w="8610" w:type="dxa"/>
            <w:gridSpan w:val="2"/>
          </w:tcPr>
          <w:p w14:paraId="152784D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商务部分</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lang w:val="en-US" w:eastAsia="zh-CN"/>
              </w:rPr>
              <w:t>0</w:t>
            </w:r>
            <w:r>
              <w:rPr>
                <w:rFonts w:hint="default" w:ascii="Times New Roman" w:hAnsi="Times New Roman" w:cs="Times New Roman" w:eastAsiaTheme="minorEastAsia"/>
                <w:color w:val="auto"/>
                <w:sz w:val="21"/>
                <w:szCs w:val="21"/>
                <w:highlight w:val="none"/>
              </w:rPr>
              <w:t>.0分</w:t>
            </w:r>
          </w:p>
          <w:p w14:paraId="2BD75399">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技术部分</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eastAsiaTheme="minorEastAsia"/>
                <w:color w:val="auto"/>
                <w:sz w:val="21"/>
                <w:szCs w:val="21"/>
                <w:highlight w:val="none"/>
                <w:lang w:val="en-US" w:eastAsia="zh-CN"/>
              </w:rPr>
              <w:t>0</w:t>
            </w:r>
            <w:r>
              <w:rPr>
                <w:rFonts w:hint="default" w:ascii="Times New Roman" w:hAnsi="Times New Roman" w:cs="Times New Roman" w:eastAsiaTheme="minorEastAsia"/>
                <w:color w:val="auto"/>
                <w:sz w:val="21"/>
                <w:szCs w:val="21"/>
                <w:highlight w:val="none"/>
              </w:rPr>
              <w:t>.0分</w:t>
            </w:r>
          </w:p>
          <w:p w14:paraId="42840412">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报价得分10.0分</w:t>
            </w:r>
          </w:p>
        </w:tc>
      </w:tr>
      <w:tr w14:paraId="300B6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50806B1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技术部分</w:t>
            </w:r>
          </w:p>
        </w:tc>
        <w:tc>
          <w:tcPr>
            <w:tcW w:w="1580" w:type="dxa"/>
            <w:vAlign w:val="center"/>
          </w:tcPr>
          <w:p w14:paraId="0CB1756D">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对项目的理解</w:t>
            </w:r>
          </w:p>
          <w:p w14:paraId="10F49EC3">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3分</w:t>
            </w:r>
            <w:r>
              <w:rPr>
                <w:rFonts w:hint="eastAsia" w:ascii="Times New Roman" w:hAnsi="Times New Roman" w:cs="Times New Roman"/>
                <w:color w:val="auto"/>
                <w:sz w:val="21"/>
                <w:szCs w:val="21"/>
                <w:highlight w:val="none"/>
                <w:lang w:eastAsia="zh-CN"/>
              </w:rPr>
              <w:t>）</w:t>
            </w:r>
          </w:p>
        </w:tc>
        <w:tc>
          <w:tcPr>
            <w:tcW w:w="7030" w:type="dxa"/>
          </w:tcPr>
          <w:p w14:paraId="506F16B4">
            <w:pPr>
              <w:keepNext w:val="0"/>
              <w:keepLines w:val="0"/>
              <w:pageBreakBefore w:val="0"/>
              <w:kinsoku/>
              <w:wordWrap/>
              <w:overflowPunct/>
              <w:topLinePunct w:val="0"/>
              <w:autoSpaceDE/>
              <w:autoSpaceDN/>
              <w:bidi w:val="0"/>
              <w:adjustRightInd/>
              <w:snapToGrid/>
              <w:spacing w:line="360" w:lineRule="atLeast"/>
              <w:ind w:left="0" w:leftChars="0"/>
              <w:jc w:val="left"/>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根据供应商</w:t>
            </w:r>
            <w:r>
              <w:rPr>
                <w:rFonts w:hint="eastAsia" w:ascii="宋体" w:hAnsi="宋体" w:eastAsia="宋体" w:cs="宋体"/>
                <w:color w:val="auto"/>
                <w:sz w:val="21"/>
                <w:szCs w:val="21"/>
                <w:highlight w:val="none"/>
                <w:lang w:val="en-US" w:eastAsia="zh-CN"/>
              </w:rPr>
              <w:t>提供的</w:t>
            </w:r>
            <w:r>
              <w:rPr>
                <w:rFonts w:hint="eastAsia" w:ascii="宋体" w:hAnsi="宋体" w:eastAsia="宋体" w:cs="宋体"/>
                <w:color w:val="auto"/>
                <w:sz w:val="21"/>
                <w:szCs w:val="21"/>
                <w:highlight w:val="none"/>
                <w:lang w:val="zh-CN"/>
              </w:rPr>
              <w:t>对本项目的理解</w:t>
            </w:r>
            <w:r>
              <w:rPr>
                <w:rFonts w:hint="eastAsia" w:ascii="宋体" w:hAnsi="宋体" w:eastAsia="宋体" w:cs="宋体"/>
                <w:color w:val="auto"/>
                <w:sz w:val="21"/>
                <w:szCs w:val="21"/>
                <w:highlight w:val="none"/>
                <w:lang w:val="zh-CN" w:eastAsia="zh-CN"/>
              </w:rPr>
              <w:t>情况进行评审：</w:t>
            </w:r>
          </w:p>
          <w:p w14:paraId="36F4291E">
            <w:pPr>
              <w:keepNext w:val="0"/>
              <w:keepLines w:val="0"/>
              <w:pageBreakBefore w:val="0"/>
              <w:kinsoku/>
              <w:wordWrap/>
              <w:overflowPunct/>
              <w:topLinePunct w:val="0"/>
              <w:autoSpaceDE/>
              <w:autoSpaceDN/>
              <w:bidi w:val="0"/>
              <w:adjustRightInd/>
              <w:snapToGrid/>
              <w:spacing w:line="360" w:lineRule="atLeast"/>
              <w:ind w:left="0" w:leftChars="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供应商</w:t>
            </w:r>
            <w:r>
              <w:rPr>
                <w:rFonts w:hint="eastAsia" w:ascii="宋体" w:hAnsi="宋体" w:eastAsia="宋体" w:cs="宋体"/>
                <w:color w:val="auto"/>
                <w:sz w:val="21"/>
                <w:szCs w:val="21"/>
                <w:highlight w:val="none"/>
                <w:lang w:val="en-US" w:eastAsia="zh-CN"/>
              </w:rPr>
              <w:t>能</w:t>
            </w:r>
            <w:r>
              <w:rPr>
                <w:rFonts w:hint="default" w:ascii="Times New Roman" w:hAnsi="Times New Roman" w:cs="Times New Roman" w:eastAsiaTheme="minorEastAsia"/>
                <w:color w:val="auto"/>
                <w:sz w:val="21"/>
                <w:szCs w:val="21"/>
                <w:highlight w:val="none"/>
              </w:rPr>
              <w:t>准确理解本项目的建设背景和目标，对用户需求的分析，技术方案思路清晰、结构完整、设计合理、满足用户要求</w:t>
            </w:r>
            <w:r>
              <w:rPr>
                <w:rFonts w:hint="eastAsia" w:ascii="Times New Roman" w:hAnsi="Times New Roman" w:cs="Times New Roman"/>
                <w:color w:val="auto"/>
                <w:sz w:val="21"/>
                <w:szCs w:val="21"/>
                <w:highlight w:val="none"/>
                <w:lang w:eastAsia="zh-CN"/>
              </w:rPr>
              <w:t>的</w:t>
            </w:r>
            <w:r>
              <w:rPr>
                <w:rFonts w:hint="eastAsia" w:ascii="宋体" w:hAnsi="宋体" w:eastAsia="宋体" w:cs="宋体"/>
                <w:color w:val="auto"/>
                <w:sz w:val="21"/>
                <w:szCs w:val="21"/>
                <w:highlight w:val="none"/>
                <w:lang w:val="zh-CN"/>
              </w:rPr>
              <w:t>，得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分；</w:t>
            </w:r>
          </w:p>
          <w:p w14:paraId="557E3444">
            <w:pPr>
              <w:keepNext w:val="0"/>
              <w:keepLines w:val="0"/>
              <w:pageBreakBefore w:val="0"/>
              <w:kinsoku/>
              <w:wordWrap/>
              <w:overflowPunct/>
              <w:topLinePunct w:val="0"/>
              <w:autoSpaceDE/>
              <w:autoSpaceDN/>
              <w:bidi w:val="0"/>
              <w:adjustRightInd/>
              <w:snapToGrid/>
              <w:spacing w:line="360" w:lineRule="atLeast"/>
              <w:ind w:left="0" w:leftChars="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供应商</w:t>
            </w:r>
            <w:r>
              <w:rPr>
                <w:rFonts w:hint="eastAsia" w:ascii="宋体" w:hAnsi="宋体" w:eastAsia="宋体" w:cs="宋体"/>
                <w:color w:val="auto"/>
                <w:sz w:val="21"/>
                <w:szCs w:val="21"/>
                <w:highlight w:val="none"/>
                <w:lang w:val="en-US" w:eastAsia="zh-CN"/>
              </w:rPr>
              <w:t>能</w:t>
            </w:r>
            <w:r>
              <w:rPr>
                <w:rFonts w:hint="default" w:ascii="Times New Roman" w:hAnsi="Times New Roman" w:cs="Times New Roman" w:eastAsiaTheme="minorEastAsia"/>
                <w:color w:val="auto"/>
                <w:sz w:val="21"/>
                <w:szCs w:val="21"/>
                <w:highlight w:val="none"/>
              </w:rPr>
              <w:t>理解本项目的建设背景和目标，对用户需求的分析</w:t>
            </w:r>
            <w:r>
              <w:rPr>
                <w:rFonts w:hint="eastAsia" w:ascii="Times New Roman" w:hAnsi="Times New Roman" w:cs="Times New Roman"/>
                <w:color w:val="auto"/>
                <w:sz w:val="21"/>
                <w:szCs w:val="21"/>
                <w:highlight w:val="none"/>
                <w:lang w:eastAsia="zh-CN"/>
              </w:rPr>
              <w:t>较好</w:t>
            </w:r>
            <w:r>
              <w:rPr>
                <w:rFonts w:hint="default" w:ascii="Times New Roman" w:hAnsi="Times New Roman" w:cs="Times New Roman" w:eastAsiaTheme="minorEastAsia"/>
                <w:color w:val="auto"/>
                <w:sz w:val="21"/>
                <w:szCs w:val="21"/>
                <w:highlight w:val="none"/>
              </w:rPr>
              <w:t>，技术方案思路</w:t>
            </w:r>
            <w:r>
              <w:rPr>
                <w:rFonts w:hint="eastAsia" w:ascii="Times New Roman" w:hAnsi="Times New Roman" w:cs="Times New Roman"/>
                <w:color w:val="auto"/>
                <w:sz w:val="21"/>
                <w:szCs w:val="21"/>
                <w:highlight w:val="none"/>
                <w:lang w:eastAsia="zh-CN"/>
              </w:rPr>
              <w:t>较好</w:t>
            </w:r>
            <w:r>
              <w:rPr>
                <w:rFonts w:hint="default" w:ascii="Times New Roman" w:hAnsi="Times New Roman" w:cs="Times New Roman" w:eastAsiaTheme="minorEastAsia"/>
                <w:color w:val="auto"/>
                <w:sz w:val="21"/>
                <w:szCs w:val="21"/>
                <w:highlight w:val="none"/>
              </w:rPr>
              <w:t>、结构</w:t>
            </w:r>
            <w:r>
              <w:rPr>
                <w:rFonts w:hint="eastAsia" w:ascii="Times New Roman" w:hAnsi="Times New Roman" w:cs="Times New Roman"/>
                <w:color w:val="auto"/>
                <w:sz w:val="21"/>
                <w:szCs w:val="21"/>
                <w:highlight w:val="none"/>
                <w:lang w:eastAsia="zh-CN"/>
              </w:rPr>
              <w:t>较好</w:t>
            </w:r>
            <w:r>
              <w:rPr>
                <w:rFonts w:hint="default" w:ascii="Times New Roman" w:hAnsi="Times New Roman" w:cs="Times New Roman" w:eastAsiaTheme="minorEastAsia"/>
                <w:color w:val="auto"/>
                <w:sz w:val="21"/>
                <w:szCs w:val="21"/>
                <w:highlight w:val="none"/>
              </w:rPr>
              <w:t>、设计</w:t>
            </w:r>
            <w:r>
              <w:rPr>
                <w:rFonts w:hint="eastAsia" w:ascii="Times New Roman" w:hAnsi="Times New Roman" w:cs="Times New Roman"/>
                <w:color w:val="auto"/>
                <w:sz w:val="21"/>
                <w:szCs w:val="21"/>
                <w:highlight w:val="none"/>
                <w:lang w:eastAsia="zh-CN"/>
              </w:rPr>
              <w:t>较好</w:t>
            </w:r>
            <w:r>
              <w:rPr>
                <w:rFonts w:hint="default" w:ascii="Times New Roman" w:hAnsi="Times New Roman" w:cs="Times New Roman" w:eastAsiaTheme="minorEastAsia"/>
                <w:color w:val="auto"/>
                <w:sz w:val="21"/>
                <w:szCs w:val="21"/>
                <w:highlight w:val="none"/>
              </w:rPr>
              <w:t>、</w:t>
            </w:r>
            <w:r>
              <w:rPr>
                <w:rFonts w:hint="eastAsia" w:ascii="Times New Roman" w:hAnsi="Times New Roman" w:cs="Times New Roman"/>
                <w:color w:val="auto"/>
                <w:sz w:val="21"/>
                <w:szCs w:val="21"/>
                <w:highlight w:val="none"/>
                <w:lang w:eastAsia="zh-CN"/>
              </w:rPr>
              <w:t>稍微</w:t>
            </w:r>
            <w:r>
              <w:rPr>
                <w:rFonts w:hint="default" w:ascii="Times New Roman" w:hAnsi="Times New Roman" w:cs="Times New Roman" w:eastAsiaTheme="minorEastAsia"/>
                <w:color w:val="auto"/>
                <w:sz w:val="21"/>
                <w:szCs w:val="21"/>
                <w:highlight w:val="none"/>
              </w:rPr>
              <w:t>满足用户要求</w:t>
            </w:r>
            <w:r>
              <w:rPr>
                <w:rFonts w:hint="eastAsia" w:ascii="Times New Roman" w:hAnsi="Times New Roman" w:cs="Times New Roman"/>
                <w:color w:val="auto"/>
                <w:sz w:val="21"/>
                <w:szCs w:val="21"/>
                <w:highlight w:val="none"/>
                <w:lang w:eastAsia="zh-CN"/>
              </w:rPr>
              <w:t>的</w:t>
            </w:r>
            <w:r>
              <w:rPr>
                <w:rFonts w:hint="eastAsia" w:ascii="宋体" w:hAnsi="宋体" w:eastAsia="宋体" w:cs="宋体"/>
                <w:color w:val="auto"/>
                <w:sz w:val="21"/>
                <w:szCs w:val="21"/>
                <w:highlight w:val="none"/>
                <w:lang w:val="zh-CN"/>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分；</w:t>
            </w:r>
          </w:p>
          <w:p w14:paraId="4012F7D4">
            <w:pPr>
              <w:keepNext w:val="0"/>
              <w:keepLines w:val="0"/>
              <w:pageBreakBefore w:val="0"/>
              <w:kinsoku/>
              <w:wordWrap/>
              <w:overflowPunct/>
              <w:topLinePunct w:val="0"/>
              <w:autoSpaceDE/>
              <w:autoSpaceDN/>
              <w:bidi w:val="0"/>
              <w:adjustRightInd/>
              <w:snapToGrid/>
              <w:spacing w:line="360" w:lineRule="atLeast"/>
              <w:ind w:left="0" w:leftChars="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供应商</w:t>
            </w:r>
            <w:r>
              <w:rPr>
                <w:rFonts w:hint="eastAsia" w:ascii="宋体" w:hAnsi="宋体" w:eastAsia="宋体" w:cs="宋体"/>
                <w:color w:val="auto"/>
                <w:sz w:val="21"/>
                <w:szCs w:val="21"/>
                <w:highlight w:val="none"/>
                <w:lang w:val="en-US" w:eastAsia="zh-CN"/>
              </w:rPr>
              <w:t>能</w:t>
            </w:r>
            <w:r>
              <w:rPr>
                <w:rFonts w:hint="default" w:ascii="Times New Roman" w:hAnsi="Times New Roman" w:cs="Times New Roman" w:eastAsiaTheme="minorEastAsia"/>
                <w:color w:val="auto"/>
                <w:sz w:val="21"/>
                <w:szCs w:val="21"/>
                <w:highlight w:val="none"/>
              </w:rPr>
              <w:t>理解本项目的建设背景和目标，对用户需求的分析</w:t>
            </w:r>
            <w:r>
              <w:rPr>
                <w:rFonts w:hint="eastAsia" w:ascii="Times New Roman" w:hAnsi="Times New Roman" w:cs="Times New Roman"/>
                <w:color w:val="auto"/>
                <w:sz w:val="21"/>
                <w:szCs w:val="21"/>
                <w:highlight w:val="none"/>
                <w:lang w:eastAsia="zh-CN"/>
              </w:rPr>
              <w:t>一般</w:t>
            </w:r>
            <w:r>
              <w:rPr>
                <w:rFonts w:hint="default" w:ascii="Times New Roman" w:hAnsi="Times New Roman" w:cs="Times New Roman" w:eastAsiaTheme="minorEastAsia"/>
                <w:color w:val="auto"/>
                <w:sz w:val="21"/>
                <w:szCs w:val="21"/>
                <w:highlight w:val="none"/>
              </w:rPr>
              <w:t>，技术方案思路</w:t>
            </w:r>
            <w:r>
              <w:rPr>
                <w:rFonts w:hint="eastAsia" w:ascii="Times New Roman" w:hAnsi="Times New Roman" w:cs="Times New Roman"/>
                <w:color w:val="auto"/>
                <w:sz w:val="21"/>
                <w:szCs w:val="21"/>
                <w:highlight w:val="none"/>
                <w:lang w:eastAsia="zh-CN"/>
              </w:rPr>
              <w:t>一般</w:t>
            </w:r>
            <w:r>
              <w:rPr>
                <w:rFonts w:hint="default" w:ascii="Times New Roman" w:hAnsi="Times New Roman" w:cs="Times New Roman" w:eastAsiaTheme="minorEastAsia"/>
                <w:color w:val="auto"/>
                <w:sz w:val="21"/>
                <w:szCs w:val="21"/>
                <w:highlight w:val="none"/>
              </w:rPr>
              <w:t>、结构</w:t>
            </w:r>
            <w:r>
              <w:rPr>
                <w:rFonts w:hint="eastAsia" w:ascii="Times New Roman" w:hAnsi="Times New Roman" w:cs="Times New Roman"/>
                <w:color w:val="auto"/>
                <w:sz w:val="21"/>
                <w:szCs w:val="21"/>
                <w:highlight w:val="none"/>
                <w:lang w:eastAsia="zh-CN"/>
              </w:rPr>
              <w:t>一般</w:t>
            </w:r>
            <w:r>
              <w:rPr>
                <w:rFonts w:hint="default" w:ascii="Times New Roman" w:hAnsi="Times New Roman" w:cs="Times New Roman" w:eastAsiaTheme="minorEastAsia"/>
                <w:color w:val="auto"/>
                <w:sz w:val="21"/>
                <w:szCs w:val="21"/>
                <w:highlight w:val="none"/>
              </w:rPr>
              <w:t>、设计</w:t>
            </w:r>
            <w:r>
              <w:rPr>
                <w:rFonts w:hint="eastAsia" w:ascii="Times New Roman" w:hAnsi="Times New Roman" w:cs="Times New Roman"/>
                <w:color w:val="auto"/>
                <w:sz w:val="21"/>
                <w:szCs w:val="21"/>
                <w:highlight w:val="none"/>
                <w:lang w:eastAsia="zh-CN"/>
              </w:rPr>
              <w:t>一般</w:t>
            </w:r>
            <w:r>
              <w:rPr>
                <w:rFonts w:hint="default" w:ascii="Times New Roman" w:hAnsi="Times New Roman" w:cs="Times New Roman" w:eastAsiaTheme="minorEastAsia"/>
                <w:color w:val="auto"/>
                <w:sz w:val="21"/>
                <w:szCs w:val="21"/>
                <w:highlight w:val="none"/>
              </w:rPr>
              <w:t>、</w:t>
            </w:r>
            <w:r>
              <w:rPr>
                <w:rFonts w:hint="eastAsia" w:ascii="Times New Roman" w:hAnsi="Times New Roman" w:cs="Times New Roman"/>
                <w:color w:val="auto"/>
                <w:sz w:val="21"/>
                <w:szCs w:val="21"/>
                <w:highlight w:val="none"/>
                <w:lang w:eastAsia="zh-CN"/>
              </w:rPr>
              <w:t>不</w:t>
            </w:r>
            <w:r>
              <w:rPr>
                <w:rFonts w:hint="default" w:ascii="Times New Roman" w:hAnsi="Times New Roman" w:cs="Times New Roman" w:eastAsiaTheme="minorEastAsia"/>
                <w:color w:val="auto"/>
                <w:sz w:val="21"/>
                <w:szCs w:val="21"/>
                <w:highlight w:val="none"/>
              </w:rPr>
              <w:t>满足用户要求</w:t>
            </w:r>
            <w:r>
              <w:rPr>
                <w:rFonts w:hint="eastAsia" w:ascii="Times New Roman" w:hAnsi="Times New Roman" w:cs="Times New Roman"/>
                <w:color w:val="auto"/>
                <w:sz w:val="21"/>
                <w:szCs w:val="21"/>
                <w:highlight w:val="none"/>
                <w:lang w:eastAsia="zh-CN"/>
              </w:rPr>
              <w:t>的</w:t>
            </w:r>
            <w:r>
              <w:rPr>
                <w:rFonts w:hint="eastAsia" w:ascii="宋体" w:hAnsi="宋体" w:eastAsia="宋体" w:cs="宋体"/>
                <w:color w:val="auto"/>
                <w:sz w:val="21"/>
                <w:szCs w:val="21"/>
                <w:highlight w:val="none"/>
                <w:lang w:val="zh-CN"/>
              </w:rPr>
              <w:t>，得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分。</w:t>
            </w:r>
          </w:p>
          <w:p w14:paraId="30B0D48A">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宋体" w:hAnsi="宋体" w:eastAsia="宋体" w:cs="宋体"/>
                <w:color w:val="auto"/>
                <w:sz w:val="21"/>
                <w:szCs w:val="21"/>
                <w:highlight w:val="none"/>
                <w:lang w:val="en-US" w:eastAsia="zh-CN"/>
              </w:rPr>
              <w:t>4、不</w:t>
            </w:r>
            <w:r>
              <w:rPr>
                <w:rFonts w:hint="eastAsia" w:ascii="宋体" w:hAnsi="宋体" w:eastAsia="宋体" w:cs="宋体"/>
                <w:color w:val="auto"/>
                <w:sz w:val="21"/>
                <w:szCs w:val="21"/>
                <w:highlight w:val="none"/>
                <w:lang w:val="en-GB"/>
              </w:rPr>
              <w:t>提供对本项目的理解</w:t>
            </w:r>
            <w:r>
              <w:rPr>
                <w:rFonts w:hint="eastAsia" w:ascii="宋体" w:hAnsi="宋体" w:eastAsia="宋体" w:cs="宋体"/>
                <w:color w:val="auto"/>
                <w:sz w:val="21"/>
                <w:szCs w:val="21"/>
                <w:highlight w:val="none"/>
                <w:lang w:val="en-GB" w:eastAsia="zh-CN"/>
              </w:rPr>
              <w:t>内容的或提供的方案差的</w:t>
            </w:r>
            <w:r>
              <w:rPr>
                <w:rFonts w:hint="eastAsia" w:ascii="宋体" w:hAnsi="宋体" w:eastAsia="宋体" w:cs="宋体"/>
                <w:color w:val="auto"/>
                <w:sz w:val="21"/>
                <w:szCs w:val="21"/>
                <w:highlight w:val="none"/>
                <w:lang w:val="en-GB"/>
              </w:rPr>
              <w:t>，不得分。</w:t>
            </w:r>
          </w:p>
        </w:tc>
      </w:tr>
      <w:tr w14:paraId="0B2016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4ED0DE9A">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2DE60102">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总体设计</w:t>
            </w:r>
          </w:p>
          <w:p w14:paraId="552FBF29">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分</w:t>
            </w:r>
            <w:r>
              <w:rPr>
                <w:rFonts w:hint="eastAsia" w:ascii="Times New Roman" w:hAnsi="Times New Roman" w:cs="Times New Roman"/>
                <w:color w:val="auto"/>
                <w:sz w:val="21"/>
                <w:szCs w:val="21"/>
                <w:highlight w:val="none"/>
                <w:lang w:eastAsia="zh-CN"/>
              </w:rPr>
              <w:t>）</w:t>
            </w:r>
          </w:p>
        </w:tc>
        <w:tc>
          <w:tcPr>
            <w:tcW w:w="7030" w:type="dxa"/>
          </w:tcPr>
          <w:p w14:paraId="60D7979C">
            <w:pPr>
              <w:keepNext w:val="0"/>
              <w:keepLines w:val="0"/>
              <w:pageBreakBefore w:val="0"/>
              <w:kinsoku/>
              <w:wordWrap/>
              <w:overflowPunct/>
              <w:topLinePunct w:val="0"/>
              <w:autoSpaceDE/>
              <w:autoSpaceDN/>
              <w:bidi w:val="0"/>
              <w:adjustRightInd/>
              <w:snapToGrid/>
              <w:spacing w:line="360" w:lineRule="atLeast"/>
              <w:ind w:left="0" w:leftChars="0"/>
              <w:jc w:val="left"/>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根据供应商</w:t>
            </w:r>
            <w:r>
              <w:rPr>
                <w:rFonts w:hint="eastAsia" w:ascii="宋体" w:hAnsi="宋体" w:eastAsia="宋体" w:cs="宋体"/>
                <w:color w:val="auto"/>
                <w:sz w:val="21"/>
                <w:szCs w:val="21"/>
                <w:highlight w:val="none"/>
                <w:lang w:val="en-US" w:eastAsia="zh-CN"/>
              </w:rPr>
              <w:t>提供的</w:t>
            </w:r>
            <w:r>
              <w:rPr>
                <w:rFonts w:hint="default" w:ascii="Times New Roman" w:hAnsi="Times New Roman" w:cs="Times New Roman" w:eastAsiaTheme="minorEastAsia"/>
                <w:color w:val="auto"/>
                <w:sz w:val="21"/>
                <w:szCs w:val="21"/>
                <w:highlight w:val="none"/>
              </w:rPr>
              <w:t>总体设计</w:t>
            </w:r>
            <w:r>
              <w:rPr>
                <w:rFonts w:hint="eastAsia" w:ascii="Times New Roman" w:hAnsi="Times New Roman" w:cs="Times New Roman"/>
                <w:color w:val="auto"/>
                <w:sz w:val="21"/>
                <w:szCs w:val="21"/>
                <w:highlight w:val="none"/>
                <w:lang w:eastAsia="zh-CN"/>
              </w:rPr>
              <w:t>（包括</w:t>
            </w:r>
            <w:r>
              <w:rPr>
                <w:rFonts w:hint="eastAsia" w:ascii="Times New Roman" w:hAnsi="Times New Roman" w:cs="Times New Roman"/>
                <w:color w:val="auto"/>
                <w:szCs w:val="21"/>
                <w:highlight w:val="none"/>
              </w:rPr>
              <w:t>集约送达业务模型、送达业务流程（</w:t>
            </w:r>
            <w:r>
              <w:rPr>
                <w:rFonts w:hint="eastAsia" w:ascii="Times New Roman" w:hAnsi="Times New Roman" w:cs="Times New Roman"/>
                <w:color w:val="auto"/>
                <w:szCs w:val="21"/>
                <w:highlight w:val="none"/>
                <w:lang w:eastAsia="zh-CN"/>
              </w:rPr>
              <w:t>含</w:t>
            </w:r>
            <w:r>
              <w:rPr>
                <w:rFonts w:hint="eastAsia" w:ascii="Times New Roman" w:hAnsi="Times New Roman" w:cs="Times New Roman"/>
                <w:color w:val="auto"/>
                <w:szCs w:val="21"/>
                <w:highlight w:val="none"/>
              </w:rPr>
              <w:t>电子送达流程、来院领取流程和邮寄送达流程）设计等方案的先进性、合理性、完整性等以及符合国家相关标准和规范，满足用户要求方面</w:t>
            </w:r>
            <w:r>
              <w:rPr>
                <w:rFonts w:hint="eastAsia" w:ascii="Times New Roman" w:hAnsi="Times New Roman" w:cs="Times New Roman"/>
                <w:color w:val="auto"/>
                <w:sz w:val="21"/>
                <w:szCs w:val="21"/>
                <w:highlight w:val="none"/>
                <w:lang w:eastAsia="zh-CN"/>
              </w:rPr>
              <w:t>）</w:t>
            </w:r>
            <w:r>
              <w:rPr>
                <w:rFonts w:hint="eastAsia" w:ascii="宋体" w:hAnsi="宋体" w:eastAsia="宋体" w:cs="宋体"/>
                <w:color w:val="auto"/>
                <w:sz w:val="21"/>
                <w:szCs w:val="21"/>
                <w:highlight w:val="none"/>
                <w:lang w:val="zh-CN" w:eastAsia="zh-CN"/>
              </w:rPr>
              <w:t>情况进行评审：</w:t>
            </w:r>
          </w:p>
          <w:p w14:paraId="20FD6AC2">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eastAsiaTheme="minorEastAsia"/>
                <w:color w:val="auto"/>
                <w:sz w:val="21"/>
                <w:szCs w:val="21"/>
                <w:highlight w:val="none"/>
              </w:rPr>
              <w:t>集约送达业务模型、送达业务流程（</w:t>
            </w:r>
            <w:r>
              <w:rPr>
                <w:rFonts w:hint="eastAsia" w:ascii="Times New Roman" w:hAnsi="Times New Roman" w:cs="Times New Roman"/>
                <w:color w:val="auto"/>
                <w:sz w:val="21"/>
                <w:szCs w:val="21"/>
                <w:highlight w:val="none"/>
                <w:lang w:eastAsia="zh-CN"/>
              </w:rPr>
              <w:t>含</w:t>
            </w:r>
            <w:r>
              <w:rPr>
                <w:rFonts w:hint="default" w:ascii="Times New Roman" w:hAnsi="Times New Roman" w:cs="Times New Roman" w:eastAsiaTheme="minorEastAsia"/>
                <w:color w:val="auto"/>
                <w:sz w:val="21"/>
                <w:szCs w:val="21"/>
                <w:highlight w:val="none"/>
              </w:rPr>
              <w:t>电子送达流程、来院领取流程和邮寄送达流程）设计等方案先进、合理、完整</w:t>
            </w:r>
            <w:r>
              <w:rPr>
                <w:rFonts w:hint="eastAsia" w:ascii="Times New Roman" w:hAnsi="Times New Roman" w:cs="Times New Roman"/>
                <w:color w:val="auto"/>
                <w:sz w:val="21"/>
                <w:szCs w:val="21"/>
                <w:highlight w:val="none"/>
                <w:lang w:eastAsia="zh-CN"/>
              </w:rPr>
              <w:t>、完全</w:t>
            </w:r>
            <w:r>
              <w:rPr>
                <w:rFonts w:hint="default" w:ascii="Times New Roman" w:hAnsi="Times New Roman" w:cs="Times New Roman" w:eastAsiaTheme="minorEastAsia"/>
                <w:color w:val="auto"/>
                <w:sz w:val="21"/>
                <w:szCs w:val="21"/>
                <w:highlight w:val="none"/>
              </w:rPr>
              <w:t>符合国家相关标准和规范，满足用户要求</w:t>
            </w:r>
            <w:r>
              <w:rPr>
                <w:rFonts w:hint="eastAsia" w:ascii="Times New Roman" w:hAnsi="Times New Roman" w:cs="Times New Roman"/>
                <w:color w:val="auto"/>
                <w:sz w:val="21"/>
                <w:szCs w:val="21"/>
                <w:highlight w:val="none"/>
                <w:lang w:eastAsia="zh-CN"/>
              </w:rPr>
              <w:t>的</w:t>
            </w:r>
            <w:r>
              <w:rPr>
                <w:rFonts w:hint="eastAsia" w:ascii="宋体" w:hAnsi="宋体" w:eastAsia="宋体" w:cs="宋体"/>
                <w:color w:val="auto"/>
                <w:sz w:val="21"/>
                <w:szCs w:val="21"/>
                <w:highlight w:val="none"/>
                <w:lang w:val="zh-CN"/>
              </w:rPr>
              <w:t>，得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分</w:t>
            </w:r>
            <w:r>
              <w:rPr>
                <w:rFonts w:hint="default" w:ascii="Times New Roman" w:hAnsi="Times New Roman" w:cs="Times New Roman" w:eastAsiaTheme="minorEastAsia"/>
                <w:color w:val="auto"/>
                <w:sz w:val="21"/>
                <w:szCs w:val="21"/>
                <w:highlight w:val="none"/>
              </w:rPr>
              <w:t>；</w:t>
            </w:r>
          </w:p>
          <w:p w14:paraId="642E8A2B">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rPr>
              <w:t>集约送达业务模型、送达业务流程（</w:t>
            </w:r>
            <w:r>
              <w:rPr>
                <w:rFonts w:hint="eastAsia" w:ascii="Times New Roman" w:hAnsi="Times New Roman" w:cs="Times New Roman"/>
                <w:color w:val="auto"/>
                <w:sz w:val="21"/>
                <w:szCs w:val="21"/>
                <w:highlight w:val="none"/>
                <w:lang w:eastAsia="zh-CN"/>
              </w:rPr>
              <w:t>含</w:t>
            </w:r>
            <w:r>
              <w:rPr>
                <w:rFonts w:hint="default" w:ascii="Times New Roman" w:hAnsi="Times New Roman" w:cs="Times New Roman" w:eastAsiaTheme="minorEastAsia"/>
                <w:color w:val="auto"/>
                <w:sz w:val="21"/>
                <w:szCs w:val="21"/>
                <w:highlight w:val="none"/>
              </w:rPr>
              <w:t>电子送达流程、来院领取流程和邮寄送达流程）设计等方案</w:t>
            </w:r>
            <w:r>
              <w:rPr>
                <w:rFonts w:hint="eastAsia" w:ascii="Times New Roman" w:hAnsi="Times New Roman" w:cs="Times New Roman"/>
                <w:color w:val="auto"/>
                <w:sz w:val="21"/>
                <w:szCs w:val="21"/>
                <w:highlight w:val="none"/>
                <w:lang w:eastAsia="zh-CN"/>
              </w:rPr>
              <w:t>较</w:t>
            </w:r>
            <w:r>
              <w:rPr>
                <w:rFonts w:hint="default" w:ascii="Times New Roman" w:hAnsi="Times New Roman" w:cs="Times New Roman" w:eastAsiaTheme="minorEastAsia"/>
                <w:color w:val="auto"/>
                <w:sz w:val="21"/>
                <w:szCs w:val="21"/>
                <w:highlight w:val="none"/>
              </w:rPr>
              <w:t>先进、</w:t>
            </w:r>
            <w:r>
              <w:rPr>
                <w:rFonts w:hint="eastAsia" w:ascii="Times New Roman" w:hAnsi="Times New Roman" w:cs="Times New Roman"/>
                <w:color w:val="auto"/>
                <w:sz w:val="21"/>
                <w:szCs w:val="21"/>
                <w:highlight w:val="none"/>
                <w:lang w:eastAsia="zh-CN"/>
              </w:rPr>
              <w:t>较</w:t>
            </w:r>
            <w:r>
              <w:rPr>
                <w:rFonts w:hint="default" w:ascii="Times New Roman" w:hAnsi="Times New Roman" w:cs="Times New Roman" w:eastAsiaTheme="minorEastAsia"/>
                <w:color w:val="auto"/>
                <w:sz w:val="21"/>
                <w:szCs w:val="21"/>
                <w:highlight w:val="none"/>
              </w:rPr>
              <w:t>合理、</w:t>
            </w:r>
            <w:r>
              <w:rPr>
                <w:rFonts w:hint="eastAsia" w:ascii="Times New Roman" w:hAnsi="Times New Roman" w:cs="Times New Roman"/>
                <w:color w:val="auto"/>
                <w:sz w:val="21"/>
                <w:szCs w:val="21"/>
                <w:highlight w:val="none"/>
                <w:lang w:eastAsia="zh-CN"/>
              </w:rPr>
              <w:t>较</w:t>
            </w:r>
            <w:r>
              <w:rPr>
                <w:rFonts w:hint="default" w:ascii="Times New Roman" w:hAnsi="Times New Roman" w:cs="Times New Roman" w:eastAsiaTheme="minorEastAsia"/>
                <w:color w:val="auto"/>
                <w:sz w:val="21"/>
                <w:szCs w:val="21"/>
                <w:highlight w:val="none"/>
              </w:rPr>
              <w:t>完整</w:t>
            </w:r>
            <w:r>
              <w:rPr>
                <w:rFonts w:hint="eastAsia" w:ascii="Times New Roman" w:hAnsi="Times New Roman" w:cs="Times New Roman"/>
                <w:color w:val="auto"/>
                <w:sz w:val="21"/>
                <w:szCs w:val="21"/>
                <w:highlight w:val="none"/>
                <w:lang w:eastAsia="zh-CN"/>
              </w:rPr>
              <w:t>、基本</w:t>
            </w:r>
            <w:r>
              <w:rPr>
                <w:rFonts w:hint="default" w:ascii="Times New Roman" w:hAnsi="Times New Roman" w:cs="Times New Roman" w:eastAsiaTheme="minorEastAsia"/>
                <w:color w:val="auto"/>
                <w:sz w:val="21"/>
                <w:szCs w:val="21"/>
                <w:highlight w:val="none"/>
              </w:rPr>
              <w:t>符合国家相关标准和规范，</w:t>
            </w:r>
            <w:r>
              <w:rPr>
                <w:rFonts w:hint="eastAsia" w:ascii="Times New Roman" w:hAnsi="Times New Roman" w:cs="Times New Roman"/>
                <w:color w:val="auto"/>
                <w:sz w:val="21"/>
                <w:szCs w:val="21"/>
                <w:highlight w:val="none"/>
                <w:lang w:eastAsia="zh-CN"/>
              </w:rPr>
              <w:t>基本</w:t>
            </w:r>
            <w:r>
              <w:rPr>
                <w:rFonts w:hint="default" w:ascii="Times New Roman" w:hAnsi="Times New Roman" w:cs="Times New Roman" w:eastAsiaTheme="minorEastAsia"/>
                <w:color w:val="auto"/>
                <w:sz w:val="21"/>
                <w:szCs w:val="21"/>
                <w:highlight w:val="none"/>
              </w:rPr>
              <w:t>满足用户要求</w:t>
            </w:r>
            <w:r>
              <w:rPr>
                <w:rFonts w:hint="eastAsia" w:ascii="Times New Roman" w:hAnsi="Times New Roman" w:cs="Times New Roman"/>
                <w:color w:val="auto"/>
                <w:sz w:val="21"/>
                <w:szCs w:val="21"/>
                <w:highlight w:val="none"/>
                <w:lang w:eastAsia="zh-CN"/>
              </w:rPr>
              <w:t>的</w:t>
            </w:r>
            <w:r>
              <w:rPr>
                <w:rFonts w:hint="eastAsia" w:ascii="宋体" w:hAnsi="宋体" w:eastAsia="宋体" w:cs="宋体"/>
                <w:color w:val="auto"/>
                <w:sz w:val="21"/>
                <w:szCs w:val="21"/>
                <w:highlight w:val="none"/>
                <w:lang w:val="zh-CN"/>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分</w:t>
            </w:r>
            <w:r>
              <w:rPr>
                <w:rFonts w:hint="default" w:ascii="Times New Roman" w:hAnsi="Times New Roman" w:cs="Times New Roman" w:eastAsiaTheme="minorEastAsia"/>
                <w:color w:val="auto"/>
                <w:sz w:val="21"/>
                <w:szCs w:val="21"/>
                <w:highlight w:val="none"/>
              </w:rPr>
              <w:t>；</w:t>
            </w:r>
          </w:p>
          <w:p w14:paraId="5D2A7881">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集约送达业务模型、送达业务流程（</w:t>
            </w:r>
            <w:r>
              <w:rPr>
                <w:rFonts w:hint="eastAsia" w:ascii="Times New Roman" w:hAnsi="Times New Roman" w:cs="Times New Roman"/>
                <w:color w:val="auto"/>
                <w:sz w:val="21"/>
                <w:szCs w:val="21"/>
                <w:highlight w:val="none"/>
                <w:lang w:eastAsia="zh-CN"/>
              </w:rPr>
              <w:t>含</w:t>
            </w:r>
            <w:r>
              <w:rPr>
                <w:rFonts w:hint="default" w:ascii="Times New Roman" w:hAnsi="Times New Roman" w:cs="Times New Roman" w:eastAsiaTheme="minorEastAsia"/>
                <w:color w:val="auto"/>
                <w:sz w:val="21"/>
                <w:szCs w:val="21"/>
                <w:highlight w:val="none"/>
              </w:rPr>
              <w:t>电子送达流程、来院领取流程和邮寄送达流程）设计等方案先进性</w:t>
            </w:r>
            <w:r>
              <w:rPr>
                <w:rFonts w:hint="eastAsia" w:ascii="Times New Roman" w:hAnsi="Times New Roman" w:cs="Times New Roman"/>
                <w:color w:val="auto"/>
                <w:sz w:val="21"/>
                <w:szCs w:val="21"/>
                <w:highlight w:val="none"/>
                <w:lang w:eastAsia="zh-CN"/>
              </w:rPr>
              <w:t>差</w:t>
            </w:r>
            <w:r>
              <w:rPr>
                <w:rFonts w:hint="default" w:ascii="Times New Roman" w:hAnsi="Times New Roman" w:cs="Times New Roman" w:eastAsiaTheme="minorEastAsia"/>
                <w:color w:val="auto"/>
                <w:sz w:val="21"/>
                <w:szCs w:val="21"/>
                <w:highlight w:val="none"/>
              </w:rPr>
              <w:t>、合理性</w:t>
            </w:r>
            <w:r>
              <w:rPr>
                <w:rFonts w:hint="eastAsia" w:ascii="Times New Roman" w:hAnsi="Times New Roman" w:cs="Times New Roman"/>
                <w:color w:val="auto"/>
                <w:sz w:val="21"/>
                <w:szCs w:val="21"/>
                <w:highlight w:val="none"/>
                <w:lang w:eastAsia="zh-CN"/>
              </w:rPr>
              <w:t>差</w:t>
            </w:r>
            <w:r>
              <w:rPr>
                <w:rFonts w:hint="default" w:ascii="Times New Roman" w:hAnsi="Times New Roman" w:cs="Times New Roman" w:eastAsiaTheme="minorEastAsia"/>
                <w:color w:val="auto"/>
                <w:sz w:val="21"/>
                <w:szCs w:val="21"/>
                <w:highlight w:val="none"/>
              </w:rPr>
              <w:t>、完整性</w:t>
            </w:r>
            <w:r>
              <w:rPr>
                <w:rFonts w:hint="eastAsia" w:ascii="Times New Roman" w:hAnsi="Times New Roman" w:cs="Times New Roman"/>
                <w:color w:val="auto"/>
                <w:sz w:val="21"/>
                <w:szCs w:val="21"/>
                <w:highlight w:val="none"/>
                <w:lang w:eastAsia="zh-CN"/>
              </w:rPr>
              <w:t>差、不</w:t>
            </w:r>
            <w:r>
              <w:rPr>
                <w:rFonts w:hint="default" w:ascii="Times New Roman" w:hAnsi="Times New Roman" w:cs="Times New Roman" w:eastAsiaTheme="minorEastAsia"/>
                <w:color w:val="auto"/>
                <w:sz w:val="21"/>
                <w:szCs w:val="21"/>
                <w:highlight w:val="none"/>
              </w:rPr>
              <w:t>符合国家相关标准和规范，</w:t>
            </w:r>
            <w:r>
              <w:rPr>
                <w:rFonts w:hint="eastAsia" w:ascii="Times New Roman" w:hAnsi="Times New Roman" w:cs="Times New Roman"/>
                <w:color w:val="auto"/>
                <w:sz w:val="21"/>
                <w:szCs w:val="21"/>
                <w:highlight w:val="none"/>
                <w:lang w:eastAsia="zh-CN"/>
              </w:rPr>
              <w:t>不</w:t>
            </w:r>
            <w:r>
              <w:rPr>
                <w:rFonts w:hint="default" w:ascii="Times New Roman" w:hAnsi="Times New Roman" w:cs="Times New Roman" w:eastAsiaTheme="minorEastAsia"/>
                <w:color w:val="auto"/>
                <w:sz w:val="21"/>
                <w:szCs w:val="21"/>
                <w:highlight w:val="none"/>
              </w:rPr>
              <w:t>满足用户要求</w:t>
            </w:r>
            <w:r>
              <w:rPr>
                <w:rFonts w:hint="eastAsia" w:ascii="Times New Roman" w:hAnsi="Times New Roman" w:cs="Times New Roman"/>
                <w:color w:val="auto"/>
                <w:sz w:val="21"/>
                <w:szCs w:val="21"/>
                <w:highlight w:val="none"/>
                <w:lang w:eastAsia="zh-CN"/>
              </w:rPr>
              <w:t>的</w:t>
            </w:r>
            <w:r>
              <w:rPr>
                <w:rFonts w:hint="eastAsia" w:ascii="宋体" w:hAnsi="宋体" w:eastAsia="宋体" w:cs="宋体"/>
                <w:color w:val="auto"/>
                <w:sz w:val="21"/>
                <w:szCs w:val="21"/>
                <w:highlight w:val="none"/>
                <w:lang w:val="zh-CN"/>
              </w:rPr>
              <w:t>，得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分</w:t>
            </w:r>
            <w:r>
              <w:rPr>
                <w:rFonts w:hint="default" w:ascii="Times New Roman" w:hAnsi="Times New Roman" w:cs="Times New Roman" w:eastAsiaTheme="minorEastAsia"/>
                <w:color w:val="auto"/>
                <w:sz w:val="21"/>
                <w:szCs w:val="21"/>
                <w:highlight w:val="none"/>
              </w:rPr>
              <w:t>；</w:t>
            </w:r>
          </w:p>
          <w:p w14:paraId="4BECE81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宋体" w:hAnsi="宋体" w:eastAsia="宋体" w:cs="宋体"/>
                <w:color w:val="auto"/>
                <w:sz w:val="21"/>
                <w:szCs w:val="21"/>
                <w:highlight w:val="none"/>
                <w:lang w:val="en-US" w:eastAsia="zh-CN"/>
              </w:rPr>
              <w:t>4、不</w:t>
            </w:r>
            <w:r>
              <w:rPr>
                <w:rFonts w:hint="eastAsia" w:ascii="宋体" w:hAnsi="宋体" w:eastAsia="宋体" w:cs="宋体"/>
                <w:color w:val="auto"/>
                <w:sz w:val="21"/>
                <w:szCs w:val="21"/>
                <w:highlight w:val="none"/>
                <w:lang w:val="en-GB"/>
              </w:rPr>
              <w:t>提供不得分。</w:t>
            </w:r>
          </w:p>
        </w:tc>
      </w:tr>
      <w:tr w14:paraId="7F8A5C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6A501677">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274F1ABE">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综合送达管理平台解决方案</w:t>
            </w:r>
          </w:p>
          <w:p w14:paraId="2C159F41">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eastAsiaTheme="minorEastAsia"/>
                <w:color w:val="auto"/>
                <w:sz w:val="21"/>
                <w:szCs w:val="21"/>
                <w:highlight w:val="none"/>
              </w:rPr>
              <w:t>分</w:t>
            </w:r>
            <w:r>
              <w:rPr>
                <w:rFonts w:hint="eastAsia" w:ascii="Times New Roman" w:hAnsi="Times New Roman" w:cs="Times New Roman"/>
                <w:color w:val="auto"/>
                <w:sz w:val="21"/>
                <w:szCs w:val="21"/>
                <w:highlight w:val="none"/>
                <w:lang w:eastAsia="zh-CN"/>
              </w:rPr>
              <w:t>）</w:t>
            </w:r>
          </w:p>
        </w:tc>
        <w:tc>
          <w:tcPr>
            <w:tcW w:w="7030" w:type="dxa"/>
          </w:tcPr>
          <w:p w14:paraId="0FBFB5D2">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eastAsia="zh-CN"/>
              </w:rPr>
            </w:pPr>
            <w:r>
              <w:rPr>
                <w:rFonts w:hint="default" w:ascii="Times New Roman" w:hAnsi="Times New Roman" w:cs="Times New Roman" w:eastAsiaTheme="minorEastAsia"/>
                <w:color w:val="auto"/>
                <w:sz w:val="21"/>
                <w:szCs w:val="21"/>
                <w:highlight w:val="none"/>
              </w:rPr>
              <w:t>根据供应商提供的综合送达管理平台解决方案设计，包括</w:t>
            </w:r>
            <w:r>
              <w:rPr>
                <w:rFonts w:hint="eastAsia" w:ascii="Times New Roman" w:hAnsi="Times New Roman" w:cs="Times New Roman"/>
                <w:color w:val="auto"/>
                <w:sz w:val="21"/>
                <w:szCs w:val="21"/>
                <w:highlight w:val="none"/>
                <w:lang w:eastAsia="zh-CN"/>
              </w:rPr>
              <w:t>（发起送达、送达管理、送达办理、送达跟踪）等功能设计</w:t>
            </w:r>
            <w:r>
              <w:rPr>
                <w:rFonts w:hint="default" w:ascii="Times New Roman" w:hAnsi="Times New Roman" w:cs="Times New Roman" w:eastAsiaTheme="minorEastAsia"/>
                <w:color w:val="auto"/>
                <w:sz w:val="21"/>
                <w:szCs w:val="21"/>
                <w:highlight w:val="none"/>
              </w:rPr>
              <w:t>进行评审</w:t>
            </w:r>
            <w:r>
              <w:rPr>
                <w:rFonts w:hint="eastAsia" w:ascii="Times New Roman" w:hAnsi="Times New Roman" w:cs="Times New Roman"/>
                <w:color w:val="auto"/>
                <w:sz w:val="21"/>
                <w:szCs w:val="21"/>
                <w:highlight w:val="none"/>
                <w:lang w:eastAsia="zh-CN"/>
              </w:rPr>
              <w:t>：</w:t>
            </w:r>
          </w:p>
          <w:p w14:paraId="29D02615">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eastAsiaTheme="minorEastAsia"/>
                <w:color w:val="auto"/>
                <w:sz w:val="21"/>
                <w:szCs w:val="21"/>
                <w:highlight w:val="none"/>
              </w:rPr>
              <w:t>发起送达</w:t>
            </w:r>
            <w:r>
              <w:rPr>
                <w:rFonts w:hint="eastAsia" w:ascii="Times New Roman" w:hAnsi="Times New Roman" w:cs="Times New Roman"/>
                <w:color w:val="auto"/>
                <w:sz w:val="21"/>
                <w:szCs w:val="21"/>
                <w:highlight w:val="none"/>
                <w:lang w:eastAsia="zh-CN"/>
              </w:rPr>
              <w:t>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1676DC5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rPr>
              <w:t>送达管理</w:t>
            </w:r>
            <w:r>
              <w:rPr>
                <w:rFonts w:hint="eastAsia" w:ascii="Times New Roman" w:hAnsi="Times New Roman" w:cs="Times New Roman"/>
                <w:color w:val="auto"/>
                <w:sz w:val="21"/>
                <w:szCs w:val="21"/>
                <w:highlight w:val="none"/>
                <w:lang w:eastAsia="zh-CN"/>
              </w:rPr>
              <w:t>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6DA87FD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送达办理</w:t>
            </w:r>
            <w:r>
              <w:rPr>
                <w:rFonts w:hint="eastAsia" w:ascii="Times New Roman" w:hAnsi="Times New Roman" w:cs="Times New Roman"/>
                <w:color w:val="auto"/>
                <w:sz w:val="21"/>
                <w:szCs w:val="21"/>
                <w:highlight w:val="none"/>
                <w:lang w:eastAsia="zh-CN"/>
              </w:rPr>
              <w:t>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239F334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rPr>
              <w:t>送达跟踪</w:t>
            </w:r>
            <w:r>
              <w:rPr>
                <w:rFonts w:hint="eastAsia" w:ascii="Times New Roman" w:hAnsi="Times New Roman" w:cs="Times New Roman"/>
                <w:color w:val="auto"/>
                <w:sz w:val="21"/>
                <w:szCs w:val="21"/>
                <w:highlight w:val="none"/>
                <w:lang w:eastAsia="zh-CN"/>
              </w:rPr>
              <w:t>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697147A2">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注：本项最高得8分。</w:t>
            </w:r>
          </w:p>
        </w:tc>
      </w:tr>
      <w:tr w14:paraId="137C17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3D68E2DF">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5EDDDCA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集约送达服务方案</w:t>
            </w:r>
          </w:p>
          <w:p w14:paraId="2D653DF5">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eastAsiaTheme="minorEastAsia"/>
                <w:color w:val="auto"/>
                <w:sz w:val="21"/>
                <w:szCs w:val="21"/>
                <w:highlight w:val="none"/>
              </w:rPr>
              <w:t>分</w:t>
            </w:r>
            <w:r>
              <w:rPr>
                <w:rFonts w:hint="eastAsia" w:ascii="Times New Roman" w:hAnsi="Times New Roman" w:cs="Times New Roman"/>
                <w:color w:val="auto"/>
                <w:sz w:val="21"/>
                <w:szCs w:val="21"/>
                <w:highlight w:val="none"/>
                <w:lang w:eastAsia="zh-CN"/>
              </w:rPr>
              <w:t>）</w:t>
            </w:r>
          </w:p>
        </w:tc>
        <w:tc>
          <w:tcPr>
            <w:tcW w:w="7030" w:type="dxa"/>
            <w:vAlign w:val="top"/>
          </w:tcPr>
          <w:p w14:paraId="381C9BC4">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eastAsia="zh-CN"/>
              </w:rPr>
            </w:pPr>
            <w:r>
              <w:rPr>
                <w:rFonts w:hint="default" w:ascii="Times New Roman" w:hAnsi="Times New Roman" w:cs="Times New Roman" w:eastAsiaTheme="minorEastAsia"/>
                <w:color w:val="auto"/>
                <w:sz w:val="21"/>
                <w:szCs w:val="21"/>
                <w:highlight w:val="none"/>
              </w:rPr>
              <w:t>根据供应商提供</w:t>
            </w:r>
            <w:r>
              <w:rPr>
                <w:rFonts w:hint="default" w:ascii="Times New Roman" w:hAnsi="Times New Roman" w:cs="Times New Roman" w:eastAsiaTheme="minorEastAsia"/>
                <w:color w:val="auto"/>
                <w:kern w:val="0"/>
                <w:sz w:val="21"/>
                <w:szCs w:val="21"/>
                <w:highlight w:val="none"/>
              </w:rPr>
              <w:t>针对线上线下两种送达服务分别描述集约送达服务方案</w:t>
            </w:r>
            <w:r>
              <w:rPr>
                <w:rFonts w:hint="default" w:ascii="Times New Roman" w:hAnsi="Times New Roman" w:cs="Times New Roman" w:eastAsiaTheme="minorEastAsia"/>
                <w:color w:val="auto"/>
                <w:sz w:val="21"/>
                <w:szCs w:val="21"/>
                <w:highlight w:val="none"/>
              </w:rPr>
              <w:t>进行评审</w:t>
            </w:r>
            <w:r>
              <w:rPr>
                <w:rFonts w:hint="default" w:ascii="Times New Roman" w:hAnsi="Times New Roman" w:cs="Times New Roman"/>
                <w:color w:val="auto"/>
                <w:sz w:val="21"/>
                <w:szCs w:val="21"/>
                <w:highlight w:val="none"/>
                <w:lang w:eastAsia="zh-CN"/>
              </w:rPr>
              <w:t>：</w:t>
            </w:r>
          </w:p>
          <w:p w14:paraId="1A418C55">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eastAsia="zh-CN"/>
              </w:rPr>
              <w:t>线上电子送达服务方案：</w:t>
            </w:r>
          </w:p>
          <w:p w14:paraId="3434A442">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eastAsia="zh-CN"/>
              </w:rPr>
              <w:t>）电话送达方案合理的得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1B343841">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eastAsia="zh-CN"/>
              </w:rPr>
              <w:t>）短信送达方案合理的得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1CFE921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eastAsia="zh-CN"/>
              </w:rPr>
              <w:t>线下送达服务方案：</w:t>
            </w:r>
          </w:p>
          <w:p w14:paraId="73452B43">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eastAsia="zh-CN"/>
              </w:rPr>
              <w:t>）来院领取方案合理的得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3FAE6E05">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eastAsia="zh-CN"/>
              </w:rPr>
              <w:t>）邮寄送达方案合理的得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24FA7605">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注：本项最高得8分。</w:t>
            </w:r>
          </w:p>
        </w:tc>
      </w:tr>
      <w:tr w14:paraId="748386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3A0C4F89">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3EF9AD8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送达地址库管理服务</w:t>
            </w:r>
          </w:p>
          <w:p w14:paraId="5410DD6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（6分）</w:t>
            </w:r>
          </w:p>
        </w:tc>
        <w:tc>
          <w:tcPr>
            <w:tcW w:w="7030" w:type="dxa"/>
          </w:tcPr>
          <w:p w14:paraId="6E0B3C8A">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eastAsia="zh-CN"/>
              </w:rPr>
            </w:pPr>
            <w:r>
              <w:rPr>
                <w:rFonts w:hint="default" w:ascii="Times New Roman" w:hAnsi="Times New Roman" w:cs="Times New Roman" w:eastAsiaTheme="minorEastAsia"/>
                <w:color w:val="auto"/>
                <w:sz w:val="21"/>
                <w:szCs w:val="21"/>
                <w:highlight w:val="none"/>
              </w:rPr>
              <w:t>根据供应商提供的送达地址管理提供服务方案</w:t>
            </w:r>
            <w:r>
              <w:rPr>
                <w:rFonts w:hint="eastAsia" w:ascii="Times New Roman" w:hAnsi="Times New Roman" w:cs="Times New Roman"/>
                <w:color w:val="auto"/>
                <w:sz w:val="21"/>
                <w:szCs w:val="21"/>
                <w:highlight w:val="none"/>
                <w:lang w:eastAsia="zh-CN"/>
              </w:rPr>
              <w:t>，包括（地址分类管理服务、建立地址库规范化服务、地址信息采集服务等）</w:t>
            </w:r>
            <w:r>
              <w:rPr>
                <w:rFonts w:hint="default" w:ascii="Times New Roman" w:hAnsi="Times New Roman" w:cs="Times New Roman" w:eastAsiaTheme="minorEastAsia"/>
                <w:color w:val="auto"/>
                <w:sz w:val="21"/>
                <w:szCs w:val="21"/>
                <w:highlight w:val="none"/>
              </w:rPr>
              <w:t>进行评审</w:t>
            </w:r>
            <w:r>
              <w:rPr>
                <w:rFonts w:hint="eastAsia" w:ascii="Times New Roman" w:hAnsi="Times New Roman" w:cs="Times New Roman"/>
                <w:color w:val="auto"/>
                <w:sz w:val="21"/>
                <w:szCs w:val="21"/>
                <w:highlight w:val="none"/>
                <w:lang w:eastAsia="zh-CN"/>
              </w:rPr>
              <w:t>：</w:t>
            </w:r>
          </w:p>
          <w:p w14:paraId="67FFE53E">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eastAsia="zh-CN"/>
              </w:rPr>
              <w:t>地址分类管理服务方案合理的得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5886C57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eastAsia="zh-CN"/>
              </w:rPr>
              <w:t>建立地址库规范化服务方案合理的得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6E99A0B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r>
              <w:rPr>
                <w:rFonts w:hint="eastAsia" w:ascii="Times New Roman" w:hAnsi="Times New Roman" w:cs="Times New Roman"/>
                <w:color w:val="auto"/>
                <w:sz w:val="21"/>
                <w:szCs w:val="21"/>
                <w:highlight w:val="none"/>
                <w:lang w:eastAsia="zh-CN"/>
              </w:rPr>
              <w:t>地址信息采集服务方案合理的得</w:t>
            </w:r>
            <w:r>
              <w:rPr>
                <w:rFonts w:hint="eastAsia" w:ascii="Times New Roman" w:hAnsi="Times New Roman" w:cs="Times New Roman"/>
                <w:color w:val="auto"/>
                <w:sz w:val="21"/>
                <w:szCs w:val="21"/>
                <w:highlight w:val="none"/>
                <w:lang w:val="en-US" w:eastAsia="zh-CN"/>
              </w:rPr>
              <w:t>2分，方案一般的得1分，</w:t>
            </w:r>
            <w:r>
              <w:rPr>
                <w:rFonts w:hint="eastAsia" w:ascii="Times New Roman" w:hAnsi="Times New Roman" w:cs="Times New Roman"/>
                <w:color w:val="auto"/>
                <w:sz w:val="21"/>
                <w:szCs w:val="21"/>
                <w:highlight w:val="none"/>
                <w:lang w:eastAsia="zh-CN"/>
              </w:rPr>
              <w:t>方案</w:t>
            </w:r>
            <w:r>
              <w:rPr>
                <w:rFonts w:hint="eastAsia" w:ascii="Times New Roman" w:hAnsi="Times New Roman" w:cs="Times New Roman"/>
                <w:color w:val="auto"/>
                <w:sz w:val="21"/>
                <w:szCs w:val="21"/>
                <w:highlight w:val="none"/>
                <w:lang w:val="en-US" w:eastAsia="zh-CN"/>
              </w:rPr>
              <w:t>不合理的不得分，本小项最高得2分。</w:t>
            </w:r>
          </w:p>
          <w:p w14:paraId="67054578">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注：本项最高得6分。</w:t>
            </w:r>
          </w:p>
        </w:tc>
      </w:tr>
      <w:tr w14:paraId="1C87A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6B223525">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3DA3450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项目管理及组织措施方案</w:t>
            </w:r>
          </w:p>
          <w:p w14:paraId="3C6098F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分</w:t>
            </w:r>
            <w:r>
              <w:rPr>
                <w:rFonts w:hint="eastAsia" w:ascii="Times New Roman" w:hAnsi="Times New Roman" w:cs="Times New Roman"/>
                <w:color w:val="auto"/>
                <w:sz w:val="21"/>
                <w:szCs w:val="21"/>
                <w:highlight w:val="none"/>
                <w:lang w:eastAsia="zh-CN"/>
              </w:rPr>
              <w:t>）</w:t>
            </w:r>
          </w:p>
        </w:tc>
        <w:tc>
          <w:tcPr>
            <w:tcW w:w="7030" w:type="dxa"/>
          </w:tcPr>
          <w:p w14:paraId="4A85CE2D">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根据供应商提供的项目管理及组织措施方案进行评审：包含但不限于①项目进度计划②内部管理架构③管理规章制度；每项1分，共计3分，每有一项缺项的扣1分，每有一项内容不完整或有缺陷的扣0.5分，扣完为止，未提供不得分。</w:t>
            </w:r>
          </w:p>
          <w:p w14:paraId="60ED58C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注：内容不完整或有缺陷是指：非专门针对本项目或不适用本项目需求的情形、套用其他项目方案、内容前后矛盾、涉及的规范及标准错误等及其他情形。</w:t>
            </w:r>
          </w:p>
        </w:tc>
      </w:tr>
      <w:tr w14:paraId="7E3B6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2AA346A2">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026BF67A">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培训方案</w:t>
            </w:r>
          </w:p>
          <w:p w14:paraId="3A162A5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分</w:t>
            </w:r>
            <w:r>
              <w:rPr>
                <w:rFonts w:hint="eastAsia" w:ascii="Times New Roman" w:hAnsi="Times New Roman" w:cs="Times New Roman"/>
                <w:color w:val="auto"/>
                <w:sz w:val="21"/>
                <w:szCs w:val="21"/>
                <w:highlight w:val="none"/>
                <w:lang w:eastAsia="zh-CN"/>
              </w:rPr>
              <w:t>）</w:t>
            </w:r>
          </w:p>
        </w:tc>
        <w:tc>
          <w:tcPr>
            <w:tcW w:w="7030" w:type="dxa"/>
          </w:tcPr>
          <w:p w14:paraId="1CE29BB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根据供应商提供的培训方案进行评审：包含但不限于①内部培训②法院端培训③员工培训管理制度；上述方案进行综合评议，每项1分，共计3分，每有一项缺项的扣1分，每有一项内容不完整或有缺陷的扣0.5分，最低得</w:t>
            </w:r>
            <w:r>
              <w:rPr>
                <w:rFonts w:hint="eastAsia" w:ascii="Times New Roman" w:hAnsi="Times New Roman" w:cs="Times New Roman"/>
                <w:color w:val="auto"/>
                <w:sz w:val="21"/>
                <w:szCs w:val="21"/>
                <w:highlight w:val="none"/>
                <w:lang w:val="en-US" w:eastAsia="zh-CN"/>
              </w:rPr>
              <w:t>0分</w:t>
            </w:r>
            <w:r>
              <w:rPr>
                <w:rFonts w:hint="eastAsia" w:ascii="Times New Roman" w:hAnsi="Times New Roman" w:cs="Times New Roman"/>
                <w:color w:val="auto"/>
                <w:sz w:val="21"/>
                <w:szCs w:val="21"/>
                <w:highlight w:val="none"/>
                <w:lang w:eastAsia="zh-CN"/>
              </w:rPr>
              <w:t>，未提供不得分。</w:t>
            </w:r>
          </w:p>
          <w:p w14:paraId="0F542E5D">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注：内容不完整或有缺陷是指：非专门针对本项目或不适用本项目需求的情形、套用其他项目方案、内容前后矛盾、涉及的规范及标准错误等及其他情形。</w:t>
            </w:r>
          </w:p>
        </w:tc>
      </w:tr>
      <w:tr w14:paraId="0C713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14B02411">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63A19DD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项目安全保密措施</w:t>
            </w:r>
          </w:p>
          <w:p w14:paraId="1953463D">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分</w:t>
            </w:r>
            <w:r>
              <w:rPr>
                <w:rFonts w:hint="eastAsia" w:ascii="Times New Roman" w:hAnsi="Times New Roman" w:cs="Times New Roman"/>
                <w:color w:val="auto"/>
                <w:sz w:val="21"/>
                <w:szCs w:val="21"/>
                <w:highlight w:val="none"/>
                <w:lang w:eastAsia="zh-CN"/>
              </w:rPr>
              <w:t>）</w:t>
            </w:r>
          </w:p>
        </w:tc>
        <w:tc>
          <w:tcPr>
            <w:tcW w:w="7030" w:type="dxa"/>
          </w:tcPr>
          <w:p w14:paraId="714C46A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根据供应商提供的安全保密方案进行评审：包含但不限于①保密安全管理制度②保密安全管理规范③保密安全管理措施④保密安全承诺；上述方案进行综合评议，每项1分，共计3分，每有一项缺项的扣1分，每有一项内容不完整或有缺陷的扣0.5分，最低得</w:t>
            </w:r>
            <w:r>
              <w:rPr>
                <w:rFonts w:hint="eastAsia" w:ascii="Times New Roman" w:hAnsi="Times New Roman" w:cs="Times New Roman"/>
                <w:color w:val="auto"/>
                <w:sz w:val="21"/>
                <w:szCs w:val="21"/>
                <w:highlight w:val="none"/>
                <w:lang w:val="en-US" w:eastAsia="zh-CN"/>
              </w:rPr>
              <w:t>0分</w:t>
            </w:r>
            <w:r>
              <w:rPr>
                <w:rFonts w:hint="eastAsia" w:ascii="Times New Roman" w:hAnsi="Times New Roman" w:cs="Times New Roman"/>
                <w:color w:val="auto"/>
                <w:sz w:val="21"/>
                <w:szCs w:val="21"/>
                <w:highlight w:val="none"/>
                <w:lang w:eastAsia="zh-CN"/>
              </w:rPr>
              <w:t>，未提供不得分。</w:t>
            </w:r>
          </w:p>
          <w:p w14:paraId="026B2BFD">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注：内容不完整或有缺陷是指：非专门针对本项目或不适用本项目需求的情形、套用其他项目方案、内容前后矛盾、涉及的规范及标准错误等及其他情形。</w:t>
            </w:r>
          </w:p>
        </w:tc>
      </w:tr>
      <w:tr w14:paraId="2CFA3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36B78EA0">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31355033">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人力资源保障措施</w:t>
            </w:r>
          </w:p>
          <w:p w14:paraId="5188190A">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eastAsiaTheme="minorEastAsia"/>
                <w:color w:val="auto"/>
                <w:sz w:val="21"/>
                <w:szCs w:val="21"/>
                <w:highlight w:val="none"/>
              </w:rPr>
              <w:t>分</w:t>
            </w:r>
            <w:r>
              <w:rPr>
                <w:rFonts w:hint="eastAsia" w:ascii="Times New Roman" w:hAnsi="Times New Roman" w:cs="Times New Roman"/>
                <w:color w:val="auto"/>
                <w:sz w:val="21"/>
                <w:szCs w:val="21"/>
                <w:highlight w:val="none"/>
                <w:lang w:eastAsia="zh-CN"/>
              </w:rPr>
              <w:t>）</w:t>
            </w:r>
          </w:p>
        </w:tc>
        <w:tc>
          <w:tcPr>
            <w:tcW w:w="7030" w:type="dxa"/>
            <w:vAlign w:val="top"/>
          </w:tcPr>
          <w:p w14:paraId="1E4B8A1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根据供应商提供的人力资源保障措施方案进行评审：包含但不限于①员工入离职管理制度②薪酬制度规范③员工晋升机制④员工奖惩制度⑤绩效管理办法；每项1分，共计5分，每有一项缺项的扣1分，每有一项内容不完整或有缺陷的扣0.5分，扣完为止，未提供不得分。</w:t>
            </w:r>
          </w:p>
          <w:p w14:paraId="48857F0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注：内容不完整或有缺陷是指：非专门针对本项目或不适用本项目需求的情形、套用其他项目方案、内容前后矛盾、涉及的规范及标准错误等及其他情形。</w:t>
            </w:r>
          </w:p>
        </w:tc>
      </w:tr>
      <w:tr w14:paraId="6C553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121E59B2">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5DA497A9">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应急情况处理方案</w:t>
            </w:r>
          </w:p>
          <w:p w14:paraId="61E06D5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rPr>
              <w:t>分</w:t>
            </w:r>
            <w:r>
              <w:rPr>
                <w:rFonts w:hint="eastAsia" w:ascii="Times New Roman" w:hAnsi="Times New Roman" w:cs="Times New Roman"/>
                <w:color w:val="auto"/>
                <w:sz w:val="21"/>
                <w:szCs w:val="21"/>
                <w:highlight w:val="none"/>
                <w:lang w:eastAsia="zh-CN"/>
              </w:rPr>
              <w:t>）</w:t>
            </w:r>
          </w:p>
        </w:tc>
        <w:tc>
          <w:tcPr>
            <w:tcW w:w="7030" w:type="dxa"/>
          </w:tcPr>
          <w:p w14:paraId="1306DA74">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根据供应商提供的应急情况处理方案进行评审：包含但不限于①应急事项的处理流程和处理方法②日常预防机制；每项2分，共计4分，每有一项缺项的扣2分，每有一项内容不完整或有缺陷的扣1分，最低得</w:t>
            </w:r>
            <w:r>
              <w:rPr>
                <w:rFonts w:hint="eastAsia" w:ascii="Times New Roman" w:hAnsi="Times New Roman" w:cs="Times New Roman"/>
                <w:color w:val="auto"/>
                <w:sz w:val="21"/>
                <w:szCs w:val="21"/>
                <w:highlight w:val="none"/>
                <w:lang w:val="en-US" w:eastAsia="zh-CN"/>
              </w:rPr>
              <w:t>0分</w:t>
            </w:r>
            <w:r>
              <w:rPr>
                <w:rFonts w:hint="eastAsia" w:ascii="Times New Roman" w:hAnsi="Times New Roman" w:cs="Times New Roman"/>
                <w:color w:val="auto"/>
                <w:sz w:val="21"/>
                <w:szCs w:val="21"/>
                <w:highlight w:val="none"/>
                <w:lang w:eastAsia="zh-CN"/>
              </w:rPr>
              <w:t>，未提供不得分。</w:t>
            </w:r>
          </w:p>
          <w:p w14:paraId="26218431">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注：内容不完整或有缺陷是指：非专门针对本项目或不适用本项目需求的情形、套用其他项目方案、内容前后矛盾、涉及的规范及标准错误等及其他情形。</w:t>
            </w:r>
          </w:p>
        </w:tc>
      </w:tr>
      <w:tr w14:paraId="7D16DE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1BAECC64">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0878DB48">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系统优化承诺</w:t>
            </w:r>
          </w:p>
          <w:p w14:paraId="32FD3EE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rPr>
              <w:t>分</w:t>
            </w:r>
            <w:r>
              <w:rPr>
                <w:rFonts w:hint="eastAsia" w:ascii="Times New Roman" w:hAnsi="Times New Roman" w:cs="Times New Roman"/>
                <w:color w:val="auto"/>
                <w:sz w:val="21"/>
                <w:szCs w:val="21"/>
                <w:highlight w:val="none"/>
                <w:lang w:eastAsia="zh-CN"/>
              </w:rPr>
              <w:t>）</w:t>
            </w:r>
          </w:p>
        </w:tc>
        <w:tc>
          <w:tcPr>
            <w:tcW w:w="7030" w:type="dxa"/>
          </w:tcPr>
          <w:p w14:paraId="57641AC9">
            <w:pPr>
              <w:keepNext w:val="0"/>
              <w:keepLines w:val="0"/>
              <w:pageBreakBefore w:val="0"/>
              <w:kinsoku/>
              <w:wordWrap/>
              <w:overflowPunct/>
              <w:topLinePunct w:val="0"/>
              <w:autoSpaceDE/>
              <w:autoSpaceDN/>
              <w:bidi w:val="0"/>
              <w:adjustRightInd/>
              <w:snapToGrid/>
              <w:spacing w:line="360" w:lineRule="atLeast"/>
              <w:ind w:left="0" w:leftChars="0"/>
              <w:jc w:val="left"/>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根据供应商</w:t>
            </w:r>
            <w:r>
              <w:rPr>
                <w:rFonts w:hint="eastAsia" w:ascii="宋体" w:hAnsi="宋体" w:eastAsia="宋体" w:cs="宋体"/>
                <w:color w:val="auto"/>
                <w:sz w:val="21"/>
                <w:szCs w:val="21"/>
                <w:highlight w:val="none"/>
                <w:lang w:val="en-US" w:eastAsia="zh-CN"/>
              </w:rPr>
              <w:t>提供的系统优化承诺，包括</w:t>
            </w:r>
            <w:r>
              <w:rPr>
                <w:rFonts w:hint="eastAsia" w:ascii="Times New Roman" w:hAnsi="Times New Roman" w:cs="Times New Roman"/>
                <w:color w:val="auto"/>
                <w:sz w:val="21"/>
                <w:szCs w:val="21"/>
                <w:highlight w:val="none"/>
                <w:lang w:val="en-US" w:eastAsia="zh-CN"/>
              </w:rPr>
              <w:t>送达平台应具备修改、优化的功能，能根据采购人需求，并配合采购人无纸化改革、收集相关主体确认送达地址信息的要求，提供优化系统操作（譬如优化发起界面、简化流转环节、优化一键发起、信息回填、信息回传等功能）、创建可共享送达信息库的服务，同时可协调审判、执行系统同步优化等承诺</w:t>
            </w:r>
            <w:r>
              <w:rPr>
                <w:rFonts w:hint="eastAsia" w:ascii="宋体" w:hAnsi="宋体" w:eastAsia="宋体" w:cs="宋体"/>
                <w:color w:val="auto"/>
                <w:sz w:val="21"/>
                <w:szCs w:val="21"/>
                <w:highlight w:val="none"/>
                <w:lang w:val="zh-CN" w:eastAsia="zh-CN"/>
              </w:rPr>
              <w:t>进行评审：</w:t>
            </w:r>
          </w:p>
          <w:p w14:paraId="22BB2E9A">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1、承诺内容完整、可行性高、</w:t>
            </w:r>
            <w:r>
              <w:rPr>
                <w:rFonts w:hint="eastAsia" w:ascii="宋体" w:hAnsi="宋体" w:eastAsia="宋体" w:cs="宋体"/>
                <w:color w:val="auto"/>
                <w:sz w:val="21"/>
                <w:szCs w:val="21"/>
                <w:highlight w:val="none"/>
                <w:lang w:val="zh-CN"/>
              </w:rPr>
              <w:t>满足要求的，得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分</w:t>
            </w:r>
            <w:r>
              <w:rPr>
                <w:rFonts w:hint="default" w:ascii="Times New Roman" w:hAnsi="Times New Roman" w:cs="Times New Roman" w:eastAsiaTheme="minorEastAsia"/>
                <w:color w:val="auto"/>
                <w:sz w:val="21"/>
                <w:szCs w:val="21"/>
                <w:highlight w:val="none"/>
              </w:rPr>
              <w:t>；</w:t>
            </w:r>
          </w:p>
          <w:p w14:paraId="68B3E08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eastAsia="zh-CN"/>
              </w:rPr>
              <w:t>承诺内容较完整、可行性较高、基本满足要求的，得</w:t>
            </w:r>
            <w:r>
              <w:rPr>
                <w:rFonts w:hint="eastAsia" w:ascii="Times New Roman" w:hAnsi="Times New Roman" w:cs="Times New Roman"/>
                <w:color w:val="auto"/>
                <w:sz w:val="21"/>
                <w:szCs w:val="21"/>
                <w:highlight w:val="none"/>
                <w:lang w:val="en-US" w:eastAsia="zh-CN"/>
              </w:rPr>
              <w:t>3</w:t>
            </w:r>
            <w:r>
              <w:rPr>
                <w:rFonts w:hint="eastAsia" w:ascii="Times New Roman" w:hAnsi="Times New Roman" w:cs="Times New Roman"/>
                <w:color w:val="auto"/>
                <w:sz w:val="21"/>
                <w:szCs w:val="21"/>
                <w:highlight w:val="none"/>
                <w:lang w:eastAsia="zh-CN"/>
              </w:rPr>
              <w:t>分；</w:t>
            </w:r>
          </w:p>
          <w:p w14:paraId="334EE2CB">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3、</w:t>
            </w:r>
            <w:r>
              <w:rPr>
                <w:rFonts w:hint="eastAsia" w:ascii="Times New Roman" w:hAnsi="Times New Roman" w:cs="Times New Roman"/>
                <w:color w:val="auto"/>
                <w:sz w:val="21"/>
                <w:szCs w:val="21"/>
                <w:highlight w:val="none"/>
                <w:lang w:eastAsia="zh-CN"/>
              </w:rPr>
              <w:t>承诺内容完整性一般、可行性一般、不满足要求的，得2分</w:t>
            </w:r>
            <w:r>
              <w:rPr>
                <w:rFonts w:hint="default" w:ascii="Times New Roman" w:hAnsi="Times New Roman" w:cs="Times New Roman" w:eastAsiaTheme="minorEastAsia"/>
                <w:color w:val="auto"/>
                <w:sz w:val="21"/>
                <w:szCs w:val="21"/>
                <w:highlight w:val="none"/>
              </w:rPr>
              <w:t>；</w:t>
            </w:r>
          </w:p>
          <w:p w14:paraId="79170DF1">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r>
              <w:rPr>
                <w:rFonts w:hint="eastAsia" w:ascii="Times New Roman" w:hAnsi="Times New Roman" w:cs="Times New Roman"/>
                <w:color w:val="auto"/>
                <w:sz w:val="21"/>
                <w:szCs w:val="21"/>
                <w:highlight w:val="none"/>
                <w:lang w:eastAsia="zh-CN"/>
              </w:rPr>
              <w:t>承诺内容不完整、可行性差的、不满足要求的，得1分</w:t>
            </w:r>
            <w:r>
              <w:rPr>
                <w:rFonts w:hint="default" w:ascii="Times New Roman" w:hAnsi="Times New Roman" w:cs="Times New Roman"/>
                <w:color w:val="auto"/>
                <w:sz w:val="21"/>
                <w:szCs w:val="21"/>
                <w:highlight w:val="none"/>
                <w:lang w:val="en-US" w:eastAsia="zh-CN"/>
              </w:rPr>
              <w:t>；</w:t>
            </w:r>
          </w:p>
          <w:p w14:paraId="7EAFB2D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5、不</w:t>
            </w:r>
            <w:r>
              <w:rPr>
                <w:rFonts w:hint="eastAsia" w:ascii="Times New Roman" w:hAnsi="Times New Roman" w:cs="Times New Roman"/>
                <w:color w:val="auto"/>
                <w:sz w:val="21"/>
                <w:szCs w:val="21"/>
                <w:highlight w:val="none"/>
                <w:lang w:val="en-GB" w:eastAsia="zh-CN"/>
              </w:rPr>
              <w:t>提供不得分。</w:t>
            </w:r>
          </w:p>
        </w:tc>
      </w:tr>
      <w:tr w14:paraId="6744E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restart"/>
          </w:tcPr>
          <w:p w14:paraId="1DCCF52B">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商务部分</w:t>
            </w:r>
          </w:p>
        </w:tc>
        <w:tc>
          <w:tcPr>
            <w:tcW w:w="1580" w:type="dxa"/>
            <w:vAlign w:val="center"/>
          </w:tcPr>
          <w:p w14:paraId="646F128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管理体系认证（</w:t>
            </w:r>
            <w:r>
              <w:rPr>
                <w:rFonts w:hint="eastAsia" w:ascii="Times New Roman" w:hAnsi="Times New Roman" w:cs="Times New Roman"/>
                <w:color w:val="auto"/>
                <w:sz w:val="21"/>
                <w:szCs w:val="21"/>
                <w:highlight w:val="none"/>
                <w:lang w:val="en-US" w:eastAsia="zh-CN"/>
              </w:rPr>
              <w:t>4分</w:t>
            </w:r>
            <w:r>
              <w:rPr>
                <w:rFonts w:hint="eastAsia" w:ascii="Times New Roman" w:hAnsi="Times New Roman" w:cs="Times New Roman"/>
                <w:color w:val="auto"/>
                <w:sz w:val="21"/>
                <w:szCs w:val="21"/>
                <w:highlight w:val="none"/>
                <w:lang w:eastAsia="zh-CN"/>
              </w:rPr>
              <w:t>）</w:t>
            </w:r>
          </w:p>
        </w:tc>
        <w:tc>
          <w:tcPr>
            <w:tcW w:w="7030" w:type="dxa"/>
          </w:tcPr>
          <w:p w14:paraId="2FA9F37D">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eastAsia="zh-CN"/>
              </w:rPr>
              <w:t>根据</w:t>
            </w:r>
            <w:r>
              <w:rPr>
                <w:rFonts w:hint="default" w:ascii="Times New Roman" w:hAnsi="Times New Roman" w:cs="Times New Roman" w:eastAsiaTheme="minorEastAsia"/>
                <w:color w:val="auto"/>
                <w:sz w:val="21"/>
                <w:szCs w:val="21"/>
                <w:highlight w:val="none"/>
              </w:rPr>
              <w:t>供应商</w:t>
            </w:r>
            <w:r>
              <w:rPr>
                <w:rFonts w:hint="eastAsia" w:ascii="Times New Roman" w:hAnsi="Times New Roman" w:cs="Times New Roman"/>
                <w:color w:val="auto"/>
                <w:sz w:val="21"/>
                <w:szCs w:val="21"/>
                <w:highlight w:val="none"/>
                <w:lang w:eastAsia="zh-CN"/>
              </w:rPr>
              <w:t>提供的管理体系认证证书进行评审</w:t>
            </w:r>
            <w:r>
              <w:rPr>
                <w:rFonts w:hint="default" w:ascii="Times New Roman" w:hAnsi="Times New Roman" w:cs="Times New Roman" w:eastAsiaTheme="minorEastAsia"/>
                <w:color w:val="auto"/>
                <w:sz w:val="21"/>
                <w:szCs w:val="21"/>
                <w:highlight w:val="none"/>
              </w:rPr>
              <w:t>：</w:t>
            </w:r>
          </w:p>
          <w:p w14:paraId="5C00510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eastAsiaTheme="minorEastAsia"/>
                <w:color w:val="auto"/>
                <w:sz w:val="21"/>
                <w:szCs w:val="21"/>
                <w:highlight w:val="none"/>
              </w:rPr>
              <w:t>信息技术服务管理体系认证证书</w:t>
            </w:r>
            <w:r>
              <w:rPr>
                <w:rFonts w:hint="eastAsia" w:ascii="Times New Roman" w:hAnsi="Times New Roman" w:cs="Times New Roman"/>
                <w:color w:val="auto"/>
                <w:sz w:val="21"/>
                <w:szCs w:val="21"/>
                <w:highlight w:val="none"/>
                <w:lang w:eastAsia="zh-CN"/>
              </w:rPr>
              <w:t>；</w:t>
            </w:r>
          </w:p>
          <w:p w14:paraId="422305E5">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rPr>
              <w:t>信息安全管理体系认证证书</w:t>
            </w:r>
            <w:r>
              <w:rPr>
                <w:rFonts w:hint="eastAsia" w:ascii="Times New Roman" w:hAnsi="Times New Roman" w:cs="Times New Roman"/>
                <w:color w:val="auto"/>
                <w:sz w:val="21"/>
                <w:szCs w:val="21"/>
                <w:highlight w:val="none"/>
                <w:lang w:eastAsia="zh-CN"/>
              </w:rPr>
              <w:t>；</w:t>
            </w:r>
          </w:p>
          <w:p w14:paraId="146BED7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rPr>
              <w:t>服务质量评价体系认证证书</w:t>
            </w:r>
            <w:r>
              <w:rPr>
                <w:rFonts w:hint="eastAsia" w:ascii="Times New Roman" w:hAnsi="Times New Roman" w:cs="Times New Roman"/>
                <w:color w:val="auto"/>
                <w:sz w:val="21"/>
                <w:szCs w:val="21"/>
                <w:highlight w:val="none"/>
                <w:lang w:eastAsia="zh-CN"/>
              </w:rPr>
              <w:t>；</w:t>
            </w:r>
          </w:p>
          <w:p w14:paraId="01AF4CA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Times New Roman" w:hAnsi="Times New Roman" w:cs="Times New Roman" w:eastAsiaTheme="minorEastAsia"/>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rPr>
              <w:t>企业社会责任管理体系认证证书</w:t>
            </w:r>
            <w:r>
              <w:rPr>
                <w:rFonts w:hint="eastAsia" w:ascii="Times New Roman" w:hAnsi="Times New Roman" w:cs="Times New Roman"/>
                <w:color w:val="auto"/>
                <w:sz w:val="21"/>
                <w:szCs w:val="21"/>
                <w:highlight w:val="none"/>
                <w:lang w:eastAsia="zh-CN"/>
              </w:rPr>
              <w:t>；</w:t>
            </w:r>
          </w:p>
          <w:p w14:paraId="5DD4AFB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每提供1项得1分，未提供不得分。</w:t>
            </w:r>
          </w:p>
          <w:p w14:paraId="17C3CFBC">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注：须提供有效的证书复印件作为证明材料，并加盖供应商公章。</w:t>
            </w:r>
          </w:p>
        </w:tc>
      </w:tr>
      <w:tr w14:paraId="7949FC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684" w:type="dxa"/>
            <w:vMerge w:val="continue"/>
          </w:tcPr>
          <w:p w14:paraId="7318E39B">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Merge w:val="restart"/>
            <w:vAlign w:val="center"/>
          </w:tcPr>
          <w:p w14:paraId="592AE2F1">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拟派的项目经理和人员证书情况</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11分</w:t>
            </w:r>
            <w:r>
              <w:rPr>
                <w:rFonts w:hint="eastAsia" w:ascii="宋体" w:hAnsi="宋体" w:eastAsia="宋体" w:cs="宋体"/>
                <w:color w:val="auto"/>
                <w:sz w:val="21"/>
                <w:szCs w:val="21"/>
                <w:highlight w:val="none"/>
                <w:lang w:eastAsia="zh-CN"/>
              </w:rPr>
              <w:t>）</w:t>
            </w:r>
          </w:p>
        </w:tc>
        <w:tc>
          <w:tcPr>
            <w:tcW w:w="7030" w:type="dxa"/>
            <w:vAlign w:val="center"/>
          </w:tcPr>
          <w:p w14:paraId="622A8AA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eastAsia="zh-CN" w:bidi="ar"/>
              </w:rPr>
              <w:t>根据供应商</w:t>
            </w:r>
            <w:r>
              <w:rPr>
                <w:rFonts w:hint="eastAsia" w:ascii="宋体" w:hAnsi="宋体" w:eastAsia="宋体" w:cs="宋体"/>
                <w:color w:val="auto"/>
                <w:sz w:val="21"/>
                <w:szCs w:val="21"/>
                <w:highlight w:val="none"/>
                <w:lang w:bidi="ar"/>
              </w:rPr>
              <w:t>拟投入</w:t>
            </w:r>
            <w:r>
              <w:rPr>
                <w:rFonts w:hint="eastAsia" w:ascii="宋体" w:hAnsi="宋体" w:eastAsia="宋体" w:cs="宋体"/>
                <w:color w:val="auto"/>
                <w:sz w:val="21"/>
                <w:szCs w:val="21"/>
                <w:highlight w:val="none"/>
                <w:lang w:eastAsia="zh-CN" w:bidi="ar"/>
              </w:rPr>
              <w:t>到</w:t>
            </w:r>
            <w:r>
              <w:rPr>
                <w:rFonts w:hint="eastAsia" w:ascii="宋体" w:hAnsi="宋体" w:eastAsia="宋体" w:cs="宋体"/>
                <w:color w:val="auto"/>
                <w:sz w:val="21"/>
                <w:szCs w:val="21"/>
                <w:highlight w:val="none"/>
                <w:lang w:bidi="ar"/>
              </w:rPr>
              <w:t>本项目</w:t>
            </w:r>
            <w:r>
              <w:rPr>
                <w:rFonts w:hint="eastAsia" w:ascii="宋体" w:hAnsi="宋体" w:eastAsia="宋体" w:cs="宋体"/>
                <w:color w:val="auto"/>
                <w:sz w:val="21"/>
                <w:szCs w:val="21"/>
                <w:highlight w:val="none"/>
                <w:lang w:eastAsia="zh-CN" w:bidi="ar"/>
              </w:rPr>
              <w:t>中</w:t>
            </w:r>
            <w:r>
              <w:rPr>
                <w:rFonts w:hint="eastAsia" w:ascii="宋体" w:hAnsi="宋体" w:eastAsia="宋体" w:cs="宋体"/>
                <w:color w:val="auto"/>
                <w:sz w:val="21"/>
                <w:szCs w:val="21"/>
                <w:highlight w:val="none"/>
                <w:lang w:bidi="ar"/>
              </w:rPr>
              <w:t>的项目经理（仅限一人）</w:t>
            </w:r>
            <w:r>
              <w:rPr>
                <w:rFonts w:hint="eastAsia" w:ascii="宋体" w:hAnsi="宋体" w:eastAsia="宋体" w:cs="宋体"/>
                <w:color w:val="auto"/>
                <w:sz w:val="21"/>
                <w:szCs w:val="21"/>
                <w:highlight w:val="none"/>
                <w:lang w:eastAsia="zh-CN" w:bidi="ar"/>
              </w:rPr>
              <w:t>进行评审</w:t>
            </w:r>
            <w:r>
              <w:rPr>
                <w:rFonts w:hint="eastAsia" w:ascii="宋体" w:hAnsi="宋体" w:eastAsia="宋体" w:cs="宋体"/>
                <w:color w:val="auto"/>
                <w:sz w:val="21"/>
                <w:szCs w:val="21"/>
                <w:highlight w:val="none"/>
                <w:lang w:bidi="ar"/>
              </w:rPr>
              <w:t>：</w:t>
            </w:r>
          </w:p>
          <w:p w14:paraId="674B1BF7">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bidi="ar"/>
              </w:rPr>
              <w:t>具有项目管理专业人士</w:t>
            </w:r>
            <w:r>
              <w:rPr>
                <w:rFonts w:hint="eastAsia" w:ascii="宋体" w:hAnsi="宋体" w:eastAsia="宋体" w:cs="宋体"/>
                <w:color w:val="auto"/>
                <w:sz w:val="21"/>
                <w:szCs w:val="21"/>
                <w:highlight w:val="none"/>
                <w:lang w:eastAsia="zh-CN" w:bidi="ar"/>
              </w:rPr>
              <w:t>类</w:t>
            </w:r>
            <w:r>
              <w:rPr>
                <w:rFonts w:hint="eastAsia" w:ascii="宋体" w:hAnsi="宋体" w:eastAsia="宋体" w:cs="宋体"/>
                <w:color w:val="auto"/>
                <w:sz w:val="21"/>
                <w:szCs w:val="21"/>
                <w:highlight w:val="none"/>
                <w:lang w:bidi="ar"/>
              </w:rPr>
              <w:t>资格认证证书，得2分；</w:t>
            </w:r>
          </w:p>
          <w:p w14:paraId="614E4DD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bidi="ar"/>
              </w:rPr>
              <w:t>具有安全保密管理员证书</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bidi="ar"/>
              </w:rPr>
              <w:t>，得1分；</w:t>
            </w:r>
          </w:p>
          <w:p w14:paraId="315FCDB7">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val="en-US" w:eastAsia="zh-CN" w:bidi="ar"/>
              </w:rPr>
              <w:t>3、</w:t>
            </w:r>
            <w:r>
              <w:rPr>
                <w:rFonts w:hint="eastAsia" w:ascii="宋体" w:hAnsi="宋体" w:eastAsia="宋体" w:cs="宋体"/>
                <w:color w:val="auto"/>
                <w:sz w:val="21"/>
                <w:szCs w:val="21"/>
                <w:highlight w:val="none"/>
                <w:lang w:bidi="ar"/>
              </w:rPr>
              <w:t>具有国家信息安全水平认证证书</w:t>
            </w:r>
            <w:r>
              <w:rPr>
                <w:rFonts w:hint="eastAsia" w:ascii="宋体" w:hAnsi="宋体" w:eastAsia="宋体" w:cs="宋体"/>
                <w:color w:val="auto"/>
                <w:sz w:val="21"/>
                <w:szCs w:val="21"/>
                <w:highlight w:val="none"/>
                <w:lang w:eastAsia="zh-CN" w:bidi="ar"/>
              </w:rPr>
              <w:t>（三级或以上）</w:t>
            </w:r>
            <w:r>
              <w:rPr>
                <w:rFonts w:hint="eastAsia" w:ascii="宋体" w:hAnsi="宋体" w:eastAsia="宋体" w:cs="宋体"/>
                <w:color w:val="auto"/>
                <w:sz w:val="21"/>
                <w:szCs w:val="21"/>
                <w:highlight w:val="none"/>
                <w:lang w:bidi="ar"/>
              </w:rPr>
              <w:t>，得1分；</w:t>
            </w:r>
          </w:p>
          <w:p w14:paraId="52632E19">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注：本项最高得4分，提供不全或未提供不得分。项目经理需提供相关证件证明材料复印件并提供人员在投标单位服务近半年</w:t>
            </w:r>
            <w:r>
              <w:rPr>
                <w:rFonts w:hint="eastAsia" w:ascii="宋体" w:hAnsi="宋体" w:eastAsia="宋体" w:cs="宋体"/>
                <w:color w:val="auto"/>
                <w:sz w:val="21"/>
                <w:szCs w:val="21"/>
                <w:highlight w:val="none"/>
                <w:lang w:eastAsia="zh-CN" w:bidi="ar"/>
              </w:rPr>
              <w:t>（即</w:t>
            </w:r>
            <w:r>
              <w:rPr>
                <w:rFonts w:hint="eastAsia" w:ascii="宋体" w:hAnsi="宋体" w:eastAsia="宋体" w:cs="宋体"/>
                <w:color w:val="auto"/>
                <w:sz w:val="21"/>
                <w:szCs w:val="21"/>
                <w:highlight w:val="none"/>
                <w:lang w:val="en-US" w:eastAsia="zh-CN" w:bidi="ar"/>
              </w:rPr>
              <w:t>2024年1月至2024年6月</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任意一个月</w:t>
            </w:r>
            <w:r>
              <w:rPr>
                <w:rFonts w:hint="eastAsia" w:ascii="宋体" w:hAnsi="宋体" w:eastAsia="宋体" w:cs="宋体"/>
                <w:color w:val="auto"/>
                <w:sz w:val="21"/>
                <w:szCs w:val="21"/>
                <w:highlight w:val="none"/>
                <w:lang w:eastAsia="zh-CN" w:bidi="ar"/>
              </w:rPr>
              <w:t>的</w:t>
            </w:r>
            <w:r>
              <w:rPr>
                <w:rFonts w:hint="eastAsia" w:ascii="宋体" w:hAnsi="宋体" w:eastAsia="宋体" w:cs="宋体"/>
                <w:color w:val="auto"/>
                <w:sz w:val="21"/>
                <w:szCs w:val="21"/>
                <w:highlight w:val="none"/>
                <w:lang w:bidi="ar"/>
              </w:rPr>
              <w:t>社保证明</w:t>
            </w:r>
            <w:r>
              <w:rPr>
                <w:rFonts w:hint="eastAsia" w:ascii="宋体" w:hAnsi="宋体" w:eastAsia="宋体" w:cs="宋体"/>
                <w:color w:val="auto"/>
                <w:sz w:val="21"/>
                <w:szCs w:val="21"/>
                <w:highlight w:val="none"/>
                <w:lang w:eastAsia="zh-CN" w:bidi="ar"/>
              </w:rPr>
              <w:t>，加盖供应商公章</w:t>
            </w:r>
            <w:r>
              <w:rPr>
                <w:rFonts w:hint="eastAsia" w:ascii="宋体" w:hAnsi="宋体" w:eastAsia="宋体" w:cs="宋体"/>
                <w:color w:val="auto"/>
                <w:sz w:val="21"/>
                <w:szCs w:val="21"/>
                <w:highlight w:val="none"/>
                <w:lang w:bidi="ar"/>
              </w:rPr>
              <w:t>，不提供不得分。</w:t>
            </w:r>
          </w:p>
        </w:tc>
      </w:tr>
      <w:tr w14:paraId="280DF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684" w:type="dxa"/>
            <w:vMerge w:val="continue"/>
          </w:tcPr>
          <w:p w14:paraId="4B22BBE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color w:val="auto"/>
                <w:highlight w:val="none"/>
              </w:rPr>
            </w:pPr>
          </w:p>
        </w:tc>
        <w:tc>
          <w:tcPr>
            <w:tcW w:w="1580" w:type="dxa"/>
            <w:vMerge w:val="continue"/>
            <w:vAlign w:val="center"/>
          </w:tcPr>
          <w:p w14:paraId="33555B7A">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宋体" w:hAnsi="宋体" w:eastAsia="宋体" w:cs="宋体"/>
                <w:color w:val="auto"/>
                <w:sz w:val="21"/>
                <w:szCs w:val="21"/>
                <w:highlight w:val="none"/>
              </w:rPr>
            </w:pPr>
          </w:p>
        </w:tc>
        <w:tc>
          <w:tcPr>
            <w:tcW w:w="7030" w:type="dxa"/>
            <w:vAlign w:val="center"/>
          </w:tcPr>
          <w:p w14:paraId="3281568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eastAsia="zh-CN" w:bidi="ar"/>
              </w:rPr>
              <w:t>根据供应商</w:t>
            </w:r>
            <w:r>
              <w:rPr>
                <w:rFonts w:hint="eastAsia" w:ascii="宋体" w:hAnsi="宋体" w:eastAsia="宋体" w:cs="宋体"/>
                <w:color w:val="auto"/>
                <w:sz w:val="21"/>
                <w:szCs w:val="21"/>
                <w:highlight w:val="none"/>
                <w:lang w:bidi="ar"/>
              </w:rPr>
              <w:t>拟投入</w:t>
            </w:r>
            <w:r>
              <w:rPr>
                <w:rFonts w:hint="eastAsia" w:ascii="宋体" w:hAnsi="宋体" w:eastAsia="宋体" w:cs="宋体"/>
                <w:color w:val="auto"/>
                <w:sz w:val="21"/>
                <w:szCs w:val="21"/>
                <w:highlight w:val="none"/>
                <w:lang w:eastAsia="zh-CN" w:bidi="ar"/>
              </w:rPr>
              <w:t>到</w:t>
            </w:r>
            <w:r>
              <w:rPr>
                <w:rFonts w:hint="eastAsia" w:ascii="宋体" w:hAnsi="宋体" w:eastAsia="宋体" w:cs="宋体"/>
                <w:color w:val="auto"/>
                <w:sz w:val="21"/>
                <w:szCs w:val="21"/>
                <w:highlight w:val="none"/>
                <w:lang w:bidi="ar"/>
              </w:rPr>
              <w:t>本项目</w:t>
            </w:r>
            <w:r>
              <w:rPr>
                <w:rFonts w:hint="eastAsia" w:ascii="宋体" w:hAnsi="宋体" w:eastAsia="宋体" w:cs="宋体"/>
                <w:color w:val="auto"/>
                <w:sz w:val="21"/>
                <w:szCs w:val="21"/>
                <w:highlight w:val="none"/>
                <w:lang w:eastAsia="zh-CN" w:bidi="ar"/>
              </w:rPr>
              <w:t>中</w:t>
            </w:r>
            <w:r>
              <w:rPr>
                <w:rFonts w:hint="eastAsia" w:ascii="宋体" w:hAnsi="宋体" w:eastAsia="宋体" w:cs="宋体"/>
                <w:color w:val="auto"/>
                <w:sz w:val="21"/>
                <w:szCs w:val="21"/>
                <w:highlight w:val="none"/>
                <w:lang w:bidi="ar"/>
              </w:rPr>
              <w:t>的驻场服务主管（仅限一人）</w:t>
            </w:r>
            <w:r>
              <w:rPr>
                <w:rFonts w:hint="eastAsia" w:ascii="宋体" w:hAnsi="宋体" w:eastAsia="宋体" w:cs="宋体"/>
                <w:color w:val="auto"/>
                <w:sz w:val="21"/>
                <w:szCs w:val="21"/>
                <w:highlight w:val="none"/>
                <w:lang w:eastAsia="zh-CN" w:bidi="ar"/>
              </w:rPr>
              <w:t>进行评审</w:t>
            </w:r>
            <w:r>
              <w:rPr>
                <w:rFonts w:hint="eastAsia" w:ascii="宋体" w:hAnsi="宋体" w:eastAsia="宋体" w:cs="宋体"/>
                <w:color w:val="auto"/>
                <w:sz w:val="21"/>
                <w:szCs w:val="21"/>
                <w:highlight w:val="none"/>
                <w:lang w:bidi="ar"/>
              </w:rPr>
              <w:t>：</w:t>
            </w:r>
          </w:p>
          <w:p w14:paraId="1EC7AA64">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（1）具有法学、计算机或人力资源专业本科及以上学历得1分，未提供不得分；</w:t>
            </w:r>
          </w:p>
          <w:p w14:paraId="6BCA1E4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（2）具有法律职业资格证书（A）证的，得2分；未提供不得分。（提供通过证书编号在司法部政务服务平台</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"http://www.moj.gov.cn/"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lang w:bidi="ar"/>
              </w:rPr>
              <w:t>http://www.moj.gov.cn/</w:t>
            </w:r>
            <w:r>
              <w:rPr>
                <w:rFonts w:hint="eastAsia" w:ascii="宋体" w:hAnsi="宋体" w:eastAsia="宋体" w:cs="宋体"/>
                <w:color w:val="auto"/>
                <w:sz w:val="21"/>
                <w:szCs w:val="21"/>
                <w:highlight w:val="none"/>
                <w:lang w:bidi="ar"/>
              </w:rPr>
              <w:fldChar w:fldCharType="end"/>
            </w:r>
            <w:r>
              <w:rPr>
                <w:rFonts w:hint="eastAsia" w:ascii="宋体" w:hAnsi="宋体" w:eastAsia="宋体" w:cs="宋体"/>
                <w:color w:val="auto"/>
                <w:sz w:val="21"/>
                <w:szCs w:val="21"/>
                <w:highlight w:val="none"/>
                <w:lang w:bidi="ar"/>
              </w:rPr>
              <w:t xml:space="preserve"> 法律职业资格信息查询的截图）</w:t>
            </w:r>
            <w:r>
              <w:rPr>
                <w:rFonts w:hint="eastAsia" w:ascii="宋体" w:hAnsi="宋体" w:eastAsia="宋体" w:cs="宋体"/>
                <w:color w:val="auto"/>
                <w:sz w:val="21"/>
                <w:szCs w:val="21"/>
                <w:highlight w:val="none"/>
                <w:lang w:eastAsia="zh-CN" w:bidi="ar"/>
              </w:rPr>
              <w:t>；</w:t>
            </w:r>
          </w:p>
          <w:p w14:paraId="378DE74D">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（3）具有保密教育培训证书的，得1分</w:t>
            </w:r>
            <w:r>
              <w:rPr>
                <w:rFonts w:hint="eastAsia" w:ascii="宋体" w:hAnsi="宋体" w:eastAsia="宋体" w:cs="宋体"/>
                <w:color w:val="auto"/>
                <w:sz w:val="21"/>
                <w:szCs w:val="21"/>
                <w:highlight w:val="none"/>
                <w:lang w:eastAsia="zh-CN" w:bidi="ar"/>
              </w:rPr>
              <w:t>。</w:t>
            </w:r>
          </w:p>
          <w:p w14:paraId="0379F922">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注：本项最高得</w:t>
            </w:r>
            <w:r>
              <w:rPr>
                <w:rFonts w:hint="eastAsia" w:ascii="宋体" w:hAnsi="宋体" w:eastAsia="宋体" w:cs="宋体"/>
                <w:color w:val="auto"/>
                <w:sz w:val="21"/>
                <w:szCs w:val="21"/>
                <w:highlight w:val="none"/>
                <w:lang w:val="en-US" w:eastAsia="zh-CN" w:bidi="ar"/>
              </w:rPr>
              <w:t>4</w:t>
            </w:r>
            <w:r>
              <w:rPr>
                <w:rFonts w:hint="eastAsia" w:ascii="宋体" w:hAnsi="宋体" w:eastAsia="宋体" w:cs="宋体"/>
                <w:color w:val="auto"/>
                <w:sz w:val="21"/>
                <w:szCs w:val="21"/>
                <w:highlight w:val="none"/>
                <w:lang w:bidi="ar"/>
              </w:rPr>
              <w:t>分，驻场服务主管需提供相关证件证明材料复印件并提供人员在投标单位服务近半年</w:t>
            </w:r>
            <w:r>
              <w:rPr>
                <w:rFonts w:hint="eastAsia" w:ascii="宋体" w:hAnsi="宋体" w:eastAsia="宋体" w:cs="宋体"/>
                <w:color w:val="auto"/>
                <w:sz w:val="21"/>
                <w:szCs w:val="21"/>
                <w:highlight w:val="none"/>
                <w:lang w:eastAsia="zh-CN" w:bidi="ar"/>
              </w:rPr>
              <w:t>（即</w:t>
            </w:r>
            <w:r>
              <w:rPr>
                <w:rFonts w:hint="eastAsia" w:ascii="宋体" w:hAnsi="宋体" w:eastAsia="宋体" w:cs="宋体"/>
                <w:color w:val="auto"/>
                <w:sz w:val="21"/>
                <w:szCs w:val="21"/>
                <w:highlight w:val="none"/>
                <w:lang w:val="en-US" w:eastAsia="zh-CN" w:bidi="ar"/>
              </w:rPr>
              <w:t>2024年1月至2024年6月</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任意一个月</w:t>
            </w:r>
            <w:r>
              <w:rPr>
                <w:rFonts w:hint="eastAsia" w:ascii="宋体" w:hAnsi="宋体" w:eastAsia="宋体" w:cs="宋体"/>
                <w:color w:val="auto"/>
                <w:sz w:val="21"/>
                <w:szCs w:val="21"/>
                <w:highlight w:val="none"/>
                <w:lang w:eastAsia="zh-CN" w:bidi="ar"/>
              </w:rPr>
              <w:t>的</w:t>
            </w:r>
            <w:r>
              <w:rPr>
                <w:rFonts w:hint="eastAsia" w:ascii="宋体" w:hAnsi="宋体" w:eastAsia="宋体" w:cs="宋体"/>
                <w:color w:val="auto"/>
                <w:sz w:val="21"/>
                <w:szCs w:val="21"/>
                <w:highlight w:val="none"/>
                <w:lang w:bidi="ar"/>
              </w:rPr>
              <w:t>社保证明</w:t>
            </w:r>
            <w:r>
              <w:rPr>
                <w:rFonts w:hint="eastAsia" w:ascii="宋体" w:hAnsi="宋体" w:eastAsia="宋体" w:cs="宋体"/>
                <w:color w:val="auto"/>
                <w:sz w:val="21"/>
                <w:szCs w:val="21"/>
                <w:highlight w:val="none"/>
                <w:lang w:eastAsia="zh-CN" w:bidi="ar"/>
              </w:rPr>
              <w:t>，加盖供应商公章</w:t>
            </w:r>
            <w:r>
              <w:rPr>
                <w:rFonts w:hint="eastAsia" w:ascii="宋体" w:hAnsi="宋体" w:eastAsia="宋体" w:cs="宋体"/>
                <w:color w:val="auto"/>
                <w:sz w:val="21"/>
                <w:szCs w:val="21"/>
                <w:highlight w:val="none"/>
                <w:lang w:bidi="ar"/>
              </w:rPr>
              <w:t>，不提供者不得分。</w:t>
            </w:r>
          </w:p>
        </w:tc>
      </w:tr>
      <w:tr w14:paraId="0415D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684" w:type="dxa"/>
            <w:vMerge w:val="continue"/>
          </w:tcPr>
          <w:p w14:paraId="371AA076">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p>
        </w:tc>
        <w:tc>
          <w:tcPr>
            <w:tcW w:w="1580" w:type="dxa"/>
            <w:vMerge w:val="continue"/>
            <w:vAlign w:val="center"/>
          </w:tcPr>
          <w:p w14:paraId="5E830700">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eastAsia" w:ascii="宋体" w:hAnsi="宋体" w:eastAsia="宋体" w:cs="宋体"/>
                <w:color w:val="auto"/>
                <w:sz w:val="21"/>
                <w:szCs w:val="21"/>
                <w:highlight w:val="none"/>
              </w:rPr>
            </w:pPr>
          </w:p>
        </w:tc>
        <w:tc>
          <w:tcPr>
            <w:tcW w:w="7030" w:type="dxa"/>
            <w:vAlign w:val="center"/>
          </w:tcPr>
          <w:p w14:paraId="312B6628">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根据供应商</w:t>
            </w:r>
            <w:r>
              <w:rPr>
                <w:rFonts w:hint="eastAsia" w:ascii="宋体" w:hAnsi="宋体" w:eastAsia="宋体" w:cs="宋体"/>
                <w:color w:val="auto"/>
                <w:sz w:val="21"/>
                <w:szCs w:val="21"/>
                <w:highlight w:val="none"/>
              </w:rPr>
              <w:t>拟投入</w:t>
            </w:r>
            <w:r>
              <w:rPr>
                <w:rFonts w:hint="eastAsia" w:ascii="宋体" w:hAnsi="宋体" w:eastAsia="宋体" w:cs="宋体"/>
                <w:color w:val="auto"/>
                <w:sz w:val="21"/>
                <w:szCs w:val="21"/>
                <w:highlight w:val="none"/>
                <w:lang w:eastAsia="zh-CN"/>
              </w:rPr>
              <w:t>到</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中</w:t>
            </w:r>
            <w:r>
              <w:rPr>
                <w:rFonts w:hint="eastAsia" w:ascii="宋体" w:hAnsi="宋体" w:eastAsia="宋体" w:cs="宋体"/>
                <w:color w:val="auto"/>
                <w:sz w:val="21"/>
                <w:szCs w:val="21"/>
                <w:highlight w:val="none"/>
              </w:rPr>
              <w:t>的驻场服务人员</w:t>
            </w:r>
            <w:r>
              <w:rPr>
                <w:rFonts w:hint="eastAsia" w:ascii="宋体" w:hAnsi="宋体" w:eastAsia="宋体" w:cs="宋体"/>
                <w:color w:val="auto"/>
                <w:sz w:val="21"/>
                <w:szCs w:val="21"/>
                <w:highlight w:val="none"/>
                <w:lang w:eastAsia="zh-CN"/>
              </w:rPr>
              <w:t>进行评审</w:t>
            </w:r>
            <w:r>
              <w:rPr>
                <w:rFonts w:hint="eastAsia" w:ascii="宋体" w:hAnsi="宋体" w:eastAsia="宋体" w:cs="宋体"/>
                <w:color w:val="auto"/>
                <w:sz w:val="21"/>
                <w:szCs w:val="21"/>
                <w:highlight w:val="none"/>
              </w:rPr>
              <w:t>：</w:t>
            </w:r>
          </w:p>
          <w:p w14:paraId="59D975BE">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同时具有全日制本科及以上学历证书和保密教育培训证书的，每提供一名得1分，最高3分，未提供不得分；</w:t>
            </w:r>
          </w:p>
          <w:p w14:paraId="79DD5763">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说明：本项最高得3分，驻场服务人员需提供相关证件证明材料复印件并提供人员在投标单位服务的在职证明</w:t>
            </w:r>
            <w:r>
              <w:rPr>
                <w:rFonts w:hint="eastAsia" w:ascii="宋体" w:hAnsi="宋体" w:eastAsia="宋体" w:cs="宋体"/>
                <w:color w:val="auto"/>
                <w:sz w:val="21"/>
                <w:szCs w:val="21"/>
                <w:highlight w:val="none"/>
                <w:lang w:bidi="ar"/>
              </w:rPr>
              <w:t>（近半年</w:t>
            </w:r>
            <w:r>
              <w:rPr>
                <w:rFonts w:hint="eastAsia" w:ascii="宋体" w:hAnsi="宋体" w:eastAsia="宋体" w:cs="宋体"/>
                <w:color w:val="auto"/>
                <w:sz w:val="21"/>
                <w:szCs w:val="21"/>
                <w:highlight w:val="none"/>
                <w:lang w:eastAsia="zh-CN" w:bidi="ar"/>
              </w:rPr>
              <w:t>（即</w:t>
            </w:r>
            <w:r>
              <w:rPr>
                <w:rFonts w:hint="eastAsia" w:ascii="宋体" w:hAnsi="宋体" w:eastAsia="宋体" w:cs="宋体"/>
                <w:color w:val="auto"/>
                <w:sz w:val="21"/>
                <w:szCs w:val="21"/>
                <w:highlight w:val="none"/>
                <w:lang w:val="en-US" w:eastAsia="zh-CN" w:bidi="ar"/>
              </w:rPr>
              <w:t>2024年1月至2024年6月</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bidi="ar"/>
              </w:rPr>
              <w:t>任意一个月社保证明）</w:t>
            </w:r>
            <w:r>
              <w:rPr>
                <w:rFonts w:hint="eastAsia" w:ascii="宋体" w:hAnsi="宋体" w:eastAsia="宋体" w:cs="宋体"/>
                <w:color w:val="auto"/>
                <w:sz w:val="21"/>
                <w:szCs w:val="21"/>
                <w:highlight w:val="none"/>
                <w:lang w:eastAsia="zh-CN" w:bidi="ar"/>
              </w:rPr>
              <w:t>加盖供应商公章</w:t>
            </w:r>
            <w:r>
              <w:rPr>
                <w:rFonts w:hint="eastAsia" w:ascii="宋体" w:hAnsi="宋体" w:eastAsia="宋体" w:cs="宋体"/>
                <w:color w:val="auto"/>
                <w:sz w:val="21"/>
                <w:szCs w:val="21"/>
                <w:highlight w:val="none"/>
                <w:lang w:bidi="ar"/>
              </w:rPr>
              <w:t>，不提供者不得分。</w:t>
            </w:r>
          </w:p>
        </w:tc>
      </w:tr>
      <w:tr w14:paraId="6D149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6FC73D6E">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5B1BAF5A">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信息安全保障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3分</w:t>
            </w:r>
            <w:r>
              <w:rPr>
                <w:rFonts w:hint="eastAsia" w:ascii="宋体" w:hAnsi="宋体" w:eastAsia="宋体" w:cs="宋体"/>
                <w:color w:val="auto"/>
                <w:sz w:val="21"/>
                <w:szCs w:val="21"/>
                <w:highlight w:val="none"/>
                <w:lang w:eastAsia="zh-CN"/>
              </w:rPr>
              <w:t>）</w:t>
            </w:r>
          </w:p>
        </w:tc>
        <w:tc>
          <w:tcPr>
            <w:tcW w:w="7030" w:type="dxa"/>
            <w:vAlign w:val="center"/>
          </w:tcPr>
          <w:p w14:paraId="12CE754E">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eastAsia="zh-CN"/>
              </w:rPr>
              <w:t>具有</w:t>
            </w:r>
            <w:r>
              <w:rPr>
                <w:rFonts w:hint="eastAsia" w:ascii="宋体" w:hAnsi="宋体" w:eastAsia="宋体" w:cs="宋体"/>
                <w:color w:val="auto"/>
                <w:sz w:val="21"/>
                <w:szCs w:val="21"/>
                <w:highlight w:val="none"/>
              </w:rPr>
              <w:t>保密行政管理部门颁发的乙级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或以上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国家秘密载体印制资质的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得3分，不提供者不得分。</w:t>
            </w:r>
          </w:p>
          <w:p w14:paraId="45891E0E">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注：提供相关证书复印件并加盖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公章，不提供或提供的认证证书不符合要求的不得分。</w:t>
            </w:r>
          </w:p>
        </w:tc>
      </w:tr>
      <w:tr w14:paraId="4F692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2AE9A74A">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78849A1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技术实施能力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tc>
        <w:tc>
          <w:tcPr>
            <w:tcW w:w="7030" w:type="dxa"/>
            <w:vAlign w:val="top"/>
          </w:tcPr>
          <w:p w14:paraId="4FB76D0B">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服务自带软件著作权证书情况进行评审：</w:t>
            </w:r>
          </w:p>
          <w:p w14:paraId="0F5A817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综合送达管理系统类似系统软件</w:t>
            </w:r>
            <w:r>
              <w:rPr>
                <w:rFonts w:hint="eastAsia" w:ascii="宋体" w:hAnsi="宋体" w:eastAsia="宋体" w:cs="宋体"/>
                <w:color w:val="auto"/>
                <w:sz w:val="21"/>
                <w:szCs w:val="21"/>
                <w:highlight w:val="none"/>
                <w:lang w:eastAsia="zh-CN"/>
              </w:rPr>
              <w:t>；</w:t>
            </w:r>
          </w:p>
          <w:p w14:paraId="2FF670DC">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智慧送达服务终端类似系统软件</w:t>
            </w:r>
            <w:r>
              <w:rPr>
                <w:rFonts w:hint="eastAsia" w:ascii="宋体" w:hAnsi="宋体" w:eastAsia="宋体" w:cs="宋体"/>
                <w:color w:val="auto"/>
                <w:sz w:val="21"/>
                <w:szCs w:val="21"/>
                <w:highlight w:val="none"/>
                <w:lang w:eastAsia="zh-CN"/>
              </w:rPr>
              <w:t>；</w:t>
            </w:r>
          </w:p>
          <w:p w14:paraId="00AE68A2">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外出送达统一调度平台类似系统软件</w:t>
            </w:r>
            <w:r>
              <w:rPr>
                <w:rFonts w:hint="eastAsia" w:ascii="宋体" w:hAnsi="宋体" w:eastAsia="宋体" w:cs="宋体"/>
                <w:color w:val="auto"/>
                <w:sz w:val="21"/>
                <w:szCs w:val="21"/>
                <w:highlight w:val="none"/>
                <w:lang w:eastAsia="zh-CN"/>
              </w:rPr>
              <w:t>；</w:t>
            </w:r>
          </w:p>
          <w:p w14:paraId="09204269">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司法辅助事务集约化管理类似系统</w:t>
            </w:r>
            <w:r>
              <w:rPr>
                <w:rFonts w:hint="eastAsia" w:ascii="宋体" w:hAnsi="宋体" w:eastAsia="宋体" w:cs="宋体"/>
                <w:color w:val="auto"/>
                <w:sz w:val="21"/>
                <w:szCs w:val="21"/>
                <w:highlight w:val="none"/>
                <w:lang w:eastAsia="zh-CN"/>
              </w:rPr>
              <w:t>；</w:t>
            </w:r>
          </w:p>
          <w:p w14:paraId="29970CC5">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司法辅助事务数据可视化展示平台类似系统；</w:t>
            </w:r>
          </w:p>
          <w:p w14:paraId="118098CF">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每提供1个类似软件著作权证书得1分，最高得5分；</w:t>
            </w:r>
          </w:p>
          <w:p w14:paraId="617EBDF8">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注：</w:t>
            </w:r>
          </w:p>
          <w:p w14:paraId="4F51CE29">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1、属于供应商自有的：需提供①计算机软件著作权登记证书复印件，证书著作权人名称须与投标供应商名称一致； </w:t>
            </w:r>
          </w:p>
          <w:p w14:paraId="18AB01D0">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2、属于供应商购买的，需提供①计算机软件著作权登记证书复印件；②购买合同复印件； </w:t>
            </w:r>
          </w:p>
          <w:p w14:paraId="4DC8E188">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3、属于供应商取得授权使用许可的，需提供①计算机软件著作权登记证书复印件；②授权许可使用合同复印件；</w:t>
            </w:r>
          </w:p>
          <w:p w14:paraId="7CB1E50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4、提供以上相关证明材料复印件并加盖投标人公章，未按要求提供或提供不齐全不得分。</w:t>
            </w:r>
          </w:p>
          <w:p w14:paraId="10C27156">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5、多个计算机软件著作权登记证书包含内容重复的，只计算一次分值。</w:t>
            </w:r>
          </w:p>
        </w:tc>
      </w:tr>
      <w:tr w14:paraId="7C937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17" w:hRule="atLeast"/>
        </w:trPr>
        <w:tc>
          <w:tcPr>
            <w:tcW w:w="684" w:type="dxa"/>
            <w:vMerge w:val="continue"/>
          </w:tcPr>
          <w:p w14:paraId="52A96AFC">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Merge w:val="restart"/>
            <w:vAlign w:val="center"/>
          </w:tcPr>
          <w:p w14:paraId="2050E12F">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配套服务软件能力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8分</w:t>
            </w:r>
            <w:r>
              <w:rPr>
                <w:rFonts w:hint="eastAsia" w:ascii="宋体" w:hAnsi="宋体" w:eastAsia="宋体" w:cs="宋体"/>
                <w:color w:val="auto"/>
                <w:sz w:val="21"/>
                <w:szCs w:val="21"/>
                <w:highlight w:val="none"/>
                <w:lang w:eastAsia="zh-CN"/>
              </w:rPr>
              <w:t>）</w:t>
            </w:r>
          </w:p>
        </w:tc>
        <w:tc>
          <w:tcPr>
            <w:tcW w:w="7030" w:type="dxa"/>
            <w:vAlign w:val="center"/>
          </w:tcPr>
          <w:p w14:paraId="45A71C84">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根据供应商拟投入</w:t>
            </w:r>
            <w:r>
              <w:rPr>
                <w:rFonts w:hint="eastAsia" w:ascii="宋体" w:hAnsi="宋体" w:eastAsia="宋体" w:cs="宋体"/>
                <w:color w:val="auto"/>
                <w:sz w:val="21"/>
                <w:szCs w:val="21"/>
                <w:highlight w:val="none"/>
                <w:lang w:eastAsia="zh-CN"/>
              </w:rPr>
              <w:t>到</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中的</w:t>
            </w:r>
            <w:r>
              <w:rPr>
                <w:rFonts w:hint="eastAsia" w:ascii="宋体" w:hAnsi="宋体" w:eastAsia="宋体" w:cs="宋体"/>
                <w:color w:val="auto"/>
                <w:sz w:val="21"/>
                <w:szCs w:val="21"/>
                <w:highlight w:val="none"/>
              </w:rPr>
              <w:t>配套服务软件系统</w:t>
            </w:r>
            <w:r>
              <w:rPr>
                <w:rFonts w:hint="eastAsia" w:ascii="宋体" w:hAnsi="宋体" w:eastAsia="宋体" w:cs="宋体"/>
                <w:color w:val="auto"/>
                <w:sz w:val="21"/>
                <w:szCs w:val="21"/>
                <w:highlight w:val="none"/>
                <w:lang w:eastAsia="zh-CN"/>
              </w:rPr>
              <w:t>功能进行</w:t>
            </w:r>
            <w:r>
              <w:rPr>
                <w:rFonts w:hint="eastAsia" w:ascii="宋体" w:hAnsi="宋体" w:eastAsia="宋体" w:cs="宋体"/>
                <w:color w:val="auto"/>
                <w:sz w:val="21"/>
                <w:szCs w:val="21"/>
                <w:highlight w:val="none"/>
              </w:rPr>
              <w:t>评审：</w:t>
            </w:r>
          </w:p>
          <w:p w14:paraId="4A3E6DA9">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1、具有</w:t>
            </w:r>
            <w:r>
              <w:rPr>
                <w:rFonts w:hint="eastAsia" w:ascii="宋体" w:hAnsi="宋体" w:eastAsia="宋体" w:cs="宋体"/>
                <w:color w:val="auto"/>
                <w:sz w:val="21"/>
                <w:szCs w:val="21"/>
                <w:highlight w:val="none"/>
                <w:lang w:eastAsia="zh-CN"/>
              </w:rPr>
              <w:t>可查看</w:t>
            </w:r>
            <w:r>
              <w:rPr>
                <w:rFonts w:hint="eastAsia" w:ascii="宋体" w:hAnsi="宋体" w:eastAsia="宋体" w:cs="宋体"/>
                <w:color w:val="auto"/>
                <w:sz w:val="21"/>
                <w:szCs w:val="21"/>
                <w:highlight w:val="none"/>
              </w:rPr>
              <w:t>各种送达方式成功数分布情况</w:t>
            </w:r>
            <w:r>
              <w:rPr>
                <w:rFonts w:hint="eastAsia" w:ascii="宋体" w:hAnsi="宋体" w:eastAsia="宋体" w:cs="宋体"/>
                <w:color w:val="auto"/>
                <w:sz w:val="21"/>
                <w:szCs w:val="21"/>
                <w:highlight w:val="none"/>
                <w:lang w:eastAsia="zh-CN"/>
              </w:rPr>
              <w:t>的</w:t>
            </w:r>
          </w:p>
          <w:p w14:paraId="02433EE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电子送达和邮寄送达成功率</w:t>
            </w:r>
          </w:p>
          <w:p w14:paraId="22ADD8F2">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送达情况分布和送达趋势图</w:t>
            </w:r>
          </w:p>
          <w:p w14:paraId="30052486">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送达任务功能。</w:t>
            </w:r>
          </w:p>
          <w:p w14:paraId="133B2558">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每提供一</w:t>
            </w:r>
            <w:r>
              <w:rPr>
                <w:rFonts w:hint="eastAsia" w:ascii="宋体" w:hAnsi="宋体" w:eastAsia="宋体" w:cs="宋体"/>
                <w:color w:val="auto"/>
                <w:sz w:val="21"/>
                <w:szCs w:val="21"/>
                <w:highlight w:val="none"/>
                <w:lang w:eastAsia="zh-CN"/>
              </w:rPr>
              <w:t>项功能的，</w:t>
            </w:r>
            <w:r>
              <w:rPr>
                <w:rFonts w:hint="eastAsia" w:ascii="宋体" w:hAnsi="宋体" w:eastAsia="宋体" w:cs="宋体"/>
                <w:color w:val="auto"/>
                <w:sz w:val="21"/>
                <w:szCs w:val="21"/>
                <w:highlight w:val="none"/>
              </w:rPr>
              <w:t>得1分，</w:t>
            </w:r>
            <w:r>
              <w:rPr>
                <w:rFonts w:hint="eastAsia" w:ascii="宋体" w:hAnsi="宋体" w:eastAsia="宋体" w:cs="宋体"/>
                <w:color w:val="auto"/>
                <w:sz w:val="21"/>
                <w:szCs w:val="21"/>
                <w:highlight w:val="none"/>
                <w:lang w:eastAsia="zh-CN"/>
              </w:rPr>
              <w:t>本项最高得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未提供不得分。</w:t>
            </w:r>
          </w:p>
          <w:p w14:paraId="6D4AD20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：提供相关功能截图作为证明材料，并加盖供应商公章。</w:t>
            </w:r>
          </w:p>
        </w:tc>
      </w:tr>
      <w:tr w14:paraId="6A33A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17" w:hRule="atLeast"/>
        </w:trPr>
        <w:tc>
          <w:tcPr>
            <w:tcW w:w="684" w:type="dxa"/>
            <w:vMerge w:val="continue"/>
          </w:tcPr>
          <w:p w14:paraId="30591F43">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color w:val="auto"/>
                <w:highlight w:val="none"/>
              </w:rPr>
            </w:pPr>
          </w:p>
        </w:tc>
        <w:tc>
          <w:tcPr>
            <w:tcW w:w="1580" w:type="dxa"/>
            <w:vMerge w:val="continue"/>
            <w:vAlign w:val="center"/>
          </w:tcPr>
          <w:p w14:paraId="3C0D7D61">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p>
        </w:tc>
        <w:tc>
          <w:tcPr>
            <w:tcW w:w="7030" w:type="dxa"/>
            <w:vAlign w:val="center"/>
          </w:tcPr>
          <w:p w14:paraId="5B28E2C9">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供应商提供的送达平台能须实现与法院审判系统、执行系统、电子卷宗系统的数据对接功能，能够提供送达过程材料电子一键回传电子卷宗（含录音、送达回证、寄件联、回执联等）， 提供以上系统平台截图得 4分，提供不全或未提供不得分。 </w:t>
            </w:r>
          </w:p>
          <w:p w14:paraId="742EAD87">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：提供以上内容相关</w:t>
            </w:r>
            <w:r>
              <w:rPr>
                <w:rFonts w:hint="eastAsia" w:ascii="宋体" w:hAnsi="宋体" w:eastAsia="宋体" w:cs="宋体"/>
                <w:color w:val="auto"/>
                <w:sz w:val="21"/>
                <w:szCs w:val="21"/>
                <w:highlight w:val="none"/>
                <w:lang w:eastAsia="zh-CN"/>
              </w:rPr>
              <w:t>截图</w:t>
            </w:r>
            <w:r>
              <w:rPr>
                <w:rFonts w:hint="eastAsia" w:ascii="宋体" w:hAnsi="宋体" w:eastAsia="宋体" w:cs="宋体"/>
                <w:color w:val="auto"/>
                <w:sz w:val="21"/>
                <w:szCs w:val="21"/>
                <w:highlight w:val="none"/>
              </w:rPr>
              <w:t>证明材料复印件并加盖供应商公章。</w:t>
            </w:r>
          </w:p>
        </w:tc>
      </w:tr>
      <w:tr w14:paraId="51A57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05009E2C">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5CA90A32">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服务响应承诺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3分</w:t>
            </w:r>
            <w:r>
              <w:rPr>
                <w:rFonts w:hint="eastAsia" w:ascii="宋体" w:hAnsi="宋体" w:eastAsia="宋体" w:cs="宋体"/>
                <w:color w:val="auto"/>
                <w:sz w:val="21"/>
                <w:szCs w:val="21"/>
                <w:highlight w:val="none"/>
                <w:lang w:eastAsia="zh-CN"/>
              </w:rPr>
              <w:t>）</w:t>
            </w:r>
          </w:p>
        </w:tc>
        <w:tc>
          <w:tcPr>
            <w:tcW w:w="7030" w:type="dxa"/>
            <w:vAlign w:val="center"/>
          </w:tcPr>
          <w:p w14:paraId="4194FE16">
            <w:pPr>
              <w:pStyle w:val="62"/>
              <w:keepNext w:val="0"/>
              <w:keepLines w:val="0"/>
              <w:pageBreakBefore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根据供应商提供的服务响应时间的承诺进行评审：</w:t>
            </w:r>
          </w:p>
          <w:p w14:paraId="135425AE">
            <w:pPr>
              <w:pStyle w:val="62"/>
              <w:keepNext w:val="0"/>
              <w:keepLines w:val="0"/>
              <w:pageBreakBefore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承诺响应时间在</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分钟（含</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分钟）以内到达</w:t>
            </w:r>
            <w:r>
              <w:rPr>
                <w:rFonts w:hint="eastAsia" w:cs="宋体"/>
                <w:color w:val="auto"/>
                <w:sz w:val="21"/>
                <w:szCs w:val="21"/>
                <w:highlight w:val="none"/>
                <w:lang w:eastAsia="zh-CN"/>
              </w:rPr>
              <w:t>采购人</w:t>
            </w:r>
            <w:r>
              <w:rPr>
                <w:rFonts w:hint="eastAsia" w:ascii="宋体" w:hAnsi="宋体" w:eastAsia="宋体" w:cs="宋体"/>
                <w:color w:val="auto"/>
                <w:sz w:val="21"/>
                <w:szCs w:val="21"/>
                <w:highlight w:val="none"/>
              </w:rPr>
              <w:t>地点进行服务的，得</w:t>
            </w: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分； </w:t>
            </w:r>
          </w:p>
          <w:p w14:paraId="5813A0F0">
            <w:pPr>
              <w:pStyle w:val="62"/>
              <w:keepNext w:val="0"/>
              <w:keepLines w:val="0"/>
              <w:pageBreakBefore w:val="0"/>
              <w:numPr>
                <w:ilvl w:val="0"/>
                <w:numId w:val="0"/>
              </w:numPr>
              <w:kinsoku/>
              <w:wordWrap/>
              <w:overflowPunct/>
              <w:topLinePunct w:val="0"/>
              <w:autoSpaceDE/>
              <w:autoSpaceDN/>
              <w:bidi w:val="0"/>
              <w:adjustRightInd/>
              <w:snapToGrid/>
              <w:spacing w:line="360" w:lineRule="atLeast"/>
              <w:ind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承诺响应时间在</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分钟（含</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分钟）以内到达</w:t>
            </w:r>
            <w:r>
              <w:rPr>
                <w:rFonts w:hint="eastAsia" w:cs="宋体"/>
                <w:color w:val="auto"/>
                <w:sz w:val="21"/>
                <w:szCs w:val="21"/>
                <w:highlight w:val="none"/>
                <w:lang w:eastAsia="zh-CN"/>
              </w:rPr>
              <w:t>采购人</w:t>
            </w:r>
            <w:r>
              <w:rPr>
                <w:rFonts w:hint="eastAsia" w:ascii="宋体" w:hAnsi="宋体" w:eastAsia="宋体" w:cs="宋体"/>
                <w:color w:val="auto"/>
                <w:sz w:val="21"/>
                <w:szCs w:val="21"/>
                <w:highlight w:val="none"/>
              </w:rPr>
              <w:t>地点进行服务的，得</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71392079">
            <w:pPr>
              <w:pStyle w:val="62"/>
              <w:keepNext w:val="0"/>
              <w:keepLines w:val="0"/>
              <w:pageBreakBefore w:val="0"/>
              <w:numPr>
                <w:ilvl w:val="0"/>
                <w:numId w:val="0"/>
              </w:numPr>
              <w:kinsoku/>
              <w:wordWrap/>
              <w:overflowPunct/>
              <w:topLinePunct w:val="0"/>
              <w:autoSpaceDE/>
              <w:autoSpaceDN/>
              <w:bidi w:val="0"/>
              <w:adjustRightInd/>
              <w:snapToGrid/>
              <w:spacing w:line="360" w:lineRule="atLeast"/>
              <w:ind w:lef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承诺响应时间在</w:t>
            </w: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分钟（含</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0分钟）以内到达</w:t>
            </w:r>
            <w:r>
              <w:rPr>
                <w:rFonts w:hint="eastAsia" w:cs="宋体"/>
                <w:color w:val="auto"/>
                <w:sz w:val="21"/>
                <w:szCs w:val="21"/>
                <w:highlight w:val="none"/>
                <w:lang w:eastAsia="zh-CN"/>
              </w:rPr>
              <w:t>采购人</w:t>
            </w:r>
            <w:r>
              <w:rPr>
                <w:rFonts w:hint="eastAsia" w:ascii="宋体" w:hAnsi="宋体" w:eastAsia="宋体" w:cs="宋体"/>
                <w:color w:val="auto"/>
                <w:sz w:val="21"/>
                <w:szCs w:val="21"/>
                <w:highlight w:val="none"/>
              </w:rPr>
              <w:t>地点进行服务的，得</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rPr>
              <w:t xml:space="preserve">分； </w:t>
            </w:r>
          </w:p>
          <w:p w14:paraId="16E83675">
            <w:pPr>
              <w:pStyle w:val="62"/>
              <w:keepNext w:val="0"/>
              <w:keepLines w:val="0"/>
              <w:pageBreakBefore w:val="0"/>
              <w:numPr>
                <w:ilvl w:val="0"/>
                <w:numId w:val="0"/>
              </w:numPr>
              <w:kinsoku/>
              <w:wordWrap/>
              <w:overflowPunct/>
              <w:topLinePunct w:val="0"/>
              <w:autoSpaceDE/>
              <w:autoSpaceDN/>
              <w:bidi w:val="0"/>
              <w:adjustRightInd/>
              <w:snapToGrid/>
              <w:spacing w:line="360" w:lineRule="atLeast"/>
              <w:ind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其他情况或不提供不得分。</w:t>
            </w:r>
          </w:p>
          <w:p w14:paraId="71514770">
            <w:pPr>
              <w:pStyle w:val="2"/>
              <w:keepNext w:val="0"/>
              <w:keepLines w:val="0"/>
              <w:pageBreakBefore w:val="0"/>
              <w:kinsoku/>
              <w:wordWrap/>
              <w:overflowPunct/>
              <w:topLinePunct w:val="0"/>
              <w:autoSpaceDE/>
              <w:autoSpaceDN/>
              <w:bidi w:val="0"/>
              <w:adjustRightInd/>
              <w:snapToGrid/>
              <w:spacing w:line="360" w:lineRule="atLeas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注：须提供承诺函（格式自拟），并加盖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公章。</w:t>
            </w:r>
          </w:p>
        </w:tc>
      </w:tr>
      <w:tr w14:paraId="7593FA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Merge w:val="continue"/>
          </w:tcPr>
          <w:p w14:paraId="2BF29055">
            <w:pPr>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textAlignment w:val="auto"/>
              <w:rPr>
                <w:rFonts w:hint="default" w:ascii="Times New Roman" w:hAnsi="Times New Roman" w:cs="Times New Roman" w:eastAsiaTheme="minorEastAsia"/>
                <w:color w:val="auto"/>
                <w:sz w:val="21"/>
                <w:szCs w:val="21"/>
                <w:highlight w:val="none"/>
              </w:rPr>
            </w:pPr>
          </w:p>
        </w:tc>
        <w:tc>
          <w:tcPr>
            <w:tcW w:w="1580" w:type="dxa"/>
            <w:vAlign w:val="center"/>
          </w:tcPr>
          <w:p w14:paraId="7A26AF28">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类似业绩（</w:t>
            </w:r>
            <w:r>
              <w:rPr>
                <w:rFonts w:hint="eastAsia" w:ascii="宋体" w:hAnsi="宋体" w:eastAsia="宋体" w:cs="宋体"/>
                <w:color w:val="auto"/>
                <w:sz w:val="21"/>
                <w:szCs w:val="21"/>
                <w:highlight w:val="none"/>
                <w:lang w:val="en-US" w:eastAsia="zh-CN"/>
              </w:rPr>
              <w:t>6分</w:t>
            </w:r>
            <w:r>
              <w:rPr>
                <w:rFonts w:hint="eastAsia" w:ascii="宋体" w:hAnsi="宋体" w:eastAsia="宋体" w:cs="宋体"/>
                <w:color w:val="auto"/>
                <w:sz w:val="21"/>
                <w:szCs w:val="21"/>
                <w:highlight w:val="none"/>
                <w:lang w:eastAsia="zh-CN"/>
              </w:rPr>
              <w:t>）</w:t>
            </w:r>
          </w:p>
        </w:tc>
        <w:tc>
          <w:tcPr>
            <w:tcW w:w="7030" w:type="dxa"/>
            <w:vAlign w:val="center"/>
          </w:tcPr>
          <w:p w14:paraId="201809A7">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lang w:eastAsia="zh-CN"/>
              </w:rPr>
              <w:t>供应商自</w:t>
            </w:r>
            <w:r>
              <w:rPr>
                <w:rFonts w:hint="eastAsia" w:ascii="宋体" w:hAnsi="宋体" w:eastAsia="宋体" w:cs="宋体"/>
                <w:color w:val="auto"/>
                <w:sz w:val="21"/>
                <w:szCs w:val="21"/>
                <w:highlight w:val="none"/>
                <w:lang w:val="en-US" w:eastAsia="zh-CN"/>
              </w:rPr>
              <w:t>2021年1月1日至递交响应文件截止时间止，以供应商名义独立承接过</w:t>
            </w:r>
            <w:r>
              <w:rPr>
                <w:rFonts w:hint="eastAsia" w:ascii="宋体" w:hAnsi="宋体" w:eastAsia="宋体" w:cs="宋体"/>
                <w:color w:val="auto"/>
                <w:sz w:val="21"/>
                <w:szCs w:val="21"/>
                <w:highlight w:val="none"/>
              </w:rPr>
              <w:t>司法辅助或送达类似服务业绩</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个得1.5分，最高得6分。</w:t>
            </w:r>
          </w:p>
          <w:p w14:paraId="0288A7F9">
            <w:pPr>
              <w:keepNext w:val="0"/>
              <w:keepLines w:val="0"/>
              <w:pageBreakBefore w:val="0"/>
              <w:kinsoku/>
              <w:wordWrap/>
              <w:overflowPunct/>
              <w:topLinePunct w:val="0"/>
              <w:autoSpaceDE/>
              <w:autoSpaceDN/>
              <w:bidi w:val="0"/>
              <w:adjustRightInd/>
              <w:snapToGrid/>
              <w:spacing w:line="360" w:lineRule="atLeas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须提供以上相关业绩的合同复印件并加盖投标人公章；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同一业绩涉及多个服务内容，按一个业绩计算。</w:t>
            </w:r>
          </w:p>
        </w:tc>
      </w:tr>
      <w:tr w14:paraId="30F836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4" w:type="dxa"/>
            <w:vAlign w:val="center"/>
          </w:tcPr>
          <w:p w14:paraId="17E24CB7">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投标报价</w:t>
            </w:r>
          </w:p>
        </w:tc>
        <w:tc>
          <w:tcPr>
            <w:tcW w:w="1580" w:type="dxa"/>
            <w:vAlign w:val="center"/>
          </w:tcPr>
          <w:p w14:paraId="4130DB54">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投标报价得分</w:t>
            </w:r>
          </w:p>
          <w:p w14:paraId="46DCF79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(10.0分)</w:t>
            </w:r>
          </w:p>
        </w:tc>
        <w:tc>
          <w:tcPr>
            <w:tcW w:w="7030" w:type="dxa"/>
          </w:tcPr>
          <w:p w14:paraId="6FC7F0AF">
            <w:pPr>
              <w:pStyle w:val="21"/>
              <w:keepNext w:val="0"/>
              <w:keepLines w:val="0"/>
              <w:pageBreakBefore w:val="0"/>
              <w:kinsoku/>
              <w:wordWrap/>
              <w:overflowPunct/>
              <w:topLinePunct w:val="0"/>
              <w:autoSpaceDE/>
              <w:autoSpaceDN/>
              <w:bidi w:val="0"/>
              <w:adjustRightInd/>
              <w:snapToGrid/>
              <w:spacing w:beforeAutospacing="0" w:afterAutospacing="0" w:line="360" w:lineRule="atLeast"/>
              <w:ind w:left="0" w:leftChars="0" w:right="0" w:right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7E6CE479">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6.汇总、排序</w:t>
      </w:r>
    </w:p>
    <w:p w14:paraId="418219B0">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审结果按评审后总得分由高到低顺序排列。评审得分相同的，按最终报价由低到高顺序排列。得分且最终报价相同的，由谈判小组采取随机抽取的方式确定。排名第一的谈判供应商为第一成交候选人，排名第二的谈判供应商为第二成交候选人（提供相同品牌产品（非单一产品采购，以核心产品为准。多个核心产品的，有一种产品品牌相同，即视为提供相同品牌产品），评审后得分最高的同品牌谈判供应商获得成交候选人推荐资格；评审得分相同的，由采购人或者采购人委托谈判小组采取随机抽取方式确定，其他同品牌谈判供应商不作为成交候选人）。</w:t>
      </w:r>
    </w:p>
    <w:p w14:paraId="045C701F">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7.其他无效响应的情形：</w:t>
      </w:r>
    </w:p>
    <w:p w14:paraId="2A9E1B91">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（1）评审期间，供应商没有按磋商小组的要求提交法定代表人或其委托代理人签字的澄清、说明、补正或改变了响应文件的实质性内容的。</w:t>
      </w:r>
    </w:p>
    <w:p w14:paraId="1566F688">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（2）响应文件提供虚假材料的。</w:t>
      </w:r>
    </w:p>
    <w:p w14:paraId="0008599B">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（3）供应商以他人名义响应、串通响应、以行贿手段谋取成交或者以其他弄虚作假方式响应的。</w:t>
      </w:r>
    </w:p>
    <w:p w14:paraId="7F599806">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（4）供应商对采购人、采购代理机构、磋商小组及其工作人员施加影响，有碍招标公平、公正的。</w:t>
      </w:r>
    </w:p>
    <w:p w14:paraId="3FE9211A">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（5）响应文件含有采购人不能接受的附加条件的。</w:t>
      </w:r>
    </w:p>
    <w:p w14:paraId="2E9D1D35">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（6）法律、法规和磋商文件规定的其他无效情形。</w:t>
      </w:r>
    </w:p>
    <w:p w14:paraId="63BD3367">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br w:type="page"/>
      </w:r>
    </w:p>
    <w:p w14:paraId="79D8FD47">
      <w:pPr>
        <w:pStyle w:val="21"/>
        <w:keepLines w:val="0"/>
        <w:numPr>
          <w:ilvl w:val="0"/>
          <w:numId w:val="0"/>
        </w:numPr>
        <w:kinsoku/>
        <w:wordWrap/>
        <w:overflowPunct/>
        <w:topLinePunct w:val="0"/>
        <w:bidi w:val="0"/>
        <w:spacing w:beforeAutospacing="0" w:afterAutospacing="0" w:line="440" w:lineRule="atLeast"/>
        <w:ind w:left="0" w:leftChars="0" w:right="0" w:rightChars="0"/>
        <w:jc w:val="center"/>
        <w:outlineLvl w:val="0"/>
        <w:rPr>
          <w:rFonts w:hint="default" w:ascii="Times New Roman" w:hAnsi="Times New Roman" w:cs="Times New Roman" w:eastAsiaTheme="minorEastAsia"/>
          <w:b/>
          <w:color w:val="auto"/>
          <w:sz w:val="36"/>
          <w:highlight w:val="none"/>
        </w:rPr>
      </w:pPr>
      <w:bookmarkStart w:id="29" w:name="_Toc7743"/>
      <w:r>
        <w:rPr>
          <w:rFonts w:hint="default" w:ascii="Times New Roman" w:hAnsi="Times New Roman" w:cs="Times New Roman" w:eastAsiaTheme="minorEastAsia"/>
          <w:b/>
          <w:color w:val="auto"/>
          <w:sz w:val="36"/>
          <w:szCs w:val="36"/>
          <w:highlight w:val="none"/>
          <w:lang w:val="en-US" w:eastAsia="zh-Hans"/>
        </w:rPr>
        <w:t>第五部分</w:t>
      </w:r>
      <w:r>
        <w:rPr>
          <w:rFonts w:hint="default" w:ascii="Times New Roman" w:hAnsi="Times New Roman" w:cs="Times New Roman" w:eastAsiaTheme="minorEastAsia"/>
          <w:b/>
          <w:color w:val="auto"/>
          <w:sz w:val="36"/>
          <w:szCs w:val="36"/>
          <w:highlight w:val="none"/>
          <w:lang w:val="en-US" w:eastAsia="zh-CN"/>
        </w:rPr>
        <w:t xml:space="preserve"> </w:t>
      </w:r>
      <w:r>
        <w:rPr>
          <w:rFonts w:hint="default" w:ascii="Times New Roman" w:hAnsi="Times New Roman" w:cs="Times New Roman" w:eastAsiaTheme="minorEastAsia"/>
          <w:b/>
          <w:color w:val="auto"/>
          <w:sz w:val="36"/>
          <w:szCs w:val="36"/>
          <w:highlight w:val="none"/>
        </w:rPr>
        <w:t>合同文本</w:t>
      </w:r>
      <w:bookmarkEnd w:id="29"/>
    </w:p>
    <w:p w14:paraId="1024A9F1">
      <w:pPr>
        <w:pStyle w:val="21"/>
        <w:keepLines w:val="0"/>
        <w:numPr>
          <w:ilvl w:val="0"/>
          <w:numId w:val="0"/>
        </w:numPr>
        <w:kinsoku/>
        <w:wordWrap/>
        <w:overflowPunct/>
        <w:topLinePunct w:val="0"/>
        <w:bidi w:val="0"/>
        <w:spacing w:beforeAutospacing="0" w:afterAutospacing="0" w:line="440" w:lineRule="atLeast"/>
        <w:ind w:left="0" w:leftChars="0" w:right="0" w:rightChars="0"/>
        <w:jc w:val="center"/>
        <w:outlineLvl w:val="0"/>
        <w:rPr>
          <w:rFonts w:hint="default" w:ascii="Times New Roman" w:hAnsi="Times New Roman" w:cs="Times New Roman" w:eastAsiaTheme="minorEastAsia"/>
          <w:b/>
          <w:color w:val="auto"/>
          <w:sz w:val="36"/>
          <w:highlight w:val="none"/>
        </w:rPr>
      </w:pPr>
    </w:p>
    <w:p w14:paraId="4CC25DC2">
      <w:pPr>
        <w:pStyle w:val="24"/>
        <w:keepLines w:val="0"/>
        <w:tabs>
          <w:tab w:val="left" w:pos="1440"/>
        </w:tabs>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color w:val="auto"/>
          <w:sz w:val="68"/>
          <w:highlight w:val="none"/>
        </w:rPr>
      </w:pPr>
      <w:bookmarkStart w:id="30" w:name="_Toc32329"/>
      <w:bookmarkStart w:id="31" w:name="_Toc15629"/>
      <w:r>
        <w:rPr>
          <w:rFonts w:hint="default" w:ascii="Times New Roman" w:hAnsi="Times New Roman" w:cs="Times New Roman" w:eastAsiaTheme="minorEastAsia"/>
          <w:color w:val="auto"/>
          <w:sz w:val="68"/>
          <w:highlight w:val="none"/>
        </w:rPr>
        <w:t>采购项目</w:t>
      </w:r>
      <w:bookmarkEnd w:id="30"/>
      <w:bookmarkEnd w:id="31"/>
    </w:p>
    <w:p w14:paraId="16516CBE">
      <w:pPr>
        <w:pStyle w:val="24"/>
        <w:keepLines w:val="0"/>
        <w:tabs>
          <w:tab w:val="left" w:pos="1440"/>
          <w:tab w:val="center" w:pos="4592"/>
          <w:tab w:val="left" w:pos="6748"/>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68"/>
          <w:highlight w:val="none"/>
        </w:rPr>
      </w:pPr>
    </w:p>
    <w:p w14:paraId="78AEA8C9">
      <w:pPr>
        <w:pStyle w:val="24"/>
        <w:keepLines w:val="0"/>
        <w:tabs>
          <w:tab w:val="left" w:pos="1440"/>
          <w:tab w:val="center" w:pos="4592"/>
          <w:tab w:val="left" w:pos="6748"/>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68"/>
          <w:highlight w:val="none"/>
        </w:rPr>
      </w:pPr>
      <w:r>
        <w:rPr>
          <w:rFonts w:hint="default" w:ascii="Times New Roman" w:hAnsi="Times New Roman" w:cs="Times New Roman" w:eastAsiaTheme="minorEastAsia"/>
          <w:color w:val="auto"/>
          <w:sz w:val="68"/>
          <w:highlight w:val="none"/>
        </w:rPr>
        <w:t>合 同 书</w:t>
      </w:r>
    </w:p>
    <w:p w14:paraId="30BD7B18">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p>
    <w:p w14:paraId="5559BA9B">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lang w:eastAsia="zh-CN"/>
        </w:rPr>
      </w:pPr>
    </w:p>
    <w:p w14:paraId="0B4A46AD">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p>
    <w:p w14:paraId="35148387">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p>
    <w:p w14:paraId="13F8B578">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p w14:paraId="27002137">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p w14:paraId="39F72615">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bl>
      <w:tblPr>
        <w:tblStyle w:val="18"/>
        <w:tblW w:w="5888" w:type="dxa"/>
        <w:jc w:val="center"/>
        <w:tblLayout w:type="fixed"/>
        <w:tblCellMar>
          <w:top w:w="0" w:type="dxa"/>
          <w:left w:w="108" w:type="dxa"/>
          <w:bottom w:w="0" w:type="dxa"/>
          <w:right w:w="108" w:type="dxa"/>
        </w:tblCellMar>
      </w:tblPr>
      <w:tblGrid>
        <w:gridCol w:w="1619"/>
        <w:gridCol w:w="4269"/>
      </w:tblGrid>
      <w:tr w14:paraId="64A64CDE">
        <w:tblPrEx>
          <w:tblCellMar>
            <w:top w:w="0" w:type="dxa"/>
            <w:left w:w="108" w:type="dxa"/>
            <w:bottom w:w="0" w:type="dxa"/>
            <w:right w:w="108" w:type="dxa"/>
          </w:tblCellMar>
        </w:tblPrEx>
        <w:trPr>
          <w:trHeight w:val="593" w:hRule="atLeast"/>
          <w:jc w:val="center"/>
        </w:trPr>
        <w:tc>
          <w:tcPr>
            <w:tcW w:w="1619" w:type="dxa"/>
            <w:vAlign w:val="center"/>
          </w:tcPr>
          <w:p w14:paraId="13D54370">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甲    方：</w:t>
            </w:r>
          </w:p>
        </w:tc>
        <w:tc>
          <w:tcPr>
            <w:tcW w:w="4269" w:type="dxa"/>
            <w:vAlign w:val="center"/>
          </w:tcPr>
          <w:p w14:paraId="35D2C32D">
            <w:pPr>
              <w:pStyle w:val="24"/>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sz w:val="28"/>
                <w:szCs w:val="28"/>
                <w:highlight w:val="none"/>
                <w:u w:val="single"/>
              </w:rPr>
            </w:pPr>
            <w:bookmarkStart w:id="32" w:name="EBab8624952e174488a7c0cf9d68a9a018"/>
            <w:bookmarkEnd w:id="32"/>
            <w:r>
              <w:rPr>
                <w:rFonts w:hint="eastAsia" w:ascii="Times New Roman" w:hAnsi="Times New Roman" w:cs="Times New Roman" w:eastAsiaTheme="minorEastAsia"/>
                <w:color w:val="auto"/>
                <w:sz w:val="28"/>
                <w:szCs w:val="28"/>
                <w:highlight w:val="none"/>
                <w:u w:val="single"/>
                <w:lang w:eastAsia="zh-CN"/>
              </w:rPr>
              <w:t>佛山市高明区人民法院</w:t>
            </w:r>
            <w:r>
              <w:rPr>
                <w:rFonts w:hint="default" w:ascii="Times New Roman" w:hAnsi="Times New Roman" w:cs="Times New Roman" w:eastAsiaTheme="minorEastAsia"/>
                <w:color w:val="auto"/>
                <w:sz w:val="28"/>
                <w:szCs w:val="28"/>
                <w:highlight w:val="none"/>
                <w:u w:val="single"/>
              </w:rPr>
              <w:t xml:space="preserve">          </w:t>
            </w:r>
          </w:p>
        </w:tc>
      </w:tr>
      <w:tr w14:paraId="24E2FB40">
        <w:tblPrEx>
          <w:tblCellMar>
            <w:top w:w="0" w:type="dxa"/>
            <w:left w:w="108" w:type="dxa"/>
            <w:bottom w:w="0" w:type="dxa"/>
            <w:right w:w="108" w:type="dxa"/>
          </w:tblCellMar>
        </w:tblPrEx>
        <w:trPr>
          <w:trHeight w:val="593" w:hRule="atLeast"/>
          <w:jc w:val="center"/>
        </w:trPr>
        <w:tc>
          <w:tcPr>
            <w:tcW w:w="1619" w:type="dxa"/>
            <w:vAlign w:val="center"/>
          </w:tcPr>
          <w:p w14:paraId="4B359A50">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乙    方：</w:t>
            </w:r>
          </w:p>
        </w:tc>
        <w:tc>
          <w:tcPr>
            <w:tcW w:w="4269" w:type="dxa"/>
            <w:vAlign w:val="center"/>
          </w:tcPr>
          <w:p w14:paraId="67B2FD61">
            <w:pPr>
              <w:pStyle w:val="24"/>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sz w:val="28"/>
                <w:szCs w:val="28"/>
                <w:highlight w:val="none"/>
                <w:u w:val="single"/>
              </w:rPr>
            </w:pPr>
            <w:r>
              <w:rPr>
                <w:rFonts w:hint="default" w:ascii="Times New Roman" w:hAnsi="Times New Roman" w:cs="Times New Roman" w:eastAsiaTheme="minorEastAsia"/>
                <w:color w:val="auto"/>
                <w:sz w:val="28"/>
                <w:szCs w:val="28"/>
                <w:highlight w:val="none"/>
                <w:u w:val="single"/>
              </w:rPr>
              <w:t xml:space="preserve">  （成交供应商名称）      </w:t>
            </w:r>
          </w:p>
        </w:tc>
      </w:tr>
      <w:tr w14:paraId="7691D56A">
        <w:tblPrEx>
          <w:tblCellMar>
            <w:top w:w="0" w:type="dxa"/>
            <w:left w:w="108" w:type="dxa"/>
            <w:bottom w:w="0" w:type="dxa"/>
            <w:right w:w="108" w:type="dxa"/>
          </w:tblCellMar>
        </w:tblPrEx>
        <w:trPr>
          <w:trHeight w:val="593" w:hRule="atLeast"/>
          <w:jc w:val="center"/>
        </w:trPr>
        <w:tc>
          <w:tcPr>
            <w:tcW w:w="1619" w:type="dxa"/>
            <w:vAlign w:val="center"/>
          </w:tcPr>
          <w:p w14:paraId="05003D53">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签订日期：</w:t>
            </w:r>
          </w:p>
        </w:tc>
        <w:tc>
          <w:tcPr>
            <w:tcW w:w="4269" w:type="dxa"/>
            <w:vAlign w:val="center"/>
          </w:tcPr>
          <w:p w14:paraId="683BCE87">
            <w:pPr>
              <w:pStyle w:val="24"/>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sz w:val="28"/>
                <w:szCs w:val="28"/>
                <w:highlight w:val="none"/>
                <w:u w:val="single"/>
              </w:rPr>
            </w:pPr>
            <w:r>
              <w:rPr>
                <w:rFonts w:hint="default" w:ascii="Times New Roman" w:hAnsi="Times New Roman" w:cs="Times New Roman" w:eastAsiaTheme="minorEastAsia"/>
                <w:bCs/>
                <w:color w:val="auto"/>
                <w:highlight w:val="none"/>
              </w:rPr>
              <w:t>________</w:t>
            </w:r>
            <w:r>
              <w:rPr>
                <w:rFonts w:hint="default" w:ascii="Times New Roman" w:hAnsi="Times New Roman" w:cs="Times New Roman" w:eastAsiaTheme="minorEastAsia"/>
                <w:color w:val="auto"/>
                <w:sz w:val="28"/>
                <w:szCs w:val="28"/>
                <w:highlight w:val="none"/>
                <w:u w:val="single"/>
              </w:rPr>
              <w:t xml:space="preserve">年     月     日          </w:t>
            </w:r>
          </w:p>
        </w:tc>
      </w:tr>
    </w:tbl>
    <w:p w14:paraId="3056BDE9">
      <w:pPr>
        <w:pStyle w:val="2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p w14:paraId="4CD9B40A">
      <w:pPr>
        <w:pStyle w:val="25"/>
        <w:keepLines w:val="0"/>
        <w:pageBreakBefore/>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kern w:val="0"/>
          <w:sz w:val="32"/>
          <w:szCs w:val="32"/>
          <w:highlight w:val="none"/>
        </w:rPr>
      </w:pPr>
      <w:r>
        <w:rPr>
          <w:rFonts w:hint="default" w:ascii="Times New Roman" w:hAnsi="Times New Roman" w:cs="Times New Roman" w:eastAsiaTheme="minorEastAsia"/>
          <w:b/>
          <w:color w:val="auto"/>
          <w:kern w:val="0"/>
          <w:sz w:val="32"/>
          <w:szCs w:val="32"/>
          <w:highlight w:val="none"/>
        </w:rPr>
        <w:t>采购项目合同书</w:t>
      </w:r>
    </w:p>
    <w:p w14:paraId="47004BD4">
      <w:pPr>
        <w:pStyle w:val="25"/>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p>
    <w:tbl>
      <w:tblPr>
        <w:tblStyle w:val="18"/>
        <w:tblW w:w="8472" w:type="dxa"/>
        <w:jc w:val="center"/>
        <w:tblLayout w:type="fixed"/>
        <w:tblCellMar>
          <w:top w:w="0" w:type="dxa"/>
          <w:left w:w="108" w:type="dxa"/>
          <w:bottom w:w="0" w:type="dxa"/>
          <w:right w:w="108" w:type="dxa"/>
        </w:tblCellMar>
      </w:tblPr>
      <w:tblGrid>
        <w:gridCol w:w="1668"/>
        <w:gridCol w:w="6804"/>
      </w:tblGrid>
      <w:tr w14:paraId="6F5D63E3">
        <w:tblPrEx>
          <w:tblCellMar>
            <w:top w:w="0" w:type="dxa"/>
            <w:left w:w="108" w:type="dxa"/>
            <w:bottom w:w="0" w:type="dxa"/>
            <w:right w:w="108" w:type="dxa"/>
          </w:tblCellMar>
        </w:tblPrEx>
        <w:trPr>
          <w:trHeight w:val="567" w:hRule="atLeast"/>
          <w:jc w:val="center"/>
        </w:trPr>
        <w:tc>
          <w:tcPr>
            <w:tcW w:w="1668" w:type="dxa"/>
            <w:vAlign w:val="center"/>
          </w:tcPr>
          <w:p w14:paraId="18279F98">
            <w:pPr>
              <w:pStyle w:val="24"/>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项目名称：</w:t>
            </w:r>
          </w:p>
        </w:tc>
        <w:tc>
          <w:tcPr>
            <w:tcW w:w="6804" w:type="dxa"/>
            <w:vAlign w:val="center"/>
          </w:tcPr>
          <w:p w14:paraId="1B411727">
            <w:pPr>
              <w:pStyle w:val="24"/>
              <w:keepLines w:val="0"/>
              <w:kinsoku/>
              <w:wordWrap/>
              <w:overflowPunct/>
              <w:topLinePunct w:val="0"/>
              <w:bidi w:val="0"/>
              <w:spacing w:beforeAutospacing="0" w:afterAutospacing="0" w:line="440" w:lineRule="atLeast"/>
              <w:ind w:left="0" w:leftChars="0" w:right="0" w:rightChars="0"/>
              <w:jc w:val="lef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佛山市高明区人民法院执行案件集约化送达服务项目</w:t>
            </w:r>
          </w:p>
        </w:tc>
      </w:tr>
      <w:tr w14:paraId="3BF1E8F3">
        <w:tblPrEx>
          <w:tblCellMar>
            <w:top w:w="0" w:type="dxa"/>
            <w:left w:w="108" w:type="dxa"/>
            <w:bottom w:w="0" w:type="dxa"/>
            <w:right w:w="108" w:type="dxa"/>
          </w:tblCellMar>
        </w:tblPrEx>
        <w:trPr>
          <w:trHeight w:val="413" w:hRule="atLeast"/>
          <w:jc w:val="center"/>
        </w:trPr>
        <w:tc>
          <w:tcPr>
            <w:tcW w:w="1668" w:type="dxa"/>
            <w:vAlign w:val="center"/>
          </w:tcPr>
          <w:p w14:paraId="506A72BD">
            <w:pPr>
              <w:pStyle w:val="24"/>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项目编号：</w:t>
            </w:r>
          </w:p>
        </w:tc>
        <w:tc>
          <w:tcPr>
            <w:tcW w:w="6804" w:type="dxa"/>
            <w:vAlign w:val="center"/>
          </w:tcPr>
          <w:p w14:paraId="2D44C057">
            <w:pPr>
              <w:pStyle w:val="24"/>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GDYD240563</w:t>
            </w:r>
          </w:p>
        </w:tc>
      </w:tr>
      <w:tr w14:paraId="7116D123">
        <w:tblPrEx>
          <w:tblCellMar>
            <w:top w:w="0" w:type="dxa"/>
            <w:left w:w="108" w:type="dxa"/>
            <w:bottom w:w="0" w:type="dxa"/>
            <w:right w:w="108" w:type="dxa"/>
          </w:tblCellMar>
        </w:tblPrEx>
        <w:trPr>
          <w:trHeight w:val="413" w:hRule="atLeast"/>
          <w:jc w:val="center"/>
        </w:trPr>
        <w:tc>
          <w:tcPr>
            <w:tcW w:w="1668" w:type="dxa"/>
            <w:vAlign w:val="center"/>
          </w:tcPr>
          <w:p w14:paraId="38DD4E5D">
            <w:pPr>
              <w:pStyle w:val="24"/>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甲    方：</w:t>
            </w:r>
          </w:p>
        </w:tc>
        <w:tc>
          <w:tcPr>
            <w:tcW w:w="6804" w:type="dxa"/>
            <w:vAlign w:val="center"/>
          </w:tcPr>
          <w:p w14:paraId="51A46C0D">
            <w:pPr>
              <w:pStyle w:val="24"/>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eastAsia="zh-CN"/>
              </w:rPr>
              <w:t>佛山市高明区人民法院</w:t>
            </w:r>
          </w:p>
        </w:tc>
      </w:tr>
      <w:tr w14:paraId="407651DF">
        <w:tblPrEx>
          <w:tblCellMar>
            <w:top w:w="0" w:type="dxa"/>
            <w:left w:w="108" w:type="dxa"/>
            <w:bottom w:w="0" w:type="dxa"/>
            <w:right w:w="108" w:type="dxa"/>
          </w:tblCellMar>
        </w:tblPrEx>
        <w:trPr>
          <w:trHeight w:val="413" w:hRule="atLeast"/>
          <w:jc w:val="center"/>
        </w:trPr>
        <w:tc>
          <w:tcPr>
            <w:tcW w:w="1668" w:type="dxa"/>
            <w:vAlign w:val="center"/>
          </w:tcPr>
          <w:p w14:paraId="23870596">
            <w:pPr>
              <w:pStyle w:val="24"/>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乙    方：</w:t>
            </w:r>
          </w:p>
        </w:tc>
        <w:tc>
          <w:tcPr>
            <w:tcW w:w="6804" w:type="dxa"/>
            <w:vAlign w:val="center"/>
          </w:tcPr>
          <w:p w14:paraId="701F6998">
            <w:pPr>
              <w:pStyle w:val="24"/>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成交供应商                                 </w:t>
            </w:r>
          </w:p>
        </w:tc>
      </w:tr>
      <w:tr w14:paraId="260AE009">
        <w:tblPrEx>
          <w:tblCellMar>
            <w:top w:w="0" w:type="dxa"/>
            <w:left w:w="108" w:type="dxa"/>
            <w:bottom w:w="0" w:type="dxa"/>
            <w:right w:w="108" w:type="dxa"/>
          </w:tblCellMar>
        </w:tblPrEx>
        <w:trPr>
          <w:trHeight w:val="413" w:hRule="atLeast"/>
          <w:jc w:val="center"/>
        </w:trPr>
        <w:tc>
          <w:tcPr>
            <w:tcW w:w="1668" w:type="dxa"/>
            <w:vAlign w:val="center"/>
          </w:tcPr>
          <w:p w14:paraId="11FEDC1C">
            <w:pPr>
              <w:pStyle w:val="24"/>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合同性质：</w:t>
            </w:r>
          </w:p>
        </w:tc>
        <w:tc>
          <w:tcPr>
            <w:tcW w:w="6804" w:type="dxa"/>
            <w:vAlign w:val="center"/>
          </w:tcPr>
          <w:p w14:paraId="477E3552">
            <w:pPr>
              <w:pStyle w:val="24"/>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本合同为中小企业预留合同</w:t>
            </w:r>
          </w:p>
        </w:tc>
      </w:tr>
    </w:tbl>
    <w:p w14:paraId="3D3F7442">
      <w:pPr>
        <w:pStyle w:val="25"/>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color w:val="auto"/>
          <w:sz w:val="21"/>
          <w:szCs w:val="21"/>
          <w:highlight w:val="none"/>
        </w:rPr>
      </w:pPr>
    </w:p>
    <w:p w14:paraId="439DE87E">
      <w:pPr>
        <w:pStyle w:val="26"/>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rightChars="0"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根据《中华人民共和国政府采购法》《中华人民共和国民法典》和本项目采购文件的要求，</w:t>
      </w:r>
      <w:r>
        <w:rPr>
          <w:rFonts w:hint="eastAsia" w:ascii="宋体" w:hAnsi="宋体" w:eastAsia="宋体" w:cs="宋体"/>
          <w:color w:val="auto"/>
          <w:kern w:val="28"/>
          <w:sz w:val="21"/>
          <w:szCs w:val="21"/>
          <w:highlight w:val="none"/>
        </w:rPr>
        <w:t>经双方协商，</w:t>
      </w:r>
      <w:r>
        <w:rPr>
          <w:rFonts w:hint="eastAsia" w:ascii="宋体" w:hAnsi="宋体" w:eastAsia="宋体" w:cs="宋体"/>
          <w:color w:val="auto"/>
          <w:sz w:val="21"/>
          <w:szCs w:val="21"/>
          <w:highlight w:val="none"/>
        </w:rPr>
        <w:t>本着平等互利和诚实信用的原则，</w:t>
      </w:r>
      <w:r>
        <w:rPr>
          <w:rFonts w:hint="eastAsia" w:ascii="宋体" w:hAnsi="宋体" w:eastAsia="宋体" w:cs="宋体"/>
          <w:color w:val="auto"/>
          <w:kern w:val="28"/>
          <w:sz w:val="21"/>
          <w:szCs w:val="21"/>
          <w:highlight w:val="none"/>
        </w:rPr>
        <w:t>一致同意签订本合同如下</w:t>
      </w:r>
      <w:r>
        <w:rPr>
          <w:rFonts w:hint="eastAsia" w:ascii="宋体" w:hAnsi="宋体" w:eastAsia="宋体" w:cs="宋体"/>
          <w:color w:val="auto"/>
          <w:kern w:val="28"/>
          <w:sz w:val="21"/>
          <w:szCs w:val="21"/>
          <w:highlight w:val="none"/>
          <w:lang w:eastAsia="zh-CN"/>
        </w:rPr>
        <w:t>：</w:t>
      </w:r>
    </w:p>
    <w:p w14:paraId="7AFACC85">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合同</w:t>
      </w:r>
      <w:r>
        <w:rPr>
          <w:rFonts w:hint="eastAsia" w:ascii="宋体" w:hAnsi="宋体" w:eastAsia="宋体" w:cs="宋体"/>
          <w:b/>
          <w:color w:val="auto"/>
          <w:sz w:val="21"/>
          <w:szCs w:val="21"/>
          <w:highlight w:val="none"/>
          <w:lang w:val="en-US" w:eastAsia="zh-CN"/>
        </w:rPr>
        <w:t>金额</w:t>
      </w:r>
    </w:p>
    <w:p w14:paraId="3441E2D9">
      <w:pPr>
        <w:pStyle w:val="27"/>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righ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1、合同价：</w:t>
      </w:r>
      <w:r>
        <w:rPr>
          <w:rFonts w:hint="eastAsia" w:ascii="宋体" w:hAnsi="宋体" w:eastAsia="宋体" w:cs="宋体"/>
          <w:b/>
          <w:color w:val="auto"/>
          <w:sz w:val="21"/>
          <w:szCs w:val="21"/>
          <w:highlight w:val="none"/>
        </w:rPr>
        <w:t>小写：</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
          <w:color w:val="auto"/>
          <w:sz w:val="21"/>
          <w:szCs w:val="21"/>
          <w:highlight w:val="none"/>
        </w:rPr>
        <w:t>元；大写：人民币</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
          <w:color w:val="auto"/>
          <w:sz w:val="21"/>
          <w:szCs w:val="21"/>
          <w:highlight w:val="none"/>
        </w:rPr>
        <w:t>元。</w:t>
      </w:r>
    </w:p>
    <w:p w14:paraId="23379440">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lang w:val="en-US" w:eastAsia="zh-CN"/>
        </w:rPr>
        <w:t>2、合同单价：¥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元/件。</w:t>
      </w:r>
    </w:p>
    <w:p w14:paraId="60D7D7F4">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3、本合同约定的价格为含税价格，在合同履行期间，不因国家税率的调整而调整。</w:t>
      </w:r>
    </w:p>
    <w:p w14:paraId="43522F6B">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4、本项目合同价为广东省佛山市目的地交付价。 </w:t>
      </w:r>
    </w:p>
    <w:p w14:paraId="594A6C1E">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合同价指乙方为完成本项目所收取的全部费用，包含但不限于以下费用：成本费、劳务费、设备费、系统及软件费、接口费、交通费、税金（全额含税发票）、雇员费用、采购代理服务费、疫情防控费用以及项目实施过程中其他应预见和不可预见费用等完成本采购项目、达到甲方目的的一切费用及企业利润。</w:t>
      </w:r>
    </w:p>
    <w:p w14:paraId="518C2D44">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项目服务地点</w:t>
      </w:r>
    </w:p>
    <w:p w14:paraId="0FBABE7C">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佛山市高明区人民法院</w:t>
      </w:r>
    </w:p>
    <w:p w14:paraId="5E1A5C51">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服务期</w:t>
      </w:r>
      <w:r>
        <w:rPr>
          <w:rFonts w:hint="eastAsia" w:ascii="宋体" w:hAnsi="宋体" w:eastAsia="宋体" w:cs="宋体"/>
          <w:b/>
          <w:color w:val="auto"/>
          <w:sz w:val="21"/>
          <w:szCs w:val="21"/>
          <w:highlight w:val="none"/>
          <w:lang w:val="en-US" w:eastAsia="zh-CN"/>
        </w:rPr>
        <w:t>限</w:t>
      </w:r>
    </w:p>
    <w:p w14:paraId="2FF4A684">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1、工作量达到合同总金额时，合同自动终止；未达到合同总金额，但达到合同履行服务期（24个月），经双方友好协商可适当延长合同期限。</w:t>
      </w:r>
    </w:p>
    <w:p w14:paraId="351FE33E">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2、合同履行期限补充要求：原则上合同生效之日计起24个月。若在合同期内未完成约定的工作量，经双方友好协商可适当延长合同期限。</w:t>
      </w:r>
    </w:p>
    <w:p w14:paraId="2F251B28">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付款方式</w:t>
      </w:r>
    </w:p>
    <w:p w14:paraId="7C95414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预付款：合同签订生效后的15个工作日内，</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启动财政支付流程向</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支付合同总额的40%作为预付款。</w:t>
      </w:r>
    </w:p>
    <w:p w14:paraId="3468CFEC">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进度款：从合同签订后第三个月起按</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每季度完成量支付。</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申请付款时应向</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提供双方确认后的案件量清单及送达报告，与支付金额相符的有效发票，且收款方、出具发票方、合同乙方均必须与</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 xml:space="preserve">名称一致，每期费用在十五个工作日内支付。 </w:t>
      </w:r>
    </w:p>
    <w:p w14:paraId="437A6179">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应在</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提出验收申请之日起5个工作日内验收：①.如果验收合格，</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出具书面验收合格证明。如果验收不合格，</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明确列明不合格之处，并出具整改意见书。如</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在5日届满前未进行验收或未出具书面验收结果的，或提出超出本合同需求范围的不合理整改意见的，则视为</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服务及成果已经</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认可，通过验收。②验收办法：</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与</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验收应参照《财政部关于进一步加强政府采购需求和履约验收管理的指导意见》 （财库〔2016〕205号）规定的要求进行验收。③.验收标准：按国家有关规定、招标文件的服务要求、</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的投标文件及承诺以及合同约定标准进行验收。</w:t>
      </w:r>
    </w:p>
    <w:p w14:paraId="0627B0D1">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因</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使用的是财政资金，</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在前款规定的付款时间为向政府采购支付部门提出办理财政支付申请手续的时间（不含政府财政支付部门审核的时间），在规定时间内提出支付申请手续后视为</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已经按期支付。</w:t>
      </w:r>
    </w:p>
    <w:p w14:paraId="7A51831E">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具体支付方式和支付进度，</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可以根据项目进展情况做出调整，由</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代表验收合格并盖章确认。</w:t>
      </w:r>
    </w:p>
    <w:p w14:paraId="13B6C7A0">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6、付款要求</w:t>
      </w:r>
    </w:p>
    <w:p w14:paraId="7AFCDD2A">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①甲方不承担因财政资金不能及时到位给乙方造成的任何损失。</w:t>
      </w:r>
    </w:p>
    <w:p w14:paraId="14AE5705">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②收款方、出具发票方、合同乙方名称均必须与成交供应商名称一致。</w:t>
      </w:r>
    </w:p>
    <w:p w14:paraId="509B9F98">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结算方式</w:t>
      </w:r>
    </w:p>
    <w:p w14:paraId="12C4B07F">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单个案件以通过法院管理部门对案件送达验收视为完成全部服务内容。若合同期满后</w:t>
      </w:r>
      <w:r>
        <w:rPr>
          <w:rFonts w:hint="eastAsia" w:ascii="宋体" w:hAnsi="宋体" w:eastAsia="宋体" w:cs="宋体"/>
          <w:b w:val="0"/>
          <w:bCs w:val="0"/>
          <w:color w:val="auto"/>
          <w:sz w:val="21"/>
          <w:szCs w:val="21"/>
          <w:highlight w:val="none"/>
          <w:lang w:eastAsia="zh-CN"/>
        </w:rPr>
        <w:t>乙方</w:t>
      </w:r>
      <w:r>
        <w:rPr>
          <w:rFonts w:hint="eastAsia" w:ascii="宋体" w:hAnsi="宋体" w:eastAsia="宋体" w:cs="宋体"/>
          <w:b w:val="0"/>
          <w:bCs w:val="0"/>
          <w:color w:val="auto"/>
          <w:sz w:val="21"/>
          <w:szCs w:val="21"/>
          <w:highlight w:val="none"/>
        </w:rPr>
        <w:t>不再继续提送达配套服务时，则根据案件送达状态折算工作量进行一次性支付结算。</w:t>
      </w:r>
    </w:p>
    <w:tbl>
      <w:tblPr>
        <w:tblStyle w:val="19"/>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2"/>
        <w:gridCol w:w="2871"/>
        <w:gridCol w:w="3045"/>
      </w:tblGrid>
      <w:tr w14:paraId="37A8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2" w:type="dxa"/>
            <w:vAlign w:val="center"/>
          </w:tcPr>
          <w:p w14:paraId="3304F09B">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年份</w:t>
            </w:r>
          </w:p>
        </w:tc>
        <w:tc>
          <w:tcPr>
            <w:tcW w:w="2871" w:type="dxa"/>
            <w:vAlign w:val="center"/>
          </w:tcPr>
          <w:p w14:paraId="35C61330">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w:t>
            </w:r>
          </w:p>
        </w:tc>
        <w:tc>
          <w:tcPr>
            <w:tcW w:w="3045" w:type="dxa"/>
            <w:vAlign w:val="center"/>
          </w:tcPr>
          <w:p w14:paraId="26874D2D">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结算方式</w:t>
            </w:r>
          </w:p>
        </w:tc>
      </w:tr>
      <w:tr w14:paraId="71D5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2" w:type="dxa"/>
            <w:vMerge w:val="restart"/>
            <w:vAlign w:val="center"/>
          </w:tcPr>
          <w:p w14:paraId="2D621FF6">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第一年</w:t>
            </w:r>
          </w:p>
          <w:p w14:paraId="497BBD31">
            <w:pPr>
              <w:pStyle w:val="2"/>
              <w:keepNext w:val="0"/>
              <w:keepLines w:val="0"/>
              <w:pageBreakBefore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（1-12个月）</w:t>
            </w:r>
          </w:p>
        </w:tc>
        <w:tc>
          <w:tcPr>
            <w:tcW w:w="2871" w:type="dxa"/>
            <w:vAlign w:val="center"/>
          </w:tcPr>
          <w:p w14:paraId="0A5DF647">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电子送达有效率&lt;65%</w:t>
            </w:r>
          </w:p>
        </w:tc>
        <w:tc>
          <w:tcPr>
            <w:tcW w:w="3045" w:type="dxa"/>
            <w:vAlign w:val="center"/>
          </w:tcPr>
          <w:p w14:paraId="79928AEA">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结案数×案件单价×95%</w:t>
            </w:r>
          </w:p>
        </w:tc>
      </w:tr>
      <w:tr w14:paraId="7BA2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2" w:type="dxa"/>
            <w:vMerge w:val="continue"/>
            <w:vAlign w:val="center"/>
          </w:tcPr>
          <w:p w14:paraId="791D4789">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p>
        </w:tc>
        <w:tc>
          <w:tcPr>
            <w:tcW w:w="2871" w:type="dxa"/>
            <w:vAlign w:val="center"/>
          </w:tcPr>
          <w:p w14:paraId="61E0C757">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电子送达有效率≧65%</w:t>
            </w:r>
          </w:p>
        </w:tc>
        <w:tc>
          <w:tcPr>
            <w:tcW w:w="3045" w:type="dxa"/>
            <w:vAlign w:val="center"/>
          </w:tcPr>
          <w:p w14:paraId="7C752392">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结案数×案件单价</w:t>
            </w:r>
          </w:p>
        </w:tc>
      </w:tr>
      <w:tr w14:paraId="57F0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2" w:type="dxa"/>
            <w:vMerge w:val="restart"/>
            <w:vAlign w:val="center"/>
          </w:tcPr>
          <w:p w14:paraId="5F2081D2">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第二年</w:t>
            </w:r>
          </w:p>
          <w:p w14:paraId="3A4C0A5A">
            <w:pPr>
              <w:pStyle w:val="2"/>
              <w:keepNext w:val="0"/>
              <w:keepLines w:val="0"/>
              <w:pageBreakBefore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（13-24个月）</w:t>
            </w:r>
          </w:p>
        </w:tc>
        <w:tc>
          <w:tcPr>
            <w:tcW w:w="2871" w:type="dxa"/>
            <w:vAlign w:val="center"/>
          </w:tcPr>
          <w:p w14:paraId="6827E7C4">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电子送达有效率&lt;68%</w:t>
            </w:r>
          </w:p>
        </w:tc>
        <w:tc>
          <w:tcPr>
            <w:tcW w:w="3045" w:type="dxa"/>
            <w:vAlign w:val="center"/>
          </w:tcPr>
          <w:p w14:paraId="1B498DB8">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结案数×案件单价×95%</w:t>
            </w:r>
          </w:p>
        </w:tc>
      </w:tr>
      <w:tr w14:paraId="5229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2" w:type="dxa"/>
            <w:vMerge w:val="continue"/>
            <w:vAlign w:val="center"/>
          </w:tcPr>
          <w:p w14:paraId="01E9D08B">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p>
        </w:tc>
        <w:tc>
          <w:tcPr>
            <w:tcW w:w="2871" w:type="dxa"/>
            <w:vAlign w:val="center"/>
          </w:tcPr>
          <w:p w14:paraId="4752FC1D">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电子送达有效率≧68%</w:t>
            </w:r>
          </w:p>
        </w:tc>
        <w:tc>
          <w:tcPr>
            <w:tcW w:w="3045" w:type="dxa"/>
            <w:vAlign w:val="center"/>
          </w:tcPr>
          <w:p w14:paraId="6DCBAF40">
            <w:pPr>
              <w:keepNext w:val="0"/>
              <w:keepLines w:val="0"/>
              <w:pageBreakBefore w:val="0"/>
              <w:kinsoku/>
              <w:wordWrap/>
              <w:overflowPunct/>
              <w:topLinePunct w:val="0"/>
              <w:autoSpaceDE/>
              <w:autoSpaceDN/>
              <w:bidi w:val="0"/>
              <w:adjustRightInd/>
              <w:snapToGrid/>
              <w:spacing w:line="44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结案数×案件单价</w:t>
            </w:r>
          </w:p>
        </w:tc>
      </w:tr>
      <w:tr w14:paraId="2D1A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8" w:type="dxa"/>
            <w:gridSpan w:val="3"/>
            <w:vAlign w:val="center"/>
          </w:tcPr>
          <w:p w14:paraId="527CF25E">
            <w:pPr>
              <w:pStyle w:val="2"/>
              <w:keepNext w:val="0"/>
              <w:keepLines w:val="0"/>
              <w:pageBreakBefore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电子送达有效率指受送达人成功打开电子链接或签收邮件的比率，每季结算一次</w:t>
            </w:r>
          </w:p>
        </w:tc>
      </w:tr>
    </w:tbl>
    <w:p w14:paraId="2B31DB9A">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验收要求</w:t>
      </w:r>
    </w:p>
    <w:p w14:paraId="2360D74D">
      <w:pPr>
        <w:pStyle w:val="28"/>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需为验收提供必需的一切条件及相关费用，并提供本项目服务过程中的相关文档和验收所需资料及记录，积极配合</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完成验收工作。</w:t>
      </w:r>
    </w:p>
    <w:p w14:paraId="4BF19630">
      <w:pPr>
        <w:pStyle w:val="28"/>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2、项目验收依次序对照执行标准</w:t>
      </w:r>
    </w:p>
    <w:p w14:paraId="040161B6">
      <w:pPr>
        <w:pStyle w:val="28"/>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（1）符合中华人民共和国国家和履约地相关安全质量标准、行业技术规范标准、环保节能标准；</w:t>
      </w:r>
    </w:p>
    <w:p w14:paraId="4BEF783F">
      <w:pPr>
        <w:pStyle w:val="28"/>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（2）符合招标文件和投标承诺中各方共同认可的各项要求；</w:t>
      </w:r>
    </w:p>
    <w:p w14:paraId="15B8147E">
      <w:pPr>
        <w:pStyle w:val="28"/>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（3）符合服务类项目官方颁布的验收标准。</w:t>
      </w:r>
    </w:p>
    <w:p w14:paraId="0F78352E">
      <w:pPr>
        <w:pStyle w:val="28"/>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（4）上述各类标准与法规必须是有关官方机构最新发布的现行标准版本。</w:t>
      </w:r>
    </w:p>
    <w:p w14:paraId="251BCF24">
      <w:pPr>
        <w:pStyle w:val="28"/>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3、验收内容。按照合同规定的技术、服务、安全标准组织对</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履约情况进行验收，并出具验收报告。验收报告应当包括每一项技术、服务、安全标准的履约情况。</w:t>
      </w:r>
    </w:p>
    <w:p w14:paraId="1085C479">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4、验收结果。以书面形式作出结论性意见（验收报告），由验收小组成员签字及</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授权代表签字盖章后，报告</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w:t>
      </w:r>
    </w:p>
    <w:p w14:paraId="123D4959">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rPr>
          <w:rFonts w:hint="eastAsia" w:ascii="宋体" w:hAnsi="宋体" w:eastAsia="宋体" w:cs="宋体"/>
          <w:b/>
          <w:color w:val="auto"/>
          <w:sz w:val="21"/>
          <w:szCs w:val="21"/>
          <w:highlight w:val="none"/>
        </w:rPr>
      </w:pPr>
      <w:bookmarkStart w:id="33" w:name="_Toc7871"/>
      <w:bookmarkStart w:id="34" w:name="_Toc15804"/>
      <w:r>
        <w:rPr>
          <w:rFonts w:hint="eastAsia" w:ascii="宋体" w:hAnsi="宋体" w:eastAsia="宋体" w:cs="宋体"/>
          <w:b/>
          <w:color w:val="auto"/>
          <w:sz w:val="21"/>
          <w:szCs w:val="21"/>
          <w:highlight w:val="none"/>
          <w:lang w:val="en-US" w:eastAsia="zh-CN"/>
        </w:rPr>
        <w:t>履约保证金</w:t>
      </w:r>
    </w:p>
    <w:p w14:paraId="698529B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1、为保证乙方提供的服务符合采购文件、乙方投标文件及本合同约定要求，乙方在签定合同后10个工作日内向甲方</w:t>
      </w:r>
      <w:r>
        <w:rPr>
          <w:rFonts w:hint="eastAsia" w:ascii="宋体" w:hAnsi="宋体" w:eastAsia="宋体" w:cs="宋体"/>
          <w:color w:val="auto"/>
          <w:sz w:val="21"/>
          <w:szCs w:val="21"/>
          <w:highlight w:val="none"/>
        </w:rPr>
        <w:t>指定账号缴纳</w:t>
      </w:r>
      <w:r>
        <w:rPr>
          <w:rFonts w:hint="eastAsia" w:ascii="宋体" w:hAnsi="宋体" w:eastAsia="宋体" w:cs="宋体"/>
          <w:color w:val="auto"/>
          <w:sz w:val="21"/>
          <w:szCs w:val="21"/>
          <w:highlight w:val="none"/>
          <w:lang w:val="en-US" w:eastAsia="zh-CN"/>
        </w:rPr>
        <w:t>合同总价的5%作为履约保证金。</w:t>
      </w:r>
    </w:p>
    <w:p w14:paraId="31FD671C">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2、如果乙方拒绝提交或没有在规定的时间内提交履约保证金，则视为放弃中标资格。</w:t>
      </w:r>
    </w:p>
    <w:p w14:paraId="218397EC">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3、如乙方违约，甲方可随时启动项目履约保证金，因乙方违约导致扣减履约保证金后，乙方须在五个工作日内补足至原有金额，否则将视为乙方毁约，甲方有权单方面解除本合同。</w:t>
      </w:r>
    </w:p>
    <w:p w14:paraId="7B8AD2D6">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4、合同期内无违约行为的，履约保证金在合同结束后1个月内无息退还。</w:t>
      </w:r>
    </w:p>
    <w:p w14:paraId="463BF7AE">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服务</w:t>
      </w:r>
      <w:r>
        <w:rPr>
          <w:rFonts w:hint="eastAsia" w:ascii="宋体" w:hAnsi="宋体" w:eastAsia="宋体" w:cs="宋体"/>
          <w:b/>
          <w:bCs/>
          <w:color w:val="auto"/>
          <w:sz w:val="21"/>
          <w:szCs w:val="21"/>
          <w:highlight w:val="none"/>
        </w:rPr>
        <w:t>内容</w:t>
      </w:r>
      <w:bookmarkEnd w:id="33"/>
      <w:bookmarkEnd w:id="34"/>
    </w:p>
    <w:p w14:paraId="292D9546">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提供集电话送达，电子送达，EMS邮寄送达等为一体的多元化“综合送达平台”系统服务，打造高明法院送达特色应用。提供不少3名驻场服务人员，为甲方提供集约化送达服务：</w:t>
      </w:r>
    </w:p>
    <w:tbl>
      <w:tblPr>
        <w:tblStyle w:val="19"/>
        <w:tblW w:w="9219"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8"/>
        <w:gridCol w:w="4963"/>
        <w:gridCol w:w="2748"/>
      </w:tblGrid>
      <w:tr w14:paraId="0DA3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508" w:type="dxa"/>
            <w:vAlign w:val="center"/>
          </w:tcPr>
          <w:p w14:paraId="2B15703C">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类别</w:t>
            </w:r>
          </w:p>
        </w:tc>
        <w:tc>
          <w:tcPr>
            <w:tcW w:w="4963" w:type="dxa"/>
            <w:vAlign w:val="center"/>
          </w:tcPr>
          <w:p w14:paraId="454E13F7">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工作内容及职责</w:t>
            </w:r>
          </w:p>
        </w:tc>
        <w:tc>
          <w:tcPr>
            <w:tcW w:w="2748" w:type="dxa"/>
            <w:vAlign w:val="center"/>
          </w:tcPr>
          <w:p w14:paraId="17201933">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服务质量/标准</w:t>
            </w:r>
          </w:p>
        </w:tc>
      </w:tr>
      <w:tr w14:paraId="62F6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5" w:hRule="atLeast"/>
        </w:trPr>
        <w:tc>
          <w:tcPr>
            <w:tcW w:w="1508" w:type="dxa"/>
            <w:vAlign w:val="center"/>
          </w:tcPr>
          <w:p w14:paraId="16159D88">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电子（话）</w:t>
            </w:r>
          </w:p>
          <w:p w14:paraId="41F675AF">
            <w:pPr>
              <w:keepNext w:val="0"/>
              <w:keepLines w:val="0"/>
              <w:pageBreakBefore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送达、短信送达</w:t>
            </w:r>
          </w:p>
        </w:tc>
        <w:tc>
          <w:tcPr>
            <w:tcW w:w="4963" w:type="dxa"/>
            <w:vAlign w:val="center"/>
          </w:tcPr>
          <w:p w14:paraId="241383A3">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助理、书记员在送达平台上对有联系方式（特指从运营商平台查询得到的实名制号码）的受送达人，勾选/制作需要送达的文书后，发起集约送达订单，集约送达中心系统接收订单并电话联系引导其及时查看文书，当事人在指定时限内（48小时内打6次，24小时内分三个时段各打1次）未接听电话，将向其发送短信，当事人经电话联系后仍不查阅文件，24小时后需要流转邮寄送达。</w:t>
            </w:r>
          </w:p>
        </w:tc>
        <w:tc>
          <w:tcPr>
            <w:tcW w:w="2748" w:type="dxa"/>
            <w:vAlign w:val="center"/>
          </w:tcPr>
          <w:p w14:paraId="1E786B4B">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b/>
                <w:bCs/>
                <w:color w:val="auto"/>
                <w:sz w:val="21"/>
                <w:szCs w:val="21"/>
                <w:highlight w:val="none"/>
                <w:lang w:bidi="ar"/>
              </w:rPr>
              <w:t>时限：</w:t>
            </w:r>
            <w:r>
              <w:rPr>
                <w:rFonts w:hint="eastAsia" w:ascii="宋体" w:hAnsi="宋体" w:eastAsia="宋体" w:cs="宋体"/>
                <w:color w:val="auto"/>
                <w:sz w:val="21"/>
                <w:szCs w:val="21"/>
                <w:highlight w:val="none"/>
                <w:lang w:bidi="ar"/>
              </w:rPr>
              <w:t>系统实时接单，每天16:00前创建的任务，当天17:30前处理并反馈结果；16:00后建立的工单，第二天上午11:00前处理并反馈结果</w:t>
            </w:r>
            <w:r>
              <w:rPr>
                <w:rFonts w:hint="eastAsia" w:ascii="宋体" w:hAnsi="宋体" w:eastAsia="宋体" w:cs="宋体"/>
                <w:color w:val="auto"/>
                <w:sz w:val="21"/>
                <w:szCs w:val="21"/>
                <w:highlight w:val="none"/>
                <w:lang w:eastAsia="zh-CN" w:bidi="ar"/>
              </w:rPr>
              <w:t>。</w:t>
            </w:r>
          </w:p>
          <w:p w14:paraId="07926FB6">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成功率：</w:t>
            </w:r>
          </w:p>
          <w:p w14:paraId="60C1D40A">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第一年：申请执行人不低于95%；被执行人不低于55%</w:t>
            </w:r>
          </w:p>
          <w:p w14:paraId="5D65DADD">
            <w:pPr>
              <w:keepNext w:val="0"/>
              <w:keepLines w:val="0"/>
              <w:pageBreakBefore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bidi="ar"/>
              </w:rPr>
              <w:t>第二年：申请执行人不低于96%；被执行人不低于60%</w:t>
            </w:r>
            <w:r>
              <w:rPr>
                <w:rFonts w:hint="eastAsia" w:ascii="宋体" w:hAnsi="宋体" w:eastAsia="宋体" w:cs="宋体"/>
                <w:color w:val="auto"/>
                <w:sz w:val="21"/>
                <w:szCs w:val="21"/>
                <w:highlight w:val="none"/>
                <w:lang w:eastAsia="zh-CN" w:bidi="ar"/>
              </w:rPr>
              <w:t>。</w:t>
            </w:r>
          </w:p>
        </w:tc>
      </w:tr>
      <w:tr w14:paraId="0249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4" w:hRule="atLeast"/>
        </w:trPr>
        <w:tc>
          <w:tcPr>
            <w:tcW w:w="1508" w:type="dxa"/>
            <w:vAlign w:val="center"/>
          </w:tcPr>
          <w:p w14:paraId="36D19ACE">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邮寄送达</w:t>
            </w:r>
          </w:p>
        </w:tc>
        <w:tc>
          <w:tcPr>
            <w:tcW w:w="4963" w:type="dxa"/>
            <w:vAlign w:val="center"/>
          </w:tcPr>
          <w:p w14:paraId="1DBF6FAB">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集约送达中心针对电子送达不成功流转至邮寄送达的订单在第一时间进行文书打印、审核、封装、邮寄；签收回执/退件返回集约送达中心后拍照上传至送达平台，实物根据业务庭、寄件人分类、登记返回法院。</w:t>
            </w:r>
          </w:p>
          <w:p w14:paraId="4D545715">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bidi="ar"/>
              </w:rPr>
            </w:pPr>
            <w:r>
              <w:rPr>
                <w:rFonts w:hint="eastAsia" w:ascii="宋体" w:hAnsi="宋体" w:eastAsia="宋体" w:cs="宋体"/>
                <w:b/>
                <w:bCs/>
                <w:color w:val="auto"/>
                <w:sz w:val="21"/>
                <w:szCs w:val="21"/>
                <w:highlight w:val="none"/>
                <w:lang w:bidi="ar"/>
              </w:rPr>
              <w:t>线上邮寄：</w:t>
            </w:r>
            <w:r>
              <w:rPr>
                <w:rFonts w:hint="eastAsia" w:ascii="宋体" w:hAnsi="宋体" w:eastAsia="宋体" w:cs="宋体"/>
                <w:color w:val="auto"/>
                <w:sz w:val="21"/>
                <w:szCs w:val="21"/>
                <w:highlight w:val="none"/>
                <w:lang w:bidi="ar"/>
              </w:rPr>
              <w:t>在系统里创建任务，上传文书（判决书、裁判文书等有电子版的文书）、录入收件地址信息，发起邮寄送达。</w:t>
            </w:r>
          </w:p>
          <w:p w14:paraId="0DCAF6D2">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bidi="ar"/>
              </w:rPr>
              <w:t>线下邮寄：</w:t>
            </w:r>
            <w:r>
              <w:rPr>
                <w:rFonts w:hint="eastAsia" w:ascii="宋体" w:hAnsi="宋体" w:eastAsia="宋体" w:cs="宋体"/>
                <w:color w:val="auto"/>
                <w:sz w:val="21"/>
                <w:szCs w:val="21"/>
                <w:highlight w:val="none"/>
                <w:lang w:bidi="ar"/>
              </w:rPr>
              <w:t>应诉资料类的文书进行封装文书（结案裁判文书使用A3纸打印并配封面）、打印详情单形成邮件交于揽收员进行邮件揽收寄出。</w:t>
            </w:r>
          </w:p>
        </w:tc>
        <w:tc>
          <w:tcPr>
            <w:tcW w:w="2748" w:type="dxa"/>
            <w:vAlign w:val="center"/>
          </w:tcPr>
          <w:p w14:paraId="73EA8E5E">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b/>
                <w:bCs/>
                <w:color w:val="auto"/>
                <w:sz w:val="21"/>
                <w:szCs w:val="21"/>
                <w:highlight w:val="none"/>
                <w:lang w:bidi="ar"/>
              </w:rPr>
              <w:t>时限：</w:t>
            </w:r>
            <w:r>
              <w:rPr>
                <w:rFonts w:hint="eastAsia" w:ascii="宋体" w:hAnsi="宋体" w:eastAsia="宋体" w:cs="宋体"/>
                <w:color w:val="auto"/>
                <w:sz w:val="21"/>
                <w:szCs w:val="21"/>
                <w:highlight w:val="none"/>
                <w:lang w:bidi="ar"/>
              </w:rPr>
              <w:t>按照法院与供应商签订的邮寄服务合同为准</w:t>
            </w:r>
            <w:r>
              <w:rPr>
                <w:rFonts w:hint="eastAsia" w:ascii="宋体" w:hAnsi="宋体" w:eastAsia="宋体" w:cs="宋体"/>
                <w:color w:val="auto"/>
                <w:sz w:val="21"/>
                <w:szCs w:val="21"/>
                <w:highlight w:val="none"/>
                <w:lang w:eastAsia="zh-CN" w:bidi="ar"/>
              </w:rPr>
              <w:t>。</w:t>
            </w:r>
          </w:p>
          <w:p w14:paraId="02272E22">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bidi="ar"/>
              </w:rPr>
              <w:t>妥投率：不低于60%</w:t>
            </w:r>
            <w:r>
              <w:rPr>
                <w:rFonts w:hint="eastAsia" w:ascii="宋体" w:hAnsi="宋体" w:eastAsia="宋体" w:cs="宋体"/>
                <w:color w:val="auto"/>
                <w:sz w:val="21"/>
                <w:szCs w:val="21"/>
                <w:highlight w:val="none"/>
                <w:lang w:eastAsia="zh-CN" w:bidi="ar"/>
              </w:rPr>
              <w:t>。</w:t>
            </w:r>
          </w:p>
        </w:tc>
      </w:tr>
      <w:tr w14:paraId="43CA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508" w:type="dxa"/>
            <w:vAlign w:val="center"/>
          </w:tcPr>
          <w:p w14:paraId="19359990">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公告送达</w:t>
            </w:r>
          </w:p>
        </w:tc>
        <w:tc>
          <w:tcPr>
            <w:tcW w:w="4963" w:type="dxa"/>
            <w:vAlign w:val="center"/>
          </w:tcPr>
          <w:p w14:paraId="3E31F94E">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负责邮寄送达、直接送达、委托送达不成功的，重新排期后的挂网公告送达及张贴公告文书工作。</w:t>
            </w:r>
          </w:p>
        </w:tc>
        <w:tc>
          <w:tcPr>
            <w:tcW w:w="2748" w:type="dxa"/>
            <w:vAlign w:val="center"/>
          </w:tcPr>
          <w:p w14:paraId="15EF5ED7">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实时接单</w:t>
            </w:r>
          </w:p>
          <w:p w14:paraId="7DCF7DC7">
            <w:pPr>
              <w:keepNext w:val="0"/>
              <w:keepLines w:val="0"/>
              <w:pageBreakBefore w:val="0"/>
              <w:widowControl w:val="0"/>
              <w:kinsoku/>
              <w:wordWrap/>
              <w:overflowPunct/>
              <w:topLinePunct w:val="0"/>
              <w:autoSpaceDE/>
              <w:autoSpaceDN/>
              <w:bidi w:val="0"/>
              <w:adjustRightInd/>
              <w:snapToGrid/>
              <w:spacing w:line="360" w:lineRule="atLeas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实时挂网送达</w:t>
            </w:r>
          </w:p>
        </w:tc>
      </w:tr>
    </w:tbl>
    <w:p w14:paraId="1F094911">
      <w:pPr>
        <w:pStyle w:val="27"/>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60" w:lineRule="auto"/>
        <w:ind w:left="510" w:right="0" w:rightChars="0" w:hanging="510"/>
        <w:jc w:val="both"/>
        <w:textAlignment w:val="auto"/>
        <w:outlineLvl w:val="1"/>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服务技术需求</w:t>
      </w:r>
    </w:p>
    <w:p w14:paraId="46D20481">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建设集约式送达服务中心,通过社会化服务，运用信息化的手段，建设统一的送达平台,对甲方的13000件执行案件,囊括各种送达方式、集成各类送达渠道，实现文书送达信息化，保障送达程序合规化，实现送达全流程管理、证据链保全、送达成本可控、送达时效最优，兼顾公平与效率，从根本上解决 “送达难”。</w:t>
      </w:r>
    </w:p>
    <w:p w14:paraId="75646ED7">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1、送达系统功能要求</w:t>
      </w:r>
    </w:p>
    <w:p w14:paraId="7A08177D">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1.1送达发起</w:t>
      </w:r>
    </w:p>
    <w:p w14:paraId="63E2197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法官或书记员送达发起登记，包括案件、受送达人（当事人或代理人、辩护人等），送达材料电子选择或上传，清单及二维码打印，附加工作登记，送达机构及送达人确定等。</w:t>
      </w:r>
    </w:p>
    <w:p w14:paraId="780FDDA7">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1.2送达分派</w:t>
      </w:r>
    </w:p>
    <w:p w14:paraId="7BD7C8C9">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针对未指定送达人的送达任务，为集中送达内勤或领导提供送达分派功能，支持批量分派。</w:t>
      </w:r>
    </w:p>
    <w:p w14:paraId="6745DE84">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1.3送达办理</w:t>
      </w:r>
    </w:p>
    <w:p w14:paraId="695E0DC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提供给送达人操作功能模块，提供送达办理功能。</w:t>
      </w:r>
    </w:p>
    <w:p w14:paraId="2A907D85">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按送达条件分类（新分派、送达中、办结、终止）。</w:t>
      </w:r>
    </w:p>
    <w:p w14:paraId="6278999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办理送达任务包含送达方式（电子送达、电话送达、短信送达、邮寄送达、窗口领取、外出送达、公告送达）。</w:t>
      </w:r>
    </w:p>
    <w:p w14:paraId="3CFC8A3B">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系统需要做到可以登记并办理，也可选择派发到专职岗位。如：邮寄送达可集中将邮寄打单任务派发到邮寄集中处理岗位统一打印面单，也可以自行打印面单。</w:t>
      </w:r>
    </w:p>
    <w:p w14:paraId="7CACAF4F">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1.4送达跟踪</w:t>
      </w:r>
    </w:p>
    <w:p w14:paraId="11C2B68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支持记录送达过程和结果，可上传回执附件，对送达过程全程留痕。送达记录以案件为单位，按当事人分组，显示全过程的送达记录。对送达完成记录重点标注。</w:t>
      </w:r>
    </w:p>
    <w:p w14:paraId="6296C4A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2、送达服务要求</w:t>
      </w:r>
    </w:p>
    <w:p w14:paraId="3118051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2.1电子送达</w:t>
      </w:r>
    </w:p>
    <w:p w14:paraId="4517D0A4">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电话送达</w:t>
      </w:r>
    </w:p>
    <w:p w14:paraId="44BCE079">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送达专员通过电话联系当事人，可在送达系统中登记电话通知的主叫、被叫号码、通知时间、结果等信息。</w:t>
      </w:r>
    </w:p>
    <w:p w14:paraId="6DE73644">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当事人接通电话同意电子送达后，可以生成送达回证，并支持送达回证的入卷功能。</w:t>
      </w:r>
    </w:p>
    <w:p w14:paraId="0C16C4FD">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短信送达</w:t>
      </w:r>
    </w:p>
    <w:p w14:paraId="7AA27A20">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提供短信送达的发送编辑功能，根据短信模板自动翻译生成短信内容，短信内容附带短连接，并通过甲方短信平台发送短信。当事人点击短信，系统需自动生成短信送达凭证并入卷，并支持上传到电子卷宗的对应目录下。</w:t>
      </w:r>
    </w:p>
    <w:p w14:paraId="4470C0D9">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2.2来院领取</w:t>
      </w:r>
    </w:p>
    <w:p w14:paraId="316120BA">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送达专员或书记员通过该功能派发工单至诉讼服务中心窗口岗位，同时电子文书在系统中流转至领取文书岗位。当事人来院后，凭二代证办理领取文书、打印文书，采集当事人的送达回证电子签名等功能。</w:t>
      </w:r>
    </w:p>
    <w:p w14:paraId="3D4216B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当事人领取送达文书后，系统自动生成送达回证，并进行入卷。</w:t>
      </w:r>
    </w:p>
    <w:p w14:paraId="61DA468C">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2.3邮寄送达</w:t>
      </w:r>
    </w:p>
    <w:p w14:paraId="0359166B">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对于格式化文书，支持直接提交发送送达，电子材料经集中文印岗位文印后流转至邮寄送达岗位；对于裁判文书，打印装订好后，支持提交纸质送达，纸质材料直接流转到邮寄送达岗位。</w:t>
      </w:r>
    </w:p>
    <w:p w14:paraId="47F0AE70">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支持合并邮寄功能：对于同案件下同收件人同收件地址的情况下，合并邮寄成一个邮单。</w:t>
      </w:r>
    </w:p>
    <w:p w14:paraId="06709F4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支持EMS物流信息：系统可自动获取EMS的物流详情。</w:t>
      </w:r>
    </w:p>
    <w:p w14:paraId="4DB580F0">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支持邮件退件登记功能：对于退件的邮件，由EMS岗位人员，集中利用高拍仪扫描寄件联照片，扫条形码定位送达记录，登记邮寄结果。</w:t>
      </w:r>
    </w:p>
    <w:p w14:paraId="2BFCC85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系统支持从扫描的EMS回执联图片中直接识别出快递号，避免手工录入。</w:t>
      </w:r>
    </w:p>
    <w:p w14:paraId="64DBEFA7">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EMS回执联图片可直接入卷，并上传到电子卷宗的对应目录下面。</w:t>
      </w:r>
    </w:p>
    <w:p w14:paraId="400D916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2.4案件管理</w:t>
      </w:r>
    </w:p>
    <w:p w14:paraId="5BFF3610">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可以查询到每个案号对应的文书，每份文书对应的签收记录；送达记录，查看每份文书，发送记录及签收情况，方便查阅；（需提供软件功能截图页面） </w:t>
      </w:r>
    </w:p>
    <w:p w14:paraId="5027F18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2.5案件关联功能</w:t>
      </w:r>
    </w:p>
    <w:p w14:paraId="22787C17">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可关联同一当事人的所有案件信息（包括民事、刑事、执行案件的关联）。</w:t>
      </w:r>
    </w:p>
    <w:p w14:paraId="1AA5FBB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3、送达地址库维护服务</w:t>
      </w:r>
    </w:p>
    <w:p w14:paraId="20D895C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针对受送达人提供智能送达地址管理。</w:t>
      </w:r>
    </w:p>
    <w:p w14:paraId="7174B00F">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受送达人地址库建设：针对身份证号建立每个诉讼参与人的送达地址库；</w:t>
      </w:r>
    </w:p>
    <w:p w14:paraId="2C40518E">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4、送达可视化服务</w:t>
      </w:r>
    </w:p>
    <w:p w14:paraId="5B6E0066">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系统提供对送达数据（送达次数、送达方式等）进行统计分析的功能，提供送达可视化系统。</w:t>
      </w:r>
    </w:p>
    <w:p w14:paraId="4480DE57">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5、系统对接服务</w:t>
      </w:r>
    </w:p>
    <w:p w14:paraId="613E8843">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送达系统支持与如下系统实现对接：</w:t>
      </w:r>
    </w:p>
    <w:p w14:paraId="01EE946B">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（1）与执行系统对接</w:t>
      </w:r>
    </w:p>
    <w:p w14:paraId="3B460593">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支持与执行系统无缝对接，并皆部署于法院内网。通过与执行系统的对接，可以直接在执行系统界面发起送达。</w:t>
      </w:r>
    </w:p>
    <w:p w14:paraId="6B82304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（2）与智能卷宗管理系统对接</w:t>
      </w:r>
    </w:p>
    <w:p w14:paraId="06DA79B7">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支持与智能卷宗系统无缝对接。并皆部署于法院内网。通过与智能卷宗系统的对接，可以在智能卷宗系统中提取受送达人的地址、电话等相关信息。</w:t>
      </w:r>
    </w:p>
    <w:p w14:paraId="7749A281">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（3）与电话语音管理系统对接</w:t>
      </w:r>
    </w:p>
    <w:p w14:paraId="7E976F5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支持与电话语音管理系统无缝对接。电话语音管理系统部署于外网，通过光闸与综合送达管理系统进行数据交互。送达专员在综合送达管理系统中一键拨打电话，通话完成后自动获取通话信息及录音。</w:t>
      </w:r>
    </w:p>
    <w:p w14:paraId="6FE640CA">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（4）与短信管理系统对接</w:t>
      </w:r>
    </w:p>
    <w:p w14:paraId="366D8100">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支持与短信管理系统无缝对接，短信管理系统部署于外网，通过光闸与内网的综合送达管理系统进行数据交互。送达专员可以一键发送送达短信，系统自动生成送达报告保存到送达回执材料中。</w:t>
      </w:r>
    </w:p>
    <w:p w14:paraId="1BAB7FC5">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（5）与送达网站发布系统对接</w:t>
      </w:r>
    </w:p>
    <w:p w14:paraId="63CA3DF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支持与司法送达网无缝对接，司法送达网部署于外网，通过光闸与内网的综合送达管理系统进行数据交互。送达专员可以发起公告，公告内容通过公告模板一键生成，并同步至外网司法送达网。</w:t>
      </w:r>
    </w:p>
    <w:p w14:paraId="71376670">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（6）与自助打印管理系统对接</w:t>
      </w:r>
    </w:p>
    <w:p w14:paraId="623798B5">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与自助打印系统对接，并皆部署于法院内网。当事人可通过自助打印管理系统打印电子文书、送达清单、送达凭证。智能生成清晰可视送达报告，方便法官团队查阅：自动生成文书，并实现电子签章，实现在线自动加盖电子签章。送达报告书中包含本次送达任务电话通知记录、短信发送记录、当事人同意电子送达、与当事人约定送达地址、邮寄送达的投递记录、邮寄状态、签收状态等。</w:t>
      </w:r>
    </w:p>
    <w:p w14:paraId="5F6CD7A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（7）与物流管理系统对接</w:t>
      </w:r>
    </w:p>
    <w:p w14:paraId="6E9CFB6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支持与物流管理系统对接，物流管理系统部署于外网，通过光闸与内网的综合送达管理系统进行数据交互。邮寄送达时，可通过物流管理系统跟踪查看物流详情。</w:t>
      </w:r>
    </w:p>
    <w:p w14:paraId="7F1B0163">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（8）增设身份确认、地址确认、电话数据采集等服务，提高结案效率。 </w:t>
      </w:r>
    </w:p>
    <w:p w14:paraId="5AE282DB">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6、项目组织</w:t>
      </w:r>
    </w:p>
    <w:p w14:paraId="4AAE1334">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为顺利完成项目的需求分析、送达服务流程设计和部署实施等工作，必须加强项目的组织和管理。乙方必须组织稳定的、经验丰富的项目团队来完成项目的设计和实施工作。要求乙方要制订本项目的项目实施的人力安排和组织保证。</w:t>
      </w:r>
    </w:p>
    <w:p w14:paraId="28B99C63">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项目组成员必须包括项目经理岗、送达任务分派岗、电子送达岗、材料文印岗、面单套打岗、领取文书岗等岗位，驻场服务人员不少于3人，项目人员服从法院管理。若乙方无法达到各环节规定的时限要求，应当增加现场人员和设备以保证服务效果。</w:t>
      </w:r>
    </w:p>
    <w:p w14:paraId="179AB919">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本项目的项目经理应具有丰富的集约送达服务管理经验，胜任工作分派、进度掌控及质量监管等管理工作，按要求向法院提供数据报表并分析数据能力。如项目实施过程中法院发现项目经理不能胜任相应工作，有权要求更换，乙方应按甲方要求及时更换项目经理且资质不得低于原要求。</w:t>
      </w:r>
    </w:p>
    <w:p w14:paraId="2A76F02F">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（3）本项目的项目团队中至少需包含一名线上技术运维工程师。线上技术运维工程师在采购人建立的微信群等沟通工具中实时进行答疑和相关故障排除。</w:t>
      </w:r>
    </w:p>
    <w:p w14:paraId="5FAB49D6">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（4）本项目拟派团队人员在上岗前须具备专业技能培训经历；至少具备大专以上学历，服务态度端正、作风优良，熟悉法院中需要服务岗位的业务流程，熟练掌握电脑等办公设备，遵守甲方的规章制度。</w:t>
      </w:r>
    </w:p>
    <w:p w14:paraId="4B0A1BDB">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（5）甲方提供相应的办公设备和耗材，以实际满足服务需求为准。</w:t>
      </w:r>
    </w:p>
    <w:p w14:paraId="677AC846">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7、时间进度要求</w:t>
      </w:r>
    </w:p>
    <w:p w14:paraId="59AD4ECD">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本项目要求乙方于合同签订后10个工作日内完成相关软、硬件配备、送达业务流程梳理及全面开展服务。</w:t>
      </w:r>
    </w:p>
    <w:p w14:paraId="69D379C3">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8、安全保密要求</w:t>
      </w:r>
    </w:p>
    <w:p w14:paraId="3BB9C1E7">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（1）乙方应严格遵守国家相关的保密法律规定，无条件遵守《保密协议》（由甲方提供，双方另行签订）和甲方的有关规定。</w:t>
      </w:r>
    </w:p>
    <w:p w14:paraId="69996CF3">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（2）服务工作必须在甲方指定的场所内进行，确保场所正常秩序和安全。不得遗失、损坏卷宗，如有违法行为或违反相关规定，将依法或依据约定追究相应的责任。</w:t>
      </w:r>
    </w:p>
    <w:p w14:paraId="30DA4FAC">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乙方的所有工作人员必须通过采购人的审核，并登记备案。乙方必须向甲方提供以下资料：《工作人员登记表》（每人一式一份），工作人员身份证复印件（每人一式一份），工作人员档案岗位资格证书复印件（每人一式一份），《保密协议》（每人一式一份）。</w:t>
      </w:r>
    </w:p>
    <w:p w14:paraId="05E1E243">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项目实施过程中，乙方如需更换、增加工作人员，必须提前一周向甲方提供拟加入人员的资料，取得法院签字同意后方可更换或者增加人手。对离开本项目实施岗位的人员，乙方需在人员离岗后一周内，在甲方保存的相关工作人员的备案表格中标注离岗日期。</w:t>
      </w:r>
    </w:p>
    <w:p w14:paraId="6F8267F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（5）乙方参的工作人员必须接受档案保密安全教育，并自觉学习保密知识，严格遵守《档案法》、《保密法》及其他有关法规，严防泄密现象发生。</w:t>
      </w:r>
    </w:p>
    <w:p w14:paraId="31AB849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除钥匙及眼镜等外，乙方工作人员未经甲方同意，不得将手袋、提包、钱包、磁盘（含U盘、软盘、硬盘等）、刻录光盘、手机、MP3、MP4、报刊、纸张及其他随身物品带入工作室，也不得将工作室的物品擅自带出工作室外。</w:t>
      </w:r>
    </w:p>
    <w:p w14:paraId="4A9BEF84">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（7）未经甲方批准，乙方不得以任何形式复制离线的卷宗图像和卷宗目录数据。</w:t>
      </w:r>
    </w:p>
    <w:p w14:paraId="1397CF76">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（8）乙方工作人员剔除同一案卷内的重复文件必须经甲方有关人员审核同意方可实施。</w:t>
      </w:r>
    </w:p>
    <w:p w14:paraId="7E9AC5CE">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工作室内的废纸、没有送达的纸质材料（起诉状副本、证据复印件等）必须集中放置定期清理，清理时要有专人对纸张进行仔细检查，确保其中没有夹带任何档案文件后才能清出工作室，运送至甲方指定位置进行销毁。</w:t>
      </w:r>
    </w:p>
    <w:p w14:paraId="7D4EEE62">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（10）乙方工作人员不得以任何方式非法向外人泄露档案所涉及的审判秘密、工作秘密及其他不宜公开的信息，否则按国家有关规定处理，情节严重的要承担相应的刑事责任。</w:t>
      </w:r>
    </w:p>
    <w:p w14:paraId="5DC0DD6F">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（11）乙方应对本项目所有产生的电子化数据的完整性和安全性负责，全面做好电子化数据的本地备份（至少有一份以上的电子化数据备份），确保数据的安全。</w:t>
      </w:r>
    </w:p>
    <w:p w14:paraId="20606238">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（12）乙方购置的全部电脑硬盘等存储介质所有权归甲方所有。项目结束，乙方离场前需将电脑硬盘等全部存储介质交给甲方，由甲方进行处理。</w:t>
      </w:r>
    </w:p>
    <w:p w14:paraId="1AE5DE63">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right="0" w:right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9、其他要求</w:t>
      </w:r>
    </w:p>
    <w:p w14:paraId="71BF0BC5">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（1）乙方需及时将项目实施情况汇报给甲方，及时告知项目实施过程中存在的各种风险及防范措施，每周向甲方提交项目实施报告，每月定期提交工作进度报告。</w:t>
      </w:r>
    </w:p>
    <w:p w14:paraId="2AC55EA8">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（2）未尽事项。本文件未尽之处按照最高院、省法院、佛山中院有关规定执行。</w:t>
      </w:r>
    </w:p>
    <w:p w14:paraId="6E0D94BC">
      <w:pPr>
        <w:pStyle w:val="27"/>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60" w:lineRule="auto"/>
        <w:ind w:left="510" w:right="0" w:rightChars="0" w:hanging="51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技术服务、培训等</w:t>
      </w:r>
    </w:p>
    <w:p w14:paraId="5CCC3945">
      <w:pPr>
        <w:pStyle w:val="21"/>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1、工作时间</w:t>
      </w:r>
    </w:p>
    <w:p w14:paraId="3803A298">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国家法定工作日和法院统一要求加班的节假日，上午8:00-12：00，下午：13:30-17:30。乙方应严格执行考勤制度，做好考勤登记，确保员工准时上班。</w:t>
      </w:r>
    </w:p>
    <w:p w14:paraId="311172D7">
      <w:pPr>
        <w:pStyle w:val="21"/>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2、技术服务</w:t>
      </w:r>
    </w:p>
    <w:p w14:paraId="7F7B07DD">
      <w:pPr>
        <w:pStyle w:val="21"/>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工作时间乙方须提供运维工程师现场或远程解答甲方关于送达系统的技术问题。</w:t>
      </w:r>
    </w:p>
    <w:p w14:paraId="237C865C">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3、售后服务</w:t>
      </w:r>
    </w:p>
    <w:p w14:paraId="0D493741">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提供每天24小时的不间断技术支持服务，为甲方提供电话、传真、视频、现场等多种方式技术支持服务，全方位响应需求；确有必要需在2小时内到达现场，并最迟在第2个工作日内排除错误，2个工作日内不能解决的，必须采取临时应急等措施，以保证甲方的正常使用。</w:t>
      </w:r>
    </w:p>
    <w:p w14:paraId="2DA6867F">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乙方须提供从项目整体验收合格之日起，提供一年的免费质保期服务；质保期满后，提供的技术支持和维护，只收取技术服务成本价。无论在质保期内还是质保期满后，乙方负责对其实施的项目提供24小时不间断技术支持服务，全方位技术响应。</w:t>
      </w:r>
    </w:p>
    <w:p w14:paraId="5467F841">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4、培训</w:t>
      </w:r>
    </w:p>
    <w:p w14:paraId="74464416">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乙方需对其所有工作人员定期进行岗位培训，每季度至少培训一次，培训内容包括但不限于技术、保密等相关内容，保证项目的安全、进度和质量。</w:t>
      </w:r>
    </w:p>
    <w:p w14:paraId="5AF45FA0">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5、人员调整</w:t>
      </w:r>
    </w:p>
    <w:p w14:paraId="20E84724">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乙方须按其投标文件中承诺提供的项目组人员按要求投入到本项目中，在合同期内不得擅自更换，并向甲方报备投入本项目人员信息。乙方如因工作安排或其他原因，需要更换项目组人员时，应事前向甲方书面提出申请，未经甲方同意，不得更换人员。</w:t>
      </w:r>
    </w:p>
    <w:p w14:paraId="66561C9E">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甲方有权以书面形式要求乙方更换不能按规定履行合同或工作质量出现问题的工作人员，同时并收回相关出入甲方场所证件，替代人员的资质仍应得到甲方的认可，且其资历和经验均不低于被更换人员，由此而产生的费用由乙方承担。</w:t>
      </w:r>
    </w:p>
    <w:p w14:paraId="09085693">
      <w:pPr>
        <w:pStyle w:val="21"/>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乙方未经甲方书面同意擅自更换项目组人员，甲方有权扣除乙方一定的违约金；发生本条上述情况累计达4次后，甲方有权终止合同，由此引致的经济损失，乙方须全额赔偿，甲方保留追究乙方相关责任的权利。</w:t>
      </w:r>
    </w:p>
    <w:p w14:paraId="799C8872">
      <w:pPr>
        <w:pStyle w:val="27"/>
        <w:keepNext w:val="0"/>
        <w:keepLines w:val="0"/>
        <w:pageBreakBefore w:val="0"/>
        <w:numPr>
          <w:ilvl w:val="-1"/>
          <w:numId w:val="0"/>
        </w:numPr>
        <w:kinsoku/>
        <w:wordWrap/>
        <w:overflowPunct/>
        <w:topLinePunct w:val="0"/>
        <w:autoSpaceDE/>
        <w:autoSpaceDN/>
        <w:bidi w:val="0"/>
        <w:adjustRightInd/>
        <w:snapToGrid/>
        <w:spacing w:beforeAutospacing="0" w:afterAutospacing="0" w:line="360" w:lineRule="auto"/>
        <w:ind w:left="0" w:leftChars="0" w:right="0" w:rightChars="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（4）乙方对其项目人员的人身安全负全部责任。</w:t>
      </w:r>
    </w:p>
    <w:p w14:paraId="159659D5">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服务对照执行标准</w:t>
      </w:r>
    </w:p>
    <w:p w14:paraId="3DB03875">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1、符合中华人民共和国国家和履约地相关安全质量标准、行业技术规范标准；</w:t>
      </w:r>
    </w:p>
    <w:p w14:paraId="0CF1D001">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2、符合采购文件和响应承诺中各方共同认可的合理要求；</w:t>
      </w:r>
    </w:p>
    <w:p w14:paraId="05BF9187">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上述各类标准与法规必须是有关官方机构最新发布的现行标准版本。</w:t>
      </w:r>
    </w:p>
    <w:p w14:paraId="3B3E391E">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bookmarkStart w:id="35" w:name="_Toc30072"/>
      <w:bookmarkStart w:id="36" w:name="_Toc14430"/>
      <w:r>
        <w:rPr>
          <w:rFonts w:hint="eastAsia" w:ascii="宋体" w:hAnsi="宋体" w:eastAsia="宋体" w:cs="宋体"/>
          <w:b/>
          <w:bCs/>
          <w:color w:val="auto"/>
          <w:sz w:val="21"/>
          <w:szCs w:val="21"/>
          <w:highlight w:val="none"/>
        </w:rPr>
        <w:t>投诉跟踪服务要求</w:t>
      </w:r>
      <w:bookmarkEnd w:id="35"/>
      <w:bookmarkEnd w:id="36"/>
    </w:p>
    <w:p w14:paraId="0D9B0879">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乙方须提供常设的投诉热线服务，并对投诉内容进行及时跟踪、回访。对甲方的投诉与通知，必须按甲方指定的时间内处理完毕，若特发事件不能在短时间内解决，乙方必须采取应急措施，或按甲方认可的应急方案执行，不得影响甲方的正常工作业务。</w:t>
      </w:r>
    </w:p>
    <w:p w14:paraId="0E462641">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2、服务期内，甲方有权按本项目的管理要求对乙方进行不定期抽查检查，若对不合格的管理服务提出警告后，仍未得到有效解决时，甲方有权终止管理合同。</w:t>
      </w:r>
    </w:p>
    <w:p w14:paraId="4D5DF0D0">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3、乙方服务机构名称及地址：</w:t>
      </w:r>
    </w:p>
    <w:p w14:paraId="6EC7CEF9">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联系人1：          ，联系电话：            ，手机：          ；</w:t>
      </w:r>
    </w:p>
    <w:p w14:paraId="1086D339">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联系人2：          ，联系电话：            ，手机：          ；</w:t>
      </w:r>
    </w:p>
    <w:p w14:paraId="508850FC">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服务专线电话：</w:t>
      </w:r>
    </w:p>
    <w:p w14:paraId="60B7E232">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bookmarkStart w:id="37" w:name="_Toc465245603"/>
      <w:r>
        <w:rPr>
          <w:rFonts w:hint="eastAsia" w:ascii="宋体" w:hAnsi="宋体" w:eastAsia="宋体" w:cs="宋体"/>
          <w:bCs/>
          <w:color w:val="auto"/>
          <w:sz w:val="21"/>
          <w:szCs w:val="21"/>
          <w:highlight w:val="none"/>
          <w:lang w:val="en-US" w:eastAsia="zh-CN"/>
        </w:rPr>
        <w:t>4、其他服务要求：（补充内容不得对采购文件和投标/响应文件作实质性修改）</w:t>
      </w:r>
      <w:bookmarkEnd w:id="37"/>
      <w:r>
        <w:rPr>
          <w:rFonts w:hint="eastAsia" w:ascii="宋体" w:hAnsi="宋体" w:eastAsia="宋体" w:cs="宋体"/>
          <w:bCs/>
          <w:color w:val="auto"/>
          <w:sz w:val="21"/>
          <w:szCs w:val="21"/>
          <w:highlight w:val="none"/>
          <w:lang w:val="en-US" w:eastAsia="zh-CN"/>
        </w:rPr>
        <w:t>。</w:t>
      </w:r>
    </w:p>
    <w:p w14:paraId="06142F65">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bookmarkStart w:id="38" w:name="_Toc14692"/>
      <w:bookmarkStart w:id="39" w:name="_Toc26438"/>
      <w:r>
        <w:rPr>
          <w:rFonts w:hint="eastAsia" w:ascii="宋体" w:hAnsi="宋体" w:eastAsia="宋体" w:cs="宋体"/>
          <w:b/>
          <w:bCs/>
          <w:color w:val="auto"/>
          <w:sz w:val="21"/>
          <w:szCs w:val="21"/>
          <w:highlight w:val="none"/>
        </w:rPr>
        <w:t>违约责任</w:t>
      </w:r>
      <w:bookmarkEnd w:id="38"/>
      <w:bookmarkEnd w:id="39"/>
    </w:p>
    <w:p w14:paraId="7925C78F">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1、乙方未能按照“时间进度要求”完成资源配备及试运行各项工作的，应支付合同总额25%的违约金，甲方有权解除合同并没收尚未退还的保证金。</w:t>
      </w:r>
    </w:p>
    <w:p w14:paraId="571D3627">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乙方未能按照“结算方式”的约定达到当年(每季结算一次）电子送达有效率，按“结算方式”约定的结算方式结算。实际电子送达有效率比当年约定送达有效率低于15%（当年约定电子送达有效率－实际电子送达有效率≥15%），甲方有权解除合同并没收尚未退还的保证金。</w:t>
      </w:r>
    </w:p>
    <w:p w14:paraId="4DD67D1D">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3、乙方终止合同未提前3个月通知甲方，按合同总价的10%进行赔偿；</w:t>
      </w:r>
    </w:p>
    <w:p w14:paraId="7947CA06">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4、本合同服务期满时，若乙方需要撤场，乙方未向甲方交接电脑硬盘等全部存储介质的，或不配合甲方做好后续交接衔接工作的，应按合同总价的10%进行赔偿。</w:t>
      </w:r>
    </w:p>
    <w:p w14:paraId="0AAE4FBE">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bookmarkStart w:id="40" w:name="_Toc29672"/>
      <w:bookmarkStart w:id="41" w:name="_Toc7353"/>
      <w:r>
        <w:rPr>
          <w:rFonts w:hint="eastAsia" w:ascii="宋体" w:hAnsi="宋体" w:eastAsia="宋体" w:cs="宋体"/>
          <w:b/>
          <w:bCs/>
          <w:color w:val="auto"/>
          <w:sz w:val="21"/>
          <w:szCs w:val="21"/>
          <w:highlight w:val="none"/>
        </w:rPr>
        <w:t>提出异议的时间和方法</w:t>
      </w:r>
      <w:bookmarkEnd w:id="40"/>
      <w:bookmarkEnd w:id="41"/>
    </w:p>
    <w:p w14:paraId="7893161D">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甲方有异议时，应</w:t>
      </w:r>
      <w:r>
        <w:rPr>
          <w:rFonts w:hint="eastAsia" w:ascii="宋体" w:hAnsi="宋体" w:eastAsia="宋体" w:cs="宋体"/>
          <w:bCs/>
          <w:color w:val="auto"/>
          <w:sz w:val="21"/>
          <w:szCs w:val="21"/>
          <w:highlight w:val="none"/>
          <w:lang w:val="en-US" w:eastAsia="zh-CN"/>
        </w:rPr>
        <w:t xml:space="preserve"> 5 </w:t>
      </w:r>
      <w:r>
        <w:rPr>
          <w:rFonts w:hint="eastAsia" w:ascii="宋体" w:hAnsi="宋体" w:eastAsia="宋体" w:cs="宋体"/>
          <w:bCs/>
          <w:color w:val="auto"/>
          <w:sz w:val="21"/>
          <w:szCs w:val="21"/>
          <w:highlight w:val="none"/>
        </w:rPr>
        <w:t>天内向乙方提出书面异议。</w:t>
      </w:r>
    </w:p>
    <w:p w14:paraId="09E241A6">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乙方在接到甲方书面异议后，应在3天内负责处理并函复甲方处理情况，否则，即视为默认甲方提出的异议和处理意见。</w:t>
      </w:r>
    </w:p>
    <w:p w14:paraId="06C1D16D">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乙方利用专业技术和行业信息优势之便，以不道德的手段，故意隐瞒和掩盖自身缔约过失，违背投标（响应）承诺和未尽义务，损害了甲方的合法权益，甲方在任何时候均可追究乙方的违约责任并索取赔偿，且不受验收程序、服务期和合同时效的限制。</w:t>
      </w:r>
    </w:p>
    <w:p w14:paraId="31372D17">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bookmarkStart w:id="42" w:name="_Toc20403"/>
      <w:bookmarkStart w:id="43" w:name="_Toc13514"/>
      <w:r>
        <w:rPr>
          <w:rFonts w:hint="eastAsia" w:ascii="宋体" w:hAnsi="宋体" w:eastAsia="宋体" w:cs="宋体"/>
          <w:b/>
          <w:bCs/>
          <w:color w:val="auto"/>
          <w:sz w:val="21"/>
          <w:szCs w:val="21"/>
          <w:highlight w:val="none"/>
        </w:rPr>
        <w:t>争议的解决</w:t>
      </w:r>
      <w:bookmarkEnd w:id="42"/>
      <w:bookmarkEnd w:id="43"/>
    </w:p>
    <w:p w14:paraId="4EAB855D">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合同履行过程中发生的任何争议，如双方未能通过友好协商解决，应向甲方所在地的人民法院提起诉讼。</w:t>
      </w:r>
    </w:p>
    <w:p w14:paraId="51A70269">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bookmarkStart w:id="44" w:name="_Toc15154"/>
      <w:bookmarkStart w:id="45" w:name="_Toc30231"/>
      <w:r>
        <w:rPr>
          <w:rFonts w:hint="eastAsia" w:ascii="宋体" w:hAnsi="宋体" w:eastAsia="宋体" w:cs="宋体"/>
          <w:b/>
          <w:bCs/>
          <w:color w:val="auto"/>
          <w:sz w:val="21"/>
          <w:szCs w:val="21"/>
          <w:highlight w:val="none"/>
        </w:rPr>
        <w:t>不可抗力</w:t>
      </w:r>
      <w:bookmarkEnd w:id="44"/>
      <w:bookmarkEnd w:id="45"/>
    </w:p>
    <w:p w14:paraId="58AC3757">
      <w:pPr>
        <w:pStyle w:val="29"/>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rightChars="0"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由于地震、台风、水灾、战争、以及其它不能预见并且对其发生和后果不能防止或避免的不可抗力事故，致使直接影响本合同的履行或者不能按约定的条件履行时，遇有上述不可抗力事故的一方，应在不可抗力事故发生后立即将事故情况电传通知对方，并应在15天内提供事故详情及合同不能履行，或者部分不能履行，或者需要延期履行的理由的有效证明文件。此项证明文件应由事故发生地区的公证机构出具。按照事故对履行合同的影响程度，由合同各方协商决定是否解除合同，或者部分免除履行合同的责任，或者延期履行合同。</w:t>
      </w:r>
    </w:p>
    <w:p w14:paraId="6879B572">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bookmarkStart w:id="46" w:name="_Toc26275"/>
      <w:bookmarkStart w:id="47" w:name="_Toc12358"/>
      <w:r>
        <w:rPr>
          <w:rFonts w:hint="eastAsia" w:ascii="宋体" w:hAnsi="宋体" w:eastAsia="宋体" w:cs="宋体"/>
          <w:b/>
          <w:bCs/>
          <w:color w:val="auto"/>
          <w:sz w:val="21"/>
          <w:szCs w:val="21"/>
          <w:highlight w:val="none"/>
        </w:rPr>
        <w:t>税费</w:t>
      </w:r>
      <w:bookmarkEnd w:id="46"/>
      <w:bookmarkEnd w:id="47"/>
    </w:p>
    <w:p w14:paraId="0094DC49">
      <w:pPr>
        <w:pStyle w:val="29"/>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rightChars="0"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在中国境</w:t>
      </w:r>
      <w:r>
        <w:rPr>
          <w:rFonts w:hint="eastAsia" w:ascii="宋体" w:hAnsi="宋体" w:eastAsia="宋体" w:cs="宋体"/>
          <w:bCs/>
          <w:color w:val="auto"/>
          <w:sz w:val="21"/>
          <w:szCs w:val="21"/>
          <w:highlight w:val="none"/>
          <w:lang w:val="en-US" w:eastAsia="zh-CN"/>
        </w:rPr>
        <w:t>内、</w:t>
      </w:r>
      <w:r>
        <w:rPr>
          <w:rFonts w:hint="eastAsia" w:ascii="宋体" w:hAnsi="宋体" w:eastAsia="宋体" w:cs="宋体"/>
          <w:bCs/>
          <w:color w:val="auto"/>
          <w:sz w:val="21"/>
          <w:szCs w:val="21"/>
          <w:highlight w:val="none"/>
        </w:rPr>
        <w:t>外发生的与本合同相关的一切税费及不可预见费均由</w:t>
      </w:r>
      <w:r>
        <w:rPr>
          <w:rFonts w:hint="eastAsia" w:ascii="宋体" w:hAnsi="宋体" w:eastAsia="宋体" w:cs="宋体"/>
          <w:bCs/>
          <w:color w:val="auto"/>
          <w:sz w:val="21"/>
          <w:szCs w:val="21"/>
          <w:highlight w:val="none"/>
          <w:lang w:eastAsia="zh-CN"/>
        </w:rPr>
        <w:t>乙方</w:t>
      </w:r>
      <w:r>
        <w:rPr>
          <w:rFonts w:hint="eastAsia" w:ascii="宋体" w:hAnsi="宋体" w:eastAsia="宋体" w:cs="宋体"/>
          <w:bCs/>
          <w:color w:val="auto"/>
          <w:sz w:val="21"/>
          <w:szCs w:val="21"/>
          <w:highlight w:val="none"/>
        </w:rPr>
        <w:t>负担。</w:t>
      </w:r>
    </w:p>
    <w:p w14:paraId="3B2D65F2">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防疫要求</w:t>
      </w:r>
    </w:p>
    <w:p w14:paraId="7A205089">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如</w:t>
      </w:r>
      <w:r>
        <w:rPr>
          <w:rFonts w:hint="eastAsia" w:ascii="宋体" w:hAnsi="宋体" w:eastAsia="宋体" w:cs="宋体"/>
          <w:bCs/>
          <w:color w:val="auto"/>
          <w:sz w:val="21"/>
          <w:szCs w:val="21"/>
          <w:highlight w:val="none"/>
        </w:rPr>
        <w:t>遇突发的公共卫生事件，必须服从</w:t>
      </w:r>
      <w:r>
        <w:rPr>
          <w:rFonts w:hint="eastAsia" w:ascii="宋体" w:hAnsi="宋体" w:eastAsia="宋体" w:cs="宋体"/>
          <w:bCs/>
          <w:color w:val="auto"/>
          <w:sz w:val="21"/>
          <w:szCs w:val="21"/>
          <w:highlight w:val="none"/>
          <w:lang w:eastAsia="zh-CN"/>
        </w:rPr>
        <w:t>甲方</w:t>
      </w:r>
      <w:r>
        <w:rPr>
          <w:rFonts w:hint="eastAsia" w:ascii="宋体" w:hAnsi="宋体" w:eastAsia="宋体" w:cs="宋体"/>
          <w:bCs/>
          <w:color w:val="auto"/>
          <w:sz w:val="21"/>
          <w:szCs w:val="21"/>
          <w:highlight w:val="none"/>
        </w:rPr>
        <w:t>的工作安排，配合政府及相关防疫部门的工作部署，开展防疫工作。</w:t>
      </w:r>
    </w:p>
    <w:p w14:paraId="6AD7ED13">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bookmarkStart w:id="48" w:name="_Toc17626"/>
      <w:bookmarkStart w:id="49" w:name="_Toc19906"/>
      <w:r>
        <w:rPr>
          <w:rFonts w:hint="eastAsia" w:ascii="宋体" w:hAnsi="宋体" w:eastAsia="宋体" w:cs="宋体"/>
          <w:b/>
          <w:bCs/>
          <w:color w:val="auto"/>
          <w:sz w:val="21"/>
          <w:szCs w:val="21"/>
          <w:highlight w:val="none"/>
        </w:rPr>
        <w:t>乙方应提供的资料内容</w:t>
      </w:r>
      <w:bookmarkEnd w:id="48"/>
      <w:bookmarkEnd w:id="49"/>
    </w:p>
    <w:p w14:paraId="0D000882">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（自行按需补充）</w:t>
      </w:r>
    </w:p>
    <w:p w14:paraId="56CC5823">
      <w:pPr>
        <w:pStyle w:val="27"/>
        <w:keepNext w:val="0"/>
        <w:keepLines w:val="0"/>
        <w:pageBreakBefore w:val="0"/>
        <w:numPr>
          <w:ilvl w:val="0"/>
          <w:numId w:val="2"/>
        </w:numPr>
        <w:kinsoku/>
        <w:wordWrap/>
        <w:overflowPunct/>
        <w:topLinePunct w:val="0"/>
        <w:autoSpaceDE/>
        <w:autoSpaceDN/>
        <w:bidi w:val="0"/>
        <w:adjustRightInd/>
        <w:snapToGrid/>
        <w:spacing w:beforeAutospacing="0" w:afterAutospacing="0" w:line="360" w:lineRule="auto"/>
        <w:ind w:left="510" w:leftChars="0" w:right="0" w:rightChars="0" w:hanging="510" w:firstLineChars="0"/>
        <w:textAlignment w:val="auto"/>
        <w:outlineLvl w:val="1"/>
        <w:rPr>
          <w:rFonts w:hint="eastAsia" w:ascii="宋体" w:hAnsi="宋体" w:eastAsia="宋体" w:cs="宋体"/>
          <w:b/>
          <w:bCs/>
          <w:color w:val="auto"/>
          <w:sz w:val="21"/>
          <w:szCs w:val="21"/>
          <w:highlight w:val="none"/>
        </w:rPr>
      </w:pPr>
      <w:bookmarkStart w:id="50" w:name="_Toc29459"/>
      <w:bookmarkStart w:id="51" w:name="_Toc21714"/>
      <w:r>
        <w:rPr>
          <w:rFonts w:hint="eastAsia" w:ascii="宋体" w:hAnsi="宋体" w:eastAsia="宋体" w:cs="宋体"/>
          <w:b/>
          <w:bCs/>
          <w:color w:val="auto"/>
          <w:sz w:val="21"/>
          <w:szCs w:val="21"/>
          <w:highlight w:val="none"/>
        </w:rPr>
        <w:t>其它</w:t>
      </w:r>
      <w:bookmarkEnd w:id="50"/>
      <w:bookmarkEnd w:id="51"/>
    </w:p>
    <w:p w14:paraId="3D3743D9">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所有经一方或双方签署确认的文件（包括会议纪要、补充协议、往来信函）、采购文件、要约文件和响应承诺文件、合同附件及中标（成交）通知书均为本合同不可分割的有效组成部分，与本合同具有同等的法律效力和履约义务，其缔约生效日期为有效签署或盖章确认之日期。</w:t>
      </w:r>
    </w:p>
    <w:p w14:paraId="3E6368C6">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2、如一方（包括联系人）地址、电话、传真号码有变更，应在变更后3个工作日内书面通知对方联系人或负责人，否则，因此造成的损失由未履行通知义务方承担相应责任。</w:t>
      </w:r>
    </w:p>
    <w:p w14:paraId="62B0E666">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3、未经甲方书面同意，乙方不得擅自向第三方转让其主体性和关键性合同义务。</w:t>
      </w:r>
    </w:p>
    <w:p w14:paraId="5C1597E4">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4、本合同一式___份，甲方执___份，乙方执___份。</w:t>
      </w:r>
    </w:p>
    <w:p w14:paraId="64067301">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5、本合同所指“书面通知”包括但不限于短信、电子邮件等数据电文的通知形式，到达时间以民事诉讼法的规定为准，但进行书面通知前后，通知方均有义务电话确认通知事项。</w:t>
      </w:r>
    </w:p>
    <w:p w14:paraId="481073F2">
      <w:pPr>
        <w:pStyle w:val="27"/>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ind w:leftChars="0" w:right="0" w:righ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6、双方均已对以上各条款及附件作充分了解，并明确理解由此而产生的相关权责。</w:t>
      </w:r>
    </w:p>
    <w:p w14:paraId="2872DA8C">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p>
    <w:tbl>
      <w:tblPr>
        <w:tblStyle w:val="18"/>
        <w:tblW w:w="9356" w:type="dxa"/>
        <w:tblInd w:w="108" w:type="dxa"/>
        <w:tblLayout w:type="fixed"/>
        <w:tblCellMar>
          <w:top w:w="0" w:type="dxa"/>
          <w:left w:w="108" w:type="dxa"/>
          <w:bottom w:w="0" w:type="dxa"/>
          <w:right w:w="108" w:type="dxa"/>
        </w:tblCellMar>
      </w:tblPr>
      <w:tblGrid>
        <w:gridCol w:w="4656"/>
        <w:gridCol w:w="4524"/>
        <w:gridCol w:w="176"/>
      </w:tblGrid>
      <w:tr w14:paraId="6E51CB42">
        <w:trPr>
          <w:gridAfter w:val="1"/>
          <w:wAfter w:w="176" w:type="dxa"/>
          <w:trHeight w:val="2244" w:hRule="atLeast"/>
        </w:trPr>
        <w:tc>
          <w:tcPr>
            <w:tcW w:w="4656" w:type="dxa"/>
            <w:tcBorders>
              <w:top w:val="nil"/>
              <w:left w:val="nil"/>
              <w:bottom w:val="nil"/>
              <w:right w:val="dotDotDash" w:color="auto" w:sz="4" w:space="0"/>
            </w:tcBorders>
          </w:tcPr>
          <w:p w14:paraId="47E3EF65">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t>甲方（盖章）：</w:t>
            </w:r>
          </w:p>
          <w:p w14:paraId="49E5DD9B">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u w:val="dotted"/>
              </w:rPr>
            </w:pPr>
            <w:r>
              <w:rPr>
                <w:rFonts w:hint="default" w:ascii="Times New Roman" w:hAnsi="Times New Roman" w:cs="Times New Roman" w:eastAsiaTheme="minorEastAsia"/>
                <w:color w:val="auto"/>
                <w:sz w:val="21"/>
                <w:szCs w:val="21"/>
                <w:highlight w:val="none"/>
              </w:rPr>
              <w:t>代表：</w:t>
            </w:r>
          </w:p>
          <w:p w14:paraId="2CADC7B0">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地址：</w:t>
            </w:r>
          </w:p>
          <w:p w14:paraId="2F25D0EF">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电话：</w:t>
            </w:r>
          </w:p>
          <w:p w14:paraId="56D6A617">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传真：</w:t>
            </w:r>
          </w:p>
          <w:p w14:paraId="16FE57AD">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color w:val="auto"/>
                <w:sz w:val="21"/>
                <w:szCs w:val="21"/>
                <w:highlight w:val="none"/>
              </w:rPr>
              <w:t>日期：   年   月   日</w:t>
            </w:r>
          </w:p>
        </w:tc>
        <w:tc>
          <w:tcPr>
            <w:tcW w:w="4524" w:type="dxa"/>
            <w:tcBorders>
              <w:top w:val="nil"/>
              <w:left w:val="dotDotDash" w:color="auto" w:sz="4" w:space="0"/>
              <w:bottom w:val="nil"/>
              <w:right w:val="nil"/>
            </w:tcBorders>
          </w:tcPr>
          <w:p w14:paraId="0EC43648">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t>乙方（盖章）：</w:t>
            </w:r>
          </w:p>
          <w:p w14:paraId="68F0348A">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u w:val="dotted"/>
              </w:rPr>
            </w:pPr>
            <w:r>
              <w:rPr>
                <w:rFonts w:hint="default" w:ascii="Times New Roman" w:hAnsi="Times New Roman" w:cs="Times New Roman" w:eastAsiaTheme="minorEastAsia"/>
                <w:color w:val="auto"/>
                <w:sz w:val="21"/>
                <w:szCs w:val="21"/>
                <w:highlight w:val="none"/>
              </w:rPr>
              <w:t>代表：</w:t>
            </w:r>
          </w:p>
          <w:p w14:paraId="3A7D35BB">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地址：</w:t>
            </w:r>
          </w:p>
          <w:p w14:paraId="14176FE0">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电话：</w:t>
            </w:r>
          </w:p>
          <w:p w14:paraId="4FCBE4C7">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传真：</w:t>
            </w:r>
          </w:p>
          <w:p w14:paraId="550C9428">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color w:val="auto"/>
                <w:sz w:val="21"/>
                <w:szCs w:val="21"/>
                <w:highlight w:val="none"/>
              </w:rPr>
              <w:t>日期：   年   月   日</w:t>
            </w:r>
          </w:p>
        </w:tc>
      </w:tr>
      <w:tr w14:paraId="62FA923F">
        <w:tblPrEx>
          <w:tblCellMar>
            <w:top w:w="0" w:type="dxa"/>
            <w:left w:w="108" w:type="dxa"/>
            <w:bottom w:w="0" w:type="dxa"/>
            <w:right w:w="108" w:type="dxa"/>
          </w:tblCellMar>
        </w:tblPrEx>
        <w:trPr>
          <w:trHeight w:val="1781" w:hRule="atLeast"/>
        </w:trPr>
        <w:tc>
          <w:tcPr>
            <w:tcW w:w="4656" w:type="dxa"/>
            <w:tcBorders>
              <w:top w:val="nil"/>
              <w:left w:val="nil"/>
              <w:bottom w:val="single" w:color="FFFFFF" w:sz="4" w:space="0"/>
              <w:right w:val="dotDotDash" w:color="auto" w:sz="4" w:space="0"/>
            </w:tcBorders>
          </w:tcPr>
          <w:p w14:paraId="10E221EE">
            <w:pPr>
              <w:pStyle w:val="30"/>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p>
          <w:p w14:paraId="349785C4">
            <w:pPr>
              <w:pStyle w:val="30"/>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p>
        </w:tc>
        <w:tc>
          <w:tcPr>
            <w:tcW w:w="4700" w:type="dxa"/>
            <w:gridSpan w:val="2"/>
            <w:tcBorders>
              <w:top w:val="nil"/>
              <w:left w:val="dotDotDash" w:color="auto" w:sz="4" w:space="0"/>
              <w:bottom w:val="single" w:color="FFFFFF" w:sz="4" w:space="0"/>
              <w:right w:val="nil"/>
            </w:tcBorders>
          </w:tcPr>
          <w:p w14:paraId="6087D970">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p>
          <w:p w14:paraId="19741E63">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t>收款方、开票方须与乙方一致，专户为：</w:t>
            </w:r>
          </w:p>
          <w:p w14:paraId="27CA13E9">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color w:val="auto"/>
                <w:sz w:val="21"/>
                <w:szCs w:val="21"/>
                <w:highlight w:val="none"/>
              </w:rPr>
              <w:t>开户名称：</w:t>
            </w:r>
          </w:p>
          <w:p w14:paraId="181A80F9">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color w:val="auto"/>
                <w:sz w:val="21"/>
                <w:szCs w:val="21"/>
                <w:highlight w:val="none"/>
              </w:rPr>
              <w:t>银行账号：</w:t>
            </w:r>
          </w:p>
          <w:p w14:paraId="2983F6E7">
            <w:pPr>
              <w:pStyle w:val="2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color w:val="auto"/>
                <w:sz w:val="21"/>
                <w:szCs w:val="21"/>
                <w:highlight w:val="none"/>
              </w:rPr>
              <w:t>开户行：</w:t>
            </w:r>
          </w:p>
        </w:tc>
      </w:tr>
    </w:tbl>
    <w:p w14:paraId="1B72E67D">
      <w:pPr>
        <w:pStyle w:val="17"/>
        <w:keepLines w:val="0"/>
        <w:kinsoku/>
        <w:wordWrap/>
        <w:overflowPunct/>
        <w:topLinePunct w:val="0"/>
        <w:bidi w:val="0"/>
        <w:spacing w:before="0" w:beforeLines="0" w:beforeAutospacing="0" w:after="0" w:afterLines="0" w:afterAutospacing="0" w:line="440" w:lineRule="atLeast"/>
        <w:ind w:left="0" w:leftChars="0" w:right="0" w:rightChars="0" w:firstLine="0" w:firstLineChars="0"/>
        <w:rPr>
          <w:rFonts w:hint="default" w:ascii="Times New Roman" w:hAnsi="Times New Roman" w:cs="Times New Roman" w:eastAsiaTheme="minorEastAsia"/>
          <w:b/>
          <w:color w:val="auto"/>
          <w:highlight w:val="none"/>
        </w:rPr>
      </w:pPr>
    </w:p>
    <w:p w14:paraId="45C37AA9">
      <w:pPr>
        <w:pStyle w:val="17"/>
        <w:keepLines w:val="0"/>
        <w:kinsoku/>
        <w:wordWrap/>
        <w:overflowPunct/>
        <w:topLinePunct w:val="0"/>
        <w:bidi w:val="0"/>
        <w:spacing w:before="0" w:beforeLines="0" w:beforeAutospacing="0" w:after="0" w:afterLines="0" w:afterAutospacing="0" w:line="440" w:lineRule="atLeast"/>
        <w:ind w:left="0" w:leftChars="0" w:right="0" w:rightChars="0" w:firstLine="0" w:firstLineChars="0"/>
        <w:rPr>
          <w:rFonts w:hint="default" w:ascii="Times New Roman" w:hAnsi="Times New Roman" w:cs="Times New Roman" w:eastAsiaTheme="minorEastAsia"/>
          <w:b/>
          <w:color w:val="auto"/>
          <w:highlight w:val="none"/>
        </w:rPr>
        <w:sectPr>
          <w:headerReference r:id="rId3" w:type="default"/>
          <w:pgSz w:w="11906" w:h="16838"/>
          <w:pgMar w:top="1134" w:right="1134" w:bottom="1134" w:left="1588" w:header="567" w:footer="737" w:gutter="0"/>
          <w:pgBorders>
            <w:top w:val="none" w:sz="0" w:space="0"/>
            <w:left w:val="none" w:sz="0" w:space="0"/>
            <w:bottom w:val="none" w:sz="0" w:space="0"/>
            <w:right w:val="none" w:sz="0" w:space="0"/>
          </w:pgBorders>
          <w:pgNumType w:fmt="decimal"/>
          <w:cols w:space="720" w:num="1"/>
          <w:docGrid w:linePitch="312" w:charSpace="0"/>
        </w:sectPr>
      </w:pPr>
    </w:p>
    <w:p w14:paraId="08633D98">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p>
    <w:p w14:paraId="757891E5">
      <w:pPr>
        <w:pStyle w:val="21"/>
        <w:keepLines w:val="0"/>
        <w:kinsoku/>
        <w:wordWrap/>
        <w:overflowPunct/>
        <w:topLinePunct w:val="0"/>
        <w:bidi w:val="0"/>
        <w:spacing w:beforeAutospacing="0" w:afterAutospacing="0" w:line="440" w:lineRule="atLeast"/>
        <w:ind w:left="0" w:leftChars="0" w:right="0" w:rightChars="0"/>
        <w:jc w:val="center"/>
        <w:outlineLvl w:val="0"/>
        <w:rPr>
          <w:rFonts w:hint="default" w:ascii="Times New Roman" w:hAnsi="Times New Roman" w:cs="Times New Roman" w:eastAsiaTheme="minorEastAsia"/>
          <w:color w:val="auto"/>
          <w:sz w:val="28"/>
          <w:szCs w:val="28"/>
          <w:highlight w:val="none"/>
        </w:rPr>
      </w:pPr>
      <w:bookmarkStart w:id="52" w:name="_Toc24585"/>
      <w:r>
        <w:rPr>
          <w:rFonts w:hint="default" w:ascii="Times New Roman" w:hAnsi="Times New Roman" w:cs="Times New Roman" w:eastAsiaTheme="minorEastAsia"/>
          <w:b/>
          <w:color w:val="auto"/>
          <w:sz w:val="28"/>
          <w:szCs w:val="28"/>
          <w:highlight w:val="none"/>
        </w:rPr>
        <w:t>第六</w:t>
      </w:r>
      <w:r>
        <w:rPr>
          <w:rFonts w:hint="default" w:ascii="Times New Roman" w:hAnsi="Times New Roman" w:cs="Times New Roman" w:eastAsiaTheme="minorEastAsia"/>
          <w:b/>
          <w:color w:val="auto"/>
          <w:sz w:val="28"/>
          <w:szCs w:val="28"/>
          <w:highlight w:val="none"/>
          <w:lang w:eastAsia="zh-CN"/>
        </w:rPr>
        <w:t>部分</w:t>
      </w:r>
      <w:r>
        <w:rPr>
          <w:rFonts w:hint="default" w:ascii="Times New Roman" w:hAnsi="Times New Roman" w:cs="Times New Roman" w:eastAsiaTheme="minorEastAsia"/>
          <w:b/>
          <w:color w:val="auto"/>
          <w:sz w:val="28"/>
          <w:szCs w:val="28"/>
          <w:highlight w:val="none"/>
        </w:rPr>
        <w:t xml:space="preserve"> 响应文件格式与要求</w:t>
      </w:r>
      <w:bookmarkEnd w:id="52"/>
    </w:p>
    <w:p w14:paraId="2101D3CB">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供应商应提交证明其有资格参加磋商和成交后有能力履行合同的相关文件，并作为其响应文件的一部分，所有文件必须真实可靠、不得伪造，否则将按相关规定予以处罚。</w:t>
      </w:r>
    </w:p>
    <w:p w14:paraId="6F7BD849">
      <w:pPr>
        <w:pStyle w:val="21"/>
        <w:keepLines w:val="0"/>
        <w:kinsoku/>
        <w:wordWrap/>
        <w:overflowPunct/>
        <w:topLinePunct w:val="0"/>
        <w:bidi w:val="0"/>
        <w:spacing w:beforeAutospacing="0" w:afterAutospacing="0" w:line="440" w:lineRule="atLeast"/>
        <w:ind w:left="0" w:leftChars="0" w:right="0" w:rightChars="0" w:firstLine="480"/>
        <w:outlineLvl w:val="1"/>
        <w:rPr>
          <w:rFonts w:hint="default" w:ascii="Times New Roman" w:hAnsi="Times New Roman" w:cs="Times New Roman" w:eastAsiaTheme="minorEastAsia"/>
          <w:color w:val="auto"/>
          <w:sz w:val="21"/>
          <w:szCs w:val="21"/>
          <w:highlight w:val="none"/>
        </w:rPr>
      </w:pPr>
      <w:bookmarkStart w:id="53" w:name="_Toc24671"/>
      <w:bookmarkStart w:id="54" w:name="_Toc22507"/>
      <w:r>
        <w:rPr>
          <w:rFonts w:hint="default" w:ascii="Times New Roman" w:hAnsi="Times New Roman" w:cs="Times New Roman" w:eastAsiaTheme="minorEastAsia"/>
          <w:color w:val="auto"/>
          <w:sz w:val="21"/>
          <w:szCs w:val="21"/>
          <w:highlight w:val="none"/>
        </w:rPr>
        <w:t>1.法人或者其他组织的营业执照等证明文件，自然人的身份证明：</w:t>
      </w:r>
      <w:bookmarkEnd w:id="53"/>
      <w:bookmarkEnd w:id="54"/>
    </w:p>
    <w:p w14:paraId="4564215A">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14:paraId="2C4C7D66">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58B037BA">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2.财务状况报告，依法缴纳税收和社会保障资金的相关材料（详见资格性审查表要求）</w:t>
      </w:r>
    </w:p>
    <w:p w14:paraId="30F03D3A">
      <w:pPr>
        <w:pStyle w:val="21"/>
        <w:keepLines w:val="0"/>
        <w:kinsoku/>
        <w:wordWrap/>
        <w:overflowPunct/>
        <w:topLinePunct w:val="0"/>
        <w:bidi w:val="0"/>
        <w:spacing w:beforeAutospacing="0" w:afterAutospacing="0" w:line="440" w:lineRule="atLeast"/>
        <w:ind w:left="0" w:leftChars="0" w:right="0" w:rightChars="0" w:firstLine="480"/>
        <w:outlineLvl w:val="1"/>
        <w:rPr>
          <w:rFonts w:hint="default" w:ascii="Times New Roman" w:hAnsi="Times New Roman" w:cs="Times New Roman" w:eastAsiaTheme="minorEastAsia"/>
          <w:color w:val="auto"/>
          <w:sz w:val="21"/>
          <w:szCs w:val="21"/>
          <w:highlight w:val="none"/>
        </w:rPr>
      </w:pPr>
      <w:bookmarkStart w:id="55" w:name="_Toc29387"/>
      <w:bookmarkStart w:id="56" w:name="_Toc12254"/>
      <w:r>
        <w:rPr>
          <w:rFonts w:hint="default" w:ascii="Times New Roman" w:hAnsi="Times New Roman" w:cs="Times New Roman" w:eastAsiaTheme="minorEastAsia"/>
          <w:color w:val="auto"/>
          <w:sz w:val="21"/>
          <w:szCs w:val="21"/>
          <w:highlight w:val="none"/>
        </w:rPr>
        <w:t>3.具有履行合同所必须的设备和专业技术能力的声明。</w:t>
      </w:r>
      <w:bookmarkEnd w:id="55"/>
      <w:bookmarkEnd w:id="56"/>
    </w:p>
    <w:p w14:paraId="23D4A27A">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4.供应商参加政府采购前三年内在经营活动中没有重大违法记录声明函。</w:t>
      </w:r>
    </w:p>
    <w:p w14:paraId="174E0AC2">
      <w:pPr>
        <w:pStyle w:val="21"/>
        <w:keepLines w:val="0"/>
        <w:kinsoku/>
        <w:wordWrap/>
        <w:overflowPunct/>
        <w:topLinePunct w:val="0"/>
        <w:bidi w:val="0"/>
        <w:spacing w:beforeAutospacing="0" w:afterAutospacing="0" w:line="440" w:lineRule="atLeast"/>
        <w:ind w:left="0" w:leftChars="0" w:right="0" w:rightChars="0" w:firstLine="480"/>
        <w:outlineLvl w:val="1"/>
        <w:rPr>
          <w:rFonts w:hint="default" w:ascii="Times New Roman" w:hAnsi="Times New Roman" w:cs="Times New Roman" w:eastAsiaTheme="minorEastAsia"/>
          <w:color w:val="auto"/>
          <w:sz w:val="21"/>
          <w:szCs w:val="21"/>
          <w:highlight w:val="none"/>
        </w:rPr>
      </w:pPr>
      <w:bookmarkStart w:id="57" w:name="_Toc7716"/>
      <w:bookmarkStart w:id="58" w:name="_Toc27794"/>
      <w:r>
        <w:rPr>
          <w:rFonts w:hint="default" w:ascii="Times New Roman" w:hAnsi="Times New Roman" w:cs="Times New Roman" w:eastAsiaTheme="minorEastAsia"/>
          <w:color w:val="auto"/>
          <w:sz w:val="21"/>
          <w:szCs w:val="21"/>
          <w:highlight w:val="none"/>
        </w:rPr>
        <w:t>5.信用记录查询</w:t>
      </w:r>
      <w:bookmarkEnd w:id="57"/>
      <w:bookmarkEnd w:id="58"/>
    </w:p>
    <w:p w14:paraId="1F2E3600">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（1）查询渠道：通过“信用中国”网站(www.creditchina.gov.cn)和“中国政府采购网”（www.ccgp.gov.cn）进行查询；</w:t>
      </w:r>
    </w:p>
    <w:p w14:paraId="4BAECBCB">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（2）查询截止时点：提交响应文件截止日当天；</w:t>
      </w:r>
    </w:p>
    <w:p w14:paraId="00E29758">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（3）查询记录：对列入失信被执行人、重大税收违法案件当事人名单、政府采购严重违法失信行为记录名单、信用报告进行查询；</w:t>
      </w:r>
    </w:p>
    <w:p w14:paraId="33E95CA8">
      <w:pPr>
        <w:pStyle w:val="21"/>
        <w:keepLines w:val="0"/>
        <w:kinsoku/>
        <w:wordWrap/>
        <w:overflowPunct/>
        <w:topLinePunct w:val="0"/>
        <w:bidi w:val="0"/>
        <w:spacing w:beforeAutospacing="0" w:afterAutospacing="0" w:line="440" w:lineRule="atLeast"/>
        <w:ind w:left="0" w:leftChars="0" w:right="0" w:rightChars="0" w:firstLine="48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50C7EB33">
      <w:pPr>
        <w:pStyle w:val="21"/>
        <w:keepLines w:val="0"/>
        <w:kinsoku/>
        <w:wordWrap/>
        <w:overflowPunct/>
        <w:topLinePunct w:val="0"/>
        <w:bidi w:val="0"/>
        <w:spacing w:beforeAutospacing="0" w:afterAutospacing="0" w:line="440" w:lineRule="atLeast"/>
        <w:ind w:left="0" w:leftChars="0" w:right="0" w:rightChars="0" w:firstLine="480"/>
        <w:outlineLvl w:val="1"/>
        <w:rPr>
          <w:rFonts w:hint="default" w:ascii="Times New Roman" w:hAnsi="Times New Roman" w:cs="Times New Roman" w:eastAsiaTheme="minorEastAsia"/>
          <w:color w:val="auto"/>
          <w:sz w:val="21"/>
          <w:szCs w:val="21"/>
          <w:highlight w:val="none"/>
        </w:rPr>
      </w:pPr>
      <w:bookmarkStart w:id="59" w:name="_Toc7889"/>
      <w:bookmarkStart w:id="60" w:name="_Toc30176"/>
      <w:r>
        <w:rPr>
          <w:rFonts w:hint="default" w:ascii="Times New Roman" w:hAnsi="Times New Roman" w:cs="Times New Roman" w:eastAsiaTheme="minorEastAsia"/>
          <w:color w:val="auto"/>
          <w:sz w:val="21"/>
          <w:szCs w:val="21"/>
          <w:highlight w:val="none"/>
        </w:rPr>
        <w:t>6. 按照磋商文件要求，供应商应当提交的资格、资信证明文件。</w:t>
      </w:r>
      <w:bookmarkEnd w:id="59"/>
      <w:bookmarkEnd w:id="60"/>
    </w:p>
    <w:p w14:paraId="49FA7F49">
      <w:pPr>
        <w:pStyle w:val="21"/>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  </w:t>
      </w:r>
    </w:p>
    <w:p w14:paraId="159BDDFC">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48"/>
          <w:highlight w:val="none"/>
        </w:rPr>
      </w:pPr>
      <w:r>
        <w:rPr>
          <w:rFonts w:hint="default" w:ascii="Times New Roman" w:hAnsi="Times New Roman" w:cs="Times New Roman" w:eastAsiaTheme="minorEastAsia"/>
          <w:b/>
          <w:color w:val="auto"/>
          <w:sz w:val="48"/>
          <w:highlight w:val="none"/>
        </w:rPr>
        <w:br w:type="page"/>
      </w:r>
    </w:p>
    <w:p w14:paraId="6BA7AC23">
      <w:pPr>
        <w:keepLines w:val="0"/>
        <w:pageBreakBefore/>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b/>
          <w:bCs/>
          <w:color w:val="auto"/>
          <w:sz w:val="36"/>
          <w:szCs w:val="36"/>
          <w:highlight w:val="none"/>
        </w:rPr>
      </w:pPr>
      <w:bookmarkStart w:id="61" w:name="_Toc310519886"/>
      <w:bookmarkStart w:id="62" w:name="_Toc373767199"/>
      <w:bookmarkStart w:id="63" w:name="_Toc325031942"/>
      <w:bookmarkStart w:id="64" w:name="_Toc419106563"/>
      <w:bookmarkStart w:id="65" w:name="_Toc17932"/>
      <w:bookmarkStart w:id="66" w:name="_Toc200168795"/>
      <w:bookmarkStart w:id="67" w:name="_Toc19601"/>
      <w:bookmarkStart w:id="68" w:name="_Toc25312"/>
      <w:bookmarkStart w:id="69" w:name="_Toc37670363"/>
      <w:bookmarkStart w:id="70" w:name="_Toc49329265"/>
      <w:bookmarkStart w:id="71" w:name="_Toc29817726"/>
      <w:bookmarkStart w:id="72" w:name="_Toc26261460"/>
      <w:bookmarkStart w:id="73" w:name="_Toc25726413"/>
      <w:bookmarkStart w:id="74" w:name="_Toc34980753"/>
      <w:bookmarkStart w:id="75" w:name="_Hlt113175081"/>
      <w:bookmarkStart w:id="76" w:name="_Hlt113163462"/>
      <w:bookmarkStart w:id="77" w:name="_Hlt113163463"/>
      <w:bookmarkStart w:id="78" w:name="_Hlt113175082"/>
      <w:r>
        <w:rPr>
          <w:rFonts w:hint="default" w:ascii="Times New Roman" w:hAnsi="Times New Roman" w:cs="Times New Roman" w:eastAsiaTheme="minorEastAsia"/>
          <w:b/>
          <w:bCs/>
          <w:color w:val="auto"/>
          <w:sz w:val="36"/>
          <w:szCs w:val="36"/>
          <w:highlight w:val="none"/>
        </w:rPr>
        <w:t>响应文件目录</w:t>
      </w:r>
      <w:bookmarkEnd w:id="61"/>
      <w:bookmarkEnd w:id="62"/>
      <w:bookmarkEnd w:id="63"/>
      <w:bookmarkEnd w:id="64"/>
      <w:bookmarkEnd w:id="65"/>
      <w:bookmarkEnd w:id="66"/>
      <w:bookmarkEnd w:id="67"/>
      <w:bookmarkEnd w:id="68"/>
    </w:p>
    <w:p w14:paraId="5CCB23C6">
      <w:pPr>
        <w:keepLines w:val="0"/>
        <w:kinsoku/>
        <w:wordWrap/>
        <w:overflowPunct/>
        <w:topLinePunct w:val="0"/>
        <w:bidi w:val="0"/>
        <w:spacing w:beforeAutospacing="0" w:afterAutospacing="0" w:line="440" w:lineRule="atLeast"/>
        <w:ind w:left="0" w:leftChars="0" w:right="0" w:rightChars="0"/>
        <w:jc w:val="center"/>
        <w:outlineLvl w:val="0"/>
        <w:rPr>
          <w:rFonts w:hint="default" w:ascii="Times New Roman" w:hAnsi="Times New Roman" w:cs="Times New Roman" w:eastAsiaTheme="minorEastAsia"/>
          <w:b/>
          <w:color w:val="auto"/>
          <w:sz w:val="28"/>
          <w:szCs w:val="28"/>
          <w:highlight w:val="none"/>
        </w:rPr>
      </w:pPr>
      <w:bookmarkStart w:id="79" w:name="_法定代表人授权书"/>
      <w:bookmarkEnd w:id="79"/>
      <w:bookmarkStart w:id="80" w:name="_初审文件清单"/>
      <w:bookmarkEnd w:id="80"/>
      <w:bookmarkStart w:id="81" w:name="_投标资格文件清单"/>
      <w:bookmarkEnd w:id="81"/>
      <w:bookmarkStart w:id="82" w:name="_资格性文件清单"/>
      <w:bookmarkEnd w:id="82"/>
      <w:bookmarkStart w:id="83" w:name="_Toc217623813"/>
      <w:bookmarkStart w:id="84" w:name="_Toc286240891"/>
      <w:bookmarkStart w:id="85" w:name="_Toc224094430"/>
      <w:bookmarkStart w:id="86" w:name="_Toc20787"/>
      <w:bookmarkStart w:id="87" w:name="_Toc14400"/>
      <w:bookmarkStart w:id="88" w:name="_Toc10327"/>
      <w:bookmarkStart w:id="89" w:name="_Toc24619"/>
      <w:bookmarkStart w:id="90" w:name="_Toc136662939"/>
      <w:bookmarkStart w:id="91" w:name="_Toc136682915"/>
      <w:bookmarkStart w:id="92" w:name="_Toc159385074"/>
      <w:r>
        <w:rPr>
          <w:rFonts w:hint="default" w:ascii="Times New Roman" w:hAnsi="Times New Roman" w:cs="Times New Roman" w:eastAsiaTheme="minorEastAsia"/>
          <w:b/>
          <w:color w:val="auto"/>
          <w:sz w:val="28"/>
          <w:szCs w:val="28"/>
          <w:highlight w:val="none"/>
        </w:rPr>
        <w:t>响应文件封面及目录部分</w:t>
      </w:r>
      <w:bookmarkEnd w:id="83"/>
      <w:bookmarkEnd w:id="84"/>
      <w:bookmarkEnd w:id="85"/>
      <w:bookmarkEnd w:id="86"/>
      <w:bookmarkEnd w:id="87"/>
    </w:p>
    <w:p w14:paraId="6612E600">
      <w:pPr>
        <w:keepLines w:val="0"/>
        <w:kinsoku/>
        <w:wordWrap/>
        <w:overflowPunct/>
        <w:topLinePunct w:val="0"/>
        <w:bidi w:val="0"/>
        <w:spacing w:beforeAutospacing="0" w:afterAutospacing="0" w:line="440" w:lineRule="atLeast"/>
        <w:ind w:left="0" w:leftChars="0" w:right="0" w:rightChars="0" w:firstLine="236" w:firstLineChars="98"/>
        <w:rPr>
          <w:rFonts w:hint="default" w:ascii="Times New Roman" w:hAnsi="Times New Roman" w:cs="Times New Roman" w:eastAsiaTheme="minorEastAsia"/>
          <w:b/>
          <w:color w:val="auto"/>
          <w:sz w:val="24"/>
          <w:szCs w:val="24"/>
          <w:highlight w:val="none"/>
        </w:rPr>
      </w:pPr>
    </w:p>
    <w:p w14:paraId="56B230C5">
      <w:pPr>
        <w:keepLines w:val="0"/>
        <w:numPr>
          <w:ilvl w:val="0"/>
          <w:numId w:val="3"/>
        </w:numPr>
        <w:tabs>
          <w:tab w:val="left" w:pos="720"/>
          <w:tab w:val="clear" w:pos="695"/>
        </w:tabs>
        <w:kinsoku/>
        <w:wordWrap/>
        <w:overflowPunct/>
        <w:topLinePunct w:val="0"/>
        <w:bidi w:val="0"/>
        <w:spacing w:beforeAutospacing="0" w:afterAutospacing="0" w:line="440" w:lineRule="atLeast"/>
        <w:ind w:left="0" w:leftChars="0" w:right="0" w:rightChars="0" w:hanging="540"/>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供应商应按本《采购文件》要求，自行设计和编制响应文件的封面和目录部分。</w:t>
      </w:r>
    </w:p>
    <w:p w14:paraId="6EFC4E3B">
      <w:pPr>
        <w:keepLines w:val="0"/>
        <w:numPr>
          <w:ilvl w:val="0"/>
          <w:numId w:val="3"/>
        </w:numPr>
        <w:tabs>
          <w:tab w:val="left" w:pos="720"/>
          <w:tab w:val="clear" w:pos="695"/>
        </w:tabs>
        <w:kinsoku/>
        <w:wordWrap/>
        <w:overflowPunct/>
        <w:topLinePunct w:val="0"/>
        <w:bidi w:val="0"/>
        <w:spacing w:beforeAutospacing="0" w:afterAutospacing="0" w:line="440" w:lineRule="atLeast"/>
        <w:ind w:left="0" w:leftChars="0" w:right="0" w:rightChars="0" w:hanging="720"/>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响应文件封面上须包含但不限于以下内容：</w:t>
      </w:r>
    </w:p>
    <w:p w14:paraId="6890AB7E">
      <w:pPr>
        <w:keepLines w:val="0"/>
        <w:numPr>
          <w:ilvl w:val="1"/>
          <w:numId w:val="3"/>
        </w:numPr>
        <w:tabs>
          <w:tab w:val="left" w:pos="1440"/>
          <w:tab w:val="clear" w:pos="1115"/>
        </w:tabs>
        <w:kinsoku/>
        <w:wordWrap/>
        <w:overflowPunct/>
        <w:topLinePunct w:val="0"/>
        <w:bidi w:val="0"/>
        <w:spacing w:beforeAutospacing="0" w:afterAutospacing="0" w:line="440" w:lineRule="atLeast"/>
        <w:ind w:left="0" w:leftChars="0" w:right="0" w:rightChars="0" w:hanging="215"/>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项目名称和项目编号；</w:t>
      </w:r>
    </w:p>
    <w:p w14:paraId="73FBC117">
      <w:pPr>
        <w:keepLines w:val="0"/>
        <w:numPr>
          <w:ilvl w:val="1"/>
          <w:numId w:val="3"/>
        </w:numPr>
        <w:tabs>
          <w:tab w:val="left" w:pos="1440"/>
          <w:tab w:val="clear" w:pos="1115"/>
        </w:tabs>
        <w:kinsoku/>
        <w:wordWrap/>
        <w:overflowPunct/>
        <w:topLinePunct w:val="0"/>
        <w:bidi w:val="0"/>
        <w:spacing w:beforeAutospacing="0" w:afterAutospacing="0" w:line="440" w:lineRule="atLeast"/>
        <w:ind w:left="0" w:leftChars="0" w:right="0" w:rightChars="0" w:hanging="215"/>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供应商名称；</w:t>
      </w:r>
    </w:p>
    <w:p w14:paraId="0BD33FEC">
      <w:pPr>
        <w:keepLines w:val="0"/>
        <w:numPr>
          <w:ilvl w:val="1"/>
          <w:numId w:val="3"/>
        </w:numPr>
        <w:tabs>
          <w:tab w:val="left" w:pos="1440"/>
          <w:tab w:val="clear" w:pos="1115"/>
        </w:tabs>
        <w:kinsoku/>
        <w:wordWrap/>
        <w:overflowPunct/>
        <w:topLinePunct w:val="0"/>
        <w:bidi w:val="0"/>
        <w:spacing w:beforeAutospacing="0" w:afterAutospacing="0" w:line="440" w:lineRule="atLeast"/>
        <w:ind w:left="0" w:leftChars="0" w:right="0" w:rightChars="0" w:hanging="215"/>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授权代表姓名及联系电话（含传真号码）</w:t>
      </w:r>
    </w:p>
    <w:p w14:paraId="345489F3">
      <w:pPr>
        <w:keepLines w:val="0"/>
        <w:numPr>
          <w:ilvl w:val="1"/>
          <w:numId w:val="3"/>
        </w:numPr>
        <w:tabs>
          <w:tab w:val="left" w:pos="1440"/>
          <w:tab w:val="clear" w:pos="1115"/>
        </w:tabs>
        <w:kinsoku/>
        <w:wordWrap/>
        <w:overflowPunct/>
        <w:topLinePunct w:val="0"/>
        <w:bidi w:val="0"/>
        <w:spacing w:beforeAutospacing="0" w:afterAutospacing="0" w:line="440" w:lineRule="atLeast"/>
        <w:ind w:left="0" w:leftChars="0" w:right="0" w:rightChars="0" w:hanging="215"/>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注明“正本”或“副本”字样。</w:t>
      </w:r>
    </w:p>
    <w:p w14:paraId="7F8BFA71">
      <w:pPr>
        <w:keepLines w:val="0"/>
        <w:numPr>
          <w:ilvl w:val="0"/>
          <w:numId w:val="3"/>
        </w:numPr>
        <w:tabs>
          <w:tab w:val="left" w:pos="720"/>
          <w:tab w:val="clear" w:pos="695"/>
        </w:tabs>
        <w:kinsoku/>
        <w:wordWrap/>
        <w:overflowPunct/>
        <w:topLinePunct w:val="0"/>
        <w:bidi w:val="0"/>
        <w:spacing w:beforeAutospacing="0" w:afterAutospacing="0" w:line="440" w:lineRule="atLeast"/>
        <w:ind w:left="0" w:leftChars="0" w:right="0" w:rightChars="0" w:hanging="540"/>
        <w:rPr>
          <w:rFonts w:hint="default" w:ascii="Times New Roman" w:hAnsi="Times New Roman" w:cs="Times New Roman" w:eastAsiaTheme="minorEastAsia"/>
          <w:color w:val="auto"/>
          <w:sz w:val="20"/>
          <w:szCs w:val="22"/>
          <w:highlight w:val="none"/>
        </w:rPr>
      </w:pPr>
      <w:r>
        <w:rPr>
          <w:rFonts w:hint="default" w:ascii="Times New Roman" w:hAnsi="Times New Roman" w:cs="Times New Roman" w:eastAsiaTheme="minorEastAsia"/>
          <w:b/>
          <w:color w:val="auto"/>
          <w:sz w:val="24"/>
          <w:szCs w:val="24"/>
          <w:highlight w:val="none"/>
        </w:rPr>
        <w:t>响应文件必须编制目录，且目录必须清晰、准确，与响应文件中的每页所加注的页码相对应。</w:t>
      </w:r>
    </w:p>
    <w:p w14:paraId="390F8BCC">
      <w:pPr>
        <w:keepLines w:val="0"/>
        <w:numPr>
          <w:ilvl w:val="0"/>
          <w:numId w:val="3"/>
        </w:numPr>
        <w:tabs>
          <w:tab w:val="left" w:pos="720"/>
          <w:tab w:val="clear" w:pos="695"/>
        </w:tabs>
        <w:kinsoku/>
        <w:wordWrap/>
        <w:overflowPunct/>
        <w:topLinePunct w:val="0"/>
        <w:bidi w:val="0"/>
        <w:spacing w:beforeAutospacing="0" w:afterAutospacing="0" w:line="440" w:lineRule="atLeast"/>
        <w:ind w:left="0" w:leftChars="0" w:right="0" w:rightChars="0" w:hanging="540"/>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响应文件的【正本】及所有【副本】的封面及骑缝均须加盖供应商公章。</w:t>
      </w:r>
    </w:p>
    <w:p w14:paraId="4B57FC05">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0"/>
          <w:szCs w:val="22"/>
          <w:highlight w:val="none"/>
        </w:rPr>
      </w:pPr>
    </w:p>
    <w:p w14:paraId="294953B9">
      <w:pPr>
        <w:keepLines w:val="0"/>
        <w:kinsoku/>
        <w:wordWrap/>
        <w:overflowPunct/>
        <w:topLinePunct w:val="0"/>
        <w:bidi w:val="0"/>
        <w:spacing w:beforeAutospacing="0" w:afterAutospacing="0" w:line="440" w:lineRule="atLeast"/>
        <w:ind w:left="0" w:leftChars="0" w:right="0" w:rightChars="0" w:firstLine="550" w:firstLineChars="250"/>
        <w:rPr>
          <w:rFonts w:hint="default" w:ascii="Times New Roman" w:hAnsi="Times New Roman" w:cs="Times New Roman" w:eastAsiaTheme="minorEastAsia"/>
          <w:color w:val="auto"/>
          <w:sz w:val="22"/>
          <w:szCs w:val="22"/>
          <w:highlight w:val="none"/>
        </w:rPr>
      </w:pPr>
    </w:p>
    <w:p w14:paraId="06577978">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sz w:val="22"/>
          <w:szCs w:val="22"/>
          <w:highlight w:val="none"/>
        </w:rPr>
      </w:pPr>
      <w:r>
        <w:rPr>
          <w:rFonts w:hint="default" w:ascii="Times New Roman" w:hAnsi="Times New Roman" w:cs="Times New Roman" w:eastAsiaTheme="minorEastAsia"/>
          <w:b/>
          <w:bCs/>
          <w:color w:val="auto"/>
          <w:sz w:val="24"/>
          <w:szCs w:val="24"/>
          <w:highlight w:val="none"/>
        </w:rPr>
        <w:t>注：供应商须按本部分的格式内容进行排版和编制《响应文件》，如属于格式外的，或本部分未提供具体格式的，供应商可根据投标方案或内容，针对评审子项要求，自行拟定具体格式和设计排版。</w:t>
      </w:r>
    </w:p>
    <w:p w14:paraId="52E2ABCC">
      <w:pPr>
        <w:pStyle w:val="4"/>
        <w:keepLines w:val="0"/>
        <w:pageBreakBefore/>
        <w:kinsoku/>
        <w:wordWrap/>
        <w:overflowPunct/>
        <w:topLinePunct w:val="0"/>
        <w:bidi w:val="0"/>
        <w:spacing w:beforeAutospacing="0" w:afterAutospacing="0" w:line="440" w:lineRule="atLeast"/>
        <w:ind w:left="0" w:leftChars="0" w:right="0" w:rightChars="0"/>
        <w:outlineLvl w:val="0"/>
        <w:rPr>
          <w:rFonts w:hint="default" w:ascii="Times New Roman" w:hAnsi="Times New Roman" w:cs="Times New Roman" w:eastAsiaTheme="minorEastAsia"/>
          <w:b/>
          <w:bCs w:val="0"/>
          <w:color w:val="auto"/>
          <w:sz w:val="36"/>
          <w:szCs w:val="36"/>
          <w:highlight w:val="none"/>
        </w:rPr>
      </w:pPr>
      <w:bookmarkStart w:id="93" w:name="_Toc29965"/>
      <w:bookmarkStart w:id="94" w:name="_Toc6174"/>
      <w:r>
        <w:rPr>
          <w:rFonts w:hint="default" w:ascii="Times New Roman" w:hAnsi="Times New Roman" w:cs="Times New Roman" w:eastAsiaTheme="minorEastAsia"/>
          <w:b/>
          <w:bCs w:val="0"/>
          <w:color w:val="auto"/>
          <w:sz w:val="36"/>
          <w:szCs w:val="36"/>
          <w:highlight w:val="none"/>
        </w:rPr>
        <w:fldChar w:fldCharType="begin"/>
      </w:r>
      <w:r>
        <w:rPr>
          <w:rFonts w:hint="default" w:ascii="Times New Roman" w:hAnsi="Times New Roman" w:cs="Times New Roman" w:eastAsiaTheme="minorEastAsia"/>
          <w:b/>
          <w:bCs w:val="0"/>
          <w:color w:val="auto"/>
          <w:sz w:val="36"/>
          <w:szCs w:val="36"/>
          <w:highlight w:val="none"/>
        </w:rPr>
        <w:instrText xml:space="preserve">HYPERLINK  \l "_投标文件目录"</w:instrText>
      </w:r>
      <w:r>
        <w:rPr>
          <w:rFonts w:hint="default" w:ascii="Times New Roman" w:hAnsi="Times New Roman" w:cs="Times New Roman" w:eastAsiaTheme="minorEastAsia"/>
          <w:b/>
          <w:bCs w:val="0"/>
          <w:color w:val="auto"/>
          <w:sz w:val="36"/>
          <w:szCs w:val="36"/>
          <w:highlight w:val="none"/>
        </w:rPr>
        <w:fldChar w:fldCharType="separate"/>
      </w:r>
      <w:bookmarkStart w:id="95" w:name="_Toc240108116"/>
      <w:bookmarkStart w:id="96" w:name="_Toc113157429"/>
      <w:bookmarkStart w:id="97" w:name="_Toc159385073"/>
      <w:bookmarkStart w:id="98" w:name="_Toc200168796"/>
      <w:bookmarkStart w:id="99" w:name="_Toc259803669"/>
      <w:bookmarkStart w:id="100" w:name="_Toc419106564"/>
      <w:r>
        <w:rPr>
          <w:rFonts w:hint="default" w:ascii="Times New Roman" w:hAnsi="Times New Roman" w:cs="Times New Roman" w:eastAsiaTheme="minorEastAsia"/>
          <w:b/>
          <w:bCs w:val="0"/>
          <w:color w:val="auto"/>
          <w:sz w:val="36"/>
          <w:szCs w:val="36"/>
          <w:highlight w:val="none"/>
        </w:rPr>
        <w:t>第一</w:t>
      </w:r>
      <w:bookmarkStart w:id="101" w:name="_Hlt112738827"/>
      <w:r>
        <w:rPr>
          <w:rFonts w:hint="default" w:ascii="Times New Roman" w:hAnsi="Times New Roman" w:cs="Times New Roman" w:eastAsiaTheme="minorEastAsia"/>
          <w:b/>
          <w:bCs w:val="0"/>
          <w:color w:val="auto"/>
          <w:sz w:val="36"/>
          <w:szCs w:val="36"/>
          <w:highlight w:val="none"/>
        </w:rPr>
        <w:t xml:space="preserve">章 </w:t>
      </w:r>
      <w:bookmarkEnd w:id="101"/>
      <w:r>
        <w:rPr>
          <w:rFonts w:hint="default" w:ascii="Times New Roman" w:hAnsi="Times New Roman" w:cs="Times New Roman" w:eastAsiaTheme="minorEastAsia"/>
          <w:b/>
          <w:bCs w:val="0"/>
          <w:color w:val="auto"/>
          <w:sz w:val="36"/>
          <w:szCs w:val="36"/>
          <w:highlight w:val="none"/>
        </w:rPr>
        <w:t xml:space="preserve"> </w:t>
      </w:r>
      <w:bookmarkStart w:id="102" w:name="_Hlt112738975"/>
      <w:r>
        <w:rPr>
          <w:rFonts w:hint="default" w:ascii="Times New Roman" w:hAnsi="Times New Roman" w:cs="Times New Roman" w:eastAsiaTheme="minorEastAsia"/>
          <w:b/>
          <w:bCs w:val="0"/>
          <w:color w:val="auto"/>
          <w:sz w:val="36"/>
          <w:szCs w:val="36"/>
          <w:highlight w:val="none"/>
        </w:rPr>
        <w:t>资格性文</w:t>
      </w:r>
      <w:bookmarkEnd w:id="102"/>
      <w:bookmarkStart w:id="103" w:name="_Hlt112738761"/>
      <w:r>
        <w:rPr>
          <w:rFonts w:hint="default" w:ascii="Times New Roman" w:hAnsi="Times New Roman" w:cs="Times New Roman" w:eastAsiaTheme="minorEastAsia"/>
          <w:b/>
          <w:bCs w:val="0"/>
          <w:color w:val="auto"/>
          <w:sz w:val="36"/>
          <w:szCs w:val="36"/>
          <w:highlight w:val="none"/>
        </w:rPr>
        <w:t>件</w:t>
      </w:r>
      <w:bookmarkEnd w:id="95"/>
      <w:bookmarkEnd w:id="96"/>
      <w:bookmarkEnd w:id="97"/>
      <w:bookmarkEnd w:id="98"/>
      <w:bookmarkEnd w:id="99"/>
      <w:bookmarkEnd w:id="100"/>
      <w:bookmarkEnd w:id="103"/>
      <w:r>
        <w:rPr>
          <w:rFonts w:hint="default" w:ascii="Times New Roman" w:hAnsi="Times New Roman" w:cs="Times New Roman" w:eastAsiaTheme="minorEastAsia"/>
          <w:b/>
          <w:bCs w:val="0"/>
          <w:color w:val="auto"/>
          <w:sz w:val="36"/>
          <w:szCs w:val="36"/>
          <w:highlight w:val="none"/>
        </w:rPr>
        <w:fldChar w:fldCharType="end"/>
      </w:r>
      <w:bookmarkEnd w:id="88"/>
      <w:bookmarkEnd w:id="89"/>
      <w:bookmarkEnd w:id="93"/>
      <w:bookmarkEnd w:id="94"/>
    </w:p>
    <w:p w14:paraId="2230357B">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val="0"/>
          <w:color w:val="auto"/>
          <w:sz w:val="36"/>
          <w:szCs w:val="36"/>
          <w:highlight w:val="none"/>
          <w:shd w:val="clear" w:color="auto" w:fill="FFFF99"/>
        </w:rPr>
        <w:sectPr>
          <w:footerReference r:id="rId4" w:type="default"/>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p>
    <w:p w14:paraId="71F3EB90">
      <w:pPr>
        <w:keepLines w:val="0"/>
        <w:kinsoku/>
        <w:wordWrap/>
        <w:overflowPunct/>
        <w:topLinePunct w:val="0"/>
        <w:bidi w:val="0"/>
        <w:spacing w:beforeAutospacing="0" w:afterAutospacing="0" w:line="440" w:lineRule="atLeast"/>
        <w:ind w:left="0" w:leftChars="0" w:right="0" w:rightChars="0"/>
        <w:jc w:val="center"/>
        <w:outlineLvl w:val="9"/>
        <w:rPr>
          <w:rFonts w:hint="default" w:ascii="Times New Roman" w:hAnsi="Times New Roman" w:cs="Times New Roman" w:eastAsiaTheme="minorEastAsia"/>
          <w:b/>
          <w:bCs/>
          <w:color w:val="auto"/>
          <w:sz w:val="36"/>
          <w:szCs w:val="36"/>
          <w:highlight w:val="none"/>
        </w:rPr>
      </w:pPr>
      <w:bookmarkStart w:id="104" w:name="_资格性文件清单_1"/>
      <w:bookmarkEnd w:id="104"/>
      <w:bookmarkStart w:id="105" w:name="_Toc419106565"/>
      <w:bookmarkStart w:id="106" w:name="_Toc20059"/>
      <w:bookmarkStart w:id="107" w:name="_Toc1449"/>
      <w:bookmarkStart w:id="108" w:name="_Toc310519888"/>
      <w:bookmarkStart w:id="109" w:name="_Toc8065"/>
      <w:bookmarkStart w:id="110" w:name="_Toc325031944"/>
      <w:r>
        <w:rPr>
          <w:rFonts w:hint="default" w:ascii="Times New Roman" w:hAnsi="Times New Roman" w:cs="Times New Roman" w:eastAsiaTheme="minorEastAsia"/>
          <w:b/>
          <w:bCs/>
          <w:color w:val="auto"/>
          <w:sz w:val="36"/>
          <w:szCs w:val="36"/>
          <w:highlight w:val="none"/>
        </w:rPr>
        <w:t>资格性文件</w:t>
      </w:r>
      <w:bookmarkEnd w:id="90"/>
      <w:bookmarkEnd w:id="91"/>
      <w:r>
        <w:rPr>
          <w:rFonts w:hint="default" w:ascii="Times New Roman" w:hAnsi="Times New Roman" w:cs="Times New Roman" w:eastAsiaTheme="minorEastAsia"/>
          <w:b/>
          <w:bCs/>
          <w:color w:val="auto"/>
          <w:sz w:val="36"/>
          <w:szCs w:val="36"/>
          <w:highlight w:val="none"/>
        </w:rPr>
        <w:t>清单</w:t>
      </w:r>
      <w:bookmarkEnd w:id="92"/>
      <w:bookmarkEnd w:id="105"/>
      <w:bookmarkEnd w:id="106"/>
      <w:bookmarkEnd w:id="107"/>
      <w:bookmarkEnd w:id="108"/>
      <w:bookmarkEnd w:id="109"/>
      <w:bookmarkEnd w:id="110"/>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581"/>
        <w:gridCol w:w="5516"/>
        <w:gridCol w:w="717"/>
        <w:gridCol w:w="1039"/>
      </w:tblGrid>
      <w:tr w14:paraId="11F1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shd w:val="clear" w:color="auto" w:fill="F3F3F3"/>
            <w:noWrap w:val="0"/>
            <w:vAlign w:val="center"/>
          </w:tcPr>
          <w:p w14:paraId="575A8187">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581" w:type="dxa"/>
            <w:tcBorders>
              <w:right w:val="single" w:color="auto" w:sz="4" w:space="0"/>
            </w:tcBorders>
            <w:shd w:val="clear" w:color="auto" w:fill="F3F3F3"/>
            <w:noWrap w:val="0"/>
            <w:vAlign w:val="center"/>
          </w:tcPr>
          <w:p w14:paraId="3A00CB12">
            <w:pPr>
              <w:pStyle w:val="31"/>
              <w:keepNext w:val="0"/>
              <w:keepLines w:val="0"/>
              <w:kinsoku/>
              <w:wordWrap/>
              <w:overflowPunct/>
              <w:topLinePunct w:val="0"/>
              <w:bidi w:val="0"/>
              <w:adjustRightInd/>
              <w:spacing w:before="0" w:beforeLines="0" w:beforeAutospacing="0" w:after="0" w:afterLines="0" w:afterAutospacing="0" w:line="440" w:lineRule="atLeast"/>
              <w:ind w:left="0" w:leftChars="0" w:right="0" w:rightChars="0"/>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文件名称</w:t>
            </w:r>
          </w:p>
        </w:tc>
        <w:tc>
          <w:tcPr>
            <w:tcW w:w="5516" w:type="dxa"/>
            <w:tcBorders>
              <w:left w:val="single" w:color="auto" w:sz="4" w:space="0"/>
            </w:tcBorders>
            <w:shd w:val="clear" w:color="auto" w:fill="F3F3F3"/>
            <w:noWrap w:val="0"/>
            <w:vAlign w:val="center"/>
          </w:tcPr>
          <w:p w14:paraId="45378D77">
            <w:pPr>
              <w:pStyle w:val="31"/>
              <w:keepNext w:val="0"/>
              <w:keepLines w:val="0"/>
              <w:kinsoku/>
              <w:wordWrap/>
              <w:overflowPunct/>
              <w:topLinePunct w:val="0"/>
              <w:bidi w:val="0"/>
              <w:adjustRightInd/>
              <w:spacing w:before="0" w:beforeLines="0" w:beforeAutospacing="0" w:after="0" w:afterLines="0" w:afterAutospacing="0" w:line="440" w:lineRule="atLeast"/>
              <w:ind w:left="0" w:leftChars="0" w:right="0" w:rightChars="0"/>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文件内容要求</w:t>
            </w:r>
          </w:p>
        </w:tc>
        <w:tc>
          <w:tcPr>
            <w:tcW w:w="717" w:type="dxa"/>
            <w:shd w:val="clear" w:color="auto" w:fill="F3F3F3"/>
            <w:noWrap w:val="0"/>
            <w:vAlign w:val="center"/>
          </w:tcPr>
          <w:p w14:paraId="73006DA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数量</w:t>
            </w:r>
          </w:p>
        </w:tc>
        <w:tc>
          <w:tcPr>
            <w:tcW w:w="1039" w:type="dxa"/>
            <w:shd w:val="clear" w:color="auto" w:fill="F3F3F3"/>
            <w:noWrap w:val="0"/>
            <w:vAlign w:val="center"/>
          </w:tcPr>
          <w:p w14:paraId="68925FC5">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文件属性</w:t>
            </w:r>
          </w:p>
        </w:tc>
      </w:tr>
      <w:tr w14:paraId="2284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5E360A96">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65752D9B">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响应承诺函</w:t>
            </w:r>
          </w:p>
        </w:tc>
        <w:tc>
          <w:tcPr>
            <w:tcW w:w="5516" w:type="dxa"/>
            <w:tcBorders>
              <w:left w:val="single" w:color="auto" w:sz="4" w:space="0"/>
            </w:tcBorders>
            <w:noWrap w:val="0"/>
            <w:vAlign w:val="center"/>
          </w:tcPr>
          <w:p w14:paraId="2B7F0F43">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717" w:type="dxa"/>
            <w:noWrap w:val="0"/>
            <w:vAlign w:val="center"/>
          </w:tcPr>
          <w:p w14:paraId="306E0CFE">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4A790D48">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14:paraId="5FC7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0FAB8DE4">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74351CEB">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法定代表人/法定负责人证明书</w:t>
            </w:r>
          </w:p>
        </w:tc>
        <w:tc>
          <w:tcPr>
            <w:tcW w:w="5516" w:type="dxa"/>
            <w:tcBorders>
              <w:left w:val="single" w:color="auto" w:sz="4" w:space="0"/>
            </w:tcBorders>
            <w:noWrap w:val="0"/>
            <w:vAlign w:val="center"/>
          </w:tcPr>
          <w:p w14:paraId="4E96DFD0">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717" w:type="dxa"/>
            <w:noWrap w:val="0"/>
            <w:vAlign w:val="center"/>
          </w:tcPr>
          <w:p w14:paraId="67FD4F85">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0DAA165E">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14:paraId="4959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54F4A185">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1033AA8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法定代表人/法定负责人授权书</w:t>
            </w:r>
          </w:p>
        </w:tc>
        <w:tc>
          <w:tcPr>
            <w:tcW w:w="5516" w:type="dxa"/>
            <w:tcBorders>
              <w:left w:val="single" w:color="auto" w:sz="4" w:space="0"/>
            </w:tcBorders>
            <w:noWrap w:val="0"/>
            <w:vAlign w:val="center"/>
          </w:tcPr>
          <w:p w14:paraId="22A279B3">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717" w:type="dxa"/>
            <w:noWrap w:val="0"/>
            <w:vAlign w:val="center"/>
          </w:tcPr>
          <w:p w14:paraId="007F5480">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7BED285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14:paraId="225E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6D30DEDE">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6DD8556F">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资格性证明材料</w:t>
            </w:r>
          </w:p>
        </w:tc>
        <w:tc>
          <w:tcPr>
            <w:tcW w:w="5516" w:type="dxa"/>
            <w:tcBorders>
              <w:left w:val="single" w:color="auto" w:sz="4" w:space="0"/>
            </w:tcBorders>
            <w:noWrap w:val="0"/>
            <w:vAlign w:val="center"/>
          </w:tcPr>
          <w:p w14:paraId="3A3D3980">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717" w:type="dxa"/>
            <w:noWrap w:val="0"/>
            <w:vAlign w:val="center"/>
          </w:tcPr>
          <w:p w14:paraId="5624156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1套</w:t>
            </w:r>
          </w:p>
        </w:tc>
        <w:tc>
          <w:tcPr>
            <w:tcW w:w="1039" w:type="dxa"/>
            <w:noWrap w:val="0"/>
            <w:vAlign w:val="center"/>
          </w:tcPr>
          <w:p w14:paraId="7E8E006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原件/复印件</w:t>
            </w:r>
          </w:p>
        </w:tc>
      </w:tr>
      <w:tr w14:paraId="3D19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20D73EE7">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3CF38A04">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营业执照副本</w:t>
            </w:r>
          </w:p>
          <w:p w14:paraId="5D2321F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副  本</w:t>
            </w:r>
          </w:p>
        </w:tc>
        <w:tc>
          <w:tcPr>
            <w:tcW w:w="5516" w:type="dxa"/>
            <w:tcBorders>
              <w:left w:val="single" w:color="auto" w:sz="4" w:space="0"/>
            </w:tcBorders>
            <w:noWrap w:val="0"/>
            <w:vAlign w:val="center"/>
          </w:tcPr>
          <w:p w14:paraId="3ABD8804">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供应商须是中华人民共和国大陆境内合法注册的独立法人或其他组织，能独立承担民事责任。</w:t>
            </w:r>
          </w:p>
        </w:tc>
        <w:tc>
          <w:tcPr>
            <w:tcW w:w="717" w:type="dxa"/>
            <w:noWrap w:val="0"/>
            <w:vAlign w:val="center"/>
          </w:tcPr>
          <w:p w14:paraId="38A095CC">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6B5C474B">
            <w:pPr>
              <w:pStyle w:val="31"/>
              <w:keepNext w:val="0"/>
              <w:keepLines w:val="0"/>
              <w:kinsoku/>
              <w:wordWrap/>
              <w:overflowPunct/>
              <w:topLinePunct w:val="0"/>
              <w:bidi w:val="0"/>
              <w:adjustRightInd/>
              <w:spacing w:before="0" w:beforeLines="0" w:beforeAutospacing="0" w:after="0" w:afterLines="0" w:afterAutospacing="0" w:line="440" w:lineRule="atLeast"/>
              <w:ind w:left="0" w:leftChars="0" w:right="0" w:rightChars="0"/>
              <w:textAlignment w:val="auto"/>
              <w:rPr>
                <w:rFonts w:hint="default" w:ascii="Times New Roman" w:hAnsi="Times New Roman" w:cs="Times New Roman" w:eastAsiaTheme="minorEastAsia"/>
                <w:snapToGrid/>
                <w:color w:val="auto"/>
                <w:spacing w:val="0"/>
                <w:kern w:val="2"/>
                <w:sz w:val="21"/>
                <w:szCs w:val="21"/>
                <w:highlight w:val="none"/>
              </w:rPr>
            </w:pPr>
            <w:r>
              <w:rPr>
                <w:rFonts w:hint="default" w:ascii="Times New Roman" w:hAnsi="Times New Roman" w:cs="Times New Roman" w:eastAsiaTheme="minorEastAsia"/>
                <w:snapToGrid/>
                <w:color w:val="auto"/>
                <w:spacing w:val="0"/>
                <w:kern w:val="2"/>
                <w:sz w:val="21"/>
                <w:szCs w:val="21"/>
                <w:highlight w:val="none"/>
              </w:rPr>
              <w:t>副本</w:t>
            </w:r>
          </w:p>
          <w:p w14:paraId="0FE16CBF">
            <w:pPr>
              <w:pStyle w:val="31"/>
              <w:keepNext w:val="0"/>
              <w:keepLines w:val="0"/>
              <w:kinsoku/>
              <w:wordWrap/>
              <w:overflowPunct/>
              <w:topLinePunct w:val="0"/>
              <w:bidi w:val="0"/>
              <w:adjustRightInd/>
              <w:spacing w:before="0" w:beforeLines="0" w:beforeAutospacing="0" w:after="0" w:afterLines="0" w:afterAutospacing="0" w:line="440" w:lineRule="atLeast"/>
              <w:ind w:left="0" w:leftChars="0" w:right="0" w:right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snapToGrid/>
                <w:color w:val="auto"/>
                <w:spacing w:val="0"/>
                <w:kern w:val="2"/>
                <w:sz w:val="21"/>
                <w:szCs w:val="21"/>
                <w:highlight w:val="none"/>
              </w:rPr>
              <w:t>复印件</w:t>
            </w:r>
          </w:p>
        </w:tc>
      </w:tr>
      <w:tr w14:paraId="4404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71304439">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6456F40E">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有依法缴纳税收和社会保障资金的良好记录</w:t>
            </w:r>
          </w:p>
        </w:tc>
        <w:tc>
          <w:tcPr>
            <w:tcW w:w="5516" w:type="dxa"/>
            <w:tcBorders>
              <w:left w:val="single" w:color="auto" w:sz="4" w:space="0"/>
            </w:tcBorders>
            <w:noWrap w:val="0"/>
            <w:vAlign w:val="center"/>
          </w:tcPr>
          <w:p w14:paraId="64163100">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提供以下两种证明材料之一：1.提供《政府采购供应商资格信用承诺函》，具体要求详见投标文件格式；2.提供投标截止日前6个月内任意1个月依法缴纳税收和社会保障资金的相关材料。如依法免税或不需要缴纳社会保障资金的，提供相应证明材料。</w:t>
            </w:r>
          </w:p>
        </w:tc>
        <w:tc>
          <w:tcPr>
            <w:tcW w:w="717" w:type="dxa"/>
            <w:noWrap w:val="0"/>
            <w:vAlign w:val="center"/>
          </w:tcPr>
          <w:p w14:paraId="0DF59A59">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4054CA36">
            <w:pPr>
              <w:pStyle w:val="31"/>
              <w:keepNext w:val="0"/>
              <w:keepLines w:val="0"/>
              <w:kinsoku/>
              <w:wordWrap/>
              <w:overflowPunct/>
              <w:topLinePunct w:val="0"/>
              <w:bidi w:val="0"/>
              <w:adjustRightInd/>
              <w:spacing w:before="0" w:beforeLines="0" w:beforeAutospacing="0" w:after="0" w:afterLines="0" w:afterAutospacing="0" w:line="440" w:lineRule="atLeast"/>
              <w:ind w:left="0" w:leftChars="0" w:right="0" w:rightChars="0"/>
              <w:textAlignment w:val="auto"/>
              <w:rPr>
                <w:rFonts w:hint="default" w:ascii="Times New Roman" w:hAnsi="Times New Roman" w:cs="Times New Roman" w:eastAsiaTheme="minorEastAsia"/>
                <w:snapToGrid/>
                <w:color w:val="auto"/>
                <w:spacing w:val="0"/>
                <w:kern w:val="2"/>
                <w:sz w:val="21"/>
                <w:szCs w:val="21"/>
                <w:highlight w:val="none"/>
              </w:rPr>
            </w:pPr>
            <w:r>
              <w:rPr>
                <w:rFonts w:hint="default" w:ascii="Times New Roman" w:hAnsi="Times New Roman" w:cs="Times New Roman" w:eastAsiaTheme="minorEastAsia"/>
                <w:snapToGrid/>
                <w:color w:val="auto"/>
                <w:spacing w:val="0"/>
                <w:kern w:val="2"/>
                <w:sz w:val="21"/>
                <w:szCs w:val="21"/>
                <w:highlight w:val="none"/>
              </w:rPr>
              <w:t>复印件</w:t>
            </w:r>
          </w:p>
        </w:tc>
      </w:tr>
      <w:tr w14:paraId="4A3A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12337013">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6D870923">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具有良好的商业信誉和健全的财务会计制度</w:t>
            </w:r>
          </w:p>
        </w:tc>
        <w:tc>
          <w:tcPr>
            <w:tcW w:w="5516" w:type="dxa"/>
            <w:tcBorders>
              <w:left w:val="single" w:color="auto" w:sz="4" w:space="0"/>
            </w:tcBorders>
            <w:noWrap w:val="0"/>
            <w:vAlign w:val="center"/>
          </w:tcPr>
          <w:p w14:paraId="06F5285C">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highlight w:val="none"/>
              </w:rPr>
            </w:pPr>
            <w:r>
              <w:rPr>
                <w:rFonts w:hint="default" w:ascii="Times New Roman" w:hAnsi="Times New Roman" w:cs="Times New Roman"/>
                <w:color w:val="auto"/>
                <w:highlight w:val="none"/>
              </w:rPr>
              <w:t>提供以下三种证明材料之一</w:t>
            </w:r>
            <w:r>
              <w:rPr>
                <w:rFonts w:hint="default" w:ascii="Times New Roman" w:hAnsi="Times New Roman" w:cs="Times New Roman" w:eastAsiaTheme="minorEastAsia"/>
                <w:color w:val="auto"/>
                <w:highlight w:val="none"/>
              </w:rPr>
              <w:t>：1.提供《政府采购供应商资格信用承诺函》，具体要求详见投标文件格式；2.提供2022或2023年度财务状况报告，财务状况报告须由第三方会计师事务所出具，能清晰显示第三方会计师事务所的印章，并能反映审计结论；3.提供投标截止日前6个月内基本开户银行出具的资信证明，并同时提交开户（基本户）许可证扫描件，开户（基本户）许可证已取消的，应提供能体现基本开户银行的“基本存款账户编号”的相关证明。</w:t>
            </w:r>
          </w:p>
        </w:tc>
        <w:tc>
          <w:tcPr>
            <w:tcW w:w="717" w:type="dxa"/>
            <w:noWrap w:val="0"/>
            <w:vAlign w:val="center"/>
          </w:tcPr>
          <w:p w14:paraId="4780420D">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54BC6DE4">
            <w:pPr>
              <w:pStyle w:val="31"/>
              <w:keepNext w:val="0"/>
              <w:keepLines w:val="0"/>
              <w:kinsoku/>
              <w:wordWrap/>
              <w:overflowPunct/>
              <w:topLinePunct w:val="0"/>
              <w:bidi w:val="0"/>
              <w:adjustRightInd/>
              <w:spacing w:before="0" w:beforeLines="0" w:beforeAutospacing="0" w:after="0" w:afterLines="0" w:afterAutospacing="0" w:line="440" w:lineRule="atLeast"/>
              <w:ind w:left="0" w:leftChars="0" w:right="0" w:rightChars="0"/>
              <w:textAlignment w:val="auto"/>
              <w:rPr>
                <w:rFonts w:hint="default" w:ascii="Times New Roman" w:hAnsi="Times New Roman" w:cs="Times New Roman" w:eastAsiaTheme="minorEastAsia"/>
                <w:snapToGrid/>
                <w:color w:val="auto"/>
                <w:spacing w:val="0"/>
                <w:kern w:val="2"/>
                <w:sz w:val="21"/>
                <w:szCs w:val="21"/>
                <w:highlight w:val="none"/>
              </w:rPr>
            </w:pPr>
            <w:r>
              <w:rPr>
                <w:rFonts w:hint="default" w:ascii="Times New Roman" w:hAnsi="Times New Roman" w:cs="Times New Roman" w:eastAsiaTheme="minorEastAsia"/>
                <w:snapToGrid/>
                <w:color w:val="auto"/>
                <w:spacing w:val="0"/>
                <w:kern w:val="2"/>
                <w:sz w:val="21"/>
                <w:szCs w:val="21"/>
                <w:highlight w:val="none"/>
              </w:rPr>
              <w:t>复印件</w:t>
            </w:r>
          </w:p>
        </w:tc>
      </w:tr>
      <w:tr w14:paraId="39D1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0E2797FA">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19894788">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具有履行合同所必需的设备和专业技术能力的承诺</w:t>
            </w:r>
          </w:p>
        </w:tc>
        <w:tc>
          <w:tcPr>
            <w:tcW w:w="5516" w:type="dxa"/>
            <w:tcBorders>
              <w:left w:val="single" w:color="auto" w:sz="4" w:space="0"/>
            </w:tcBorders>
            <w:noWrap w:val="0"/>
            <w:vAlign w:val="center"/>
          </w:tcPr>
          <w:p w14:paraId="18425DB0">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.按投标（响应）文件格式填写《具有履行合同所必需的设备和专业技术能力的承诺函》。</w:t>
            </w:r>
          </w:p>
        </w:tc>
        <w:tc>
          <w:tcPr>
            <w:tcW w:w="717" w:type="dxa"/>
            <w:noWrap w:val="0"/>
            <w:vAlign w:val="center"/>
          </w:tcPr>
          <w:p w14:paraId="0284FA9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60A97923">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14:paraId="4184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0F274613">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1A8AAFB9">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参与采购活动前三年内在经营活动中没有重大违法记录的书面声明函</w:t>
            </w:r>
          </w:p>
        </w:tc>
        <w:tc>
          <w:tcPr>
            <w:tcW w:w="5516" w:type="dxa"/>
            <w:tcBorders>
              <w:left w:val="single" w:color="auto" w:sz="4" w:space="0"/>
            </w:tcBorders>
            <w:noWrap w:val="0"/>
            <w:vAlign w:val="center"/>
          </w:tcPr>
          <w:p w14:paraId="7080A015">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717" w:type="dxa"/>
            <w:noWrap w:val="0"/>
            <w:vAlign w:val="center"/>
          </w:tcPr>
          <w:p w14:paraId="20EC52BC">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298D40E3">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14:paraId="09D6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112E0634">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7F34054A">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《中小企业声明函》</w:t>
            </w:r>
          </w:p>
        </w:tc>
        <w:tc>
          <w:tcPr>
            <w:tcW w:w="5516" w:type="dxa"/>
            <w:tcBorders>
              <w:left w:val="single" w:color="auto" w:sz="4" w:space="0"/>
            </w:tcBorders>
            <w:noWrap w:val="0"/>
            <w:vAlign w:val="center"/>
          </w:tcPr>
          <w:p w14:paraId="358CF798">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717" w:type="dxa"/>
            <w:noWrap w:val="0"/>
            <w:vAlign w:val="center"/>
          </w:tcPr>
          <w:p w14:paraId="0E3FE533">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5BC56353">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14:paraId="33AC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44" w:type="dxa"/>
            <w:noWrap w:val="0"/>
            <w:vAlign w:val="center"/>
          </w:tcPr>
          <w:p w14:paraId="70A1B892">
            <w:pPr>
              <w:keepLines w:val="0"/>
              <w:numPr>
                <w:ilvl w:val="0"/>
                <w:numId w:val="4"/>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581" w:type="dxa"/>
            <w:tcBorders>
              <w:right w:val="single" w:color="auto" w:sz="4" w:space="0"/>
            </w:tcBorders>
            <w:noWrap w:val="0"/>
            <w:vAlign w:val="center"/>
          </w:tcPr>
          <w:p w14:paraId="6846FE37">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其他资料</w:t>
            </w:r>
          </w:p>
        </w:tc>
        <w:tc>
          <w:tcPr>
            <w:tcW w:w="5516" w:type="dxa"/>
            <w:tcBorders>
              <w:left w:val="single" w:color="auto" w:sz="4" w:space="0"/>
            </w:tcBorders>
            <w:noWrap w:val="0"/>
            <w:vAlign w:val="center"/>
          </w:tcPr>
          <w:p w14:paraId="78411C57">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详见投标人资格要求（如有）</w:t>
            </w:r>
          </w:p>
        </w:tc>
        <w:tc>
          <w:tcPr>
            <w:tcW w:w="717" w:type="dxa"/>
            <w:noWrap w:val="0"/>
            <w:vAlign w:val="center"/>
          </w:tcPr>
          <w:p w14:paraId="7DC97411">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039" w:type="dxa"/>
            <w:noWrap w:val="0"/>
            <w:vAlign w:val="center"/>
          </w:tcPr>
          <w:p w14:paraId="677B180F">
            <w:pPr>
              <w:pStyle w:val="31"/>
              <w:keepNext w:val="0"/>
              <w:keepLines w:val="0"/>
              <w:kinsoku/>
              <w:wordWrap/>
              <w:overflowPunct/>
              <w:topLinePunct w:val="0"/>
              <w:bidi w:val="0"/>
              <w:adjustRightInd/>
              <w:spacing w:before="0" w:beforeLines="0" w:beforeAutospacing="0" w:after="0" w:afterLines="0" w:afterAutospacing="0" w:line="440" w:lineRule="atLeast"/>
              <w:ind w:left="0" w:leftChars="0" w:right="0" w:rightChars="0"/>
              <w:textAlignment w:val="auto"/>
              <w:rPr>
                <w:rFonts w:hint="default" w:ascii="Times New Roman" w:hAnsi="Times New Roman" w:cs="Times New Roman" w:eastAsiaTheme="minorEastAsia"/>
                <w:snapToGrid/>
                <w:color w:val="auto"/>
                <w:spacing w:val="0"/>
                <w:kern w:val="2"/>
                <w:sz w:val="21"/>
                <w:szCs w:val="21"/>
                <w:highlight w:val="none"/>
              </w:rPr>
            </w:pPr>
            <w:r>
              <w:rPr>
                <w:rFonts w:hint="default" w:ascii="Times New Roman" w:hAnsi="Times New Roman" w:cs="Times New Roman" w:eastAsiaTheme="minorEastAsia"/>
                <w:snapToGrid/>
                <w:color w:val="auto"/>
                <w:spacing w:val="0"/>
                <w:kern w:val="2"/>
                <w:sz w:val="21"/>
                <w:szCs w:val="21"/>
                <w:highlight w:val="none"/>
              </w:rPr>
              <w:t>复印件</w:t>
            </w:r>
          </w:p>
        </w:tc>
      </w:tr>
    </w:tbl>
    <w:p w14:paraId="01ED5813">
      <w:pPr>
        <w:pStyle w:val="32"/>
        <w:keepLines w:val="0"/>
        <w:kinsoku/>
        <w:wordWrap/>
        <w:overflowPunct/>
        <w:topLinePunct w:val="0"/>
        <w:bidi w:val="0"/>
        <w:spacing w:beforeAutospacing="0" w:afterAutospacing="0" w:line="440" w:lineRule="atLeast"/>
        <w:ind w:left="0" w:leftChars="0" w:right="0" w:rightChars="0" w:hanging="420"/>
        <w:jc w:val="center"/>
        <w:rPr>
          <w:rFonts w:hint="default" w:ascii="Times New Roman" w:hAnsi="Times New Roman" w:cs="Times New Roman" w:eastAsiaTheme="minorEastAsia"/>
          <w:b/>
          <w:bCs/>
          <w:color w:val="auto"/>
          <w:sz w:val="30"/>
          <w:highlight w:val="none"/>
        </w:rPr>
      </w:pPr>
      <w:r>
        <w:rPr>
          <w:rFonts w:hint="default" w:ascii="Times New Roman" w:hAnsi="Times New Roman" w:cs="Times New Roman" w:eastAsiaTheme="minorEastAsia"/>
          <w:b/>
          <w:bCs/>
          <w:color w:val="auto"/>
          <w:sz w:val="30"/>
          <w:highlight w:val="none"/>
        </w:rPr>
        <w:t>特别提示与要求！</w:t>
      </w:r>
    </w:p>
    <w:p w14:paraId="5F6F027E">
      <w:pPr>
        <w:pStyle w:val="32"/>
        <w:keepLines w:val="0"/>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以上材料将作为供应商资格性审查的重要内容之一，供应商必须严格按照其内容及序列要求在响应文件中对应如实提供，对缺漏和不符合项将会直接导致无效响应！</w:t>
      </w:r>
    </w:p>
    <w:p w14:paraId="0B239F2F">
      <w:pPr>
        <w:pStyle w:val="5"/>
        <w:keepLines w:val="0"/>
        <w:pageBreakBefore/>
        <w:numPr>
          <w:ilvl w:val="0"/>
          <w:numId w:val="4"/>
        </w:numPr>
        <w:kinsoku/>
        <w:wordWrap/>
        <w:overflowPunct/>
        <w:topLinePunct w:val="0"/>
        <w:bidi w:val="0"/>
        <w:spacing w:beforeAutospacing="0" w:after="0" w:afterLines="0" w:afterAutospacing="0" w:line="440" w:lineRule="atLeast"/>
        <w:ind w:left="0" w:leftChars="0" w:right="0" w:rightChars="0"/>
        <w:rPr>
          <w:rFonts w:hint="default" w:ascii="Times New Roman" w:hAnsi="Times New Roman" w:cs="Times New Roman" w:eastAsiaTheme="minorEastAsia"/>
          <w:color w:val="auto"/>
          <w:szCs w:val="21"/>
          <w:highlight w:val="none"/>
        </w:rPr>
        <w:sectPr>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bookmarkStart w:id="111" w:name="_法定代表人授权书_1"/>
      <w:bookmarkEnd w:id="111"/>
      <w:bookmarkStart w:id="112" w:name="_Toc119321151"/>
      <w:bookmarkStart w:id="113" w:name="_Toc136662940"/>
      <w:bookmarkStart w:id="114" w:name="_Toc136682916"/>
      <w:bookmarkStart w:id="115" w:name="_Toc159385075"/>
    </w:p>
    <w:p w14:paraId="23B279C7">
      <w:pPr>
        <w:keepLines w:val="0"/>
        <w:pageBreakBefore/>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lang w:val="en-US"/>
        </w:rPr>
      </w:pPr>
      <w:bookmarkStart w:id="116" w:name="_投标承诺函_1"/>
      <w:bookmarkEnd w:id="116"/>
      <w:bookmarkStart w:id="117" w:name="_Toc15578"/>
      <w:bookmarkStart w:id="118" w:name="_Toc9168"/>
      <w:bookmarkStart w:id="119" w:name="_Toc419106566"/>
      <w:bookmarkStart w:id="120" w:name="_Toc29357"/>
      <w:bookmarkStart w:id="121" w:name="_Toc26339"/>
      <w:r>
        <w:rPr>
          <w:rFonts w:hint="default" w:ascii="Times New Roman" w:hAnsi="Times New Roman" w:cs="Times New Roman" w:eastAsiaTheme="minorEastAsia"/>
          <w:b/>
          <w:bCs/>
          <w:color w:val="auto"/>
          <w:sz w:val="36"/>
          <w:szCs w:val="36"/>
          <w:highlight w:val="none"/>
          <w:lang w:val="en-US"/>
        </w:rPr>
        <w:t>1.1 响应承诺函</w:t>
      </w:r>
      <w:bookmarkEnd w:id="69"/>
      <w:bookmarkEnd w:id="70"/>
      <w:bookmarkEnd w:id="112"/>
      <w:bookmarkEnd w:id="113"/>
      <w:bookmarkEnd w:id="114"/>
      <w:bookmarkEnd w:id="115"/>
      <w:bookmarkEnd w:id="117"/>
      <w:bookmarkEnd w:id="118"/>
      <w:bookmarkEnd w:id="119"/>
      <w:bookmarkEnd w:id="120"/>
      <w:bookmarkEnd w:id="121"/>
    </w:p>
    <w:p w14:paraId="43EE61C3">
      <w:pPr>
        <w:keepNext w:val="0"/>
        <w:keepLines w:val="0"/>
        <w:widowControl w:val="0"/>
        <w:kinsoku/>
        <w:wordWrap/>
        <w:overflowPunct/>
        <w:topLinePunct w:val="0"/>
        <w:autoSpaceDE/>
        <w:autoSpaceDN/>
        <w:bidi w:val="0"/>
        <w:adjustRightInd/>
        <w:snapToGrid/>
        <w:spacing w:beforeAutospacing="0" w:afterAutospacing="0" w:line="440" w:lineRule="atLeast"/>
        <w:ind w:left="315" w:leftChars="0" w:right="0" w:rightChars="0" w:hanging="315" w:hangingChars="150"/>
        <w:textAlignment w:val="auto"/>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 xml:space="preserve">致 </w:t>
      </w:r>
      <w:r>
        <w:rPr>
          <w:rFonts w:hint="eastAsia" w:ascii="Times New Roman" w:hAnsi="Times New Roman" w:cs="Times New Roman"/>
          <w:bCs/>
          <w:color w:val="auto"/>
          <w:sz w:val="21"/>
          <w:szCs w:val="21"/>
          <w:highlight w:val="none"/>
          <w:lang w:eastAsia="zh-CN"/>
        </w:rPr>
        <w:t>佛山市高明区人民法院</w:t>
      </w:r>
      <w:r>
        <w:rPr>
          <w:rFonts w:hint="default" w:ascii="Times New Roman" w:hAnsi="Times New Roman" w:cs="Times New Roman" w:eastAsiaTheme="minorEastAsia"/>
          <w:bCs/>
          <w:color w:val="auto"/>
          <w:sz w:val="21"/>
          <w:szCs w:val="21"/>
          <w:highlight w:val="none"/>
        </w:rPr>
        <w:t>/广东远东招标代理有限公司：</w:t>
      </w:r>
    </w:p>
    <w:p w14:paraId="783AB5FF">
      <w:pPr>
        <w:keepNext w:val="0"/>
        <w:keepLines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我方根据《竞争性磋商文件》的要求，通过委任的全权代表，向贵方递交密封册装的全套响应文件参与下列项目的响应，现为我方的一切响应行为作</w:t>
      </w:r>
      <w:r>
        <w:rPr>
          <w:rFonts w:hint="default" w:ascii="Times New Roman" w:hAnsi="Times New Roman" w:cs="Times New Roman" w:eastAsiaTheme="minorEastAsia"/>
          <w:bCs/>
          <w:color w:val="auto"/>
          <w:sz w:val="21"/>
          <w:szCs w:val="21"/>
          <w:highlight w:val="none"/>
        </w:rPr>
        <w:t>郑重承诺及声明如下：</w:t>
      </w:r>
    </w:p>
    <w:p w14:paraId="5622B796">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项目名称： </w:t>
      </w:r>
      <w:r>
        <w:rPr>
          <w:rFonts w:hint="eastAsia" w:ascii="Times New Roman" w:hAnsi="Times New Roman" w:cs="Times New Roman"/>
          <w:color w:val="auto"/>
          <w:sz w:val="21"/>
          <w:szCs w:val="21"/>
          <w:highlight w:val="none"/>
          <w:lang w:eastAsia="zh-CN"/>
        </w:rPr>
        <w:t>佛山市高明区人民法院执行案件集约化送达服务项目</w:t>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DOCVARIABLE  项目名称  \* MERGEFORMAT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fldChar w:fldCharType="end"/>
      </w:r>
      <w:r>
        <w:rPr>
          <w:rFonts w:hint="default" w:ascii="Times New Roman" w:hAnsi="Times New Roman" w:cs="Times New Roman" w:eastAsiaTheme="minorEastAsia"/>
          <w:color w:val="auto"/>
          <w:sz w:val="21"/>
          <w:szCs w:val="21"/>
          <w:highlight w:val="none"/>
        </w:rPr>
        <w:t>；</w:t>
      </w:r>
    </w:p>
    <w:p w14:paraId="79E797DE">
      <w:pPr>
        <w:keepNext w:val="0"/>
        <w:keepLines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    项目编号： </w:t>
      </w:r>
      <w:r>
        <w:rPr>
          <w:rFonts w:hint="eastAsia" w:ascii="Times New Roman" w:hAnsi="Times New Roman" w:cs="Times New Roman"/>
          <w:color w:val="auto"/>
          <w:sz w:val="21"/>
          <w:szCs w:val="21"/>
          <w:highlight w:val="none"/>
          <w:lang w:eastAsia="zh-CN"/>
        </w:rPr>
        <w:t>GDYD240563</w:t>
      </w:r>
      <w:r>
        <w:rPr>
          <w:rFonts w:hint="default" w:ascii="Times New Roman" w:hAnsi="Times New Roman" w:cs="Times New Roman" w:eastAsiaTheme="minorEastAsia"/>
          <w:color w:val="auto"/>
          <w:sz w:val="21"/>
          <w:szCs w:val="21"/>
          <w:highlight w:val="none"/>
        </w:rPr>
        <w:fldChar w:fldCharType="begin"/>
      </w:r>
      <w:r>
        <w:rPr>
          <w:rFonts w:hint="default" w:ascii="Times New Roman" w:hAnsi="Times New Roman" w:cs="Times New Roman" w:eastAsiaTheme="minorEastAsia"/>
          <w:color w:val="auto"/>
          <w:sz w:val="21"/>
          <w:szCs w:val="21"/>
          <w:highlight w:val="none"/>
        </w:rPr>
        <w:instrText xml:space="preserve"> DOCVARIABLE  采购编号  \* MERGEFORMAT </w:instrText>
      </w:r>
      <w:r>
        <w:rPr>
          <w:rFonts w:hint="default" w:ascii="Times New Roman" w:hAnsi="Times New Roman" w:cs="Times New Roman" w:eastAsiaTheme="minorEastAsia"/>
          <w:color w:val="auto"/>
          <w:sz w:val="21"/>
          <w:szCs w:val="21"/>
          <w:highlight w:val="none"/>
        </w:rPr>
        <w:fldChar w:fldCharType="separate"/>
      </w:r>
      <w:r>
        <w:rPr>
          <w:rFonts w:hint="default" w:ascii="Times New Roman" w:hAnsi="Times New Roman" w:cs="Times New Roman" w:eastAsiaTheme="minorEastAsia"/>
          <w:color w:val="auto"/>
          <w:sz w:val="21"/>
          <w:szCs w:val="21"/>
          <w:highlight w:val="none"/>
        </w:rPr>
        <w:fldChar w:fldCharType="end"/>
      </w:r>
    </w:p>
    <w:p w14:paraId="217169B7">
      <w:pPr>
        <w:keepNext w:val="0"/>
        <w:keepLines w:val="0"/>
        <w:widowControl w:val="0"/>
        <w:numPr>
          <w:ilvl w:val="0"/>
          <w:numId w:val="5"/>
        </w:numPr>
        <w:tabs>
          <w:tab w:val="left" w:pos="900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我方已认真阅读了全部采购文件及其相关文件，完全清楚理解其内容要求及规约，对文件的合理性、公正性和程序安排均没有任何异议、质疑和误解之处。</w:t>
      </w:r>
    </w:p>
    <w:p w14:paraId="7E2FD9AC">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我方所提供的一切文件均已经过认真、严格的审核，其内容已充分表达了我方的真实意愿，没有任何遗漏、虚假、侵权之处，若出现违背诚实信用和商业道德之行为，愿独自承担相应的法律责任。</w:t>
      </w:r>
    </w:p>
    <w:p w14:paraId="1E2543B5">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我方没有为本项目提供整体设计、规范编制或者项目管理、监理、检测等服务。</w:t>
      </w:r>
    </w:p>
    <w:p w14:paraId="7BFECFB2">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响应有效期自递交响应文件起至确定正式</w:t>
      </w:r>
      <w:r>
        <w:rPr>
          <w:rFonts w:hint="default" w:ascii="Times New Roman" w:hAnsi="Times New Roman" w:cs="Times New Roman" w:eastAsiaTheme="minorEastAsia"/>
          <w:color w:val="auto"/>
          <w:sz w:val="21"/>
          <w:szCs w:val="21"/>
          <w:highlight w:val="none"/>
          <w:lang w:eastAsia="zh-CN"/>
        </w:rPr>
        <w:t>成交人</w:t>
      </w:r>
      <w:r>
        <w:rPr>
          <w:rFonts w:hint="default" w:ascii="Times New Roman" w:hAnsi="Times New Roman" w:cs="Times New Roman" w:eastAsiaTheme="minorEastAsia"/>
          <w:color w:val="auto"/>
          <w:sz w:val="21"/>
          <w:szCs w:val="21"/>
          <w:highlight w:val="none"/>
        </w:rPr>
        <w:t>止，若我方获成交资格，响应有效期则相应延长至项目服务期满之日，不论在任何时候，定将按贵方的要求在规定时间内如实提供一切补充材料。</w:t>
      </w:r>
    </w:p>
    <w:p w14:paraId="7FBA483E">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完全服从和尊重磋商小组所作的评审结果，同时清楚理解到仅凭报价或单一竞争优势并非是决定成交资格的唯一重要依据。</w:t>
      </w:r>
    </w:p>
    <w:p w14:paraId="531F61FB">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同意按采购文件的要求认真履行</w:t>
      </w:r>
      <w:r>
        <w:rPr>
          <w:rFonts w:hint="default" w:ascii="Times New Roman" w:hAnsi="Times New Roman" w:cs="Times New Roman" w:eastAsiaTheme="minorEastAsia"/>
          <w:color w:val="auto"/>
          <w:sz w:val="21"/>
          <w:szCs w:val="21"/>
          <w:highlight w:val="none"/>
          <w:lang w:eastAsia="zh-CN"/>
        </w:rPr>
        <w:t>成交人</w:t>
      </w:r>
      <w:r>
        <w:rPr>
          <w:rFonts w:hint="default" w:ascii="Times New Roman" w:hAnsi="Times New Roman" w:cs="Times New Roman" w:eastAsiaTheme="minorEastAsia"/>
          <w:color w:val="auto"/>
          <w:sz w:val="21"/>
          <w:szCs w:val="21"/>
          <w:highlight w:val="none"/>
        </w:rPr>
        <w:t>应尽的义务，若我方行为不当而损害了</w:t>
      </w:r>
      <w:r>
        <w:rPr>
          <w:rFonts w:hint="eastAsia" w:ascii="Times New Roman" w:hAnsi="Times New Roman" w:cs="Times New Roman"/>
          <w:color w:val="auto"/>
          <w:sz w:val="21"/>
          <w:szCs w:val="21"/>
          <w:highlight w:val="none"/>
          <w:lang w:eastAsia="zh-CN"/>
        </w:rPr>
        <w:t>采购人</w:t>
      </w:r>
      <w:r>
        <w:rPr>
          <w:rFonts w:hint="default" w:ascii="Times New Roman" w:hAnsi="Times New Roman" w:cs="Times New Roman" w:eastAsiaTheme="minorEastAsia"/>
          <w:color w:val="auto"/>
          <w:sz w:val="21"/>
          <w:szCs w:val="21"/>
          <w:highlight w:val="none"/>
        </w:rPr>
        <w:t>的合法权益，我方愿在任何时候无条件承担相应的缔约过失责任和经济赔偿。</w:t>
      </w:r>
    </w:p>
    <w:p w14:paraId="69B9D72E">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我方已依法缴纳了各项税费及社会保险费用，如有需要，可随时向</w:t>
      </w:r>
      <w:r>
        <w:rPr>
          <w:rFonts w:hint="eastAsia" w:ascii="Times New Roman" w:hAnsi="Times New Roman" w:cs="Times New Roman"/>
          <w:color w:val="auto"/>
          <w:sz w:val="21"/>
          <w:szCs w:val="21"/>
          <w:highlight w:val="none"/>
          <w:lang w:eastAsia="zh-CN"/>
        </w:rPr>
        <w:t>采购人</w:t>
      </w:r>
      <w:r>
        <w:rPr>
          <w:rFonts w:hint="default" w:ascii="Times New Roman" w:hAnsi="Times New Roman" w:cs="Times New Roman" w:eastAsiaTheme="minorEastAsia"/>
          <w:color w:val="auto"/>
          <w:sz w:val="21"/>
          <w:szCs w:val="21"/>
          <w:highlight w:val="none"/>
        </w:rPr>
        <w:t>提交近三个月内的相关缴费证明，以便核查。</w:t>
      </w:r>
    </w:p>
    <w:p w14:paraId="345CEA67">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我方已依法建立健全的财务会计制度，如有需要，可随时向</w:t>
      </w:r>
      <w:r>
        <w:rPr>
          <w:rFonts w:hint="eastAsia" w:ascii="Times New Roman" w:hAnsi="Times New Roman" w:cs="Times New Roman"/>
          <w:color w:val="auto"/>
          <w:sz w:val="21"/>
          <w:szCs w:val="21"/>
          <w:highlight w:val="none"/>
          <w:lang w:eastAsia="zh-CN"/>
        </w:rPr>
        <w:t>采购人</w:t>
      </w:r>
      <w:r>
        <w:rPr>
          <w:rFonts w:hint="default" w:ascii="Times New Roman" w:hAnsi="Times New Roman" w:cs="Times New Roman" w:eastAsiaTheme="minorEastAsia"/>
          <w:color w:val="auto"/>
          <w:sz w:val="21"/>
          <w:szCs w:val="21"/>
          <w:highlight w:val="none"/>
        </w:rPr>
        <w:t>提交相关证明材料，以便核查。</w:t>
      </w:r>
    </w:p>
    <w:p w14:paraId="3262A7DA">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本公司（企业）的单位负责人与所参投的本采购项目的其他投标人的单位负责人不为同一人且与其他投标人之间不存在直接控股、管理关系</w:t>
      </w:r>
      <w:r>
        <w:rPr>
          <w:rFonts w:hint="default" w:ascii="Times New Roman" w:hAnsi="Times New Roman" w:cs="Times New Roman" w:eastAsiaTheme="minorEastAsia"/>
          <w:color w:val="auto"/>
          <w:sz w:val="21"/>
          <w:szCs w:val="21"/>
          <w:highlight w:val="none"/>
          <w:lang w:eastAsia="zh-CN"/>
        </w:rPr>
        <w:t>。</w:t>
      </w:r>
    </w:p>
    <w:p w14:paraId="1B543430">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本公司（企业）承诺在本次采购活动中，如有违法、违规、弄虚作假行为，所造成的损失、不良后果及法律责任，一律由我公司（企业）承担。</w:t>
      </w:r>
    </w:p>
    <w:p w14:paraId="2637A523">
      <w:pPr>
        <w:keepNext w:val="0"/>
        <w:keepLines w:val="0"/>
        <w:widowControl w:val="0"/>
        <w:numPr>
          <w:ilvl w:val="0"/>
          <w:numId w:val="5"/>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本承诺函效力及范围均涵盖我方整套响应文件和一切补充文件。</w:t>
      </w:r>
    </w:p>
    <w:p w14:paraId="70C81124">
      <w:pPr>
        <w:keepNext w:val="0"/>
        <w:keepLines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p>
    <w:p w14:paraId="4D5EE82B">
      <w:pPr>
        <w:keepNext w:val="0"/>
        <w:keepLines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供应商名称：</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 xml:space="preserve">全称）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7DD33062">
      <w:pPr>
        <w:keepNext w:val="0"/>
        <w:keepLines w:val="0"/>
        <w:widowControl w:val="0"/>
        <w:tabs>
          <w:tab w:val="left" w:pos="-3780"/>
        </w:tabs>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承诺日期：</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年</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月</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日。</w:t>
      </w:r>
    </w:p>
    <w:p w14:paraId="29145AC5">
      <w:pPr>
        <w:keepNext w:val="0"/>
        <w:keepLines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bookmarkStart w:id="122" w:name="_投标承诺函"/>
      <w:bookmarkEnd w:id="122"/>
      <w:bookmarkStart w:id="123" w:name="_法人代表授权书"/>
      <w:bookmarkEnd w:id="123"/>
      <w:bookmarkStart w:id="124" w:name="_Toc136682917"/>
      <w:bookmarkStart w:id="125" w:name="_Toc49329266"/>
      <w:bookmarkStart w:id="126" w:name="_Toc37670364"/>
      <w:bookmarkStart w:id="127" w:name="_Toc119321152"/>
      <w:bookmarkStart w:id="128" w:name="_Toc136662941"/>
      <w:r>
        <w:rPr>
          <w:rFonts w:hint="default" w:ascii="Times New Roman" w:hAnsi="Times New Roman" w:cs="Times New Roman" w:eastAsiaTheme="minorEastAsia"/>
          <w:color w:val="auto"/>
          <w:sz w:val="21"/>
          <w:szCs w:val="21"/>
          <w:highlight w:val="none"/>
        </w:rPr>
        <w:t>说明：</w:t>
      </w:r>
    </w:p>
    <w:p w14:paraId="431B141E">
      <w:pPr>
        <w:keepNext w:val="0"/>
        <w:keepLines w:val="0"/>
        <w:widowControl w:val="0"/>
        <w:tabs>
          <w:tab w:val="left" w:pos="-378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1、本承诺函内容不得擅自删改。</w:t>
      </w:r>
    </w:p>
    <w:p w14:paraId="5F2AA30A">
      <w:pPr>
        <w:keepNext w:val="0"/>
        <w:keepLines w:val="0"/>
        <w:pageBreakBefore/>
        <w:widowControl w:val="0"/>
        <w:numPr>
          <w:ilvl w:val="0"/>
          <w:numId w:val="6"/>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sectPr>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bookmarkStart w:id="129" w:name="_法人授权书"/>
      <w:bookmarkEnd w:id="129"/>
      <w:bookmarkStart w:id="130" w:name="_Toc159385076"/>
    </w:p>
    <w:bookmarkEnd w:id="71"/>
    <w:bookmarkEnd w:id="72"/>
    <w:bookmarkEnd w:id="73"/>
    <w:bookmarkEnd w:id="124"/>
    <w:bookmarkEnd w:id="125"/>
    <w:bookmarkEnd w:id="126"/>
    <w:bookmarkEnd w:id="127"/>
    <w:bookmarkEnd w:id="128"/>
    <w:bookmarkEnd w:id="130"/>
    <w:p w14:paraId="77D1FE62">
      <w:pPr>
        <w:keepLines w:val="0"/>
        <w:pageBreakBefore/>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131" w:name="_法人授权书_1"/>
      <w:bookmarkEnd w:id="131"/>
      <w:bookmarkStart w:id="132" w:name="_企业资质、资格性证明"/>
      <w:bookmarkEnd w:id="132"/>
      <w:bookmarkStart w:id="133" w:name="_Toc14873257"/>
      <w:bookmarkStart w:id="134" w:name="_Toc419106567"/>
      <w:bookmarkStart w:id="135" w:name="_Toc25532"/>
      <w:bookmarkStart w:id="136" w:name="_Toc24149"/>
      <w:bookmarkStart w:id="137" w:name="_Toc3230"/>
      <w:bookmarkStart w:id="138" w:name="_Toc4275"/>
      <w:bookmarkStart w:id="139" w:name="_Toc22939"/>
      <w:bookmarkStart w:id="140" w:name="_Toc12876"/>
      <w:bookmarkStart w:id="141" w:name="_Toc26401"/>
      <w:bookmarkStart w:id="142" w:name="_Toc17786"/>
      <w:bookmarkStart w:id="143" w:name="_Toc16815"/>
      <w:bookmarkStart w:id="144" w:name="_Toc438547162"/>
      <w:bookmarkStart w:id="145" w:name="_Toc27819"/>
      <w:bookmarkStart w:id="146" w:name="_Toc13594"/>
      <w:bookmarkStart w:id="147" w:name="_Toc419106569"/>
      <w:bookmarkStart w:id="148" w:name="_Toc159385077"/>
      <w:r>
        <w:rPr>
          <w:rFonts w:hint="default" w:ascii="Times New Roman" w:hAnsi="Times New Roman" w:cs="Times New Roman" w:eastAsiaTheme="minorEastAsia"/>
          <w:b/>
          <w:bCs/>
          <w:color w:val="auto"/>
          <w:sz w:val="36"/>
          <w:szCs w:val="36"/>
          <w:highlight w:val="none"/>
          <w:lang w:val="en-US"/>
        </w:rPr>
        <w:t>1.2 法定代表人/法定负责人</w:t>
      </w:r>
      <w:r>
        <w:rPr>
          <w:rFonts w:hint="default" w:ascii="Times New Roman" w:hAnsi="Times New Roman" w:cs="Times New Roman" w:eastAsiaTheme="minorEastAsia"/>
          <w:b/>
          <w:bCs/>
          <w:color w:val="auto"/>
          <w:sz w:val="36"/>
          <w:szCs w:val="36"/>
          <w:highlight w:val="none"/>
        </w:rPr>
        <w:t>证明书</w:t>
      </w:r>
      <w:bookmarkEnd w:id="133"/>
      <w:bookmarkEnd w:id="134"/>
      <w:bookmarkEnd w:id="135"/>
      <w:bookmarkEnd w:id="136"/>
      <w:bookmarkEnd w:id="137"/>
      <w:bookmarkEnd w:id="138"/>
      <w:bookmarkEnd w:id="139"/>
      <w:bookmarkEnd w:id="140"/>
      <w:bookmarkEnd w:id="141"/>
      <w:bookmarkEnd w:id="142"/>
    </w:p>
    <w:p w14:paraId="48178608">
      <w:pPr>
        <w:keepLines w:val="0"/>
        <w:kinsoku/>
        <w:wordWrap/>
        <w:overflowPunct/>
        <w:topLinePunct w:val="0"/>
        <w:bidi w:val="0"/>
        <w:spacing w:beforeAutospacing="0" w:afterAutospacing="0" w:line="440" w:lineRule="atLeast"/>
        <w:ind w:left="316" w:leftChars="0" w:right="0" w:rightChars="0" w:hanging="316" w:hangingChars="150"/>
        <w:rPr>
          <w:rFonts w:hint="default" w:ascii="Times New Roman" w:hAnsi="Times New Roman" w:cs="Times New Roman" w:eastAsiaTheme="minorEastAsia"/>
          <w:b/>
          <w:bCs/>
          <w:color w:val="auto"/>
          <w:highlight w:val="none"/>
        </w:rPr>
      </w:pPr>
    </w:p>
    <w:p w14:paraId="5E9594A0">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315" w:leftChars="0" w:right="0" w:rightChars="0" w:hanging="315" w:hangingChars="150"/>
        <w:textAlignment w:val="auto"/>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 xml:space="preserve">致  </w:t>
      </w:r>
      <w:r>
        <w:rPr>
          <w:rFonts w:hint="eastAsia" w:ascii="Times New Roman" w:hAnsi="Times New Roman" w:cs="Times New Roman"/>
          <w:bCs/>
          <w:color w:val="auto"/>
          <w:sz w:val="21"/>
          <w:szCs w:val="21"/>
          <w:highlight w:val="none"/>
          <w:lang w:eastAsia="zh-CN"/>
        </w:rPr>
        <w:t>佛山市高明区人民法院</w:t>
      </w:r>
      <w:r>
        <w:rPr>
          <w:rFonts w:hint="default" w:ascii="Times New Roman" w:hAnsi="Times New Roman" w:cs="Times New Roman" w:eastAsiaTheme="minorEastAsia"/>
          <w:bCs/>
          <w:color w:val="auto"/>
          <w:sz w:val="21"/>
          <w:szCs w:val="21"/>
          <w:highlight w:val="none"/>
        </w:rPr>
        <w:t>/广东远东招标代理有限公司：</w:t>
      </w:r>
    </w:p>
    <w:p w14:paraId="6A30F4E2">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315" w:leftChars="0" w:right="0" w:rightChars="0" w:hanging="315" w:hangingChars="150"/>
        <w:textAlignment w:val="auto"/>
        <w:rPr>
          <w:rFonts w:hint="default" w:ascii="Times New Roman" w:hAnsi="Times New Roman" w:cs="Times New Roman" w:eastAsiaTheme="minorEastAsia"/>
          <w:bCs/>
          <w:color w:val="auto"/>
          <w:sz w:val="21"/>
          <w:szCs w:val="21"/>
          <w:highlight w:val="none"/>
        </w:rPr>
      </w:pPr>
    </w:p>
    <w:p w14:paraId="37B6F07F">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bookmarkStart w:id="149" w:name="_Toc14873258"/>
      <w:bookmarkStart w:id="150" w:name="_Ref266198344"/>
      <w:bookmarkStart w:id="151" w:name="_Toc3157"/>
      <w:bookmarkStart w:id="152" w:name="_Toc419106568"/>
      <w:bookmarkStart w:id="153" w:name="_Toc304304969"/>
      <w:bookmarkStart w:id="154" w:name="_Toc310519891"/>
      <w:bookmarkStart w:id="155" w:name="_Toc304886140"/>
      <w:bookmarkStart w:id="156" w:name="_Toc325031947"/>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同志，现任我单位</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职务，为法定代表人，特此证明。</w:t>
      </w:r>
    </w:p>
    <w:p w14:paraId="73EC26D0">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210" w:firstLineChars="1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签发日期：   年  月  日 </w:t>
      </w:r>
    </w:p>
    <w:p w14:paraId="0698D80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210" w:firstLineChars="1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单位名称：</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 xml:space="preserve">全称）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4778E73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210" w:firstLineChars="100"/>
        <w:textAlignment w:val="auto"/>
        <w:rPr>
          <w:rFonts w:hint="default" w:ascii="Times New Roman" w:hAnsi="Times New Roman" w:cs="Times New Roman" w:eastAsiaTheme="minorEastAsia"/>
          <w:color w:val="auto"/>
          <w:sz w:val="21"/>
          <w:szCs w:val="21"/>
          <w:highlight w:val="none"/>
        </w:rPr>
      </w:pPr>
    </w:p>
    <w:p w14:paraId="63B2A837">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210" w:firstLineChars="100"/>
        <w:textAlignment w:val="auto"/>
        <w:rPr>
          <w:rFonts w:hint="default" w:ascii="Times New Roman" w:hAnsi="Times New Roman" w:cs="Times New Roman" w:eastAsiaTheme="minorEastAsia"/>
          <w:color w:val="auto"/>
          <w:sz w:val="21"/>
          <w:szCs w:val="21"/>
          <w:highlight w:val="none"/>
          <w:u w:val="single"/>
        </w:rPr>
      </w:pPr>
      <w:r>
        <w:rPr>
          <w:rFonts w:hint="default" w:ascii="Times New Roman" w:hAnsi="Times New Roman" w:cs="Times New Roman" w:eastAsiaTheme="minorEastAsia"/>
          <w:color w:val="auto"/>
          <w:sz w:val="21"/>
          <w:szCs w:val="21"/>
          <w:highlight w:val="none"/>
        </w:rPr>
        <w:t>附：法定代表人性别：</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 xml:space="preserve">    年龄：</w:t>
      </w:r>
      <w:r>
        <w:rPr>
          <w:rFonts w:hint="default" w:ascii="Times New Roman" w:hAnsi="Times New Roman" w:cs="Times New Roman" w:eastAsiaTheme="minorEastAsia"/>
          <w:color w:val="auto"/>
          <w:sz w:val="21"/>
          <w:szCs w:val="21"/>
          <w:highlight w:val="none"/>
          <w:u w:val="single"/>
        </w:rPr>
        <w:t xml:space="preserve">           </w:t>
      </w:r>
    </w:p>
    <w:p w14:paraId="4ECC4E3D">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630" w:firstLineChars="300"/>
        <w:textAlignment w:val="auto"/>
        <w:rPr>
          <w:rFonts w:hint="default" w:ascii="Times New Roman" w:hAnsi="Times New Roman" w:cs="Times New Roman" w:eastAsiaTheme="minorEastAsia"/>
          <w:color w:val="auto"/>
          <w:sz w:val="21"/>
          <w:szCs w:val="21"/>
          <w:highlight w:val="none"/>
          <w:u w:val="single"/>
          <w:lang w:val="en-US" w:eastAsia="zh-CN"/>
        </w:rPr>
      </w:pPr>
      <w:r>
        <w:rPr>
          <w:rFonts w:hint="default" w:ascii="Times New Roman" w:hAnsi="Times New Roman" w:cs="Times New Roman" w:eastAsiaTheme="minorEastAsia"/>
          <w:color w:val="auto"/>
          <w:sz w:val="21"/>
          <w:szCs w:val="21"/>
          <w:highlight w:val="none"/>
        </w:rPr>
        <w:t>身份证号码：</w:t>
      </w:r>
      <w:r>
        <w:rPr>
          <w:rFonts w:hint="eastAsia" w:ascii="Times New Roman" w:hAnsi="Times New Roman" w:cs="Times New Roman"/>
          <w:color w:val="auto"/>
          <w:sz w:val="21"/>
          <w:szCs w:val="21"/>
          <w:highlight w:val="none"/>
          <w:u w:val="single"/>
          <w:lang w:val="en-US" w:eastAsia="zh-CN"/>
        </w:rPr>
        <w:t xml:space="preserve">             </w:t>
      </w:r>
    </w:p>
    <w:p w14:paraId="08F8D88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630" w:firstLineChars="300"/>
        <w:textAlignment w:val="auto"/>
        <w:rPr>
          <w:rFonts w:hint="default" w:ascii="Times New Roman" w:hAnsi="Times New Roman" w:cs="Times New Roman" w:eastAsiaTheme="minorEastAsia"/>
          <w:color w:val="auto"/>
          <w:sz w:val="21"/>
          <w:szCs w:val="21"/>
          <w:highlight w:val="none"/>
          <w:u w:val="single"/>
          <w:lang w:val="en-US" w:eastAsia="zh-CN"/>
        </w:rPr>
      </w:pPr>
      <w:r>
        <w:rPr>
          <w:rFonts w:hint="default" w:ascii="Times New Roman" w:hAnsi="Times New Roman" w:cs="Times New Roman" w:eastAsiaTheme="minorEastAsia"/>
          <w:color w:val="auto"/>
          <w:sz w:val="21"/>
          <w:szCs w:val="21"/>
          <w:highlight w:val="none"/>
        </w:rPr>
        <w:t>联系电话：</w:t>
      </w:r>
      <w:r>
        <w:rPr>
          <w:rFonts w:hint="eastAsia" w:ascii="Times New Roman" w:hAnsi="Times New Roman" w:cs="Times New Roman"/>
          <w:color w:val="auto"/>
          <w:sz w:val="21"/>
          <w:szCs w:val="21"/>
          <w:highlight w:val="none"/>
          <w:u w:val="single"/>
          <w:lang w:val="en-US" w:eastAsia="zh-CN"/>
        </w:rPr>
        <w:t xml:space="preserve">               </w:t>
      </w:r>
    </w:p>
    <w:p w14:paraId="0D3868D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630" w:firstLineChars="300"/>
        <w:textAlignment w:val="auto"/>
        <w:rPr>
          <w:rFonts w:hint="default" w:ascii="Times New Roman" w:hAnsi="Times New Roman" w:cs="Times New Roman" w:eastAsiaTheme="minorEastAsia"/>
          <w:color w:val="auto"/>
          <w:sz w:val="21"/>
          <w:szCs w:val="21"/>
          <w:highlight w:val="none"/>
          <w:u w:val="single"/>
          <w:lang w:val="en-US" w:eastAsia="zh-CN"/>
        </w:rPr>
      </w:pPr>
      <w:r>
        <w:rPr>
          <w:rFonts w:hint="default" w:ascii="Times New Roman" w:hAnsi="Times New Roman" w:cs="Times New Roman" w:eastAsiaTheme="minorEastAsia"/>
          <w:color w:val="auto"/>
          <w:sz w:val="21"/>
          <w:szCs w:val="21"/>
          <w:highlight w:val="none"/>
        </w:rPr>
        <w:t>营业执照号码：</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 xml:space="preserve">  单位性质：</w:t>
      </w:r>
      <w:r>
        <w:rPr>
          <w:rFonts w:hint="eastAsia" w:ascii="Times New Roman" w:hAnsi="Times New Roman" w:cs="Times New Roman"/>
          <w:color w:val="auto"/>
          <w:sz w:val="21"/>
          <w:szCs w:val="21"/>
          <w:highlight w:val="none"/>
          <w:u w:val="single"/>
          <w:lang w:val="en-US" w:eastAsia="zh-CN"/>
        </w:rPr>
        <w:t xml:space="preserve">          </w:t>
      </w:r>
    </w:p>
    <w:p w14:paraId="2591F01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630" w:firstLineChars="300"/>
        <w:textAlignment w:val="auto"/>
        <w:rPr>
          <w:rFonts w:hint="default" w:ascii="Times New Roman" w:hAnsi="Times New Roman" w:cs="Times New Roman" w:eastAsiaTheme="minorEastAsia"/>
          <w:color w:val="auto"/>
          <w:sz w:val="21"/>
          <w:szCs w:val="21"/>
          <w:highlight w:val="none"/>
          <w:u w:val="single"/>
          <w:lang w:val="en-US" w:eastAsia="zh-CN"/>
        </w:rPr>
      </w:pPr>
      <w:r>
        <w:rPr>
          <w:rFonts w:hint="default" w:ascii="Times New Roman" w:hAnsi="Times New Roman" w:cs="Times New Roman" w:eastAsiaTheme="minorEastAsia"/>
          <w:color w:val="auto"/>
          <w:sz w:val="21"/>
          <w:szCs w:val="21"/>
          <w:highlight w:val="none"/>
        </w:rPr>
        <w:t>成立时间：</w:t>
      </w:r>
      <w:r>
        <w:rPr>
          <w:rFonts w:hint="eastAsia" w:ascii="Times New Roman" w:hAnsi="Times New Roman" w:cs="Times New Roman"/>
          <w:color w:val="auto"/>
          <w:sz w:val="21"/>
          <w:szCs w:val="21"/>
          <w:highlight w:val="none"/>
          <w:u w:val="single"/>
          <w:lang w:val="en-US" w:eastAsia="zh-CN"/>
        </w:rPr>
        <w:t xml:space="preserve">             </w:t>
      </w:r>
    </w:p>
    <w:p w14:paraId="5C4DE032">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p>
    <w:p w14:paraId="7797BCBC">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说明：1.法定代表人为企业事业单位、国家机关、社会团体的主要行政负责人。</w:t>
      </w:r>
    </w:p>
    <w:p w14:paraId="2A2A8812">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      2.内容必须填写真实、清楚、涂改无效，不得转让、买卖。</w:t>
      </w:r>
    </w:p>
    <w:p w14:paraId="6FD0D34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630" w:firstLineChars="300"/>
        <w:textAlignment w:val="auto"/>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color w:val="auto"/>
          <w:sz w:val="21"/>
          <w:szCs w:val="21"/>
          <w:highlight w:val="none"/>
        </w:rPr>
        <w:t>3.将此证明书提交对方作为合同附件</w:t>
      </w:r>
      <w:r>
        <w:rPr>
          <w:rFonts w:hint="default" w:ascii="Times New Roman" w:hAnsi="Times New Roman" w:cs="Times New Roman" w:eastAsiaTheme="minorEastAsia"/>
          <w:b/>
          <w:color w:val="auto"/>
          <w:sz w:val="21"/>
          <w:szCs w:val="21"/>
          <w:highlight w:val="none"/>
        </w:rPr>
        <w:t>。</w:t>
      </w:r>
    </w:p>
    <w:p w14:paraId="4B6FA2B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p>
    <w:p w14:paraId="029473CF">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157" w:leftChars="0" w:right="0" w:rightChars="0" w:hanging="157" w:hangingChars="75"/>
        <w:textAlignment w:val="auto"/>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color w:val="auto"/>
          <w:sz w:val="21"/>
          <w:szCs w:val="21"/>
          <w:highlight w:val="none"/>
        </w:rPr>
        <w:t xml:space="preserve"> </w:t>
      </w:r>
      <w:r>
        <w:rPr>
          <w:rFonts w:hint="default" w:ascii="Times New Roman" w:hAnsi="Times New Roman" w:cs="Times New Roman" w:eastAsiaTheme="minorEastAsia"/>
          <w:b/>
          <w:color w:val="auto"/>
          <w:sz w:val="21"/>
          <w:szCs w:val="21"/>
          <w:highlight w:val="none"/>
        </w:rPr>
        <w:t xml:space="preserve"> 附：法定代表人的身份证复印件：</w:t>
      </w:r>
    </w:p>
    <w:bookmarkEnd w:id="149"/>
    <w:bookmarkEnd w:id="150"/>
    <w:bookmarkEnd w:id="151"/>
    <w:bookmarkEnd w:id="152"/>
    <w:bookmarkEnd w:id="153"/>
    <w:bookmarkEnd w:id="154"/>
    <w:bookmarkEnd w:id="155"/>
    <w:bookmarkEnd w:id="156"/>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14:paraId="3596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noWrap w:val="0"/>
            <w:vAlign w:val="center"/>
          </w:tcPr>
          <w:p w14:paraId="464937A9">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 xml:space="preserve">此处粘贴法定代表人/法定负责人身份证复印件（双面） </w:t>
            </w:r>
            <w:r>
              <w:rPr>
                <w:rFonts w:hint="default" w:ascii="Times New Roman" w:hAnsi="Times New Roman" w:cs="Times New Roman" w:eastAsiaTheme="minorEastAsia"/>
                <w:b/>
                <w:color w:val="auto"/>
                <w:sz w:val="21"/>
                <w:szCs w:val="21"/>
                <w:highlight w:val="none"/>
              </w:rPr>
              <w:t>或</w:t>
            </w:r>
            <w:r>
              <w:rPr>
                <w:rFonts w:hint="default" w:ascii="Times New Roman" w:hAnsi="Times New Roman" w:cs="Times New Roman" w:eastAsiaTheme="minorEastAsia"/>
                <w:color w:val="auto"/>
                <w:sz w:val="21"/>
                <w:szCs w:val="21"/>
                <w:highlight w:val="none"/>
              </w:rPr>
              <w:t xml:space="preserve"> 直接扫描到此张纸上</w:t>
            </w:r>
          </w:p>
          <w:p w14:paraId="046E0FF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color w:val="auto"/>
                <w:sz w:val="21"/>
                <w:szCs w:val="21"/>
                <w:highlight w:val="none"/>
              </w:rPr>
              <w:t>注：若页面不够位置的，可另行附页，但须紧接此页</w:t>
            </w:r>
          </w:p>
        </w:tc>
      </w:tr>
    </w:tbl>
    <w:p w14:paraId="1701A192">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p>
    <w:p w14:paraId="188E07C1">
      <w:pPr>
        <w:keepLines w:val="0"/>
        <w:pageBreakBefore/>
        <w:numPr>
          <w:ilvl w:val="0"/>
          <w:numId w:val="7"/>
        </w:numPr>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lang w:val="en-US"/>
        </w:rPr>
      </w:pPr>
      <w:bookmarkStart w:id="157" w:name="_Toc17628"/>
      <w:bookmarkStart w:id="158" w:name="_Toc25633"/>
      <w:bookmarkStart w:id="159" w:name="_Toc145"/>
      <w:bookmarkStart w:id="160" w:name="_Toc27685"/>
      <w:bookmarkStart w:id="161" w:name="_Toc3986"/>
      <w:bookmarkStart w:id="162" w:name="_Toc31199"/>
      <w:bookmarkStart w:id="163" w:name="_Toc1549"/>
      <w:bookmarkStart w:id="164" w:name="_Toc1089"/>
      <w:bookmarkStart w:id="165" w:name="_Toc18311"/>
      <w:bookmarkStart w:id="166" w:name="_Toc20492"/>
      <w:r>
        <w:rPr>
          <w:rFonts w:hint="default" w:ascii="Times New Roman" w:hAnsi="Times New Roman" w:cs="Times New Roman" w:eastAsiaTheme="minorEastAsia"/>
          <w:b/>
          <w:bCs/>
          <w:color w:val="auto"/>
          <w:sz w:val="36"/>
          <w:szCs w:val="36"/>
          <w:highlight w:val="none"/>
          <w:lang w:val="en-US"/>
        </w:rPr>
        <w:t>法定代表人/法定负责人授权书</w:t>
      </w:r>
      <w:bookmarkEnd w:id="157"/>
      <w:bookmarkEnd w:id="158"/>
      <w:bookmarkEnd w:id="159"/>
      <w:bookmarkEnd w:id="160"/>
      <w:bookmarkEnd w:id="161"/>
      <w:bookmarkEnd w:id="162"/>
      <w:bookmarkEnd w:id="163"/>
      <w:bookmarkEnd w:id="164"/>
      <w:bookmarkEnd w:id="165"/>
      <w:bookmarkEnd w:id="166"/>
    </w:p>
    <w:p w14:paraId="062A964D">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Cs/>
          <w:color w:val="auto"/>
          <w:sz w:val="21"/>
          <w:szCs w:val="21"/>
          <w:highlight w:val="none"/>
        </w:rPr>
      </w:pPr>
    </w:p>
    <w:p w14:paraId="478B171B">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Cs/>
          <w:color w:val="auto"/>
          <w:sz w:val="21"/>
          <w:szCs w:val="21"/>
          <w:highlight w:val="none"/>
        </w:rPr>
        <w:t>致：</w:t>
      </w:r>
      <w:r>
        <w:rPr>
          <w:rFonts w:hint="eastAsia" w:ascii="Times New Roman" w:hAnsi="Times New Roman" w:cs="Times New Roman"/>
          <w:bCs/>
          <w:color w:val="auto"/>
          <w:sz w:val="21"/>
          <w:szCs w:val="21"/>
          <w:highlight w:val="none"/>
          <w:u w:val="single"/>
          <w:lang w:eastAsia="zh-CN"/>
        </w:rPr>
        <w:t>佛山市高明区人民法院</w:t>
      </w:r>
      <w:r>
        <w:rPr>
          <w:rFonts w:hint="default" w:ascii="Times New Roman" w:hAnsi="Times New Roman" w:cs="Times New Roman" w:eastAsiaTheme="minorEastAsia"/>
          <w:bCs/>
          <w:color w:val="auto"/>
          <w:sz w:val="21"/>
          <w:szCs w:val="21"/>
          <w:highlight w:val="none"/>
          <w:u w:val="single"/>
        </w:rPr>
        <w:t>、广东远东招标代理有限公司</w:t>
      </w:r>
    </w:p>
    <w:p w14:paraId="7E13116C">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14:paraId="3575C4EB">
      <w:pPr>
        <w:keepLines w:val="0"/>
        <w:kinsoku/>
        <w:wordWrap/>
        <w:overflowPunct/>
        <w:topLinePunct w:val="0"/>
        <w:bidi w:val="0"/>
        <w:spacing w:beforeAutospacing="0" w:afterAutospacing="0" w:line="440" w:lineRule="atLeast"/>
        <w:ind w:left="0" w:leftChars="0" w:right="0" w:rightChars="0" w:firstLine="462" w:firstLineChars="220"/>
        <w:jc w:val="left"/>
        <w:rPr>
          <w:rFonts w:hint="eastAsia" w:ascii="Times New Roman" w:hAnsi="Times New Roman" w:cs="Times New Roman"/>
          <w:color w:val="auto"/>
          <w:sz w:val="21"/>
          <w:szCs w:val="21"/>
          <w:highlight w:val="none"/>
          <w:lang w:eastAsia="zh-CN"/>
        </w:rPr>
      </w:pPr>
      <w:r>
        <w:rPr>
          <w:rFonts w:hint="default" w:ascii="Times New Roman" w:hAnsi="Times New Roman" w:cs="Times New Roman" w:eastAsiaTheme="minorEastAsia"/>
          <w:color w:val="auto"/>
          <w:sz w:val="21"/>
          <w:szCs w:val="21"/>
          <w:highlight w:val="none"/>
        </w:rPr>
        <w:t xml:space="preserve">项目名称： </w:t>
      </w:r>
      <w:r>
        <w:rPr>
          <w:rFonts w:hint="eastAsia" w:ascii="Times New Roman" w:hAnsi="Times New Roman" w:cs="Times New Roman"/>
          <w:color w:val="auto"/>
          <w:sz w:val="21"/>
          <w:szCs w:val="21"/>
          <w:highlight w:val="none"/>
          <w:lang w:eastAsia="zh-CN"/>
        </w:rPr>
        <w:t>佛山市高明区人民法院执行案件集约化送达服务项目</w:t>
      </w:r>
    </w:p>
    <w:p w14:paraId="6F9862E7">
      <w:pPr>
        <w:keepLines w:val="0"/>
        <w:kinsoku/>
        <w:wordWrap/>
        <w:overflowPunct/>
        <w:topLinePunct w:val="0"/>
        <w:bidi w:val="0"/>
        <w:spacing w:beforeAutospacing="0" w:afterAutospacing="0" w:line="440" w:lineRule="atLeast"/>
        <w:ind w:left="0" w:leftChars="0" w:right="0" w:rightChars="0" w:firstLine="462" w:firstLineChars="220"/>
        <w:jc w:val="left"/>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 xml:space="preserve">项目编号： </w:t>
      </w:r>
      <w:r>
        <w:rPr>
          <w:rFonts w:hint="eastAsia" w:ascii="Times New Roman" w:hAnsi="Times New Roman" w:cs="Times New Roman"/>
          <w:color w:val="auto"/>
          <w:sz w:val="21"/>
          <w:szCs w:val="21"/>
          <w:highlight w:val="none"/>
          <w:lang w:val="en-GB" w:eastAsia="zh-CN"/>
        </w:rPr>
        <w:t>GDYD240563</w:t>
      </w:r>
      <w:r>
        <w:rPr>
          <w:rFonts w:hint="default" w:ascii="Times New Roman" w:hAnsi="Times New Roman" w:cs="Times New Roman" w:eastAsiaTheme="minorEastAsia"/>
          <w:color w:val="auto"/>
          <w:sz w:val="21"/>
          <w:szCs w:val="21"/>
          <w:highlight w:val="none"/>
          <w:lang w:val="en-GB"/>
        </w:rPr>
        <w:fldChar w:fldCharType="begin"/>
      </w:r>
      <w:r>
        <w:rPr>
          <w:rFonts w:hint="default" w:ascii="Times New Roman" w:hAnsi="Times New Roman" w:cs="Times New Roman" w:eastAsiaTheme="minorEastAsia"/>
          <w:color w:val="auto"/>
          <w:sz w:val="21"/>
          <w:szCs w:val="21"/>
          <w:highlight w:val="none"/>
          <w:lang w:val="en-GB"/>
        </w:rPr>
        <w:instrText xml:space="preserve"> DOCVARIABLE  项目名称  \* MERGEFORMAT </w:instrText>
      </w:r>
      <w:r>
        <w:rPr>
          <w:rFonts w:hint="default" w:ascii="Times New Roman" w:hAnsi="Times New Roman" w:cs="Times New Roman" w:eastAsiaTheme="minorEastAsia"/>
          <w:color w:val="auto"/>
          <w:sz w:val="21"/>
          <w:szCs w:val="21"/>
          <w:highlight w:val="none"/>
          <w:lang w:val="en-GB"/>
        </w:rPr>
        <w:fldChar w:fldCharType="separate"/>
      </w:r>
      <w:r>
        <w:rPr>
          <w:rFonts w:hint="default" w:ascii="Times New Roman" w:hAnsi="Times New Roman" w:cs="Times New Roman" w:eastAsiaTheme="minorEastAsia"/>
          <w:color w:val="auto"/>
          <w:sz w:val="21"/>
          <w:szCs w:val="21"/>
          <w:highlight w:val="none"/>
          <w:lang w:val="en-GB"/>
        </w:rPr>
        <w:fldChar w:fldCharType="end"/>
      </w:r>
    </w:p>
    <w:p w14:paraId="751B6F3B">
      <w:pPr>
        <w:keepLines w:val="0"/>
        <w:kinsoku/>
        <w:wordWrap/>
        <w:overflowPunct/>
        <w:topLinePunct w:val="0"/>
        <w:bidi w:val="0"/>
        <w:spacing w:beforeAutospacing="0" w:afterAutospacing="0" w:line="440" w:lineRule="atLeast"/>
        <w:ind w:left="0" w:leftChars="0" w:right="0" w:rightChars="0" w:firstLine="420" w:firstLineChars="200"/>
        <w:jc w:val="left"/>
        <w:rPr>
          <w:rFonts w:hint="eastAsia"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委任授权代表姓名：</w:t>
      </w:r>
      <w:r>
        <w:rPr>
          <w:rFonts w:hint="default" w:ascii="Times New Roman" w:hAnsi="Times New Roman" w:cs="Times New Roman" w:eastAsiaTheme="minorEastAsia"/>
          <w:color w:val="auto"/>
          <w:sz w:val="21"/>
          <w:szCs w:val="21"/>
          <w:highlight w:val="none"/>
          <w:u w:val="single"/>
        </w:rPr>
        <w:t xml:space="preserve">   （印刷体）</w:t>
      </w:r>
      <w:r>
        <w:rPr>
          <w:rFonts w:hint="eastAsia" w:ascii="Times New Roman" w:hAnsi="Times New Roman" w:cs="Times New Roman"/>
          <w:color w:val="auto"/>
          <w:sz w:val="21"/>
          <w:szCs w:val="21"/>
          <w:highlight w:val="none"/>
          <w:u w:val="single"/>
          <w:lang w:val="en-US" w:eastAsia="zh-CN"/>
        </w:rPr>
        <w:t xml:space="preserve"> </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，身份证号码：</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none"/>
          <w:lang w:eastAsia="zh-CN"/>
        </w:rPr>
        <w:t>；</w:t>
      </w:r>
    </w:p>
    <w:p w14:paraId="7CDBA74A">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联系电话（手机）：</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，现职务：</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 xml:space="preserve">； </w:t>
      </w:r>
    </w:p>
    <w:p w14:paraId="1E155DEA">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授权权限：全权代表本单位参与上述项目的投标、</w:t>
      </w:r>
      <w:r>
        <w:rPr>
          <w:rFonts w:hint="default" w:ascii="Times New Roman" w:hAnsi="Times New Roman" w:cs="Times New Roman" w:eastAsiaTheme="minorEastAsia"/>
          <w:color w:val="auto"/>
          <w:sz w:val="21"/>
          <w:szCs w:val="21"/>
          <w:highlight w:val="none"/>
          <w:lang w:val="en-GB"/>
        </w:rPr>
        <w:t>递交响应文件、出席开标全程、响应评委会临时召唤而出席评标现场；按照</w:t>
      </w:r>
      <w:r>
        <w:rPr>
          <w:rFonts w:hint="eastAsia" w:ascii="Times New Roman" w:hAnsi="Times New Roman" w:cs="Times New Roman"/>
          <w:color w:val="auto"/>
          <w:sz w:val="21"/>
          <w:szCs w:val="21"/>
          <w:highlight w:val="none"/>
          <w:lang w:val="en-GB" w:eastAsia="zh-CN"/>
        </w:rPr>
        <w:t>采购人</w:t>
      </w:r>
      <w:r>
        <w:rPr>
          <w:rFonts w:hint="default" w:ascii="Times New Roman" w:hAnsi="Times New Roman" w:cs="Times New Roman" w:eastAsiaTheme="minorEastAsia"/>
          <w:color w:val="auto"/>
          <w:sz w:val="21"/>
          <w:szCs w:val="21"/>
          <w:highlight w:val="none"/>
          <w:lang w:val="en-GB"/>
        </w:rPr>
        <w:t>和评委会的要求现场处理投标相关事宜；</w:t>
      </w:r>
      <w:r>
        <w:rPr>
          <w:rFonts w:hint="default" w:ascii="Times New Roman" w:hAnsi="Times New Roman" w:cs="Times New Roman" w:eastAsiaTheme="minorEastAsia"/>
          <w:color w:val="auto"/>
          <w:sz w:val="21"/>
          <w:szCs w:val="21"/>
          <w:highlight w:val="none"/>
        </w:rPr>
        <w:t>负责提供与签署确认一切文书资料，以及向贵方递交的任何补充承诺。</w:t>
      </w:r>
    </w:p>
    <w:p w14:paraId="66BC3BC2">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有效期限：与本项目磋商文件要求的投标有效期相同，自本单位盖章之日起生效。</w:t>
      </w:r>
    </w:p>
    <w:p w14:paraId="652FF076">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特此授权证明。</w:t>
      </w:r>
    </w:p>
    <w:p w14:paraId="260A4CB1">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lang w:val="en-GB"/>
        </w:rPr>
      </w:pPr>
      <w:r>
        <w:rPr>
          <w:rFonts w:hint="eastAsia" w:ascii="Times New Roman" w:hAnsi="Times New Roman" w:cs="Times New Roman"/>
          <w:color w:val="auto"/>
          <w:sz w:val="21"/>
          <w:szCs w:val="21"/>
          <w:highlight w:val="none"/>
          <w:lang w:val="en-GB" w:eastAsia="zh-CN"/>
        </w:rPr>
        <w:t>供应商</w:t>
      </w:r>
      <w:r>
        <w:rPr>
          <w:rFonts w:hint="default" w:ascii="Times New Roman" w:hAnsi="Times New Roman" w:cs="Times New Roman" w:eastAsiaTheme="minorEastAsia"/>
          <w:color w:val="auto"/>
          <w:sz w:val="21"/>
          <w:szCs w:val="21"/>
          <w:highlight w:val="none"/>
          <w:lang w:val="en-GB"/>
        </w:rPr>
        <w:t>名称：</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u w:val="single"/>
        </w:rPr>
        <w:t>（</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全称）</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753F8650">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法定代表人（或事业单位负责人）：</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lang w:val="en-GB"/>
        </w:rPr>
        <w:t>（亲笔签名）</w:t>
      </w:r>
    </w:p>
    <w:p w14:paraId="56FB9EC7">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职    务：</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lang w:val="en-GB"/>
        </w:rPr>
        <w:t>；联系电话：</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lang w:val="en-GB"/>
        </w:rPr>
        <w:t>； 传真号码：</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lang w:val="en-GB"/>
        </w:rPr>
        <w:t>；</w:t>
      </w:r>
    </w:p>
    <w:p w14:paraId="6BA320A1">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生 效 日 期 ：</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lang w:val="en-GB"/>
        </w:rPr>
        <w:t>年</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lang w:val="en-GB"/>
        </w:rPr>
        <w:t>月</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lang w:val="en-GB"/>
        </w:rPr>
        <w:t>日。</w:t>
      </w:r>
    </w:p>
    <w:p w14:paraId="1EF5293F">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说明：</w:t>
      </w:r>
    </w:p>
    <w:p w14:paraId="2E111721">
      <w:pPr>
        <w:keepLines w:val="0"/>
        <w:kinsoku/>
        <w:wordWrap/>
        <w:overflowPunct/>
        <w:topLinePunct w:val="0"/>
        <w:bidi w:val="0"/>
        <w:spacing w:beforeAutospacing="0" w:afterAutospacing="0" w:line="440" w:lineRule="atLeast"/>
        <w:ind w:left="315" w:leftChars="0" w:right="0" w:rightChars="0" w:hanging="315" w:hangingChars="150"/>
        <w:jc w:val="left"/>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1、</w:t>
      </w:r>
      <w:r>
        <w:rPr>
          <w:rFonts w:hint="default" w:ascii="Times New Roman" w:hAnsi="Times New Roman" w:cs="Times New Roman" w:eastAsiaTheme="minorEastAsia"/>
          <w:color w:val="auto"/>
          <w:sz w:val="21"/>
          <w:szCs w:val="21"/>
          <w:highlight w:val="none"/>
          <w:u w:val="single"/>
          <w:lang w:val="en-GB"/>
        </w:rPr>
        <w:t>授权代表人在递交投标文件时，须向采购代理机构人员出示此份证明书的原件，否则，采购代理机构将拒收其投标文件。</w:t>
      </w:r>
    </w:p>
    <w:p w14:paraId="616250B4">
      <w:pPr>
        <w:keepLines w:val="0"/>
        <w:kinsoku/>
        <w:wordWrap/>
        <w:overflowPunct/>
        <w:topLinePunct w:val="0"/>
        <w:bidi w:val="0"/>
        <w:spacing w:beforeAutospacing="0" w:afterAutospacing="0" w:line="440" w:lineRule="atLeast"/>
        <w:ind w:left="315" w:leftChars="0" w:right="0" w:rightChars="0" w:hanging="315" w:hangingChars="150"/>
        <w:jc w:val="left"/>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2、本授权书内容不得擅自删改。如法定代表人（或事业单位负责人）亲临现场参与投标、决策、签字的，则不需此</w:t>
      </w:r>
      <w:r>
        <w:rPr>
          <w:rFonts w:hint="eastAsia" w:ascii="Times New Roman" w:hAnsi="Times New Roman" w:cs="Times New Roman"/>
          <w:color w:val="auto"/>
          <w:sz w:val="21"/>
          <w:szCs w:val="21"/>
          <w:highlight w:val="none"/>
          <w:lang w:val="en-GB" w:eastAsia="zh-CN"/>
        </w:rPr>
        <w:t>授权书</w:t>
      </w:r>
      <w:r>
        <w:rPr>
          <w:rFonts w:hint="default" w:ascii="Times New Roman" w:hAnsi="Times New Roman" w:cs="Times New Roman" w:eastAsiaTheme="minorEastAsia"/>
          <w:color w:val="auto"/>
          <w:sz w:val="21"/>
          <w:szCs w:val="21"/>
          <w:highlight w:val="none"/>
          <w:lang w:val="en-GB"/>
        </w:rPr>
        <w:t>。</w:t>
      </w:r>
    </w:p>
    <w:p w14:paraId="042752B4">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
          <w:color w:val="auto"/>
          <w:sz w:val="21"/>
          <w:szCs w:val="21"/>
          <w:highlight w:val="none"/>
          <w:lang w:val="en-GB"/>
        </w:rPr>
      </w:pPr>
      <w:r>
        <w:rPr>
          <w:rFonts w:hint="default" w:ascii="Times New Roman" w:hAnsi="Times New Roman" w:cs="Times New Roman" w:eastAsiaTheme="minorEastAsia"/>
          <w:b/>
          <w:color w:val="auto"/>
          <w:sz w:val="21"/>
          <w:szCs w:val="21"/>
          <w:highlight w:val="none"/>
          <w:lang w:val="en-GB"/>
        </w:rPr>
        <w:t>附：被授权人的身份证复印件：</w:t>
      </w:r>
    </w:p>
    <w:tbl>
      <w:tblPr>
        <w:tblStyle w:val="18"/>
        <w:tblW w:w="0" w:type="auto"/>
        <w:tblInd w:w="0" w:type="dxa"/>
        <w:tblLayout w:type="fixed"/>
        <w:tblCellMar>
          <w:top w:w="0" w:type="dxa"/>
          <w:left w:w="108" w:type="dxa"/>
          <w:bottom w:w="0" w:type="dxa"/>
          <w:right w:w="108" w:type="dxa"/>
        </w:tblCellMar>
      </w:tblPr>
      <w:tblGrid>
        <w:gridCol w:w="9396"/>
      </w:tblGrid>
      <w:tr w14:paraId="38CEED82">
        <w:tblPrEx>
          <w:tblCellMar>
            <w:top w:w="0" w:type="dxa"/>
            <w:left w:w="108" w:type="dxa"/>
            <w:bottom w:w="0" w:type="dxa"/>
            <w:right w:w="108" w:type="dxa"/>
          </w:tblCellMar>
        </w:tblPrEx>
        <w:trPr>
          <w:trHeight w:val="2794" w:hRule="atLeast"/>
        </w:trPr>
        <w:tc>
          <w:tcPr>
            <w:tcW w:w="9396" w:type="dxa"/>
            <w:noWrap w:val="0"/>
            <w:vAlign w:val="center"/>
          </w:tcPr>
          <w:p w14:paraId="713388E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此处粘贴全权代表（被授权人）的身份证复印件（双面）或 直接扫描到此张纸上</w:t>
            </w:r>
          </w:p>
          <w:p w14:paraId="1FC985BE">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注：若页面不够位置的，可另行附页，但须紧接此页</w:t>
            </w:r>
          </w:p>
        </w:tc>
      </w:tr>
    </w:tbl>
    <w:p w14:paraId="4AF66C6A">
      <w:pPr>
        <w:keepLines w:val="0"/>
        <w:pageBreakBefore/>
        <w:numPr>
          <w:ilvl w:val="0"/>
          <w:numId w:val="7"/>
        </w:numPr>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167" w:name="_Toc2680"/>
      <w:r>
        <w:rPr>
          <w:rFonts w:hint="default" w:ascii="Times New Roman" w:hAnsi="Times New Roman" w:cs="Times New Roman" w:eastAsiaTheme="minorEastAsia"/>
          <w:b/>
          <w:bCs/>
          <w:color w:val="auto"/>
          <w:sz w:val="36"/>
          <w:szCs w:val="36"/>
          <w:highlight w:val="none"/>
        </w:rPr>
        <w:t>资格性证明材料</w:t>
      </w:r>
      <w:bookmarkEnd w:id="143"/>
      <w:bookmarkEnd w:id="144"/>
      <w:bookmarkEnd w:id="145"/>
      <w:bookmarkEnd w:id="146"/>
      <w:bookmarkEnd w:id="167"/>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2719"/>
        <w:gridCol w:w="6232"/>
      </w:tblGrid>
      <w:tr w14:paraId="74AD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449" w:type="dxa"/>
            <w:shd w:val="clear" w:color="auto" w:fill="F3F3F3"/>
            <w:noWrap w:val="0"/>
            <w:vAlign w:val="center"/>
          </w:tcPr>
          <w:p w14:paraId="1D760BC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2719" w:type="dxa"/>
            <w:tcBorders>
              <w:right w:val="single" w:color="auto" w:sz="4" w:space="0"/>
            </w:tcBorders>
            <w:shd w:val="clear" w:color="auto" w:fill="F3F3F3"/>
            <w:noWrap w:val="0"/>
            <w:vAlign w:val="center"/>
          </w:tcPr>
          <w:p w14:paraId="7779D244">
            <w:pPr>
              <w:pStyle w:val="31"/>
              <w:keepNext w:val="0"/>
              <w:keepLines w:val="0"/>
              <w:kinsoku/>
              <w:wordWrap/>
              <w:overflowPunct/>
              <w:topLinePunct w:val="0"/>
              <w:bidi w:val="0"/>
              <w:adjustRightInd/>
              <w:spacing w:before="0" w:beforeLines="0" w:beforeAutospacing="0" w:after="0" w:afterLines="0" w:afterAutospacing="0" w:line="440" w:lineRule="atLeast"/>
              <w:ind w:left="0" w:leftChars="0" w:right="0" w:rightChars="0"/>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文件名称</w:t>
            </w:r>
          </w:p>
        </w:tc>
        <w:tc>
          <w:tcPr>
            <w:tcW w:w="6232" w:type="dxa"/>
            <w:tcBorders>
              <w:left w:val="single" w:color="auto" w:sz="4" w:space="0"/>
            </w:tcBorders>
            <w:shd w:val="clear" w:color="auto" w:fill="F3F3F3"/>
            <w:noWrap w:val="0"/>
            <w:vAlign w:val="center"/>
          </w:tcPr>
          <w:p w14:paraId="630A87C0">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文件内容要求</w:t>
            </w:r>
          </w:p>
        </w:tc>
      </w:tr>
      <w:tr w14:paraId="00C7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exact"/>
          <w:jc w:val="center"/>
        </w:trPr>
        <w:tc>
          <w:tcPr>
            <w:tcW w:w="9400" w:type="dxa"/>
            <w:gridSpan w:val="3"/>
            <w:noWrap w:val="0"/>
            <w:vAlign w:val="center"/>
          </w:tcPr>
          <w:p w14:paraId="1078F172">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一、本表为《中华人民共和国政府采购法》第二十二条规定的条件所对应的证明材料。《中华人民共和国政府采购法实施条例》第十七条规定：参加政府采购活动的供应商应当具备政府采购法第二十二条第一款规定的条件，提供下列材料：</w:t>
            </w:r>
          </w:p>
        </w:tc>
      </w:tr>
      <w:tr w14:paraId="50A1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noWrap w:val="0"/>
            <w:vAlign w:val="center"/>
          </w:tcPr>
          <w:p w14:paraId="4E3F013C">
            <w:pPr>
              <w:keepLines w:val="0"/>
              <w:numPr>
                <w:ilvl w:val="0"/>
                <w:numId w:val="8"/>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2719" w:type="dxa"/>
            <w:tcBorders>
              <w:right w:val="single" w:color="auto" w:sz="4" w:space="0"/>
            </w:tcBorders>
            <w:noWrap w:val="0"/>
            <w:vAlign w:val="center"/>
          </w:tcPr>
          <w:p w14:paraId="2B700CB4">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独立法人或者其他组织的营业执照副本等证明文件，自然人的身份证明</w:t>
            </w:r>
          </w:p>
        </w:tc>
        <w:tc>
          <w:tcPr>
            <w:tcW w:w="6232" w:type="dxa"/>
            <w:tcBorders>
              <w:left w:val="single" w:color="auto" w:sz="4" w:space="0"/>
            </w:tcBorders>
            <w:noWrap w:val="0"/>
            <w:vAlign w:val="center"/>
          </w:tcPr>
          <w:p w14:paraId="5CD59961">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《营业执照副本》</w:t>
            </w:r>
          </w:p>
          <w:p w14:paraId="73895A09">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注：本项目不接受自然人参与。</w:t>
            </w:r>
          </w:p>
        </w:tc>
      </w:tr>
      <w:tr w14:paraId="7267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noWrap w:val="0"/>
            <w:vAlign w:val="center"/>
          </w:tcPr>
          <w:p w14:paraId="5C316E3F">
            <w:pPr>
              <w:keepLines w:val="0"/>
              <w:numPr>
                <w:ilvl w:val="0"/>
                <w:numId w:val="8"/>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2719" w:type="dxa"/>
            <w:tcBorders>
              <w:right w:val="single" w:color="auto" w:sz="4" w:space="0"/>
            </w:tcBorders>
            <w:noWrap w:val="0"/>
            <w:vAlign w:val="center"/>
          </w:tcPr>
          <w:p w14:paraId="68D87552">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有依法缴纳税收和社会保障资金的良好记录</w:t>
            </w:r>
          </w:p>
        </w:tc>
        <w:tc>
          <w:tcPr>
            <w:tcW w:w="6232" w:type="dxa"/>
            <w:tcBorders>
              <w:left w:val="single" w:color="auto" w:sz="4" w:space="0"/>
            </w:tcBorders>
            <w:noWrap w:val="0"/>
            <w:vAlign w:val="center"/>
          </w:tcPr>
          <w:p w14:paraId="251AA974">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《有依法缴纳税收和社会保障资金的良好记录》</w:t>
            </w:r>
          </w:p>
          <w:p w14:paraId="529B6B68">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注：按后文格式填写，提供相关材料。</w:t>
            </w:r>
          </w:p>
        </w:tc>
      </w:tr>
      <w:tr w14:paraId="1F0B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noWrap w:val="0"/>
            <w:vAlign w:val="center"/>
          </w:tcPr>
          <w:p w14:paraId="3AE9ABA5">
            <w:pPr>
              <w:keepLines w:val="0"/>
              <w:numPr>
                <w:ilvl w:val="0"/>
                <w:numId w:val="8"/>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2719" w:type="dxa"/>
            <w:tcBorders>
              <w:right w:val="single" w:color="auto" w:sz="4" w:space="0"/>
            </w:tcBorders>
            <w:noWrap w:val="0"/>
            <w:vAlign w:val="center"/>
          </w:tcPr>
          <w:p w14:paraId="50E328FD">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具有良好的商业信誉和健全的财务会计制度</w:t>
            </w:r>
          </w:p>
        </w:tc>
        <w:tc>
          <w:tcPr>
            <w:tcW w:w="6232" w:type="dxa"/>
            <w:tcBorders>
              <w:left w:val="single" w:color="auto" w:sz="4" w:space="0"/>
            </w:tcBorders>
            <w:noWrap w:val="0"/>
            <w:vAlign w:val="center"/>
          </w:tcPr>
          <w:p w14:paraId="295A2708">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《具有良好的商业信誉和健全的财务会计制度》</w:t>
            </w:r>
          </w:p>
          <w:p w14:paraId="10FA8211">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注：按后文格式填写，提供相关资料。</w:t>
            </w:r>
          </w:p>
        </w:tc>
      </w:tr>
      <w:tr w14:paraId="0FDD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exact"/>
          <w:jc w:val="center"/>
        </w:trPr>
        <w:tc>
          <w:tcPr>
            <w:tcW w:w="449" w:type="dxa"/>
            <w:noWrap w:val="0"/>
            <w:vAlign w:val="center"/>
          </w:tcPr>
          <w:p w14:paraId="72B43BDC">
            <w:pPr>
              <w:keepLines w:val="0"/>
              <w:numPr>
                <w:ilvl w:val="0"/>
                <w:numId w:val="8"/>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2719" w:type="dxa"/>
            <w:tcBorders>
              <w:right w:val="single" w:color="auto" w:sz="4" w:space="0"/>
            </w:tcBorders>
            <w:noWrap w:val="0"/>
            <w:vAlign w:val="center"/>
          </w:tcPr>
          <w:p w14:paraId="2F858DF4">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具有履行合同所必需的设备和专业技术能力</w:t>
            </w:r>
          </w:p>
        </w:tc>
        <w:tc>
          <w:tcPr>
            <w:tcW w:w="6232" w:type="dxa"/>
            <w:tcBorders>
              <w:left w:val="single" w:color="auto" w:sz="4" w:space="0"/>
            </w:tcBorders>
            <w:noWrap w:val="0"/>
            <w:vAlign w:val="center"/>
          </w:tcPr>
          <w:p w14:paraId="4382BA79">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《具有履行合同所必需的设备和专业技术能力的承诺函》</w:t>
            </w:r>
          </w:p>
          <w:p w14:paraId="5AFFD343">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注：按后文格式填写，提供原件。</w:t>
            </w:r>
          </w:p>
        </w:tc>
      </w:tr>
      <w:tr w14:paraId="4679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exact"/>
          <w:jc w:val="center"/>
        </w:trPr>
        <w:tc>
          <w:tcPr>
            <w:tcW w:w="449" w:type="dxa"/>
            <w:noWrap w:val="0"/>
            <w:vAlign w:val="center"/>
          </w:tcPr>
          <w:p w14:paraId="0C66BBED">
            <w:pPr>
              <w:keepLines w:val="0"/>
              <w:numPr>
                <w:ilvl w:val="0"/>
                <w:numId w:val="8"/>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2719" w:type="dxa"/>
            <w:tcBorders>
              <w:right w:val="single" w:color="auto" w:sz="4" w:space="0"/>
            </w:tcBorders>
            <w:noWrap w:val="0"/>
            <w:vAlign w:val="center"/>
          </w:tcPr>
          <w:p w14:paraId="78C6829E">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参与采购活动前三年内在经营活动中没有重大违法记录</w:t>
            </w:r>
          </w:p>
        </w:tc>
        <w:tc>
          <w:tcPr>
            <w:tcW w:w="6232" w:type="dxa"/>
            <w:tcBorders>
              <w:left w:val="single" w:color="auto" w:sz="4" w:space="0"/>
            </w:tcBorders>
            <w:noWrap w:val="0"/>
            <w:vAlign w:val="center"/>
          </w:tcPr>
          <w:p w14:paraId="4DDC73F9">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《参与采购活动前三年内在经营活动中没有重大违法记录的书面声明函》</w:t>
            </w:r>
          </w:p>
          <w:p w14:paraId="0F242B45">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注：按后文格式填写，提供原件。</w:t>
            </w:r>
          </w:p>
        </w:tc>
      </w:tr>
      <w:tr w14:paraId="639F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exact"/>
          <w:jc w:val="center"/>
        </w:trPr>
        <w:tc>
          <w:tcPr>
            <w:tcW w:w="449" w:type="dxa"/>
            <w:noWrap w:val="0"/>
            <w:vAlign w:val="center"/>
          </w:tcPr>
          <w:p w14:paraId="0705AD28">
            <w:pPr>
              <w:keepLines w:val="0"/>
              <w:numPr>
                <w:ilvl w:val="0"/>
                <w:numId w:val="8"/>
              </w:numPr>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2719" w:type="dxa"/>
            <w:tcBorders>
              <w:right w:val="single" w:color="auto" w:sz="4" w:space="0"/>
            </w:tcBorders>
            <w:noWrap w:val="0"/>
            <w:vAlign w:val="center"/>
          </w:tcPr>
          <w:p w14:paraId="08DDE1DF">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《中小企业声明函》</w:t>
            </w:r>
          </w:p>
        </w:tc>
        <w:tc>
          <w:tcPr>
            <w:tcW w:w="6232" w:type="dxa"/>
            <w:tcBorders>
              <w:left w:val="single" w:color="auto" w:sz="4" w:space="0"/>
            </w:tcBorders>
            <w:noWrap w:val="0"/>
            <w:vAlign w:val="center"/>
          </w:tcPr>
          <w:p w14:paraId="5E7AA8AF">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按对应格式文件签署、盖章（如有）</w:t>
            </w:r>
          </w:p>
        </w:tc>
      </w:tr>
      <w:tr w14:paraId="3F68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9400" w:type="dxa"/>
            <w:gridSpan w:val="3"/>
            <w:noWrap w:val="0"/>
            <w:vAlign w:val="center"/>
          </w:tcPr>
          <w:p w14:paraId="5672CAAB">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二、其他证明材料</w:t>
            </w:r>
          </w:p>
        </w:tc>
      </w:tr>
      <w:tr w14:paraId="41CC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exact"/>
          <w:jc w:val="center"/>
        </w:trPr>
        <w:tc>
          <w:tcPr>
            <w:tcW w:w="449" w:type="dxa"/>
            <w:noWrap w:val="0"/>
            <w:vAlign w:val="center"/>
          </w:tcPr>
          <w:p w14:paraId="0AFB9CAB">
            <w:pPr>
              <w:keepLines w:val="0"/>
              <w:tabs>
                <w:tab w:val="left" w:pos="180"/>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2719" w:type="dxa"/>
            <w:tcBorders>
              <w:right w:val="single" w:color="auto" w:sz="4" w:space="0"/>
            </w:tcBorders>
            <w:noWrap w:val="0"/>
            <w:vAlign w:val="center"/>
          </w:tcPr>
          <w:p w14:paraId="6F05ABE5">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如有</w:t>
            </w:r>
          </w:p>
        </w:tc>
        <w:tc>
          <w:tcPr>
            <w:tcW w:w="6232" w:type="dxa"/>
            <w:tcBorders>
              <w:left w:val="single" w:color="auto" w:sz="4" w:space="0"/>
            </w:tcBorders>
            <w:noWrap w:val="0"/>
            <w:vAlign w:val="center"/>
          </w:tcPr>
          <w:p w14:paraId="5A4E273E">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p>
        </w:tc>
      </w:tr>
      <w:tr w14:paraId="4997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exact"/>
          <w:jc w:val="center"/>
        </w:trPr>
        <w:tc>
          <w:tcPr>
            <w:tcW w:w="9400" w:type="dxa"/>
            <w:gridSpan w:val="3"/>
            <w:noWrap w:val="0"/>
            <w:vAlign w:val="center"/>
          </w:tcPr>
          <w:p w14:paraId="40CD0A9D">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注：以上资料内容若注明原件的须提供原件，否则提供复印件或网络打印页</w:t>
            </w:r>
          </w:p>
        </w:tc>
      </w:tr>
    </w:tbl>
    <w:p w14:paraId="51FD2311">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u w:val="double"/>
        </w:rPr>
      </w:pPr>
    </w:p>
    <w:p w14:paraId="1A77AB0C">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：在本表之后按顺序提交表格中要求的证明资料。</w:t>
      </w:r>
    </w:p>
    <w:p w14:paraId="02D26AA2">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p>
    <w:p w14:paraId="0FD91A8B">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p>
    <w:p w14:paraId="7F400352">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p>
    <w:p w14:paraId="0ACAA5C0">
      <w:pPr>
        <w:keepLines w:val="0"/>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color w:val="auto"/>
          <w:sz w:val="36"/>
          <w:szCs w:val="36"/>
          <w:highlight w:val="none"/>
        </w:rPr>
      </w:pPr>
      <w:bookmarkStart w:id="168" w:name="_Toc13912"/>
      <w:bookmarkStart w:id="169" w:name="_Toc8783"/>
      <w:r>
        <w:rPr>
          <w:rFonts w:hint="default" w:ascii="Times New Roman" w:hAnsi="Times New Roman" w:cs="Times New Roman" w:eastAsiaTheme="minorEastAsia"/>
          <w:b/>
          <w:bCs/>
          <w:color w:val="auto"/>
          <w:sz w:val="36"/>
          <w:szCs w:val="36"/>
          <w:highlight w:val="none"/>
        </w:rPr>
        <w:t>1.5营业执照副本</w:t>
      </w:r>
      <w:bookmarkEnd w:id="168"/>
      <w:bookmarkEnd w:id="169"/>
    </w:p>
    <w:p w14:paraId="62AEB3E1">
      <w:pPr>
        <w:pStyle w:val="2"/>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p>
    <w:p w14:paraId="09907FAE">
      <w:pPr>
        <w:pStyle w:val="2"/>
        <w:keepLines w:val="0"/>
        <w:kinsoku/>
        <w:wordWrap/>
        <w:overflowPunct/>
        <w:topLinePunct w:val="0"/>
        <w:bidi w:val="0"/>
        <w:spacing w:beforeAutospacing="0" w:afterAutospacing="0" w:line="440" w:lineRule="atLeast"/>
        <w:ind w:left="0" w:leftChars="0" w:right="0" w:rightChars="0" w:firstLine="420" w:firstLineChars="200"/>
        <w:rPr>
          <w:rFonts w:hint="eastAsia" w:ascii="Times New Roman" w:hAnsi="Times New Roman" w:cs="Times New Roman"/>
          <w:color w:val="auto"/>
          <w:sz w:val="21"/>
          <w:szCs w:val="21"/>
          <w:highlight w:val="none"/>
          <w:lang w:eastAsia="zh-CN"/>
        </w:rPr>
      </w:pPr>
      <w:r>
        <w:rPr>
          <w:rFonts w:hint="default" w:ascii="Times New Roman" w:hAnsi="Times New Roman" w:cs="Times New Roman" w:eastAsiaTheme="minorEastAsia"/>
          <w:color w:val="auto"/>
          <w:sz w:val="21"/>
          <w:szCs w:val="21"/>
          <w:highlight w:val="none"/>
        </w:rPr>
        <w:t>提供在中华人民共和国境内注册的独立法人或其他组织的营业执照或事业单位法人证书或社会团体法人登记证书复印件并加盖供应商公章</w:t>
      </w:r>
      <w:r>
        <w:rPr>
          <w:rFonts w:hint="eastAsia" w:ascii="Times New Roman" w:hAnsi="Times New Roman" w:cs="Times New Roman"/>
          <w:color w:val="auto"/>
          <w:sz w:val="21"/>
          <w:szCs w:val="21"/>
          <w:highlight w:val="none"/>
          <w:lang w:eastAsia="zh-CN"/>
        </w:rPr>
        <w:t>。</w:t>
      </w:r>
    </w:p>
    <w:p w14:paraId="7FB87616">
      <w:pPr>
        <w:pStyle w:val="15"/>
        <w:keepLines w:val="0"/>
        <w:kinsoku/>
        <w:wordWrap/>
        <w:overflowPunct/>
        <w:topLinePunct w:val="0"/>
        <w:bidi w:val="0"/>
        <w:spacing w:beforeAutospacing="0" w:after="0" w:afterAutospacing="0" w:line="440" w:lineRule="atLeast"/>
        <w:ind w:left="0" w:leftChars="0" w:right="0" w:rightChars="0"/>
        <w:rPr>
          <w:rFonts w:hint="eastAsia"/>
          <w:color w:val="auto"/>
          <w:highlight w:val="none"/>
          <w:lang w:eastAsia="zh-CN"/>
        </w:rPr>
      </w:pPr>
    </w:p>
    <w:p w14:paraId="4B27487A">
      <w:pPr>
        <w:pStyle w:val="2"/>
        <w:keepLines w:val="0"/>
        <w:kinsoku/>
        <w:wordWrap/>
        <w:overflowPunct/>
        <w:topLinePunct w:val="0"/>
        <w:bidi w:val="0"/>
        <w:spacing w:beforeAutospacing="0" w:afterAutospacing="0" w:line="440" w:lineRule="atLeast"/>
        <w:ind w:left="0" w:leftChars="0" w:right="0" w:rightChars="0" w:firstLine="723" w:firstLineChars="200"/>
        <w:rPr>
          <w:rFonts w:hint="default" w:ascii="Times New Roman" w:hAnsi="Times New Roman" w:cs="Times New Roman" w:eastAsiaTheme="minorEastAsia"/>
          <w:b/>
          <w:bCs/>
          <w:color w:val="auto"/>
          <w:sz w:val="36"/>
          <w:szCs w:val="36"/>
          <w:highlight w:val="none"/>
        </w:rPr>
      </w:pPr>
      <w:bookmarkStart w:id="170" w:name="_Toc12605"/>
      <w:bookmarkStart w:id="171" w:name="_Toc684"/>
      <w:r>
        <w:rPr>
          <w:rFonts w:hint="default" w:ascii="Times New Roman" w:hAnsi="Times New Roman" w:cs="Times New Roman" w:eastAsiaTheme="minorEastAsia"/>
          <w:b/>
          <w:bCs/>
          <w:color w:val="auto"/>
          <w:sz w:val="36"/>
          <w:szCs w:val="36"/>
          <w:highlight w:val="none"/>
        </w:rPr>
        <w:t>1.6有依法缴纳税收和社会保障资金的良好记录</w:t>
      </w:r>
      <w:bookmarkEnd w:id="170"/>
    </w:p>
    <w:p w14:paraId="6FF680E4">
      <w:pPr>
        <w:pStyle w:val="33"/>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提供以下两种证明材料之一：1.提供《政府采购供应商资格信用承诺函》，具体要求详见投标文件格式；2.提供投标截止日前6个月内任意1个月依法缴纳税收和社会保障资金的相关材料。如依法免税或不需要缴纳社会保障资金的，提供相应证明材料。</w:t>
      </w:r>
    </w:p>
    <w:p w14:paraId="2AC07722">
      <w:pPr>
        <w:pStyle w:val="33"/>
        <w:keepLines w:val="0"/>
        <w:kinsoku/>
        <w:wordWrap/>
        <w:overflowPunct/>
        <w:topLinePunct w:val="0"/>
        <w:bidi w:val="0"/>
        <w:spacing w:beforeAutospacing="0" w:afterAutospacing="0" w:line="440" w:lineRule="atLeast"/>
        <w:ind w:left="0" w:leftChars="0" w:right="0" w:rightChars="0" w:firstLine="0" w:firstLineChars="0"/>
        <w:rPr>
          <w:rFonts w:hint="default" w:ascii="Times New Roman" w:hAnsi="Times New Roman" w:cs="Times New Roman" w:eastAsiaTheme="minorEastAsia"/>
          <w:color w:val="auto"/>
          <w:highlight w:val="none"/>
        </w:rPr>
      </w:pPr>
    </w:p>
    <w:p w14:paraId="74AAF940">
      <w:pPr>
        <w:keepLines w:val="0"/>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172" w:name="_Toc21804"/>
      <w:r>
        <w:rPr>
          <w:rFonts w:hint="default" w:ascii="Times New Roman" w:hAnsi="Times New Roman" w:cs="Times New Roman" w:eastAsiaTheme="minorEastAsia"/>
          <w:b/>
          <w:bCs/>
          <w:color w:val="auto"/>
          <w:sz w:val="36"/>
          <w:szCs w:val="36"/>
          <w:highlight w:val="none"/>
        </w:rPr>
        <w:t>1.7具有良好的商业信誉和健全的财务会计制度</w:t>
      </w:r>
      <w:bookmarkEnd w:id="172"/>
    </w:p>
    <w:p w14:paraId="1FA59115">
      <w:pPr>
        <w:pStyle w:val="33"/>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提供以下三种证明材料之一：1.提供《政府采购供应商资格信用承诺函》，具体要求详见</w:t>
      </w:r>
      <w:r>
        <w:rPr>
          <w:rFonts w:hint="default" w:ascii="Times New Roman" w:hAnsi="Times New Roman" w:cs="Times New Roman" w:eastAsiaTheme="minorEastAsia"/>
          <w:color w:val="auto"/>
          <w:sz w:val="21"/>
          <w:szCs w:val="21"/>
          <w:highlight w:val="none"/>
          <w:lang w:eastAsia="zh-CN"/>
        </w:rPr>
        <w:t>投标文件格式</w:t>
      </w:r>
      <w:r>
        <w:rPr>
          <w:rFonts w:hint="default" w:ascii="Times New Roman" w:hAnsi="Times New Roman" w:cs="Times New Roman" w:eastAsiaTheme="minorEastAsia"/>
          <w:color w:val="auto"/>
          <w:sz w:val="21"/>
          <w:szCs w:val="21"/>
          <w:highlight w:val="none"/>
        </w:rPr>
        <w:t>；2.提供2022或2023年度财务状况报告，财务状况报告须由第三方会计师事务所出具，能清晰显示第三方会计师事务所的印章，并能反映审计结论；3.提供投标截止日前6个月内基本开户银行出具的资信证明，并同时提交开户（基本户）许可证扫描件，开户（基本户）许可证已取消的，应提供能体现基本开户银行的“基本存款账户编号”的相关证明。</w:t>
      </w:r>
    </w:p>
    <w:p w14:paraId="6318DE8C">
      <w:pPr>
        <w:pStyle w:val="33"/>
        <w:keepLines w:val="0"/>
        <w:kinsoku/>
        <w:wordWrap/>
        <w:overflowPunct/>
        <w:topLinePunct w:val="0"/>
        <w:bidi w:val="0"/>
        <w:spacing w:beforeAutospacing="0" w:afterAutospacing="0" w:line="440" w:lineRule="atLeast"/>
        <w:ind w:left="0" w:leftChars="0" w:right="0" w:rightChars="0" w:firstLine="420"/>
        <w:rPr>
          <w:rFonts w:hint="default" w:ascii="Times New Roman" w:hAnsi="Times New Roman" w:cs="Times New Roman" w:eastAsiaTheme="minorEastAsia"/>
          <w:color w:val="auto"/>
          <w:sz w:val="24"/>
          <w:highlight w:val="none"/>
        </w:rPr>
      </w:pPr>
    </w:p>
    <w:p w14:paraId="69A29218">
      <w:pPr>
        <w:keepLines w:val="0"/>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173" w:name="_Toc15097"/>
      <w:r>
        <w:rPr>
          <w:rFonts w:hint="default" w:ascii="Times New Roman" w:hAnsi="Times New Roman" w:cs="Times New Roman" w:eastAsiaTheme="minorEastAsia"/>
          <w:b/>
          <w:bCs/>
          <w:color w:val="auto"/>
          <w:sz w:val="36"/>
          <w:szCs w:val="36"/>
          <w:highlight w:val="none"/>
        </w:rPr>
        <w:t>1.8</w:t>
      </w:r>
      <w:r>
        <w:rPr>
          <w:rFonts w:hint="default" w:ascii="Times New Roman" w:hAnsi="Times New Roman" w:cs="Times New Roman" w:eastAsiaTheme="minorEastAsia"/>
          <w:b/>
          <w:bCs/>
          <w:color w:val="auto"/>
          <w:kern w:val="0"/>
          <w:sz w:val="36"/>
          <w:szCs w:val="36"/>
          <w:highlight w:val="none"/>
        </w:rPr>
        <w:t>具有履行合同所必需的设备和专业技术能力的承诺</w:t>
      </w:r>
      <w:bookmarkEnd w:id="171"/>
      <w:r>
        <w:rPr>
          <w:rFonts w:hint="default" w:ascii="Times New Roman" w:hAnsi="Times New Roman" w:cs="Times New Roman" w:eastAsiaTheme="minorEastAsia"/>
          <w:b/>
          <w:bCs/>
          <w:color w:val="auto"/>
          <w:kern w:val="0"/>
          <w:sz w:val="36"/>
          <w:szCs w:val="36"/>
          <w:highlight w:val="none"/>
        </w:rPr>
        <w:t>函</w:t>
      </w:r>
      <w:bookmarkEnd w:id="173"/>
    </w:p>
    <w:p w14:paraId="69F5C718">
      <w:pPr>
        <w:pStyle w:val="33"/>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我方诚意参与本项目投标，并特此承诺：我方具有履行合同所必需的设备和专业技术能力。如有任何虚假和不实，我方自愿放弃投标资格并承担一切相关责任。</w:t>
      </w:r>
    </w:p>
    <w:p w14:paraId="521B957C">
      <w:pPr>
        <w:pStyle w:val="33"/>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特此承诺。</w:t>
      </w:r>
    </w:p>
    <w:p w14:paraId="223AE3F3">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u w:val="dotted"/>
        </w:rPr>
      </w:pPr>
    </w:p>
    <w:p w14:paraId="0282D725">
      <w:pPr>
        <w:keepLines w:val="0"/>
        <w:kinsoku/>
        <w:wordWrap/>
        <w:overflowPunct/>
        <w:topLinePunct w:val="0"/>
        <w:bidi w:val="0"/>
        <w:spacing w:beforeAutospacing="0" w:afterAutospacing="0" w:line="440" w:lineRule="atLeast"/>
        <w:ind w:left="0" w:leftChars="0" w:right="0" w:rightChars="0"/>
        <w:jc w:val="righ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供应商名称：</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u w:val="single"/>
        </w:rPr>
        <w:t>（</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全称）</w:t>
      </w:r>
      <w:r>
        <w:rPr>
          <w:rFonts w:hint="default" w:ascii="Times New Roman" w:hAnsi="Times New Roman" w:cs="Times New Roman" w:eastAsiaTheme="minorEastAsia"/>
          <w:color w:val="auto"/>
          <w:sz w:val="21"/>
          <w:szCs w:val="21"/>
          <w:highlight w:val="none"/>
          <w:u w:val="single"/>
          <w:lang w:val="en-GB"/>
        </w:rPr>
        <w:t xml:space="preserve">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67E9467E">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highlight w:val="none"/>
        </w:rPr>
      </w:pPr>
    </w:p>
    <w:p w14:paraId="6B1E287F">
      <w:pPr>
        <w:pStyle w:val="34"/>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outlineLvl w:val="1"/>
        <w:rPr>
          <w:rFonts w:hint="default" w:ascii="Times New Roman" w:hAnsi="Times New Roman" w:cs="Times New Roman" w:eastAsiaTheme="minorEastAsia"/>
          <w:b/>
          <w:bCs/>
          <w:color w:val="auto"/>
          <w:sz w:val="36"/>
          <w:szCs w:val="36"/>
          <w:highlight w:val="none"/>
        </w:rPr>
      </w:pPr>
      <w:bookmarkStart w:id="174" w:name="_Toc9846"/>
      <w:r>
        <w:rPr>
          <w:rFonts w:hint="default" w:ascii="Times New Roman" w:hAnsi="Times New Roman" w:cs="Times New Roman" w:eastAsiaTheme="minorEastAsia"/>
          <w:b/>
          <w:bCs/>
          <w:color w:val="auto"/>
          <w:sz w:val="36"/>
          <w:szCs w:val="36"/>
          <w:highlight w:val="none"/>
        </w:rPr>
        <w:t>1.9参与采购活动前三年内在经营活动中没有重大违法记录的书面声明函</w:t>
      </w:r>
      <w:bookmarkEnd w:id="174"/>
    </w:p>
    <w:p w14:paraId="2556BE54">
      <w:pPr>
        <w:pStyle w:val="34"/>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t>致：</w:t>
      </w:r>
      <w:r>
        <w:rPr>
          <w:rFonts w:hint="eastAsia" w:ascii="Times New Roman" w:hAnsi="Times New Roman" w:cs="Times New Roman" w:eastAsiaTheme="minorEastAsia"/>
          <w:b/>
          <w:color w:val="auto"/>
          <w:sz w:val="21"/>
          <w:szCs w:val="21"/>
          <w:highlight w:val="none"/>
          <w:u w:val="single"/>
          <w:lang w:eastAsia="zh-CN"/>
        </w:rPr>
        <w:t>佛山市高明区人民法院</w:t>
      </w:r>
      <w:r>
        <w:rPr>
          <w:rFonts w:hint="default" w:ascii="Times New Roman" w:hAnsi="Times New Roman" w:cs="Times New Roman" w:eastAsiaTheme="minorEastAsia"/>
          <w:b/>
          <w:color w:val="auto"/>
          <w:sz w:val="21"/>
          <w:szCs w:val="21"/>
          <w:highlight w:val="none"/>
          <w:u w:val="single"/>
        </w:rPr>
        <w:t>、广东远东招标代理有限公司</w:t>
      </w:r>
      <w:r>
        <w:rPr>
          <w:rFonts w:hint="default" w:ascii="Times New Roman" w:hAnsi="Times New Roman" w:cs="Times New Roman" w:eastAsiaTheme="minorEastAsia"/>
          <w:b/>
          <w:color w:val="auto"/>
          <w:sz w:val="21"/>
          <w:szCs w:val="21"/>
          <w:highlight w:val="none"/>
        </w:rPr>
        <w:t>：</w:t>
      </w:r>
    </w:p>
    <w:p w14:paraId="0F3DE07E">
      <w:pPr>
        <w:pStyle w:val="34"/>
        <w:keepLines w:val="0"/>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我方已认真阅读了全部招标文件及其相关文件，完全清楚理解其内容及规约，我方特此声明，我方参加政府采购活动前三年内在经营活动中没有重大违法记录。如有任何虚假和不实，我方自愿放弃投标资格并承担一切相关责任。</w:t>
      </w:r>
    </w:p>
    <w:p w14:paraId="00B4F32D">
      <w:pPr>
        <w:pStyle w:val="34"/>
        <w:keepLines w:val="0"/>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特此声明。</w:t>
      </w:r>
    </w:p>
    <w:p w14:paraId="20F6B334">
      <w:pPr>
        <w:pStyle w:val="34"/>
        <w:keepLines w:val="0"/>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rPr>
      </w:pPr>
    </w:p>
    <w:p w14:paraId="1FA94B9B">
      <w:pPr>
        <w:keepNext w:val="0"/>
        <w:keepLines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供应商名称：</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 xml:space="preserve">全称）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054FA246">
      <w:pPr>
        <w:pStyle w:val="34"/>
        <w:keepLines w:val="0"/>
        <w:kinsoku/>
        <w:wordWrap/>
        <w:overflowPunct/>
        <w:topLinePunct w:val="0"/>
        <w:bidi w:val="0"/>
        <w:spacing w:beforeAutospacing="0" w:afterAutospacing="0" w:line="440" w:lineRule="atLeast"/>
        <w:ind w:left="0" w:leftChars="0" w:right="0" w:rightChars="0"/>
        <w:jc w:val="righ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日  期：</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年</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月</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日</w:t>
      </w:r>
    </w:p>
    <w:p w14:paraId="0D100347">
      <w:pPr>
        <w:keepLines w:val="0"/>
        <w:tabs>
          <w:tab w:val="left" w:pos="-3780"/>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p>
    <w:p w14:paraId="46ADA5A5">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说明：</w:t>
      </w:r>
    </w:p>
    <w:p w14:paraId="255E96E1">
      <w:pPr>
        <w:keepLines w:val="0"/>
        <w:tabs>
          <w:tab w:val="left" w:pos="-3780"/>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以上承诺书内容不得擅自删改。</w:t>
      </w:r>
    </w:p>
    <w:p w14:paraId="03140914">
      <w:pPr>
        <w:keepLines w:val="0"/>
        <w:pageBreakBefore/>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175" w:name="_Toc16211"/>
      <w:bookmarkStart w:id="176" w:name="_Toc13905"/>
      <w:bookmarkStart w:id="177" w:name="_Toc14873260"/>
      <w:bookmarkStart w:id="178" w:name="_Toc14826"/>
      <w:bookmarkStart w:id="179" w:name="_Toc6205"/>
      <w:r>
        <w:rPr>
          <w:rFonts w:hint="default" w:ascii="Times New Roman" w:hAnsi="Times New Roman" w:cs="Times New Roman" w:eastAsiaTheme="minorEastAsia"/>
          <w:b/>
          <w:bCs/>
          <w:color w:val="auto"/>
          <w:sz w:val="36"/>
          <w:szCs w:val="36"/>
          <w:highlight w:val="none"/>
          <w:lang w:val="en-US"/>
        </w:rPr>
        <w:t xml:space="preserve">1.10 </w:t>
      </w:r>
      <w:bookmarkEnd w:id="147"/>
      <w:bookmarkEnd w:id="175"/>
      <w:bookmarkEnd w:id="176"/>
      <w:bookmarkEnd w:id="177"/>
      <w:bookmarkEnd w:id="178"/>
      <w:r>
        <w:rPr>
          <w:rFonts w:hint="default" w:ascii="Times New Roman" w:hAnsi="Times New Roman" w:cs="Times New Roman" w:eastAsiaTheme="minorEastAsia"/>
          <w:b/>
          <w:bCs/>
          <w:color w:val="auto"/>
          <w:sz w:val="36"/>
          <w:szCs w:val="36"/>
          <w:highlight w:val="none"/>
          <w:lang w:val="en-US"/>
        </w:rPr>
        <w:t>政府采购供应商资格信用承诺函</w:t>
      </w:r>
      <w:bookmarkEnd w:id="179"/>
    </w:p>
    <w:p w14:paraId="5C959CA7">
      <w:pPr>
        <w:pStyle w:val="38"/>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
          <w:color w:val="auto"/>
          <w:sz w:val="21"/>
          <w:szCs w:val="21"/>
          <w:highlight w:val="none"/>
        </w:rPr>
      </w:pPr>
    </w:p>
    <w:p w14:paraId="61528AD4">
      <w:pPr>
        <w:pStyle w:val="38"/>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致：</w:t>
      </w:r>
      <w:r>
        <w:rPr>
          <w:rFonts w:hint="eastAsia" w:ascii="Times New Roman" w:hAnsi="Times New Roman" w:cs="Times New Roman" w:eastAsiaTheme="minorEastAsia"/>
          <w:b/>
          <w:color w:val="auto"/>
          <w:sz w:val="21"/>
          <w:szCs w:val="21"/>
          <w:highlight w:val="none"/>
          <w:u w:val="single"/>
          <w:lang w:eastAsia="zh-CN"/>
        </w:rPr>
        <w:t>佛山市高明区人民法院</w:t>
      </w:r>
      <w:r>
        <w:rPr>
          <w:rFonts w:hint="default" w:ascii="Times New Roman" w:hAnsi="Times New Roman" w:cs="Times New Roman" w:eastAsiaTheme="minorEastAsia"/>
          <w:b/>
          <w:color w:val="auto"/>
          <w:sz w:val="21"/>
          <w:szCs w:val="21"/>
          <w:highlight w:val="none"/>
          <w:u w:val="single"/>
        </w:rPr>
        <w:t>、广东远东招标代理有限公司</w:t>
      </w:r>
    </w:p>
    <w:p w14:paraId="3010F715">
      <w:pPr>
        <w:keepLines w:val="0"/>
        <w:kinsoku/>
        <w:wordWrap/>
        <w:overflowPunct/>
        <w:topLinePunct w:val="0"/>
        <w:bidi w:val="0"/>
        <w:spacing w:beforeAutospacing="0" w:afterAutospacing="0" w:line="440" w:lineRule="atLeast"/>
        <w:ind w:left="0" w:leftChars="0" w:right="0" w:rightChars="0" w:firstLine="420" w:firstLineChars="200"/>
        <w:rPr>
          <w:rFonts w:hint="default" w:ascii="Times New Roman" w:hAnsi="Times New Roman" w:cs="Times New Roman" w:eastAsiaTheme="minorEastAsia"/>
          <w:color w:val="auto"/>
          <w:sz w:val="21"/>
          <w:szCs w:val="21"/>
          <w:highlight w:val="none"/>
          <w:lang w:eastAsia="zh-CN"/>
        </w:rPr>
      </w:pPr>
    </w:p>
    <w:p w14:paraId="327E20A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我方参与</w:t>
      </w:r>
      <w:r>
        <w:rPr>
          <w:rFonts w:hint="eastAsia" w:ascii="Times New Roman" w:hAnsi="Times New Roman" w:cs="Times New Roman"/>
          <w:color w:val="auto"/>
          <w:sz w:val="21"/>
          <w:szCs w:val="21"/>
          <w:highlight w:val="none"/>
          <w:u w:val="single"/>
          <w:lang w:eastAsia="zh-CN"/>
        </w:rPr>
        <w:t>佛山市高明区人民法院执行案件集约化送达服务项目</w:t>
      </w:r>
      <w:r>
        <w:rPr>
          <w:rFonts w:hint="default" w:ascii="Times New Roman" w:hAnsi="Times New Roman" w:cs="Times New Roman" w:eastAsiaTheme="minorEastAsia"/>
          <w:color w:val="auto"/>
          <w:sz w:val="21"/>
          <w:szCs w:val="21"/>
          <w:highlight w:val="none"/>
          <w:u w:val="single"/>
          <w:lang w:eastAsia="zh-CN"/>
        </w:rPr>
        <w:t>（项目编号：</w:t>
      </w:r>
      <w:r>
        <w:rPr>
          <w:rFonts w:hint="eastAsia" w:ascii="Times New Roman" w:hAnsi="Times New Roman" w:cs="Times New Roman"/>
          <w:color w:val="auto"/>
          <w:sz w:val="21"/>
          <w:szCs w:val="21"/>
          <w:highlight w:val="none"/>
          <w:u w:val="single"/>
          <w:lang w:eastAsia="zh-CN"/>
        </w:rPr>
        <w:t>GDYD240563</w:t>
      </w:r>
      <w:r>
        <w:rPr>
          <w:rFonts w:hint="default" w:ascii="Times New Roman" w:hAnsi="Times New Roman" w:cs="Times New Roman" w:eastAsiaTheme="minorEastAsia"/>
          <w:color w:val="auto"/>
          <w:sz w:val="21"/>
          <w:szCs w:val="21"/>
          <w:highlight w:val="none"/>
          <w:u w:val="single"/>
          <w:lang w:eastAsia="zh-CN"/>
        </w:rPr>
        <w:t>）</w:t>
      </w:r>
      <w:r>
        <w:rPr>
          <w:rFonts w:hint="default" w:ascii="Times New Roman" w:hAnsi="Times New Roman" w:cs="Times New Roman" w:eastAsiaTheme="minorEastAsia"/>
          <w:color w:val="auto"/>
          <w:sz w:val="21"/>
          <w:szCs w:val="21"/>
          <w:highlight w:val="none"/>
          <w:lang w:eastAsia="zh-CN"/>
        </w:rPr>
        <w:t>的政府采购活动，现承诺如下：</w:t>
      </w:r>
    </w:p>
    <w:p w14:paraId="37F31AC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我方具有符合《中华人民共和国政府采购法》《中华人民共和国政府采购法实施条例》及采购文件资格要求规定良好的商业信誉和健全的财务会计制度；依法缴纳税收和社会保障资金；具有履行合同所必需的设备和专业技术能力；参加本项目政府采购活动前三年内，在经营活动中没有重大违法记录。</w:t>
      </w:r>
    </w:p>
    <w:p w14:paraId="219D03F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若我方以上承诺不实，自愿承担提供虚假材料谋取中标、成交的法律责任。</w:t>
      </w:r>
    </w:p>
    <w:p w14:paraId="092D4DBD">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lang w:eastAsia="zh-CN"/>
        </w:rPr>
      </w:pPr>
    </w:p>
    <w:p w14:paraId="71F5C165">
      <w:pPr>
        <w:keepNext w:val="0"/>
        <w:keepLines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供应商名称：</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 xml:space="preserve">全称）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1D6F7099">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410" w:firstLineChars="2100"/>
        <w:jc w:val="right"/>
        <w:textAlignment w:val="auto"/>
        <w:rPr>
          <w:rFonts w:hint="default" w:ascii="Times New Roman" w:hAnsi="Times New Roman" w:cs="Times New Roman" w:eastAsiaTheme="minorEastAsia"/>
          <w:color w:val="auto"/>
          <w:sz w:val="21"/>
          <w:szCs w:val="21"/>
          <w:highlight w:val="none"/>
          <w:u w:val="none"/>
          <w:lang w:val="en-US" w:eastAsia="zh-CN"/>
        </w:rPr>
      </w:pPr>
      <w:r>
        <w:rPr>
          <w:rFonts w:hint="default" w:ascii="Times New Roman" w:hAnsi="Times New Roman" w:cs="Times New Roman" w:eastAsiaTheme="minorEastAsia"/>
          <w:color w:val="auto"/>
          <w:sz w:val="21"/>
          <w:szCs w:val="21"/>
          <w:highlight w:val="none"/>
        </w:rPr>
        <w:t>日  期：</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年</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月</w:t>
      </w:r>
      <w:r>
        <w:rPr>
          <w:rFonts w:hint="default" w:ascii="Times New Roman" w:hAnsi="Times New Roman" w:cs="Times New Roman" w:eastAsiaTheme="minorEastAsia"/>
          <w:color w:val="auto"/>
          <w:sz w:val="21"/>
          <w:szCs w:val="21"/>
          <w:highlight w:val="none"/>
          <w:u w:val="single"/>
        </w:rPr>
        <w:t xml:space="preserve">    </w:t>
      </w:r>
      <w:r>
        <w:rPr>
          <w:rFonts w:hint="default" w:ascii="Times New Roman" w:hAnsi="Times New Roman" w:cs="Times New Roman" w:eastAsiaTheme="minorEastAsia"/>
          <w:color w:val="auto"/>
          <w:sz w:val="21"/>
          <w:szCs w:val="21"/>
          <w:highlight w:val="none"/>
        </w:rPr>
        <w:t>日</w:t>
      </w:r>
    </w:p>
    <w:p w14:paraId="0C39A0DD">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bCs/>
          <w:color w:val="auto"/>
          <w:kern w:val="0"/>
          <w:sz w:val="21"/>
          <w:szCs w:val="21"/>
          <w:highlight w:val="none"/>
        </w:rPr>
      </w:pPr>
      <w:r>
        <w:rPr>
          <w:rFonts w:hint="default" w:ascii="Times New Roman" w:hAnsi="Times New Roman" w:cs="Times New Roman" w:eastAsiaTheme="minorEastAsia"/>
          <w:color w:val="auto"/>
          <w:sz w:val="21"/>
          <w:szCs w:val="21"/>
          <w:highlight w:val="none"/>
          <w:u w:val="none"/>
          <w:lang w:val="en-US" w:eastAsia="zh-CN"/>
        </w:rPr>
        <w:t>说明：供应商可自行选择是否提供本承诺函，若不提供本承诺函，应按</w:t>
      </w:r>
      <w:r>
        <w:rPr>
          <w:rFonts w:hint="default" w:ascii="Times New Roman" w:hAnsi="Times New Roman" w:cs="Times New Roman" w:eastAsiaTheme="minorEastAsia"/>
          <w:color w:val="auto"/>
          <w:sz w:val="21"/>
          <w:szCs w:val="21"/>
          <w:highlight w:val="none"/>
          <w:lang w:eastAsia="zh-CN"/>
        </w:rPr>
        <w:t>《中华人民共和国政府采购法》《中华人民共和国政府采购法实施条例》及采购文件资格要求提供相应的证明材料。</w:t>
      </w:r>
      <w:r>
        <w:rPr>
          <w:rFonts w:hint="default" w:ascii="Times New Roman" w:hAnsi="Times New Roman" w:cs="Times New Roman" w:eastAsiaTheme="minorEastAsia"/>
          <w:b/>
          <w:bCs/>
          <w:color w:val="auto"/>
          <w:kern w:val="0"/>
          <w:sz w:val="21"/>
          <w:szCs w:val="21"/>
          <w:highlight w:val="none"/>
        </w:rPr>
        <w:br w:type="page"/>
      </w:r>
    </w:p>
    <w:p w14:paraId="32D0CAC7">
      <w:pPr>
        <w:keepLines w:val="0"/>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kern w:val="0"/>
          <w:sz w:val="36"/>
          <w:szCs w:val="20"/>
          <w:highlight w:val="none"/>
        </w:rPr>
      </w:pPr>
      <w:bookmarkStart w:id="180" w:name="_Toc17758"/>
      <w:r>
        <w:rPr>
          <w:rFonts w:hint="default" w:ascii="Times New Roman" w:hAnsi="Times New Roman" w:cs="Times New Roman" w:eastAsiaTheme="minorEastAsia"/>
          <w:b/>
          <w:bCs/>
          <w:color w:val="auto"/>
          <w:kern w:val="0"/>
          <w:sz w:val="36"/>
          <w:szCs w:val="20"/>
          <w:highlight w:val="none"/>
        </w:rPr>
        <w:t>1.11中小企业声明函</w:t>
      </w:r>
      <w:bookmarkEnd w:id="180"/>
    </w:p>
    <w:p w14:paraId="044AC35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中小企业声明函（所投产品制造商为中小企业时提交本函，所属行业应符合磋商文件中明确的本项目所属行业）</w:t>
      </w:r>
    </w:p>
    <w:p w14:paraId="15B0755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p>
    <w:p w14:paraId="2E6E5D26">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b/>
          <w:color w:val="auto"/>
          <w:sz w:val="24"/>
          <w:szCs w:val="24"/>
          <w:highlight w:val="none"/>
        </w:rPr>
        <w:t>中小企业声明函（</w:t>
      </w:r>
      <w:r>
        <w:rPr>
          <w:rFonts w:hint="default" w:ascii="Times New Roman" w:hAnsi="Times New Roman" w:cs="Times New Roman" w:eastAsiaTheme="minorEastAsia"/>
          <w:b/>
          <w:color w:val="auto"/>
          <w:sz w:val="24"/>
          <w:szCs w:val="24"/>
          <w:highlight w:val="none"/>
          <w:lang w:eastAsia="zh-CN"/>
        </w:rPr>
        <w:t>服务</w:t>
      </w:r>
      <w:r>
        <w:rPr>
          <w:rFonts w:hint="default" w:ascii="Times New Roman" w:hAnsi="Times New Roman" w:cs="Times New Roman" w:eastAsiaTheme="minorEastAsia"/>
          <w:b/>
          <w:color w:val="auto"/>
          <w:sz w:val="24"/>
          <w:szCs w:val="24"/>
          <w:highlight w:val="none"/>
        </w:rPr>
        <w:t>）</w:t>
      </w:r>
    </w:p>
    <w:p w14:paraId="59AD7AC2">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shd w:val="clear" w:color="auto" w:fill="FFFFFF"/>
        </w:rPr>
        <w:t>本公司郑重声明，根据《政府采购促进中小企业发展管理行办法》（财库〔2020〕46号）的规定，本公司参加</w:t>
      </w:r>
      <w:r>
        <w:rPr>
          <w:rFonts w:hint="eastAsia" w:ascii="Times New Roman" w:hAnsi="Times New Roman" w:cs="Times New Roman"/>
          <w:color w:val="auto"/>
          <w:sz w:val="21"/>
          <w:szCs w:val="21"/>
          <w:highlight w:val="none"/>
          <w:u w:val="single"/>
          <w:shd w:val="clear" w:color="auto" w:fill="FFFFFF"/>
          <w:lang w:eastAsia="zh-CN"/>
        </w:rPr>
        <w:t>佛山市高明区人民法院</w:t>
      </w:r>
      <w:r>
        <w:rPr>
          <w:rFonts w:hint="default" w:ascii="Times New Roman" w:hAnsi="Times New Roman" w:cs="Times New Roman" w:eastAsiaTheme="minorEastAsia"/>
          <w:color w:val="auto"/>
          <w:sz w:val="21"/>
          <w:szCs w:val="21"/>
          <w:highlight w:val="none"/>
          <w:shd w:val="clear" w:color="auto" w:fill="FFFFFF"/>
        </w:rPr>
        <w:t>的</w:t>
      </w:r>
      <w:r>
        <w:rPr>
          <w:rFonts w:hint="eastAsia" w:ascii="Times New Roman" w:hAnsi="Times New Roman" w:cs="Times New Roman"/>
          <w:color w:val="auto"/>
          <w:sz w:val="21"/>
          <w:szCs w:val="21"/>
          <w:highlight w:val="none"/>
          <w:u w:val="single"/>
          <w:shd w:val="clear" w:color="auto" w:fill="FFFFFF"/>
          <w:lang w:val="en-IE" w:eastAsia="zh-CN"/>
        </w:rPr>
        <w:t>佛山市高明区人民法院执行案件集约化送达服务项目</w:t>
      </w:r>
      <w:r>
        <w:rPr>
          <w:rFonts w:hint="default" w:ascii="Times New Roman" w:hAnsi="Times New Roman" w:cs="Times New Roman" w:eastAsiaTheme="minorEastAsia"/>
          <w:color w:val="auto"/>
          <w:sz w:val="21"/>
          <w:szCs w:val="21"/>
          <w:highlight w:val="none"/>
        </w:rPr>
        <w:t>采购活动，服务全部由符合政策要求的中小企业承接。相关企业（含联合体中的中小企业、签订分包意向协议的中小企业）的具体情况如下：</w:t>
      </w:r>
    </w:p>
    <w:p w14:paraId="4CF0F683">
      <w:pPr>
        <w:pStyle w:val="10"/>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r>
        <w:rPr>
          <w:rFonts w:hint="eastAsia" w:ascii="Times New Roman" w:hAnsi="Times New Roman" w:cs="Times New Roman"/>
          <w:color w:val="auto"/>
          <w:sz w:val="21"/>
          <w:szCs w:val="21"/>
          <w:highlight w:val="none"/>
          <w:u w:val="single"/>
          <w:shd w:val="clear" w:color="auto" w:fill="FFFFFF"/>
          <w:lang w:val="en-IE" w:eastAsia="zh-CN"/>
        </w:rPr>
        <w:t>佛山市高明区人民法院执行案件集约化送达服务项目</w:t>
      </w:r>
      <w:r>
        <w:rPr>
          <w:rFonts w:hint="default" w:ascii="Times New Roman" w:hAnsi="Times New Roman" w:cs="Times New Roman" w:eastAsiaTheme="minorEastAsia"/>
          <w:color w:val="auto"/>
          <w:sz w:val="21"/>
          <w:szCs w:val="21"/>
          <w:highlight w:val="none"/>
        </w:rPr>
        <w:t>，属于</w:t>
      </w:r>
      <w:r>
        <w:rPr>
          <w:rFonts w:hint="eastAsia" w:ascii="Times New Roman" w:hAnsi="Times New Roman" w:cs="Times New Roman"/>
          <w:color w:val="auto"/>
          <w:sz w:val="21"/>
          <w:szCs w:val="21"/>
          <w:highlight w:val="none"/>
          <w:u w:val="single"/>
          <w:lang w:eastAsia="zh-CN"/>
        </w:rPr>
        <w:t>其他未列明行业</w:t>
      </w:r>
      <w:r>
        <w:rPr>
          <w:rFonts w:hint="default" w:ascii="Times New Roman" w:hAnsi="Times New Roman" w:cs="Times New Roman" w:eastAsiaTheme="minorEastAsia"/>
          <w:color w:val="auto"/>
          <w:sz w:val="21"/>
          <w:szCs w:val="21"/>
          <w:highlight w:val="none"/>
        </w:rPr>
        <w:t>；承接企业为</w:t>
      </w:r>
      <w:r>
        <w:rPr>
          <w:rFonts w:hint="default" w:ascii="Times New Roman" w:hAnsi="Times New Roman" w:cs="Times New Roman" w:eastAsiaTheme="minorEastAsia"/>
          <w:color w:val="auto"/>
          <w:sz w:val="21"/>
          <w:szCs w:val="21"/>
          <w:highlight w:val="none"/>
          <w:u w:val="single"/>
        </w:rPr>
        <w:t>（企业名称）</w:t>
      </w:r>
      <w:r>
        <w:rPr>
          <w:rFonts w:hint="default" w:ascii="Times New Roman" w:hAnsi="Times New Roman" w:cs="Times New Roman" w:eastAsiaTheme="minorEastAsia"/>
          <w:color w:val="auto"/>
          <w:sz w:val="21"/>
          <w:szCs w:val="21"/>
          <w:highlight w:val="none"/>
        </w:rPr>
        <w:t>，从业人员</w:t>
      </w:r>
      <w:r>
        <w:rPr>
          <w:rFonts w:hint="default" w:ascii="Times New Roman" w:hAnsi="Times New Roman" w:cs="Times New Roman" w:eastAsiaTheme="minorEastAsia"/>
          <w:color w:val="auto"/>
          <w:sz w:val="21"/>
          <w:szCs w:val="21"/>
          <w:highlight w:val="none"/>
          <w:u w:val="single"/>
          <w:lang w:val="en-US" w:eastAsia="zh-CN"/>
        </w:rPr>
        <w:t xml:space="preserve">   </w:t>
      </w:r>
      <w:r>
        <w:rPr>
          <w:rFonts w:hint="default" w:ascii="Times New Roman" w:hAnsi="Times New Roman" w:cs="Times New Roman" w:eastAsiaTheme="minorEastAsia"/>
          <w:color w:val="auto"/>
          <w:sz w:val="21"/>
          <w:szCs w:val="21"/>
          <w:highlight w:val="none"/>
        </w:rPr>
        <w:t>人，营业收入为</w:t>
      </w:r>
      <w:r>
        <w:rPr>
          <w:rFonts w:hint="default" w:ascii="Times New Roman" w:hAnsi="Times New Roman" w:cs="Times New Roman" w:eastAsiaTheme="minorEastAsia"/>
          <w:color w:val="auto"/>
          <w:sz w:val="21"/>
          <w:szCs w:val="21"/>
          <w:highlight w:val="none"/>
          <w:u w:val="single"/>
          <w:lang w:val="en-US" w:eastAsia="zh-CN"/>
        </w:rPr>
        <w:t xml:space="preserve">   </w:t>
      </w:r>
      <w:r>
        <w:rPr>
          <w:rFonts w:hint="default" w:ascii="Times New Roman" w:hAnsi="Times New Roman" w:cs="Times New Roman" w:eastAsiaTheme="minorEastAsia"/>
          <w:color w:val="auto"/>
          <w:sz w:val="21"/>
          <w:szCs w:val="21"/>
          <w:highlight w:val="none"/>
        </w:rPr>
        <w:t>万元，资产总额为</w:t>
      </w:r>
      <w:r>
        <w:rPr>
          <w:rFonts w:hint="default" w:ascii="Times New Roman" w:hAnsi="Times New Roman" w:cs="Times New Roman" w:eastAsiaTheme="minorEastAsia"/>
          <w:color w:val="auto"/>
          <w:sz w:val="21"/>
          <w:szCs w:val="21"/>
          <w:highlight w:val="none"/>
          <w:u w:val="single"/>
          <w:lang w:val="en-US" w:eastAsia="zh-CN"/>
        </w:rPr>
        <w:t xml:space="preserve">   </w:t>
      </w:r>
      <w:r>
        <w:rPr>
          <w:rFonts w:hint="default" w:ascii="Times New Roman" w:hAnsi="Times New Roman" w:cs="Times New Roman" w:eastAsiaTheme="minorEastAsia"/>
          <w:color w:val="auto"/>
          <w:sz w:val="21"/>
          <w:szCs w:val="21"/>
          <w:highlight w:val="none"/>
        </w:rPr>
        <w:t>万元，属于</w:t>
      </w:r>
      <w:r>
        <w:rPr>
          <w:rFonts w:hint="default" w:ascii="Times New Roman" w:hAnsi="Times New Roman" w:cs="Times New Roman" w:eastAsiaTheme="minorEastAsia"/>
          <w:color w:val="auto"/>
          <w:sz w:val="21"/>
          <w:szCs w:val="21"/>
          <w:highlight w:val="none"/>
          <w:u w:val="single"/>
        </w:rPr>
        <w:t>(中型企业、小型企业、微型企业）</w:t>
      </w:r>
      <w:r>
        <w:rPr>
          <w:rFonts w:hint="default" w:ascii="Times New Roman" w:hAnsi="Times New Roman" w:cs="Times New Roman" w:eastAsiaTheme="minorEastAsia"/>
          <w:color w:val="auto"/>
          <w:sz w:val="21"/>
          <w:szCs w:val="21"/>
          <w:highlight w:val="none"/>
        </w:rPr>
        <w:t>；</w:t>
      </w:r>
    </w:p>
    <w:p w14:paraId="1793E651">
      <w:pPr>
        <w:pStyle w:val="10"/>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r>
        <w:rPr>
          <w:rFonts w:hint="default" w:ascii="Times New Roman" w:hAnsi="Times New Roman" w:cs="Times New Roman" w:eastAsiaTheme="minorEastAsia"/>
          <w:color w:val="auto"/>
          <w:sz w:val="21"/>
          <w:szCs w:val="21"/>
          <w:highlight w:val="none"/>
          <w:u w:val="single"/>
          <w:shd w:val="clear" w:color="auto" w:fill="FFFFFF"/>
          <w:lang w:eastAsia="zh-CN"/>
        </w:rPr>
        <w:t>（</w:t>
      </w:r>
      <w:r>
        <w:rPr>
          <w:rFonts w:hint="default" w:ascii="Times New Roman" w:hAnsi="Times New Roman" w:cs="Times New Roman" w:eastAsiaTheme="minorEastAsia"/>
          <w:color w:val="auto"/>
          <w:sz w:val="21"/>
          <w:szCs w:val="21"/>
          <w:highlight w:val="none"/>
          <w:u w:val="single"/>
          <w:shd w:val="clear" w:color="auto" w:fill="FFFFFF"/>
          <w:lang w:val="en-US" w:eastAsia="zh-CN"/>
        </w:rPr>
        <w:t>标的名称）</w:t>
      </w:r>
      <w:r>
        <w:rPr>
          <w:rFonts w:hint="default" w:ascii="Times New Roman" w:hAnsi="Times New Roman" w:cs="Times New Roman" w:eastAsiaTheme="minorEastAsia"/>
          <w:color w:val="auto"/>
          <w:sz w:val="21"/>
          <w:szCs w:val="21"/>
          <w:highlight w:val="none"/>
        </w:rPr>
        <w:t>，属于</w:t>
      </w:r>
      <w:r>
        <w:rPr>
          <w:rFonts w:hint="default" w:ascii="Times New Roman" w:hAnsi="Times New Roman" w:cs="Times New Roman" w:eastAsiaTheme="minorEastAsia"/>
          <w:color w:val="auto"/>
          <w:sz w:val="21"/>
          <w:szCs w:val="21"/>
          <w:highlight w:val="none"/>
          <w:u w:val="single"/>
          <w:lang w:eastAsia="zh-CN"/>
        </w:rPr>
        <w:t>（</w:t>
      </w:r>
      <w:r>
        <w:rPr>
          <w:rFonts w:hint="default" w:ascii="Times New Roman" w:hAnsi="Times New Roman" w:cs="Times New Roman" w:eastAsiaTheme="minorEastAsia"/>
          <w:color w:val="auto"/>
          <w:sz w:val="21"/>
          <w:szCs w:val="21"/>
          <w:highlight w:val="none"/>
          <w:u w:val="single"/>
          <w:lang w:val="en-US" w:eastAsia="zh-CN"/>
        </w:rPr>
        <w:t>按磋商文件中所属行业填写</w:t>
      </w:r>
      <w:r>
        <w:rPr>
          <w:rFonts w:hint="default" w:ascii="Times New Roman" w:hAnsi="Times New Roman" w:cs="Times New Roman" w:eastAsiaTheme="minorEastAsia"/>
          <w:color w:val="auto"/>
          <w:sz w:val="21"/>
          <w:szCs w:val="21"/>
          <w:highlight w:val="none"/>
          <w:u w:val="single"/>
          <w:lang w:eastAsia="zh-CN"/>
        </w:rPr>
        <w:t>）</w:t>
      </w:r>
      <w:r>
        <w:rPr>
          <w:rFonts w:hint="default" w:ascii="Times New Roman" w:hAnsi="Times New Roman" w:cs="Times New Roman" w:eastAsiaTheme="minorEastAsia"/>
          <w:color w:val="auto"/>
          <w:sz w:val="21"/>
          <w:szCs w:val="21"/>
          <w:highlight w:val="none"/>
        </w:rPr>
        <w:t>；承接企业为</w:t>
      </w:r>
      <w:r>
        <w:rPr>
          <w:rFonts w:hint="default" w:ascii="Times New Roman" w:hAnsi="Times New Roman" w:cs="Times New Roman" w:eastAsiaTheme="minorEastAsia"/>
          <w:color w:val="auto"/>
          <w:sz w:val="21"/>
          <w:szCs w:val="21"/>
          <w:highlight w:val="none"/>
          <w:u w:val="single"/>
        </w:rPr>
        <w:t>（企业名称）</w:t>
      </w:r>
      <w:r>
        <w:rPr>
          <w:rFonts w:hint="default" w:ascii="Times New Roman" w:hAnsi="Times New Roman" w:cs="Times New Roman" w:eastAsiaTheme="minorEastAsia"/>
          <w:color w:val="auto"/>
          <w:sz w:val="21"/>
          <w:szCs w:val="21"/>
          <w:highlight w:val="none"/>
        </w:rPr>
        <w:t>，从业人员</w:t>
      </w:r>
      <w:r>
        <w:rPr>
          <w:rFonts w:hint="default" w:ascii="Times New Roman" w:hAnsi="Times New Roman" w:cs="Times New Roman" w:eastAsiaTheme="minorEastAsia"/>
          <w:color w:val="auto"/>
          <w:sz w:val="21"/>
          <w:szCs w:val="21"/>
          <w:highlight w:val="none"/>
          <w:u w:val="single"/>
          <w:lang w:val="en-US" w:eastAsia="zh-CN"/>
        </w:rPr>
        <w:t xml:space="preserve">   </w:t>
      </w:r>
      <w:r>
        <w:rPr>
          <w:rFonts w:hint="default" w:ascii="Times New Roman" w:hAnsi="Times New Roman" w:cs="Times New Roman" w:eastAsiaTheme="minorEastAsia"/>
          <w:color w:val="auto"/>
          <w:sz w:val="21"/>
          <w:szCs w:val="21"/>
          <w:highlight w:val="none"/>
        </w:rPr>
        <w:t>人，营业收入为</w:t>
      </w:r>
      <w:r>
        <w:rPr>
          <w:rFonts w:hint="default" w:ascii="Times New Roman" w:hAnsi="Times New Roman" w:cs="Times New Roman" w:eastAsiaTheme="minorEastAsia"/>
          <w:color w:val="auto"/>
          <w:sz w:val="21"/>
          <w:szCs w:val="21"/>
          <w:highlight w:val="none"/>
          <w:u w:val="single"/>
          <w:lang w:val="en-US" w:eastAsia="zh-CN"/>
        </w:rPr>
        <w:t xml:space="preserve">    万</w:t>
      </w:r>
      <w:r>
        <w:rPr>
          <w:rFonts w:hint="default" w:ascii="Times New Roman" w:hAnsi="Times New Roman" w:cs="Times New Roman" w:eastAsiaTheme="minorEastAsia"/>
          <w:color w:val="auto"/>
          <w:sz w:val="21"/>
          <w:szCs w:val="21"/>
          <w:highlight w:val="none"/>
        </w:rPr>
        <w:t>元，资产总额为</w:t>
      </w:r>
      <w:r>
        <w:rPr>
          <w:rFonts w:hint="default" w:ascii="Times New Roman" w:hAnsi="Times New Roman" w:cs="Times New Roman" w:eastAsiaTheme="minorEastAsia"/>
          <w:color w:val="auto"/>
          <w:sz w:val="21"/>
          <w:szCs w:val="21"/>
          <w:highlight w:val="none"/>
          <w:u w:val="single"/>
          <w:lang w:val="en-US" w:eastAsia="zh-CN"/>
        </w:rPr>
        <w:t xml:space="preserve">   </w:t>
      </w:r>
      <w:r>
        <w:rPr>
          <w:rFonts w:hint="default" w:ascii="Times New Roman" w:hAnsi="Times New Roman" w:cs="Times New Roman" w:eastAsiaTheme="minorEastAsia"/>
          <w:color w:val="auto"/>
          <w:sz w:val="21"/>
          <w:szCs w:val="21"/>
          <w:highlight w:val="none"/>
        </w:rPr>
        <w:t>万元，属于</w:t>
      </w:r>
      <w:r>
        <w:rPr>
          <w:rFonts w:hint="default" w:ascii="Times New Roman" w:hAnsi="Times New Roman" w:cs="Times New Roman" w:eastAsiaTheme="minorEastAsia"/>
          <w:color w:val="auto"/>
          <w:sz w:val="21"/>
          <w:szCs w:val="21"/>
          <w:highlight w:val="none"/>
          <w:u w:val="single"/>
        </w:rPr>
        <w:t>(中型企业、小型企业、微型企业）</w:t>
      </w:r>
      <w:r>
        <w:rPr>
          <w:rFonts w:hint="default" w:ascii="Times New Roman" w:hAnsi="Times New Roman" w:cs="Times New Roman" w:eastAsiaTheme="minorEastAsia"/>
          <w:color w:val="auto"/>
          <w:sz w:val="21"/>
          <w:szCs w:val="21"/>
          <w:highlight w:val="none"/>
        </w:rPr>
        <w:t>；</w:t>
      </w:r>
    </w:p>
    <w:p w14:paraId="0E51114A">
      <w:pPr>
        <w:pStyle w:val="10"/>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w:t>
      </w:r>
    </w:p>
    <w:p w14:paraId="79139FCA">
      <w:pPr>
        <w:pStyle w:val="10"/>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以上企业，不属于大企业的分支机构，不存在控股股东为大企业的情形，也不存在与大企业负责人为同一人的情形。</w:t>
      </w:r>
    </w:p>
    <w:p w14:paraId="758179C5">
      <w:pPr>
        <w:pStyle w:val="10"/>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本企业对上述声明函的真实性负责。如有虚假，将依法承担相应责任。</w:t>
      </w:r>
    </w:p>
    <w:p w14:paraId="6D25CD6E">
      <w:pPr>
        <w:keepNext w:val="0"/>
        <w:keepLines w:val="0"/>
        <w:pageBreakBefore w:val="0"/>
        <w:widowControl w:val="0"/>
        <w:tabs>
          <w:tab w:val="left" w:pos="-3780"/>
        </w:tabs>
        <w:kinsoku/>
        <w:wordWrap/>
        <w:overflowPunct/>
        <w:topLinePunct w:val="0"/>
        <w:autoSpaceDE/>
        <w:autoSpaceDN/>
        <w:bidi w:val="0"/>
        <w:adjustRightInd/>
        <w:snapToGrid/>
        <w:spacing w:beforeAutospacing="0" w:afterAutospacing="0" w:line="440" w:lineRule="atLeast"/>
        <w:ind w:left="0" w:leftChars="0" w:right="0" w:rightChars="0" w:firstLine="422" w:firstLineChars="200"/>
        <w:textAlignment w:val="auto"/>
        <w:rPr>
          <w:rFonts w:hint="default" w:ascii="Times New Roman" w:hAnsi="Times New Roman" w:cs="Times New Roman" w:eastAsiaTheme="minorEastAsia"/>
          <w:b/>
          <w:color w:val="auto"/>
          <w:sz w:val="21"/>
          <w:szCs w:val="21"/>
          <w:highlight w:val="none"/>
        </w:rPr>
      </w:pPr>
    </w:p>
    <w:p w14:paraId="41DBD44E">
      <w:pPr>
        <w:keepNext w:val="0"/>
        <w:keepLines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供应商名称：</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 xml:space="preserve">全称）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7A4397D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textAlignment w:val="auto"/>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日期：</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年</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月</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日</w:t>
      </w:r>
    </w:p>
    <w:p w14:paraId="5D0ABF57">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b w:val="0"/>
          <w:bCs/>
          <w:color w:val="auto"/>
          <w:sz w:val="28"/>
          <w:szCs w:val="28"/>
          <w:highlight w:val="none"/>
        </w:rPr>
      </w:pPr>
    </w:p>
    <w:p w14:paraId="63A23C6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default" w:ascii="Times New Roman" w:hAnsi="Times New Roman" w:cs="Times New Roman" w:eastAsiaTheme="minorEastAsia"/>
          <w:color w:val="auto"/>
          <w:sz w:val="28"/>
          <w:szCs w:val="28"/>
          <w:highlight w:val="none"/>
        </w:rPr>
      </w:pPr>
    </w:p>
    <w:p w14:paraId="36530F4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从业人员、营业收入、资产总额填报上一年度数据，无上一年度数据的新成立企业可不填报。</w:t>
      </w:r>
    </w:p>
    <w:p w14:paraId="6EC1960E">
      <w:pPr>
        <w:keepNext w:val="0"/>
        <w:keepLines w:val="0"/>
        <w:pageBreakBefore w:val="0"/>
        <w:widowControl w:val="0"/>
        <w:tabs>
          <w:tab w:val="left" w:pos="540"/>
        </w:tabs>
        <w:kinsoku/>
        <w:wordWrap/>
        <w:overflowPunct/>
        <w:topLinePunct w:val="0"/>
        <w:autoSpaceDE/>
        <w:autoSpaceDN/>
        <w:bidi w:val="0"/>
        <w:adjustRightInd/>
        <w:snapToGrid/>
        <w:spacing w:beforeAutospacing="0" w:afterAutospacing="0" w:line="440" w:lineRule="atLeast"/>
        <w:ind w:left="525" w:leftChars="0" w:right="0" w:rightChars="0" w:hanging="525" w:hangingChars="250"/>
        <w:textAlignment w:val="auto"/>
        <w:rPr>
          <w:rFonts w:hint="default" w:ascii="Times New Roman" w:hAnsi="Times New Roman" w:cs="Times New Roman" w:eastAsiaTheme="minorEastAsia"/>
          <w:b/>
          <w:color w:val="auto"/>
          <w:sz w:val="21"/>
          <w:szCs w:val="21"/>
          <w:highlight w:val="none"/>
          <w:lang w:val="en-GB"/>
        </w:rPr>
      </w:pPr>
      <w:r>
        <w:rPr>
          <w:rFonts w:hint="default" w:ascii="Times New Roman" w:hAnsi="Times New Roman" w:cs="Times New Roman" w:eastAsiaTheme="minorEastAsia"/>
          <w:color w:val="auto"/>
          <w:sz w:val="21"/>
          <w:szCs w:val="21"/>
          <w:highlight w:val="none"/>
        </w:rPr>
        <w:t>2</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3510D2D8">
      <w:pPr>
        <w:pStyle w:val="2"/>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1"/>
          <w:szCs w:val="21"/>
          <w:highlight w:val="none"/>
          <w:lang w:val="en-GB"/>
        </w:rPr>
      </w:pPr>
    </w:p>
    <w:p w14:paraId="5BF2D155">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kern w:val="0"/>
          <w:sz w:val="36"/>
          <w:szCs w:val="20"/>
          <w:highlight w:val="none"/>
        </w:rPr>
      </w:pPr>
      <w:r>
        <w:rPr>
          <w:rFonts w:hint="default" w:ascii="Times New Roman" w:hAnsi="Times New Roman" w:cs="Times New Roman" w:eastAsiaTheme="minorEastAsia"/>
          <w:color w:val="auto"/>
          <w:sz w:val="21"/>
          <w:szCs w:val="21"/>
          <w:highlight w:val="none"/>
        </w:rPr>
        <w:br w:type="page"/>
      </w:r>
      <w:r>
        <w:rPr>
          <w:rFonts w:hint="default" w:ascii="Times New Roman" w:hAnsi="Times New Roman" w:cs="Times New Roman" w:eastAsiaTheme="minorEastAsia"/>
          <w:b/>
          <w:bCs/>
          <w:color w:val="auto"/>
          <w:kern w:val="0"/>
          <w:sz w:val="36"/>
          <w:szCs w:val="20"/>
          <w:highlight w:val="none"/>
        </w:rPr>
        <w:t>残疾人福利性单位声明函（如有）</w:t>
      </w:r>
    </w:p>
    <w:p w14:paraId="0DA099C1">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kern w:val="0"/>
          <w:sz w:val="36"/>
          <w:szCs w:val="20"/>
          <w:highlight w:val="none"/>
        </w:rPr>
      </w:pPr>
    </w:p>
    <w:p w14:paraId="57B485B9">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309FF664">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p w14:paraId="76C3F391">
      <w:pPr>
        <w:keepNext w:val="0"/>
        <w:keepLines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供应商名称：</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 xml:space="preserve">全称）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2D5E4A9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textAlignment w:val="auto"/>
        <w:rPr>
          <w:rFonts w:hint="default" w:ascii="Times New Roman" w:hAnsi="Times New Roman" w:cs="Times New Roman" w:eastAsiaTheme="minorEastAsia"/>
          <w:color w:val="auto"/>
          <w:sz w:val="21"/>
          <w:szCs w:val="21"/>
          <w:highlight w:val="none"/>
          <w:u w:val="single"/>
        </w:rPr>
      </w:pPr>
      <w:r>
        <w:rPr>
          <w:rFonts w:hint="default" w:ascii="Times New Roman" w:hAnsi="Times New Roman" w:cs="Times New Roman" w:eastAsiaTheme="minorEastAsia"/>
          <w:b w:val="0"/>
          <w:bCs/>
          <w:color w:val="auto"/>
          <w:sz w:val="21"/>
          <w:szCs w:val="21"/>
          <w:highlight w:val="none"/>
        </w:rPr>
        <w:t>日期：</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年</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月</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日</w:t>
      </w:r>
    </w:p>
    <w:p w14:paraId="7F2A9307">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21"/>
          <w:szCs w:val="21"/>
          <w:highlight w:val="none"/>
        </w:rPr>
      </w:pPr>
    </w:p>
    <w:p w14:paraId="4D6CC34A">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sz w:val="21"/>
          <w:szCs w:val="21"/>
          <w:highlight w:val="none"/>
        </w:rPr>
      </w:pPr>
    </w:p>
    <w:p w14:paraId="46C80D09">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注：享受政府采购支持政策的残疾人福利性单位应当同时满足以下条件：</w:t>
      </w:r>
    </w:p>
    <w:p w14:paraId="357CB00F">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（一）安置的残疾人占本单位在职职工人数的比例不低于25%（含25%），并且安置的残疾人人数不少于10 人（含10 人）；</w:t>
      </w:r>
    </w:p>
    <w:p w14:paraId="1AB547A2">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（二）依法与安置的每位残疾人签订了一年以上（含一年）的劳动合同或服务协议；</w:t>
      </w:r>
    </w:p>
    <w:p w14:paraId="09A937A7">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（三）为安置的每位残疾人按月足额缴纳了基本养老保险、基本医疗保险、失业保险、工伤保险和生育保险等社会保险费；</w:t>
      </w:r>
    </w:p>
    <w:p w14:paraId="54F4233A">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（四）通过银行等金融机构向安置的每位残疾人，按月支付了不低于单位所在区县适用的经省级人民政府批准的月最低工资标准的工资；</w:t>
      </w:r>
    </w:p>
    <w:p w14:paraId="38BAF5BD">
      <w:pPr>
        <w:keepLines w:val="0"/>
        <w:kinsoku/>
        <w:wordWrap/>
        <w:overflowPunct/>
        <w:topLinePunct w:val="0"/>
        <w:bidi w:val="0"/>
        <w:spacing w:beforeAutospacing="0" w:afterAutospacing="0" w:line="440" w:lineRule="atLeast"/>
        <w:ind w:left="0" w:leftChars="0" w:right="0" w:rightChars="0"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（五）提供本单位制造的货物、承担的工程或者服务（以下简称产品），或者提供其他残疾人福利性单位制造的货物（不包括使用非残疾人福利性单位注册商标的货物）。</w:t>
      </w:r>
    </w:p>
    <w:p w14:paraId="701004C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14:paraId="1445A45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Cs w:val="21"/>
          <w:highlight w:val="none"/>
        </w:rPr>
      </w:pPr>
    </w:p>
    <w:p w14:paraId="5C439E6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kern w:val="0"/>
          <w:sz w:val="36"/>
          <w:szCs w:val="20"/>
          <w:highlight w:val="none"/>
        </w:rPr>
      </w:pPr>
    </w:p>
    <w:p w14:paraId="1B6F44ED">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kern w:val="0"/>
          <w:sz w:val="32"/>
          <w:szCs w:val="32"/>
          <w:highlight w:val="none"/>
        </w:rPr>
      </w:pPr>
      <w:r>
        <w:rPr>
          <w:rFonts w:hint="default" w:ascii="Times New Roman" w:hAnsi="Times New Roman" w:cs="Times New Roman" w:eastAsiaTheme="minorEastAsia"/>
          <w:b/>
          <w:bCs/>
          <w:color w:val="auto"/>
          <w:kern w:val="0"/>
          <w:sz w:val="32"/>
          <w:szCs w:val="32"/>
          <w:highlight w:val="none"/>
        </w:rPr>
        <w:t>监狱企业的证明文件（如有）</w:t>
      </w:r>
    </w:p>
    <w:p w14:paraId="021CBE7D">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kern w:val="0"/>
          <w:sz w:val="21"/>
          <w:szCs w:val="21"/>
          <w:highlight w:val="none"/>
        </w:rPr>
      </w:pPr>
    </w:p>
    <w:p w14:paraId="5C08103C">
      <w:pPr>
        <w:pStyle w:val="42"/>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说明：监狱企业参加政府采购活动时，应当提供由省级以上监狱管理局、戒毒管理局（含新疆生产建设兵团）出具的属于监狱企业的证明文件，并加盖投标单位公章。</w:t>
      </w:r>
    </w:p>
    <w:p w14:paraId="21B84821">
      <w:pPr>
        <w:pStyle w:val="42"/>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1"/>
          <w:szCs w:val="21"/>
          <w:highlight w:val="none"/>
        </w:rPr>
        <w:sectPr>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p>
    <w:p w14:paraId="37F5E684">
      <w:pPr>
        <w:keepLines w:val="0"/>
        <w:pageBreakBefore/>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181" w:name="_Toc7378"/>
      <w:bookmarkStart w:id="182" w:name="_Toc8977"/>
      <w:bookmarkStart w:id="183" w:name="_Toc5841"/>
      <w:bookmarkStart w:id="184" w:name="_Toc438547164"/>
      <w:bookmarkStart w:id="185" w:name="_Toc6410"/>
      <w:r>
        <w:rPr>
          <w:rFonts w:hint="default" w:ascii="Times New Roman" w:hAnsi="Times New Roman" w:cs="Times New Roman" w:eastAsiaTheme="minorEastAsia"/>
          <w:b/>
          <w:bCs/>
          <w:color w:val="auto"/>
          <w:sz w:val="36"/>
          <w:szCs w:val="36"/>
          <w:highlight w:val="none"/>
          <w:lang w:val="en-US" w:eastAsia="zh-CN"/>
        </w:rPr>
        <w:t>1.12</w:t>
      </w:r>
      <w:r>
        <w:rPr>
          <w:rFonts w:hint="default" w:ascii="Times New Roman" w:hAnsi="Times New Roman" w:cs="Times New Roman" w:eastAsiaTheme="minorEastAsia"/>
          <w:b/>
          <w:bCs/>
          <w:color w:val="auto"/>
          <w:sz w:val="36"/>
          <w:szCs w:val="36"/>
          <w:highlight w:val="none"/>
        </w:rPr>
        <w:t>其他证明材料</w:t>
      </w:r>
      <w:bookmarkEnd w:id="181"/>
      <w:bookmarkEnd w:id="182"/>
      <w:bookmarkEnd w:id="183"/>
      <w:bookmarkEnd w:id="184"/>
      <w:bookmarkEnd w:id="185"/>
    </w:p>
    <w:p w14:paraId="0358C522">
      <w:pPr>
        <w:keepLines w:val="0"/>
        <w:numPr>
          <w:ilvl w:val="0"/>
          <w:numId w:val="9"/>
        </w:numPr>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val="0"/>
          <w:bCs/>
          <w:color w:val="auto"/>
          <w:sz w:val="21"/>
          <w:szCs w:val="21"/>
          <w:highlight w:val="none"/>
        </w:rPr>
      </w:pPr>
      <w:r>
        <w:rPr>
          <w:rFonts w:hint="default" w:ascii="Times New Roman" w:hAnsi="Times New Roman" w:cs="Times New Roman" w:eastAsiaTheme="minorEastAsia"/>
          <w:b w:val="0"/>
          <w:bCs/>
          <w:color w:val="auto"/>
          <w:sz w:val="21"/>
          <w:szCs w:val="21"/>
          <w:highlight w:val="none"/>
        </w:rPr>
        <w:t>投标人未被列入“信用中国”网站(www.creditchina.gov.cn)“失信被执行人”记录名单；未处于中国政府采购网(www.ccgp.gov.cn)“政府采购严重违法失信行为记录名单”中的禁止参加政府采购活动期间。（以投标截止日当天在“信用中国”网站（www.creditchina.gov.cn）及中国政府采购网(www.ccgp.gov.cn)查询结果为准，如相关失信记录已失效，投标人需提供相关证明资料。）</w:t>
      </w:r>
    </w:p>
    <w:p w14:paraId="3ED21AE7">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val="0"/>
          <w:bCs/>
          <w:color w:val="auto"/>
          <w:sz w:val="21"/>
          <w:szCs w:val="21"/>
          <w:highlight w:val="none"/>
        </w:rPr>
      </w:pPr>
      <w:r>
        <w:rPr>
          <w:rFonts w:hint="eastAsia" w:ascii="Times New Roman" w:hAnsi="Times New Roman" w:cs="Times New Roman"/>
          <w:bCs/>
          <w:color w:val="auto"/>
          <w:sz w:val="21"/>
          <w:szCs w:val="21"/>
          <w:highlight w:val="none"/>
          <w:lang w:val="en-US" w:eastAsia="zh-CN"/>
        </w:rPr>
        <w:t>2、</w:t>
      </w:r>
      <w:r>
        <w:rPr>
          <w:rFonts w:hint="default" w:ascii="Times New Roman" w:hAnsi="Times New Roman" w:cs="Times New Roman" w:eastAsiaTheme="minorEastAsia"/>
          <w:b w:val="0"/>
          <w:bCs/>
          <w:color w:val="auto"/>
          <w:sz w:val="21"/>
          <w:szCs w:val="21"/>
          <w:highlight w:val="none"/>
        </w:rPr>
        <w:t>供应商认为有必要提供的其他文件材料。</w:t>
      </w:r>
    </w:p>
    <w:bookmarkEnd w:id="148"/>
    <w:p w14:paraId="6B1997AD">
      <w:pPr>
        <w:pStyle w:val="4"/>
        <w:keepLines w:val="0"/>
        <w:pageBreakBefore/>
        <w:kinsoku/>
        <w:wordWrap/>
        <w:overflowPunct/>
        <w:topLinePunct w:val="0"/>
        <w:bidi w:val="0"/>
        <w:spacing w:beforeAutospacing="0" w:afterAutospacing="0" w:line="440" w:lineRule="atLeast"/>
        <w:ind w:left="0" w:leftChars="0" w:right="0" w:rightChars="0"/>
        <w:outlineLvl w:val="0"/>
        <w:rPr>
          <w:rFonts w:hint="default" w:ascii="Times New Roman" w:hAnsi="Times New Roman" w:cs="Times New Roman" w:eastAsiaTheme="minorEastAsia"/>
          <w:b/>
          <w:bCs w:val="0"/>
          <w:color w:val="auto"/>
          <w:sz w:val="36"/>
          <w:szCs w:val="36"/>
          <w:highlight w:val="none"/>
        </w:rPr>
        <w:sectPr>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bookmarkStart w:id="186" w:name="_Toc31284"/>
      <w:bookmarkStart w:id="187" w:name="_Toc240108117"/>
      <w:bookmarkStart w:id="188" w:name="_Toc259803670"/>
      <w:bookmarkStart w:id="189" w:name="_Toc28454"/>
      <w:bookmarkStart w:id="190" w:name="_Toc9610"/>
      <w:bookmarkStart w:id="191" w:name="_Toc419106572"/>
      <w:bookmarkStart w:id="192" w:name="_Toc24232"/>
      <w:r>
        <w:rPr>
          <w:rFonts w:hint="default" w:ascii="Times New Roman" w:hAnsi="Times New Roman" w:cs="Times New Roman" w:eastAsiaTheme="minorEastAsia"/>
          <w:b/>
          <w:bCs w:val="0"/>
          <w:color w:val="auto"/>
          <w:sz w:val="36"/>
          <w:szCs w:val="36"/>
          <w:highlight w:val="none"/>
        </w:rPr>
        <w:t>第二章  评审内容索引</w:t>
      </w:r>
      <w:bookmarkEnd w:id="186"/>
      <w:bookmarkEnd w:id="187"/>
      <w:bookmarkEnd w:id="188"/>
      <w:bookmarkEnd w:id="189"/>
      <w:bookmarkEnd w:id="190"/>
      <w:bookmarkEnd w:id="191"/>
      <w:bookmarkEnd w:id="192"/>
    </w:p>
    <w:p w14:paraId="5674F94E">
      <w:pPr>
        <w:keepLines w:val="0"/>
        <w:pageBreakBefore/>
        <w:numPr>
          <w:ilvl w:val="0"/>
          <w:numId w:val="10"/>
        </w:numPr>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lang w:val="en-US"/>
        </w:rPr>
      </w:pPr>
      <w:bookmarkStart w:id="193" w:name="_评审内容索引表"/>
      <w:bookmarkEnd w:id="193"/>
      <w:bookmarkStart w:id="194" w:name="_Toc24428"/>
      <w:bookmarkStart w:id="195" w:name="_Toc3608"/>
      <w:bookmarkStart w:id="196" w:name="_Toc28098"/>
      <w:bookmarkStart w:id="197" w:name="_Toc28520"/>
      <w:bookmarkStart w:id="198" w:name="_Toc419106573"/>
      <w:r>
        <w:rPr>
          <w:rFonts w:hint="default" w:ascii="Times New Roman" w:hAnsi="Times New Roman" w:cs="Times New Roman" w:eastAsiaTheme="minorEastAsia"/>
          <w:b/>
          <w:bCs/>
          <w:color w:val="auto"/>
          <w:sz w:val="36"/>
          <w:szCs w:val="36"/>
          <w:highlight w:val="none"/>
          <w:lang w:val="en-US"/>
        </w:rPr>
        <w:t>符合性审查索引表</w:t>
      </w:r>
      <w:bookmarkEnd w:id="194"/>
    </w:p>
    <w:tbl>
      <w:tblPr>
        <w:tblStyle w:val="18"/>
        <w:tblW w:w="97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7"/>
        <w:gridCol w:w="5570"/>
        <w:gridCol w:w="1406"/>
        <w:gridCol w:w="2067"/>
      </w:tblGrid>
      <w:tr w14:paraId="2E31FE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7AD6692D">
            <w:pPr>
              <w:pStyle w:val="43"/>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序号</w:t>
            </w:r>
          </w:p>
        </w:tc>
        <w:tc>
          <w:tcPr>
            <w:tcW w:w="557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3048E574">
            <w:pPr>
              <w:pStyle w:val="43"/>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审  查  内  容</w:t>
            </w:r>
          </w:p>
        </w:tc>
        <w:tc>
          <w:tcPr>
            <w:tcW w:w="1406"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2AEE5286">
            <w:pPr>
              <w:pStyle w:val="43"/>
              <w:keepLines w:val="0"/>
              <w:kinsoku/>
              <w:wordWrap/>
              <w:overflowPunct/>
              <w:topLinePunct w:val="0"/>
              <w:bidi w:val="0"/>
              <w:spacing w:beforeAutospacing="0" w:afterAutospacing="0" w:line="440" w:lineRule="atLeast"/>
              <w:ind w:left="0" w:leftChars="0" w:right="0" w:rightChars="0" w:firstLine="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是否响应</w:t>
            </w:r>
          </w:p>
        </w:tc>
        <w:tc>
          <w:tcPr>
            <w:tcW w:w="206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061B0EC4">
            <w:pPr>
              <w:pStyle w:val="43"/>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索引页码</w:t>
            </w:r>
          </w:p>
        </w:tc>
      </w:tr>
      <w:tr w14:paraId="0ED881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6ACB1B32">
            <w:pPr>
              <w:keepLines w:val="0"/>
              <w:tabs>
                <w:tab w:val="left" w:pos="972"/>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rPr>
              <w:t>1</w:t>
            </w:r>
          </w:p>
        </w:tc>
        <w:tc>
          <w:tcPr>
            <w:tcW w:w="5570" w:type="dxa"/>
            <w:tcBorders>
              <w:top w:val="single" w:color="auto" w:sz="4" w:space="0"/>
              <w:left w:val="single" w:color="auto" w:sz="4" w:space="0"/>
              <w:bottom w:val="single" w:color="auto" w:sz="4" w:space="0"/>
              <w:right w:val="single" w:color="auto" w:sz="4" w:space="0"/>
            </w:tcBorders>
            <w:noWrap w:val="0"/>
            <w:vAlign w:val="center"/>
          </w:tcPr>
          <w:p w14:paraId="52CD1FDB">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sz w:val="21"/>
                <w:szCs w:val="21"/>
                <w:highlight w:val="none"/>
              </w:rPr>
              <w:t>投标文件有效性</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74110953">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kern w:val="0"/>
                <w:sz w:val="24"/>
                <w:highlight w:val="none"/>
              </w:rPr>
            </w:pPr>
          </w:p>
        </w:tc>
        <w:tc>
          <w:tcPr>
            <w:tcW w:w="2067" w:type="dxa"/>
            <w:tcBorders>
              <w:top w:val="single" w:color="auto" w:sz="4" w:space="0"/>
              <w:left w:val="single" w:color="auto" w:sz="4" w:space="0"/>
              <w:bottom w:val="single" w:color="auto" w:sz="4" w:space="0"/>
              <w:right w:val="single" w:color="auto" w:sz="4" w:space="0"/>
            </w:tcBorders>
            <w:noWrap w:val="0"/>
            <w:vAlign w:val="center"/>
          </w:tcPr>
          <w:p w14:paraId="5F11223E">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kern w:val="0"/>
                <w:sz w:val="24"/>
                <w:szCs w:val="20"/>
                <w:highlight w:val="none"/>
              </w:rPr>
            </w:pPr>
          </w:p>
        </w:tc>
      </w:tr>
      <w:tr w14:paraId="74C8E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218685CB">
            <w:pPr>
              <w:keepLines w:val="0"/>
              <w:tabs>
                <w:tab w:val="left" w:pos="972"/>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rPr>
              <w:t>2</w:t>
            </w:r>
          </w:p>
        </w:tc>
        <w:tc>
          <w:tcPr>
            <w:tcW w:w="5570" w:type="dxa"/>
            <w:tcBorders>
              <w:top w:val="single" w:color="auto" w:sz="4" w:space="0"/>
              <w:left w:val="single" w:color="auto" w:sz="4" w:space="0"/>
              <w:bottom w:val="single" w:color="auto" w:sz="4" w:space="0"/>
              <w:right w:val="single" w:color="auto" w:sz="4" w:space="0"/>
            </w:tcBorders>
            <w:noWrap w:val="0"/>
            <w:vAlign w:val="center"/>
          </w:tcPr>
          <w:p w14:paraId="3D65239A">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sz w:val="21"/>
                <w:szCs w:val="21"/>
                <w:highlight w:val="none"/>
              </w:rPr>
              <w:t>响应承诺函</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2E00C4E">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kern w:val="0"/>
                <w:sz w:val="24"/>
                <w:highlight w:val="none"/>
              </w:rPr>
            </w:pPr>
          </w:p>
        </w:tc>
        <w:tc>
          <w:tcPr>
            <w:tcW w:w="2067" w:type="dxa"/>
            <w:tcBorders>
              <w:top w:val="single" w:color="auto" w:sz="4" w:space="0"/>
              <w:left w:val="single" w:color="auto" w:sz="4" w:space="0"/>
              <w:bottom w:val="single" w:color="auto" w:sz="4" w:space="0"/>
              <w:right w:val="single" w:color="auto" w:sz="4" w:space="0"/>
            </w:tcBorders>
            <w:noWrap w:val="0"/>
            <w:vAlign w:val="center"/>
          </w:tcPr>
          <w:p w14:paraId="736116CC">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kern w:val="0"/>
                <w:sz w:val="24"/>
                <w:szCs w:val="20"/>
                <w:highlight w:val="none"/>
              </w:rPr>
            </w:pPr>
          </w:p>
        </w:tc>
      </w:tr>
      <w:tr w14:paraId="6D75E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2F8974BF">
            <w:pPr>
              <w:keepLines w:val="0"/>
              <w:tabs>
                <w:tab w:val="left" w:pos="972"/>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rPr>
              <w:t>3</w:t>
            </w:r>
          </w:p>
        </w:tc>
        <w:tc>
          <w:tcPr>
            <w:tcW w:w="5570" w:type="dxa"/>
            <w:tcBorders>
              <w:top w:val="single" w:color="auto" w:sz="4" w:space="0"/>
              <w:left w:val="single" w:color="auto" w:sz="4" w:space="0"/>
              <w:bottom w:val="single" w:color="auto" w:sz="4" w:space="0"/>
              <w:right w:val="single" w:color="auto" w:sz="4" w:space="0"/>
            </w:tcBorders>
            <w:noWrap w:val="0"/>
            <w:vAlign w:val="center"/>
          </w:tcPr>
          <w:p w14:paraId="45338989">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sz w:val="21"/>
                <w:szCs w:val="21"/>
                <w:highlight w:val="none"/>
              </w:rPr>
              <w:t>实质性响应条款（即标注★ 号条款）</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1398E2F">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kern w:val="0"/>
                <w:sz w:val="24"/>
                <w:highlight w:val="none"/>
              </w:rPr>
            </w:pPr>
          </w:p>
        </w:tc>
        <w:tc>
          <w:tcPr>
            <w:tcW w:w="2067" w:type="dxa"/>
            <w:tcBorders>
              <w:top w:val="single" w:color="auto" w:sz="4" w:space="0"/>
              <w:left w:val="single" w:color="auto" w:sz="4" w:space="0"/>
              <w:bottom w:val="single" w:color="auto" w:sz="4" w:space="0"/>
              <w:right w:val="single" w:color="auto" w:sz="4" w:space="0"/>
            </w:tcBorders>
            <w:noWrap w:val="0"/>
            <w:vAlign w:val="center"/>
          </w:tcPr>
          <w:p w14:paraId="5B1B9C13">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kern w:val="0"/>
                <w:sz w:val="24"/>
                <w:szCs w:val="20"/>
                <w:highlight w:val="none"/>
              </w:rPr>
            </w:pPr>
          </w:p>
        </w:tc>
      </w:tr>
      <w:tr w14:paraId="2824C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1639B852">
            <w:pPr>
              <w:keepLines w:val="0"/>
              <w:tabs>
                <w:tab w:val="left" w:pos="972"/>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szCs w:val="21"/>
                <w:highlight w:val="none"/>
                <w:lang w:eastAsia="zh-CN"/>
              </w:rPr>
            </w:pPr>
            <w:r>
              <w:rPr>
                <w:rFonts w:hint="default" w:ascii="Times New Roman" w:hAnsi="Times New Roman" w:cs="Times New Roman" w:eastAsiaTheme="minorEastAsia"/>
                <w:b/>
                <w:color w:val="auto"/>
                <w:szCs w:val="21"/>
                <w:highlight w:val="none"/>
                <w:lang w:val="en-US" w:eastAsia="zh-CN"/>
              </w:rPr>
              <w:t>4</w:t>
            </w:r>
          </w:p>
        </w:tc>
        <w:tc>
          <w:tcPr>
            <w:tcW w:w="5570" w:type="dxa"/>
            <w:tcBorders>
              <w:top w:val="single" w:color="auto" w:sz="4" w:space="0"/>
              <w:left w:val="single" w:color="auto" w:sz="4" w:space="0"/>
              <w:bottom w:val="single" w:color="auto" w:sz="4" w:space="0"/>
              <w:right w:val="single" w:color="auto" w:sz="4" w:space="0"/>
            </w:tcBorders>
            <w:noWrap w:val="0"/>
            <w:vAlign w:val="center"/>
          </w:tcPr>
          <w:p w14:paraId="35F69291">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szCs w:val="21"/>
                <w:highlight w:val="none"/>
              </w:rPr>
              <w:t>报价要求</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DA8D680">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kern w:val="0"/>
                <w:sz w:val="24"/>
                <w:highlight w:val="none"/>
              </w:rPr>
            </w:pPr>
          </w:p>
        </w:tc>
        <w:tc>
          <w:tcPr>
            <w:tcW w:w="2067" w:type="dxa"/>
            <w:tcBorders>
              <w:top w:val="single" w:color="auto" w:sz="4" w:space="0"/>
              <w:left w:val="single" w:color="auto" w:sz="4" w:space="0"/>
              <w:bottom w:val="single" w:color="auto" w:sz="4" w:space="0"/>
              <w:right w:val="single" w:color="auto" w:sz="4" w:space="0"/>
            </w:tcBorders>
            <w:noWrap w:val="0"/>
            <w:vAlign w:val="center"/>
          </w:tcPr>
          <w:p w14:paraId="0496BA9B">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kern w:val="0"/>
                <w:sz w:val="24"/>
                <w:szCs w:val="20"/>
                <w:highlight w:val="none"/>
              </w:rPr>
            </w:pPr>
          </w:p>
        </w:tc>
      </w:tr>
      <w:tr w14:paraId="36FC2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61439B28">
            <w:pPr>
              <w:keepLines w:val="0"/>
              <w:tabs>
                <w:tab w:val="left" w:pos="972"/>
              </w:tabs>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szCs w:val="21"/>
                <w:highlight w:val="none"/>
                <w:lang w:val="en-US" w:eastAsia="zh-CN"/>
              </w:rPr>
            </w:pPr>
            <w:bookmarkStart w:id="199" w:name="_Toc29137"/>
            <w:r>
              <w:rPr>
                <w:rFonts w:hint="eastAsia" w:ascii="Times New Roman" w:hAnsi="Times New Roman" w:cs="Times New Roman"/>
                <w:b/>
                <w:color w:val="auto"/>
                <w:szCs w:val="21"/>
                <w:highlight w:val="none"/>
                <w:lang w:val="en-US" w:eastAsia="zh-CN"/>
              </w:rPr>
              <w:t>5</w:t>
            </w:r>
          </w:p>
        </w:tc>
        <w:tc>
          <w:tcPr>
            <w:tcW w:w="5570" w:type="dxa"/>
            <w:tcBorders>
              <w:top w:val="single" w:color="auto" w:sz="4" w:space="0"/>
              <w:left w:val="single" w:color="auto" w:sz="4" w:space="0"/>
              <w:bottom w:val="single" w:color="auto" w:sz="4" w:space="0"/>
              <w:right w:val="single" w:color="auto" w:sz="4" w:space="0"/>
            </w:tcBorders>
            <w:noWrap w:val="0"/>
            <w:vAlign w:val="center"/>
          </w:tcPr>
          <w:p w14:paraId="2CE9C8EA">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szCs w:val="21"/>
                <w:highlight w:val="none"/>
              </w:rPr>
              <w:t>其它</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5D9E51C">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kern w:val="0"/>
                <w:sz w:val="24"/>
                <w:highlight w:val="none"/>
              </w:rPr>
            </w:pPr>
          </w:p>
        </w:tc>
        <w:tc>
          <w:tcPr>
            <w:tcW w:w="2067" w:type="dxa"/>
            <w:tcBorders>
              <w:top w:val="single" w:color="auto" w:sz="4" w:space="0"/>
              <w:left w:val="single" w:color="auto" w:sz="4" w:space="0"/>
              <w:bottom w:val="single" w:color="auto" w:sz="4" w:space="0"/>
              <w:right w:val="single" w:color="auto" w:sz="4" w:space="0"/>
            </w:tcBorders>
            <w:noWrap w:val="0"/>
            <w:vAlign w:val="center"/>
          </w:tcPr>
          <w:p w14:paraId="234673D9">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kern w:val="0"/>
                <w:sz w:val="24"/>
                <w:szCs w:val="20"/>
                <w:highlight w:val="none"/>
              </w:rPr>
            </w:pPr>
          </w:p>
        </w:tc>
      </w:tr>
    </w:tbl>
    <w:p w14:paraId="77DF8083">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sz w:val="36"/>
          <w:szCs w:val="36"/>
          <w:highlight w:val="none"/>
        </w:rPr>
      </w:pPr>
      <w:r>
        <w:rPr>
          <w:rFonts w:hint="default" w:ascii="Times New Roman" w:hAnsi="Times New Roman" w:cs="Times New Roman" w:eastAsiaTheme="minorEastAsia"/>
          <w:b/>
          <w:bCs/>
          <w:color w:val="auto"/>
          <w:sz w:val="36"/>
          <w:szCs w:val="36"/>
          <w:highlight w:val="none"/>
        </w:rPr>
        <w:br w:type="page"/>
      </w:r>
    </w:p>
    <w:p w14:paraId="0217CE26">
      <w:pPr>
        <w:pStyle w:val="21"/>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（对于采购需求</w:t>
      </w:r>
      <w:r>
        <w:rPr>
          <w:rFonts w:hint="eastAsia" w:ascii="宋体" w:hAnsi="宋体" w:eastAsia="宋体" w:cs="宋体"/>
          <w:color w:val="auto"/>
          <w:sz w:val="21"/>
          <w:szCs w:val="21"/>
          <w:highlight w:val="none"/>
          <w:lang w:eastAsia="zh-CN"/>
        </w:rPr>
        <w:t>需响应</w:t>
      </w:r>
      <w:r>
        <w:rPr>
          <w:rFonts w:hint="eastAsia" w:ascii="宋体" w:hAnsi="宋体" w:eastAsia="宋体" w:cs="宋体"/>
          <w:color w:val="auto"/>
          <w:sz w:val="21"/>
          <w:szCs w:val="21"/>
          <w:highlight w:val="none"/>
        </w:rPr>
        <w:t>的条款，供应商可参照以下格式提供承诺）</w:t>
      </w:r>
    </w:p>
    <w:p w14:paraId="4A258C7D">
      <w:pPr>
        <w:pStyle w:val="21"/>
        <w:keepLines w:val="0"/>
        <w:kinsoku/>
        <w:wordWrap/>
        <w:overflowPunct/>
        <w:topLinePunct w:val="0"/>
        <w:bidi w:val="0"/>
        <w:spacing w:beforeAutospacing="0" w:afterAutospacing="0" w:line="440" w:lineRule="atLeast"/>
        <w:ind w:left="0" w:leftChars="0" w:right="0" w:rightChars="0"/>
        <w:rPr>
          <w:rFonts w:hint="eastAsia" w:ascii="宋体" w:hAnsi="宋体" w:eastAsia="宋体" w:cs="宋体"/>
          <w:color w:val="auto"/>
          <w:sz w:val="21"/>
          <w:szCs w:val="21"/>
          <w:highlight w:val="none"/>
        </w:rPr>
      </w:pPr>
    </w:p>
    <w:p w14:paraId="58752701">
      <w:pPr>
        <w:pStyle w:val="21"/>
        <w:keepLines w:val="0"/>
        <w:kinsoku/>
        <w:wordWrap/>
        <w:overflowPunct/>
        <w:topLinePunct w:val="0"/>
        <w:bidi w:val="0"/>
        <w:spacing w:beforeAutospacing="0" w:afterAutospacing="0" w:line="440" w:lineRule="atLeast"/>
        <w:ind w:left="0" w:leftChars="0" w:right="0" w:rightChars="0"/>
        <w:jc w:val="center"/>
        <w:outlineLvl w:val="3"/>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承诺函</w:t>
      </w:r>
    </w:p>
    <w:p w14:paraId="7EA9B639">
      <w:pPr>
        <w:pStyle w:val="21"/>
        <w:keepLines w:val="0"/>
        <w:kinsoku/>
        <w:wordWrap/>
        <w:overflowPunct/>
        <w:topLinePunct w:val="0"/>
        <w:bidi w:val="0"/>
        <w:spacing w:beforeAutospacing="0" w:afterAutospacing="0" w:line="440" w:lineRule="atLeast"/>
        <w:ind w:left="0" w:leftChars="0" w:right="0" w:rightChars="0"/>
        <w:jc w:val="center"/>
        <w:outlineLvl w:val="3"/>
        <w:rPr>
          <w:rFonts w:hint="eastAsia" w:ascii="宋体" w:hAnsi="宋体" w:eastAsia="宋体" w:cs="宋体"/>
          <w:b/>
          <w:color w:val="auto"/>
          <w:sz w:val="21"/>
          <w:szCs w:val="21"/>
          <w:highlight w:val="none"/>
        </w:rPr>
      </w:pPr>
    </w:p>
    <w:p w14:paraId="46F06E43">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lang w:eastAsia="zh-CN"/>
        </w:rPr>
        <w:t>佛山市高明区人民法院</w:t>
      </w:r>
      <w:r>
        <w:rPr>
          <w:rFonts w:hint="eastAsia" w:ascii="宋体" w:hAnsi="宋体" w:eastAsia="宋体" w:cs="宋体"/>
          <w:color w:val="auto"/>
          <w:sz w:val="21"/>
          <w:szCs w:val="21"/>
          <w:highlight w:val="none"/>
        </w:rPr>
        <w:br w:type="textWrapping"/>
      </w:r>
    </w:p>
    <w:p w14:paraId="320062D5">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w:t>
      </w:r>
      <w:r>
        <w:rPr>
          <w:rFonts w:hint="eastAsia" w:ascii="宋体" w:hAnsi="宋体" w:eastAsia="宋体" w:cs="宋体"/>
          <w:color w:val="auto"/>
          <w:sz w:val="21"/>
          <w:szCs w:val="21"/>
          <w:highlight w:val="none"/>
          <w:u w:val="single"/>
          <w:lang w:eastAsia="zh-CN"/>
        </w:rPr>
        <w:t>佛山市高明区人民法院执行案件集约化送达服务项目</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lang w:eastAsia="zh-CN"/>
        </w:rPr>
        <w:t>GDYD240563</w:t>
      </w:r>
      <w:r>
        <w:rPr>
          <w:rFonts w:hint="eastAsia" w:ascii="宋体" w:hAnsi="宋体" w:eastAsia="宋体" w:cs="宋体"/>
          <w:color w:val="auto"/>
          <w:sz w:val="21"/>
          <w:szCs w:val="21"/>
          <w:highlight w:val="none"/>
        </w:rPr>
        <w:t>），我方郑重承诺如下：</w:t>
      </w:r>
    </w:p>
    <w:p w14:paraId="37C0C769">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如中标/成交，我方承诺严格落实采购文件以下条款：(建议逐条复制采购文件相关条款原文)</w:t>
      </w:r>
    </w:p>
    <w:p w14:paraId="124D73C9">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（一）星号条款</w:t>
      </w:r>
    </w:p>
    <w:p w14:paraId="24132FAF">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p w14:paraId="4DF345F1">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p w14:paraId="6DA1D9A3">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p w14:paraId="4D301CD2">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167C1590">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（二）三角号条款</w:t>
      </w:r>
    </w:p>
    <w:p w14:paraId="5E6C617C">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p w14:paraId="68640AD5">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p w14:paraId="78E9FB61">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p w14:paraId="61095DFC">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73035AFB">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（三）非星号、非三角号条款</w:t>
      </w:r>
    </w:p>
    <w:p w14:paraId="4BD0D10E">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p w14:paraId="02B14707">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p w14:paraId="72AADD4C">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p w14:paraId="2F9B3CFA">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br w:type="textWrapping"/>
      </w:r>
    </w:p>
    <w:p w14:paraId="10075352">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45999215">
      <w:pPr>
        <w:pStyle w:val="21"/>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firstLine="480"/>
        <w:textAlignment w:val="auto"/>
        <w:rPr>
          <w:rFonts w:hint="eastAsia" w:ascii="宋体" w:hAnsi="宋体" w:eastAsia="宋体" w:cs="宋体"/>
          <w:color w:val="auto"/>
          <w:sz w:val="21"/>
          <w:szCs w:val="21"/>
          <w:highlight w:val="none"/>
        </w:rPr>
      </w:pPr>
    </w:p>
    <w:p w14:paraId="765D0B16">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供应商名称：</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 xml:space="preserve">全称）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61996ED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textAlignment w:val="auto"/>
        <w:rPr>
          <w:rFonts w:hint="default" w:ascii="Times New Roman" w:hAnsi="Times New Roman" w:cs="Times New Roman" w:eastAsiaTheme="minorEastAsia"/>
          <w:color w:val="auto"/>
          <w:sz w:val="21"/>
          <w:szCs w:val="21"/>
          <w:highlight w:val="none"/>
          <w:u w:val="single"/>
        </w:rPr>
      </w:pPr>
      <w:r>
        <w:rPr>
          <w:rFonts w:hint="default" w:ascii="Times New Roman" w:hAnsi="Times New Roman" w:cs="Times New Roman" w:eastAsiaTheme="minorEastAsia"/>
          <w:b w:val="0"/>
          <w:bCs/>
          <w:color w:val="auto"/>
          <w:sz w:val="21"/>
          <w:szCs w:val="21"/>
          <w:highlight w:val="none"/>
        </w:rPr>
        <w:t>日期：</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年</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月</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日</w:t>
      </w:r>
    </w:p>
    <w:p w14:paraId="785BE7EC">
      <w:pPr>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p w14:paraId="762B19FA">
      <w:pPr>
        <w:keepLines w:val="0"/>
        <w:pageBreakBefore/>
        <w:numPr>
          <w:ilvl w:val="0"/>
          <w:numId w:val="10"/>
        </w:numPr>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r>
        <w:rPr>
          <w:rFonts w:hint="default" w:ascii="Times New Roman" w:hAnsi="Times New Roman" w:cs="Times New Roman" w:eastAsiaTheme="minorEastAsia"/>
          <w:b/>
          <w:bCs/>
          <w:color w:val="auto"/>
          <w:sz w:val="36"/>
          <w:szCs w:val="36"/>
          <w:highlight w:val="none"/>
        </w:rPr>
        <w:t>评审内容索引表</w:t>
      </w:r>
      <w:bookmarkEnd w:id="195"/>
      <w:bookmarkEnd w:id="196"/>
      <w:bookmarkEnd w:id="197"/>
      <w:bookmarkEnd w:id="198"/>
      <w:bookmarkEnd w:id="199"/>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14:paraId="79BB6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3"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4F5436A7">
            <w:pPr>
              <w:pStyle w:val="43"/>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14:paraId="7F31A661">
            <w:pPr>
              <w:pStyle w:val="43"/>
              <w:keepLines w:val="0"/>
              <w:kinsoku/>
              <w:wordWrap/>
              <w:overflowPunct/>
              <w:topLinePunct w:val="0"/>
              <w:bidi w:val="0"/>
              <w:spacing w:beforeAutospacing="0" w:afterAutospacing="0" w:line="440" w:lineRule="atLeast"/>
              <w:ind w:left="0" w:leftChars="0" w:right="0" w:rightChars="0" w:firstLine="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04653DD0">
            <w:pPr>
              <w:pStyle w:val="43"/>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1F5D5021">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自评分</w:t>
            </w:r>
          </w:p>
          <w:p w14:paraId="6624810F">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2C6A962F">
            <w:pPr>
              <w:pStyle w:val="43"/>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资料所在</w:t>
            </w:r>
          </w:p>
          <w:p w14:paraId="0541D9BB">
            <w:pPr>
              <w:pStyle w:val="43"/>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页码范围</w:t>
            </w:r>
          </w:p>
          <w:p w14:paraId="2849EA25">
            <w:pPr>
              <w:pStyle w:val="7"/>
              <w:keepLines w:val="0"/>
              <w:kinsoku/>
              <w:wordWrap/>
              <w:overflowPunct/>
              <w:topLinePunct w:val="0"/>
              <w:bidi w:val="0"/>
              <w:spacing w:before="0" w:beforeLines="0" w:beforeAutospacing="0" w:after="0" w:afterLines="0" w:afterAutospacing="0" w:line="440" w:lineRule="atLeast"/>
              <w:ind w:left="0" w:leftChars="0" w:right="0" w:rightChars="0" w:firstLine="195"/>
              <w:rPr>
                <w:rFonts w:hint="default" w:ascii="Times New Roman" w:hAnsi="Times New Roman" w:cs="Times New Roman" w:eastAsiaTheme="minorEastAsia"/>
                <w:color w:val="auto"/>
                <w:sz w:val="18"/>
                <w:szCs w:val="18"/>
                <w:highlight w:val="none"/>
              </w:rPr>
            </w:pPr>
            <w:r>
              <w:rPr>
                <w:rFonts w:hint="default" w:ascii="Times New Roman" w:hAnsi="Times New Roman" w:cs="Times New Roman" w:eastAsiaTheme="minorEastAsia"/>
                <w:b/>
                <w:color w:val="auto"/>
                <w:sz w:val="18"/>
                <w:szCs w:val="18"/>
                <w:highlight w:val="none"/>
              </w:rPr>
              <w:t>（必填项）</w:t>
            </w:r>
          </w:p>
        </w:tc>
      </w:tr>
      <w:tr w14:paraId="1E4543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14:paraId="136C6A9A">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商务部分</w:t>
            </w:r>
          </w:p>
        </w:tc>
        <w:tc>
          <w:tcPr>
            <w:tcW w:w="464" w:type="dxa"/>
            <w:tcBorders>
              <w:top w:val="single" w:color="auto" w:sz="4" w:space="0"/>
              <w:left w:val="single" w:color="auto" w:sz="4" w:space="0"/>
              <w:bottom w:val="single" w:color="auto" w:sz="4" w:space="0"/>
              <w:right w:val="single" w:color="auto" w:sz="4" w:space="0"/>
            </w:tcBorders>
            <w:noWrap w:val="0"/>
            <w:vAlign w:val="center"/>
          </w:tcPr>
          <w:p w14:paraId="28648F6F">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1F35AB69">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629B275C">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6CAF7A19">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7E08512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582ED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3223325D">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67492FE1">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6809ABD1">
            <w:pPr>
              <w:pStyle w:val="4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07A51E44">
            <w:pPr>
              <w:pStyle w:val="4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1184484F">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2E78B57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19BED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67436925">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366995E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71690975">
            <w:pPr>
              <w:pStyle w:val="4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24943872">
            <w:pPr>
              <w:pStyle w:val="4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4598382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0FFD4B5D">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0D869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31DD13EF">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26A7EF2A">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59335B04">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7608259C">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07B3D04B">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0A3B9A1E">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683F6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008827D2">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0DCFC64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5</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74333D2C">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56B8BFA9">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10E2EA9E">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065C6BD4">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56CF72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5723E028">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25618051">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6</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7B58177C">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6DBD72E8">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48922DC7">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77792AC8">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59CA5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7F80E383">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5147E928">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7</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40FB342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4B626DCB">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3F19D24A">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570F1D77">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027D0C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14:paraId="11658991">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技术部分</w:t>
            </w:r>
          </w:p>
        </w:tc>
        <w:tc>
          <w:tcPr>
            <w:tcW w:w="464" w:type="dxa"/>
            <w:tcBorders>
              <w:top w:val="single" w:color="auto" w:sz="4" w:space="0"/>
              <w:left w:val="single" w:color="auto" w:sz="4" w:space="0"/>
              <w:bottom w:val="single" w:color="auto" w:sz="4" w:space="0"/>
              <w:right w:val="single" w:color="auto" w:sz="4" w:space="0"/>
            </w:tcBorders>
            <w:noWrap w:val="0"/>
            <w:vAlign w:val="center"/>
          </w:tcPr>
          <w:p w14:paraId="57D4290D">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0F1BDE80">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0316476C">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0F26570A">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641FB72B">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31AF2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43DAA601">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363D5A5C">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0BEC2811">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1969A696">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527AC8B1">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554FD4E3">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59C7DA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1F3A589C">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24E3083D">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56A7301A">
            <w:pPr>
              <w:pStyle w:val="4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22E06654">
            <w:pPr>
              <w:pStyle w:val="44"/>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4217518B">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6DD6BDBE">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74ED3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1F6E71B5">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76F4D4F5">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3F707F3E">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7A780AEA">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00A130D9">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34CA3AD4">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7909A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1233AE66">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35C9E8B8">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5</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01DBB2E4">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0E78464A">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006C4EB5">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426CC338">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13C4DF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6095E0DF">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3E1F8378">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6</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3DF4FFB6">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5B3DCFEF">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02377CA4">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725A7F3D">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r w14:paraId="7F6D8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14:paraId="7B50B8A9">
            <w:pPr>
              <w:keepLines w:val="0"/>
              <w:widowControl/>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3CBAFB27">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7</w:t>
            </w:r>
          </w:p>
        </w:tc>
        <w:tc>
          <w:tcPr>
            <w:tcW w:w="3401" w:type="dxa"/>
            <w:tcBorders>
              <w:top w:val="single" w:color="auto" w:sz="4" w:space="0"/>
              <w:left w:val="single" w:color="auto" w:sz="4" w:space="0"/>
              <w:bottom w:val="single" w:color="auto" w:sz="4" w:space="0"/>
              <w:right w:val="single" w:color="auto" w:sz="4" w:space="0"/>
            </w:tcBorders>
            <w:noWrap w:val="0"/>
            <w:vAlign w:val="center"/>
          </w:tcPr>
          <w:p w14:paraId="4E58B4C0">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14:paraId="76475834">
            <w:pPr>
              <w:pStyle w:val="45"/>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080CE0C9">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4EB1E4B4">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highlight w:val="none"/>
              </w:rPr>
            </w:pPr>
          </w:p>
        </w:tc>
      </w:tr>
    </w:tbl>
    <w:p w14:paraId="048A240B">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sectPr>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p>
    <w:p w14:paraId="6BFA6285">
      <w:pPr>
        <w:pStyle w:val="4"/>
        <w:keepLines w:val="0"/>
        <w:pageBreakBefore/>
        <w:kinsoku/>
        <w:wordWrap/>
        <w:overflowPunct/>
        <w:topLinePunct w:val="0"/>
        <w:bidi w:val="0"/>
        <w:spacing w:beforeAutospacing="0" w:afterAutospacing="0" w:line="440" w:lineRule="atLeast"/>
        <w:ind w:left="0" w:leftChars="0" w:right="0" w:rightChars="0"/>
        <w:outlineLvl w:val="0"/>
        <w:rPr>
          <w:rFonts w:hint="default" w:ascii="Times New Roman" w:hAnsi="Times New Roman" w:cs="Times New Roman" w:eastAsiaTheme="minorEastAsia"/>
          <w:b/>
          <w:bCs w:val="0"/>
          <w:color w:val="auto"/>
          <w:sz w:val="36"/>
          <w:szCs w:val="36"/>
          <w:highlight w:val="none"/>
        </w:rPr>
        <w:sectPr>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bookmarkStart w:id="200" w:name="_Toc28710"/>
      <w:bookmarkStart w:id="201" w:name="_Toc8179"/>
      <w:bookmarkStart w:id="202" w:name="_Toc14556"/>
      <w:bookmarkStart w:id="203" w:name="_Toc18263"/>
      <w:r>
        <w:rPr>
          <w:rFonts w:hint="default" w:ascii="Times New Roman" w:hAnsi="Times New Roman" w:cs="Times New Roman" w:eastAsiaTheme="minorEastAsia"/>
          <w:b/>
          <w:bCs w:val="0"/>
          <w:color w:val="auto"/>
          <w:sz w:val="36"/>
          <w:szCs w:val="36"/>
          <w:highlight w:val="none"/>
        </w:rPr>
        <w:fldChar w:fldCharType="begin"/>
      </w:r>
      <w:r>
        <w:rPr>
          <w:rFonts w:hint="default" w:ascii="Times New Roman" w:hAnsi="Times New Roman" w:cs="Times New Roman" w:eastAsiaTheme="minorEastAsia"/>
          <w:b/>
          <w:bCs w:val="0"/>
          <w:color w:val="auto"/>
          <w:sz w:val="36"/>
          <w:szCs w:val="36"/>
          <w:highlight w:val="none"/>
        </w:rPr>
        <w:instrText xml:space="preserve"> HYPERLINK  \l "_投标文件目录" </w:instrText>
      </w:r>
      <w:r>
        <w:rPr>
          <w:rFonts w:hint="default" w:ascii="Times New Roman" w:hAnsi="Times New Roman" w:cs="Times New Roman" w:eastAsiaTheme="minorEastAsia"/>
          <w:b/>
          <w:bCs w:val="0"/>
          <w:color w:val="auto"/>
          <w:sz w:val="36"/>
          <w:szCs w:val="36"/>
          <w:highlight w:val="none"/>
        </w:rPr>
        <w:fldChar w:fldCharType="separate"/>
      </w:r>
      <w:bookmarkStart w:id="204" w:name="_Toc259803671"/>
      <w:bookmarkStart w:id="205" w:name="_Toc113157430"/>
      <w:bookmarkStart w:id="206" w:name="_Toc240108118"/>
      <w:bookmarkStart w:id="207" w:name="_Toc419106574"/>
      <w:r>
        <w:rPr>
          <w:rFonts w:hint="default" w:ascii="Times New Roman" w:hAnsi="Times New Roman" w:cs="Times New Roman" w:eastAsiaTheme="minorEastAsia"/>
          <w:b/>
          <w:bCs w:val="0"/>
          <w:color w:val="auto"/>
          <w:sz w:val="36"/>
          <w:szCs w:val="36"/>
          <w:highlight w:val="none"/>
        </w:rPr>
        <w:t xml:space="preserve">第三章  </w:t>
      </w:r>
      <w:bookmarkStart w:id="208" w:name="_Hlt113156969"/>
      <w:r>
        <w:rPr>
          <w:rFonts w:hint="default" w:ascii="Times New Roman" w:hAnsi="Times New Roman" w:cs="Times New Roman" w:eastAsiaTheme="minorEastAsia"/>
          <w:b/>
          <w:bCs w:val="0"/>
          <w:color w:val="auto"/>
          <w:sz w:val="36"/>
          <w:szCs w:val="36"/>
          <w:highlight w:val="none"/>
        </w:rPr>
        <w:t>商</w:t>
      </w:r>
      <w:bookmarkEnd w:id="208"/>
      <w:r>
        <w:rPr>
          <w:rFonts w:hint="default" w:ascii="Times New Roman" w:hAnsi="Times New Roman" w:cs="Times New Roman" w:eastAsiaTheme="minorEastAsia"/>
          <w:b/>
          <w:bCs w:val="0"/>
          <w:color w:val="auto"/>
          <w:sz w:val="36"/>
          <w:szCs w:val="36"/>
          <w:highlight w:val="none"/>
        </w:rPr>
        <w:t>务部</w:t>
      </w:r>
      <w:bookmarkStart w:id="209" w:name="_Hlt112738997"/>
      <w:r>
        <w:rPr>
          <w:rFonts w:hint="default" w:ascii="Times New Roman" w:hAnsi="Times New Roman" w:cs="Times New Roman" w:eastAsiaTheme="minorEastAsia"/>
          <w:b/>
          <w:bCs w:val="0"/>
          <w:color w:val="auto"/>
          <w:sz w:val="36"/>
          <w:szCs w:val="36"/>
          <w:highlight w:val="none"/>
        </w:rPr>
        <w:t>分</w:t>
      </w:r>
      <w:bookmarkEnd w:id="204"/>
      <w:bookmarkEnd w:id="205"/>
      <w:bookmarkEnd w:id="206"/>
      <w:bookmarkEnd w:id="207"/>
      <w:bookmarkEnd w:id="209"/>
      <w:r>
        <w:rPr>
          <w:rFonts w:hint="default" w:ascii="Times New Roman" w:hAnsi="Times New Roman" w:cs="Times New Roman" w:eastAsiaTheme="minorEastAsia"/>
          <w:b/>
          <w:bCs w:val="0"/>
          <w:color w:val="auto"/>
          <w:sz w:val="36"/>
          <w:szCs w:val="36"/>
          <w:highlight w:val="none"/>
        </w:rPr>
        <w:fldChar w:fldCharType="end"/>
      </w:r>
      <w:bookmarkEnd w:id="200"/>
      <w:bookmarkEnd w:id="201"/>
      <w:bookmarkEnd w:id="202"/>
      <w:bookmarkEnd w:id="203"/>
    </w:p>
    <w:p w14:paraId="6D317381">
      <w:pPr>
        <w:keepLines w:val="0"/>
        <w:pageBreakBefore/>
        <w:numPr>
          <w:ilvl w:val="0"/>
          <w:numId w:val="11"/>
        </w:numPr>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210" w:name="_企业综合概况与计划"/>
      <w:bookmarkEnd w:id="210"/>
      <w:bookmarkStart w:id="211" w:name="_企业综合概况"/>
      <w:bookmarkEnd w:id="211"/>
      <w:bookmarkStart w:id="212" w:name="_商务条款响应表"/>
      <w:bookmarkEnd w:id="212"/>
      <w:bookmarkStart w:id="213" w:name="_Toc11846"/>
      <w:bookmarkStart w:id="214" w:name="_Toc22477"/>
      <w:bookmarkStart w:id="215" w:name="_Toc13645"/>
      <w:bookmarkStart w:id="216" w:name="_Toc20878"/>
      <w:bookmarkStart w:id="217" w:name="_Toc119321155"/>
      <w:bookmarkStart w:id="218" w:name="_Toc136682920"/>
      <w:bookmarkStart w:id="219" w:name="_Toc136662944"/>
      <w:bookmarkStart w:id="220" w:name="_Toc159385079"/>
      <w:bookmarkStart w:id="221" w:name="_Toc108234926"/>
      <w:r>
        <w:rPr>
          <w:rFonts w:hint="default" w:ascii="Times New Roman" w:hAnsi="Times New Roman" w:cs="Times New Roman" w:eastAsiaTheme="minorEastAsia"/>
          <w:b/>
          <w:bCs/>
          <w:color w:val="auto"/>
          <w:sz w:val="36"/>
          <w:szCs w:val="36"/>
          <w:highlight w:val="none"/>
        </w:rPr>
        <w:fldChar w:fldCharType="begin"/>
      </w:r>
      <w:r>
        <w:rPr>
          <w:rFonts w:hint="default" w:ascii="Times New Roman" w:hAnsi="Times New Roman" w:cs="Times New Roman" w:eastAsiaTheme="minorEastAsia"/>
          <w:b/>
          <w:bCs/>
          <w:color w:val="auto"/>
          <w:sz w:val="36"/>
          <w:szCs w:val="36"/>
          <w:highlight w:val="none"/>
        </w:rPr>
        <w:instrText xml:space="preserve"> DOCVARIABLE  商务条款响应表开始  \* MERGEFORMAT </w:instrText>
      </w:r>
      <w:r>
        <w:rPr>
          <w:rFonts w:hint="default" w:ascii="Times New Roman" w:hAnsi="Times New Roman" w:cs="Times New Roman" w:eastAsiaTheme="minorEastAsia"/>
          <w:b/>
          <w:bCs/>
          <w:color w:val="auto"/>
          <w:sz w:val="36"/>
          <w:szCs w:val="36"/>
          <w:highlight w:val="none"/>
        </w:rPr>
        <w:fldChar w:fldCharType="separate"/>
      </w:r>
      <w:r>
        <w:rPr>
          <w:rFonts w:hint="default" w:ascii="Times New Roman" w:hAnsi="Times New Roman" w:cs="Times New Roman" w:eastAsiaTheme="minorEastAsia"/>
          <w:b/>
          <w:bCs/>
          <w:color w:val="auto"/>
          <w:sz w:val="36"/>
          <w:szCs w:val="36"/>
          <w:highlight w:val="none"/>
        </w:rPr>
        <w:fldChar w:fldCharType="end"/>
      </w:r>
      <w:bookmarkStart w:id="222" w:name="_Toc419106575"/>
      <w:r>
        <w:rPr>
          <w:rFonts w:hint="default" w:ascii="Times New Roman" w:hAnsi="Times New Roman" w:cs="Times New Roman" w:eastAsiaTheme="minorEastAsia"/>
          <w:b/>
          <w:bCs/>
          <w:color w:val="auto"/>
          <w:sz w:val="36"/>
          <w:szCs w:val="36"/>
          <w:highlight w:val="none"/>
        </w:rPr>
        <w:t>商务条款响应表</w:t>
      </w:r>
      <w:bookmarkEnd w:id="213"/>
      <w:bookmarkEnd w:id="214"/>
      <w:bookmarkEnd w:id="215"/>
      <w:bookmarkEnd w:id="216"/>
      <w:bookmarkEnd w:id="222"/>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323D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14:paraId="2E38A898">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一、商务条款响应情况</w:t>
            </w:r>
          </w:p>
        </w:tc>
      </w:tr>
      <w:tr w14:paraId="43D1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30DFC041">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398CE2A7">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6A962BEC">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14:paraId="0381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5218EEF">
            <w:pPr>
              <w:keepLines w:val="0"/>
              <w:numPr>
                <w:ilvl w:val="0"/>
                <w:numId w:val="12"/>
              </w:numPr>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7C4F61A1">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57B483B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r>
      <w:tr w14:paraId="1E68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34A3E41C">
            <w:pPr>
              <w:keepLines w:val="0"/>
              <w:numPr>
                <w:ilvl w:val="0"/>
                <w:numId w:val="12"/>
              </w:numPr>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0744EF26">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650B9D1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r>
      <w:tr w14:paraId="5010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6C20FA8">
            <w:pPr>
              <w:keepLines w:val="0"/>
              <w:numPr>
                <w:ilvl w:val="0"/>
                <w:numId w:val="12"/>
              </w:numPr>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3B48984A">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2FB745F6">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r>
      <w:tr w14:paraId="640B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5D32302">
            <w:pPr>
              <w:keepLines w:val="0"/>
              <w:numPr>
                <w:ilvl w:val="0"/>
                <w:numId w:val="12"/>
              </w:numPr>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34AB8400">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1277897B">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r>
      <w:tr w14:paraId="2665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BE8A46C">
            <w:pPr>
              <w:keepLines w:val="0"/>
              <w:numPr>
                <w:ilvl w:val="0"/>
                <w:numId w:val="12"/>
              </w:numPr>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5D685377">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4D2B1580">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r>
      <w:tr w14:paraId="6BF4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3B821FDA">
            <w:pPr>
              <w:keepLines w:val="0"/>
              <w:numPr>
                <w:ilvl w:val="0"/>
                <w:numId w:val="12"/>
              </w:numPr>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334EF256">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同意接受</w:t>
            </w:r>
            <w:r>
              <w:rPr>
                <w:rFonts w:hint="eastAsia" w:ascii="Times New Roman" w:hAnsi="Times New Roman" w:cs="Times New Roman"/>
                <w:color w:val="auto"/>
                <w:highlight w:val="none"/>
                <w:lang w:eastAsia="zh-CN"/>
              </w:rPr>
              <w:t>采购人</w:t>
            </w:r>
            <w:r>
              <w:rPr>
                <w:rFonts w:hint="default" w:ascii="Times New Roman" w:hAnsi="Times New Roman" w:cs="Times New Roman" w:eastAsiaTheme="minorEastAsia"/>
                <w:color w:val="auto"/>
                <w:highlight w:val="none"/>
              </w:rPr>
              <w:t>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6CEB3449">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r>
      <w:tr w14:paraId="69B0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D314D02">
            <w:pPr>
              <w:keepLines w:val="0"/>
              <w:numPr>
                <w:ilvl w:val="0"/>
                <w:numId w:val="12"/>
              </w:numPr>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28AB2537">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w:t>
            </w:r>
            <w:r>
              <w:rPr>
                <w:rFonts w:hint="eastAsia" w:ascii="Times New Roman" w:hAnsi="Times New Roman" w:cs="Times New Roman"/>
                <w:color w:val="auto"/>
                <w:highlight w:val="none"/>
                <w:lang w:eastAsia="zh-CN"/>
              </w:rPr>
              <w:t>采购人</w:t>
            </w:r>
            <w:r>
              <w:rPr>
                <w:rFonts w:hint="default" w:ascii="Times New Roman" w:hAnsi="Times New Roman" w:cs="Times New Roman" w:eastAsiaTheme="minorEastAsia"/>
                <w:color w:val="auto"/>
                <w:highlight w:val="none"/>
              </w:rPr>
              <w:t>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7565094E">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r>
      <w:tr w14:paraId="0100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14:paraId="6EC93FD5">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二、商务条款偏离情况说明（如有）：</w:t>
            </w:r>
          </w:p>
        </w:tc>
      </w:tr>
      <w:tr w14:paraId="2AC1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0A2DE878">
            <w:pPr>
              <w:keepLines w:val="0"/>
              <w:numPr>
                <w:ilvl w:val="0"/>
                <w:numId w:val="12"/>
              </w:numPr>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14:paraId="739E804A">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不同意公开的商务部分内容（如有）：</w:t>
            </w:r>
          </w:p>
        </w:tc>
      </w:tr>
    </w:tbl>
    <w:p w14:paraId="4664039F">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p>
    <w:p w14:paraId="0B8DC3F0">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p>
    <w:p w14:paraId="1291653E">
      <w:pPr>
        <w:keepLines w:val="0"/>
        <w:kinsoku/>
        <w:wordWrap/>
        <w:overflowPunct/>
        <w:topLinePunct w:val="0"/>
        <w:bidi w:val="0"/>
        <w:spacing w:beforeAutospacing="0" w:afterAutospacing="0" w:line="440" w:lineRule="atLeast"/>
        <w:ind w:left="840" w:leftChars="0" w:right="0" w:rightChars="0" w:hanging="840" w:hanging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14:paraId="4346465F">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1、响应栏内空白及打“√”表示完全响应；打“×”视为偏离，请在“商务条款偏离情况说明”栏中扼要说明偏离情况。</w:t>
      </w:r>
    </w:p>
    <w:p w14:paraId="4FC4159A">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2、若上述商务条款内容与“采购项目商务要求”列述不一致时，均以“采购项目商务要求”详细内容为准。</w:t>
      </w:r>
    </w:p>
    <w:p w14:paraId="70A44D43">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3、本表内容不得擅自删改。</w:t>
      </w:r>
    </w:p>
    <w:p w14:paraId="7D7F0848">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p>
    <w:p w14:paraId="308B1A9C">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供应商名称：</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 xml:space="preserve">全称）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2E528042">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textAlignment w:val="auto"/>
        <w:rPr>
          <w:rFonts w:hint="default" w:ascii="Times New Roman" w:hAnsi="Times New Roman" w:cs="Times New Roman" w:eastAsiaTheme="minorEastAsia"/>
          <w:color w:val="auto"/>
          <w:sz w:val="21"/>
          <w:szCs w:val="21"/>
          <w:highlight w:val="none"/>
          <w:u w:val="single"/>
        </w:rPr>
      </w:pPr>
      <w:r>
        <w:rPr>
          <w:rFonts w:hint="default" w:ascii="Times New Roman" w:hAnsi="Times New Roman" w:cs="Times New Roman" w:eastAsiaTheme="minorEastAsia"/>
          <w:b w:val="0"/>
          <w:bCs/>
          <w:color w:val="auto"/>
          <w:sz w:val="21"/>
          <w:szCs w:val="21"/>
          <w:highlight w:val="none"/>
        </w:rPr>
        <w:t>日期：</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年</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月</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日</w:t>
      </w:r>
    </w:p>
    <w:p w14:paraId="277E3F5D">
      <w:pPr>
        <w:keepNext w:val="0"/>
        <w:keepLines w:val="0"/>
        <w:pageBreakBefore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sz w:val="21"/>
          <w:szCs w:val="21"/>
          <w:highlight w:val="none"/>
        </w:rPr>
      </w:pPr>
    </w:p>
    <w:p w14:paraId="0B42AF35">
      <w:pPr>
        <w:keepLines w:val="0"/>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color w:val="auto"/>
          <w:sz w:val="36"/>
          <w:szCs w:val="36"/>
          <w:highlight w:val="none"/>
        </w:rPr>
      </w:pPr>
      <w:r>
        <w:rPr>
          <w:rFonts w:hint="default" w:ascii="Times New Roman" w:hAnsi="Times New Roman" w:cs="Times New Roman" w:eastAsiaTheme="minorEastAsia"/>
          <w:b/>
          <w:color w:val="auto"/>
          <w:sz w:val="36"/>
          <w:szCs w:val="36"/>
          <w:highlight w:val="none"/>
        </w:rPr>
        <w:br w:type="page"/>
      </w:r>
      <w:bookmarkStart w:id="223" w:name="_企业综合概况与实施方案"/>
      <w:bookmarkEnd w:id="223"/>
      <w:bookmarkStart w:id="224" w:name="_Toc13404"/>
      <w:bookmarkStart w:id="225" w:name="_Toc18968"/>
      <w:bookmarkStart w:id="226" w:name="_Toc13946"/>
      <w:bookmarkStart w:id="227" w:name="_Toc26351"/>
      <w:bookmarkStart w:id="228" w:name="_Toc419106576"/>
      <w:r>
        <w:rPr>
          <w:rFonts w:hint="default" w:ascii="Times New Roman" w:hAnsi="Times New Roman" w:cs="Times New Roman" w:eastAsiaTheme="minorEastAsia"/>
          <w:b/>
          <w:color w:val="auto"/>
          <w:sz w:val="36"/>
          <w:szCs w:val="36"/>
          <w:highlight w:val="none"/>
        </w:rPr>
        <w:t>3.2</w:t>
      </w:r>
      <w:r>
        <w:rPr>
          <w:rFonts w:hint="default" w:ascii="Times New Roman" w:hAnsi="Times New Roman" w:cs="Times New Roman" w:eastAsiaTheme="minorEastAsia"/>
          <w:b/>
          <w:bCs/>
          <w:color w:val="auto"/>
          <w:sz w:val="36"/>
          <w:szCs w:val="36"/>
          <w:highlight w:val="none"/>
        </w:rPr>
        <w:t>综合概况</w:t>
      </w:r>
      <w:bookmarkEnd w:id="217"/>
      <w:bookmarkEnd w:id="218"/>
      <w:bookmarkEnd w:id="219"/>
      <w:bookmarkEnd w:id="220"/>
      <w:bookmarkEnd w:id="221"/>
      <w:r>
        <w:rPr>
          <w:rFonts w:hint="default" w:ascii="Times New Roman" w:hAnsi="Times New Roman" w:cs="Times New Roman" w:eastAsiaTheme="minorEastAsia"/>
          <w:b/>
          <w:bCs/>
          <w:color w:val="auto"/>
          <w:sz w:val="36"/>
          <w:szCs w:val="36"/>
          <w:highlight w:val="none"/>
        </w:rPr>
        <w:t>与实施方案</w:t>
      </w:r>
      <w:bookmarkEnd w:id="224"/>
      <w:bookmarkEnd w:id="225"/>
      <w:bookmarkEnd w:id="226"/>
      <w:bookmarkEnd w:id="227"/>
      <w:bookmarkEnd w:id="228"/>
    </w:p>
    <w:p w14:paraId="63410891">
      <w:pPr>
        <w:pStyle w:val="46"/>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32"/>
          <w:szCs w:val="32"/>
          <w:highlight w:val="none"/>
        </w:rPr>
      </w:pPr>
    </w:p>
    <w:p w14:paraId="7FF8B090">
      <w:pPr>
        <w:keepLines w:val="0"/>
        <w:numPr>
          <w:ilvl w:val="0"/>
          <w:numId w:val="13"/>
        </w:numPr>
        <w:tabs>
          <w:tab w:val="left" w:pos="220"/>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基本概况</w:t>
      </w:r>
    </w:p>
    <w:p w14:paraId="56FB9D4B">
      <w:pPr>
        <w:keepLines w:val="0"/>
        <w:numPr>
          <w:ilvl w:val="1"/>
          <w:numId w:val="13"/>
        </w:numPr>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文字描述主要内容</w:t>
      </w:r>
    </w:p>
    <w:p w14:paraId="7695CF9C">
      <w:pPr>
        <w:keepLines w:val="0"/>
        <w:numPr>
          <w:ilvl w:val="0"/>
          <w:numId w:val="14"/>
        </w:numPr>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单位性质；发展历程；经营规模及服务理念。</w:t>
      </w:r>
    </w:p>
    <w:p w14:paraId="0E56ED94">
      <w:pPr>
        <w:keepLines w:val="0"/>
        <w:numPr>
          <w:ilvl w:val="0"/>
          <w:numId w:val="14"/>
        </w:numPr>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主营产品专业服务优势和特点。</w:t>
      </w:r>
    </w:p>
    <w:p w14:paraId="50FC67DB">
      <w:pPr>
        <w:keepLines w:val="0"/>
        <w:numPr>
          <w:ilvl w:val="0"/>
          <w:numId w:val="14"/>
        </w:numPr>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专业能力和服务力量配置等。</w:t>
      </w:r>
    </w:p>
    <w:p w14:paraId="7E315306">
      <w:pPr>
        <w:pStyle w:val="47"/>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p>
    <w:p w14:paraId="466A18CE">
      <w:pPr>
        <w:pStyle w:val="48"/>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sectPr>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p>
    <w:p w14:paraId="09CF5329">
      <w:pPr>
        <w:keepNext w:val="0"/>
        <w:keepLines w:val="0"/>
        <w:pageBreakBefore w:val="0"/>
        <w:widowControl w:val="0"/>
        <w:numPr>
          <w:ilvl w:val="0"/>
          <w:numId w:val="13"/>
        </w:numPr>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管理体系认证</w:t>
      </w:r>
    </w:p>
    <w:p w14:paraId="34E8DB81">
      <w:pPr>
        <w:keepNext w:val="0"/>
        <w:keepLines w:val="0"/>
        <w:pageBreakBefore w:val="0"/>
        <w:widowControl w:val="0"/>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评分标准中要求的证明资料。</w:t>
      </w:r>
    </w:p>
    <w:p w14:paraId="1473BE63">
      <w:pPr>
        <w:pStyle w:val="2"/>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sz w:val="48"/>
          <w:szCs w:val="48"/>
          <w:highlight w:val="none"/>
        </w:rPr>
      </w:pPr>
    </w:p>
    <w:p w14:paraId="051EEEC4">
      <w:pPr>
        <w:keepNext w:val="0"/>
        <w:keepLines w:val="0"/>
        <w:pageBreakBefore w:val="0"/>
        <w:widowControl w:val="0"/>
        <w:numPr>
          <w:ilvl w:val="0"/>
          <w:numId w:val="13"/>
        </w:numPr>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拟派的项目经理和人员证书情况</w:t>
      </w:r>
    </w:p>
    <w:p w14:paraId="1E911473">
      <w:pPr>
        <w:keepNext w:val="0"/>
        <w:keepLines w:val="0"/>
        <w:pageBreakBefore w:val="0"/>
        <w:widowControl w:val="0"/>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评分标准中要求的证明资料。</w:t>
      </w:r>
    </w:p>
    <w:p w14:paraId="47F1D52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color w:val="auto"/>
          <w:highlight w:val="none"/>
        </w:rPr>
      </w:pPr>
    </w:p>
    <w:p w14:paraId="06FD862D">
      <w:pPr>
        <w:keepNext w:val="0"/>
        <w:keepLines w:val="0"/>
        <w:pageBreakBefore w:val="0"/>
        <w:widowControl w:val="0"/>
        <w:numPr>
          <w:ilvl w:val="0"/>
          <w:numId w:val="13"/>
        </w:numPr>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信息安全保障</w:t>
      </w:r>
    </w:p>
    <w:p w14:paraId="79131486">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u w:val="double"/>
          <w:lang w:val="en-US" w:eastAsia="zh-CN" w:bidi="ar-SA"/>
        </w:rPr>
        <w:t>本表附件</w:t>
      </w:r>
      <w:r>
        <w:rPr>
          <w:rFonts w:hint="default" w:ascii="Times New Roman" w:hAnsi="Times New Roman" w:cs="Times New Roman" w:eastAsiaTheme="minorEastAsia"/>
          <w:b/>
          <w:bCs/>
          <w:color w:val="auto"/>
          <w:kern w:val="2"/>
          <w:sz w:val="21"/>
          <w:szCs w:val="24"/>
          <w:highlight w:val="none"/>
          <w:lang w:val="en-US" w:eastAsia="zh-CN" w:bidi="ar-SA"/>
        </w:rPr>
        <w:t>：提供评分标准中要求的证明资料。</w:t>
      </w:r>
    </w:p>
    <w:p w14:paraId="5CCB2759">
      <w:pPr>
        <w:pStyle w:val="2"/>
        <w:rPr>
          <w:rFonts w:hint="default"/>
          <w:color w:val="auto"/>
          <w:highlight w:val="none"/>
          <w:lang w:val="en-US" w:eastAsia="zh-CN"/>
        </w:rPr>
      </w:pPr>
    </w:p>
    <w:p w14:paraId="1F6EEA90">
      <w:pPr>
        <w:keepNext w:val="0"/>
        <w:keepLines w:val="0"/>
        <w:pageBreakBefore w:val="0"/>
        <w:widowControl w:val="0"/>
        <w:numPr>
          <w:ilvl w:val="0"/>
          <w:numId w:val="13"/>
        </w:numPr>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技术实施能力</w:t>
      </w:r>
    </w:p>
    <w:p w14:paraId="0D467F7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u w:val="double"/>
          <w:lang w:val="en-US" w:eastAsia="zh-CN" w:bidi="ar-SA"/>
        </w:rPr>
        <w:t>本表附件</w:t>
      </w:r>
      <w:r>
        <w:rPr>
          <w:rFonts w:hint="default" w:ascii="Times New Roman" w:hAnsi="Times New Roman" w:cs="Times New Roman" w:eastAsiaTheme="minorEastAsia"/>
          <w:b/>
          <w:bCs/>
          <w:color w:val="auto"/>
          <w:kern w:val="2"/>
          <w:sz w:val="21"/>
          <w:szCs w:val="24"/>
          <w:highlight w:val="none"/>
          <w:lang w:val="en-US" w:eastAsia="zh-CN" w:bidi="ar-SA"/>
        </w:rPr>
        <w:t>：提供评分标准中要求的证明资料。</w:t>
      </w:r>
    </w:p>
    <w:p w14:paraId="13898E72">
      <w:pPr>
        <w:pStyle w:val="2"/>
        <w:rPr>
          <w:rFonts w:hint="default"/>
          <w:color w:val="auto"/>
          <w:highlight w:val="none"/>
          <w:lang w:val="en-US" w:eastAsia="zh-CN"/>
        </w:rPr>
      </w:pPr>
    </w:p>
    <w:p w14:paraId="10BA2C3F">
      <w:pPr>
        <w:keepNext w:val="0"/>
        <w:keepLines w:val="0"/>
        <w:pageBreakBefore w:val="0"/>
        <w:widowControl w:val="0"/>
        <w:numPr>
          <w:ilvl w:val="0"/>
          <w:numId w:val="13"/>
        </w:numPr>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配套服务软件能力</w:t>
      </w:r>
    </w:p>
    <w:p w14:paraId="07C6AA7D">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u w:val="double"/>
          <w:lang w:val="en-US" w:eastAsia="zh-CN" w:bidi="ar-SA"/>
        </w:rPr>
        <w:t>本表附件</w:t>
      </w:r>
      <w:r>
        <w:rPr>
          <w:rFonts w:hint="default" w:ascii="Times New Roman" w:hAnsi="Times New Roman" w:cs="Times New Roman" w:eastAsiaTheme="minorEastAsia"/>
          <w:b/>
          <w:bCs/>
          <w:color w:val="auto"/>
          <w:kern w:val="2"/>
          <w:sz w:val="21"/>
          <w:szCs w:val="24"/>
          <w:highlight w:val="none"/>
          <w:lang w:val="en-US" w:eastAsia="zh-CN" w:bidi="ar-SA"/>
        </w:rPr>
        <w:t>：提供评分标准中要求的证明资料。</w:t>
      </w:r>
    </w:p>
    <w:p w14:paraId="62EE80F4">
      <w:pPr>
        <w:pStyle w:val="2"/>
        <w:rPr>
          <w:rFonts w:hint="default"/>
          <w:color w:val="auto"/>
          <w:highlight w:val="none"/>
          <w:lang w:val="en-US" w:eastAsia="zh-CN"/>
        </w:rPr>
      </w:pPr>
    </w:p>
    <w:p w14:paraId="5E95EFCA">
      <w:pPr>
        <w:keepNext w:val="0"/>
        <w:keepLines w:val="0"/>
        <w:pageBreakBefore w:val="0"/>
        <w:widowControl w:val="0"/>
        <w:numPr>
          <w:ilvl w:val="0"/>
          <w:numId w:val="13"/>
        </w:numPr>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服务响应承诺</w:t>
      </w:r>
    </w:p>
    <w:p w14:paraId="16D293C3">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u w:val="double"/>
          <w:lang w:val="en-US" w:eastAsia="zh-CN" w:bidi="ar-SA"/>
        </w:rPr>
        <w:t>本表附件</w:t>
      </w:r>
      <w:r>
        <w:rPr>
          <w:rFonts w:hint="default" w:ascii="Times New Roman" w:hAnsi="Times New Roman" w:cs="Times New Roman" w:eastAsiaTheme="minorEastAsia"/>
          <w:b/>
          <w:bCs/>
          <w:color w:val="auto"/>
          <w:kern w:val="2"/>
          <w:sz w:val="21"/>
          <w:szCs w:val="24"/>
          <w:highlight w:val="none"/>
          <w:lang w:val="en-US" w:eastAsia="zh-CN" w:bidi="ar-SA"/>
        </w:rPr>
        <w:t>：提供评分标准中要求的证明资料。</w:t>
      </w:r>
    </w:p>
    <w:p w14:paraId="0F51BC79">
      <w:pPr>
        <w:pStyle w:val="2"/>
        <w:rPr>
          <w:rFonts w:hint="default"/>
          <w:color w:val="auto"/>
          <w:highlight w:val="none"/>
          <w:lang w:val="en-US" w:eastAsia="zh-CN"/>
        </w:rPr>
      </w:pPr>
    </w:p>
    <w:p w14:paraId="415F6B66">
      <w:pPr>
        <w:keepNext w:val="0"/>
        <w:keepLines w:val="0"/>
        <w:pageBreakBefore w:val="0"/>
        <w:widowControl w:val="0"/>
        <w:numPr>
          <w:ilvl w:val="0"/>
          <w:numId w:val="13"/>
        </w:numPr>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类似业绩</w:t>
      </w:r>
    </w:p>
    <w:tbl>
      <w:tblPr>
        <w:tblStyle w:val="18"/>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953"/>
        <w:gridCol w:w="2713"/>
        <w:gridCol w:w="2155"/>
        <w:gridCol w:w="1408"/>
        <w:gridCol w:w="1386"/>
      </w:tblGrid>
      <w:tr w14:paraId="05AB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blHeader/>
          <w:jc w:val="center"/>
        </w:trPr>
        <w:tc>
          <w:tcPr>
            <w:tcW w:w="583" w:type="dxa"/>
            <w:shd w:val="clear" w:color="auto" w:fill="F3F3F3"/>
            <w:noWrap w:val="0"/>
            <w:vAlign w:val="center"/>
          </w:tcPr>
          <w:p w14:paraId="4C20C1CF">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953" w:type="dxa"/>
            <w:shd w:val="clear" w:color="auto" w:fill="F3F3F3"/>
            <w:noWrap w:val="0"/>
            <w:vAlign w:val="center"/>
          </w:tcPr>
          <w:p w14:paraId="054D7F1C">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客户单位名称</w:t>
            </w:r>
          </w:p>
        </w:tc>
        <w:tc>
          <w:tcPr>
            <w:tcW w:w="2713" w:type="dxa"/>
            <w:shd w:val="clear" w:color="auto" w:fill="F3F3F3"/>
            <w:noWrap w:val="0"/>
            <w:vAlign w:val="center"/>
          </w:tcPr>
          <w:p w14:paraId="39A7CB59">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项目名称</w:t>
            </w:r>
          </w:p>
        </w:tc>
        <w:tc>
          <w:tcPr>
            <w:tcW w:w="2155" w:type="dxa"/>
            <w:shd w:val="clear" w:color="auto" w:fill="F3F3F3"/>
            <w:noWrap w:val="0"/>
            <w:vAlign w:val="center"/>
          </w:tcPr>
          <w:p w14:paraId="58AF8C0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合同金额（万元）</w:t>
            </w:r>
          </w:p>
        </w:tc>
        <w:tc>
          <w:tcPr>
            <w:tcW w:w="1408" w:type="dxa"/>
            <w:shd w:val="clear" w:color="auto" w:fill="F3F3F3"/>
            <w:noWrap w:val="0"/>
            <w:vAlign w:val="center"/>
          </w:tcPr>
          <w:p w14:paraId="78E52C17">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签订时间</w:t>
            </w:r>
          </w:p>
        </w:tc>
        <w:tc>
          <w:tcPr>
            <w:tcW w:w="1386" w:type="dxa"/>
            <w:shd w:val="clear" w:color="auto" w:fill="F3F3F3"/>
            <w:noWrap w:val="0"/>
            <w:vAlign w:val="center"/>
          </w:tcPr>
          <w:p w14:paraId="01BDCAC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联系人及电话</w:t>
            </w:r>
          </w:p>
        </w:tc>
      </w:tr>
      <w:tr w14:paraId="1CF7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noWrap w:val="0"/>
            <w:vAlign w:val="center"/>
          </w:tcPr>
          <w:p w14:paraId="261B6CDD">
            <w:pPr>
              <w:keepNext w:val="0"/>
              <w:keepLines w:val="0"/>
              <w:pageBreakBefore w:val="0"/>
              <w:widowControl w:val="0"/>
              <w:numPr>
                <w:ilvl w:val="0"/>
                <w:numId w:val="15"/>
              </w:numPr>
              <w:tabs>
                <w:tab w:val="left" w:pos="180"/>
              </w:tabs>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1953" w:type="dxa"/>
            <w:noWrap w:val="0"/>
            <w:vAlign w:val="center"/>
          </w:tcPr>
          <w:p w14:paraId="3B103F33">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2713" w:type="dxa"/>
            <w:noWrap w:val="0"/>
            <w:vAlign w:val="center"/>
          </w:tcPr>
          <w:p w14:paraId="7343440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2155" w:type="dxa"/>
            <w:noWrap w:val="0"/>
            <w:vAlign w:val="center"/>
          </w:tcPr>
          <w:p w14:paraId="12195244">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1408" w:type="dxa"/>
            <w:noWrap w:val="0"/>
            <w:vAlign w:val="center"/>
          </w:tcPr>
          <w:p w14:paraId="56338317">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1386" w:type="dxa"/>
            <w:noWrap w:val="0"/>
            <w:vAlign w:val="center"/>
          </w:tcPr>
          <w:p w14:paraId="3F59488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r>
      <w:tr w14:paraId="093A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noWrap w:val="0"/>
            <w:vAlign w:val="center"/>
          </w:tcPr>
          <w:p w14:paraId="16BB7061">
            <w:pPr>
              <w:keepNext w:val="0"/>
              <w:keepLines w:val="0"/>
              <w:pageBreakBefore w:val="0"/>
              <w:widowControl w:val="0"/>
              <w:numPr>
                <w:ilvl w:val="0"/>
                <w:numId w:val="15"/>
              </w:numPr>
              <w:tabs>
                <w:tab w:val="left" w:pos="180"/>
              </w:tabs>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1953" w:type="dxa"/>
            <w:noWrap w:val="0"/>
            <w:vAlign w:val="center"/>
          </w:tcPr>
          <w:p w14:paraId="3290619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2713" w:type="dxa"/>
            <w:noWrap w:val="0"/>
            <w:vAlign w:val="center"/>
          </w:tcPr>
          <w:p w14:paraId="2C52F666">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2155" w:type="dxa"/>
            <w:noWrap w:val="0"/>
            <w:vAlign w:val="center"/>
          </w:tcPr>
          <w:p w14:paraId="09CCFD0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1408" w:type="dxa"/>
            <w:noWrap w:val="0"/>
            <w:vAlign w:val="center"/>
          </w:tcPr>
          <w:p w14:paraId="19B4D171">
            <w:pPr>
              <w:pStyle w:val="43"/>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highlight w:val="none"/>
              </w:rPr>
            </w:pPr>
          </w:p>
        </w:tc>
        <w:tc>
          <w:tcPr>
            <w:tcW w:w="1386" w:type="dxa"/>
            <w:noWrap w:val="0"/>
            <w:vAlign w:val="center"/>
          </w:tcPr>
          <w:p w14:paraId="08D623C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r>
    </w:tbl>
    <w:p w14:paraId="466B98F4">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u w:val="double"/>
          <w:lang w:val="en-US" w:eastAsia="zh-CN" w:bidi="ar-SA"/>
        </w:rPr>
        <w:t>本表附件</w:t>
      </w:r>
      <w:r>
        <w:rPr>
          <w:rFonts w:hint="default" w:ascii="Times New Roman" w:hAnsi="Times New Roman" w:cs="Times New Roman" w:eastAsiaTheme="minorEastAsia"/>
          <w:b/>
          <w:bCs/>
          <w:color w:val="auto"/>
          <w:kern w:val="2"/>
          <w:sz w:val="21"/>
          <w:szCs w:val="24"/>
          <w:highlight w:val="none"/>
          <w:lang w:val="en-US" w:eastAsia="zh-CN" w:bidi="ar-SA"/>
        </w:rPr>
        <w:t>：提供评分标准中要求的证明资料。</w:t>
      </w:r>
    </w:p>
    <w:p w14:paraId="7AC27B90">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imes New Roman" w:hAnsi="Times New Roman" w:cs="Times New Roman" w:eastAsiaTheme="minorEastAsia"/>
          <w:color w:val="auto"/>
          <w:sz w:val="48"/>
          <w:szCs w:val="48"/>
          <w:highlight w:val="none"/>
        </w:rPr>
      </w:pPr>
    </w:p>
    <w:p w14:paraId="0072F164">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outlineLvl w:val="9"/>
        <w:rPr>
          <w:rFonts w:hint="default" w:asciiTheme="minorHAnsi" w:hAnsiTheme="minorHAnsi" w:eastAsiaTheme="minorEastAsia" w:cstheme="minorBidi"/>
          <w:color w:val="auto"/>
          <w:highlight w:val="none"/>
        </w:rPr>
      </w:pPr>
    </w:p>
    <w:p w14:paraId="71643A01">
      <w:pPr>
        <w:keepNext w:val="0"/>
        <w:keepLines w:val="0"/>
        <w:pageBreakBefore w:val="0"/>
        <w:widowControl w:val="0"/>
        <w:numPr>
          <w:ilvl w:val="0"/>
          <w:numId w:val="13"/>
        </w:numPr>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其它材料</w:t>
      </w:r>
    </w:p>
    <w:p w14:paraId="04FEB4ED">
      <w:pPr>
        <w:keepNext w:val="0"/>
        <w:keepLines w:val="0"/>
        <w:pageBreakBefore w:val="0"/>
        <w:widowControl w:val="0"/>
        <w:tabs>
          <w:tab w:val="left" w:pos="540"/>
        </w:tabs>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highlight w:val="none"/>
        </w:rPr>
        <w:sectPr>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s="Times New Roman" w:eastAsiaTheme="minorEastAsia"/>
          <w:color w:val="auto"/>
          <w:highlight w:val="none"/>
        </w:rPr>
        <w:t>（供应商根据自身实际情况进行提供，内容包括但不限于：需要向磋商小组如实告知的重要事项、重要补充承诺等)</w:t>
      </w:r>
      <w:bookmarkStart w:id="229" w:name="_投标报价汇总表"/>
      <w:bookmarkEnd w:id="229"/>
    </w:p>
    <w:p w14:paraId="25450603">
      <w:pPr>
        <w:keepLines w:val="0"/>
        <w:kinsoku/>
        <w:wordWrap/>
        <w:overflowPunct/>
        <w:topLinePunct w:val="0"/>
        <w:bidi w:val="0"/>
        <w:spacing w:beforeAutospacing="0" w:afterAutospacing="0" w:line="440" w:lineRule="atLeast"/>
        <w:ind w:left="0" w:leftChars="0" w:right="0" w:rightChars="0"/>
        <w:jc w:val="center"/>
        <w:outlineLvl w:val="0"/>
        <w:rPr>
          <w:rFonts w:hint="default" w:ascii="Times New Roman" w:hAnsi="Times New Roman" w:cs="Times New Roman" w:eastAsiaTheme="minorEastAsia"/>
          <w:b/>
          <w:color w:val="auto"/>
          <w:sz w:val="36"/>
          <w:szCs w:val="36"/>
          <w:highlight w:val="none"/>
        </w:rPr>
        <w:sectPr>
          <w:headerReference r:id="rId5" w:type="default"/>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bookmarkStart w:id="230" w:name="_投标报价汇总表_1"/>
      <w:bookmarkEnd w:id="230"/>
      <w:bookmarkStart w:id="231" w:name="_Toc8467"/>
      <w:bookmarkStart w:id="232" w:name="_Toc18982"/>
      <w:r>
        <w:rPr>
          <w:rFonts w:hint="default" w:ascii="Times New Roman" w:hAnsi="Times New Roman" w:cs="Times New Roman" w:eastAsiaTheme="minorEastAsia"/>
          <w:b/>
          <w:bCs/>
          <w:color w:val="auto"/>
          <w:sz w:val="36"/>
          <w:szCs w:val="36"/>
          <w:highlight w:val="none"/>
        </w:rPr>
        <w:fldChar w:fldCharType="begin"/>
      </w:r>
      <w:r>
        <w:rPr>
          <w:rFonts w:hint="default" w:ascii="Times New Roman" w:hAnsi="Times New Roman" w:cs="Times New Roman" w:eastAsiaTheme="minorEastAsia"/>
          <w:b/>
          <w:bCs/>
          <w:color w:val="auto"/>
          <w:sz w:val="36"/>
          <w:szCs w:val="36"/>
          <w:highlight w:val="none"/>
        </w:rPr>
        <w:instrText xml:space="preserve"> HYPERLINK  \l "_投标文件目录" </w:instrText>
      </w:r>
      <w:r>
        <w:rPr>
          <w:rFonts w:hint="default" w:ascii="Times New Roman" w:hAnsi="Times New Roman" w:cs="Times New Roman" w:eastAsiaTheme="minorEastAsia"/>
          <w:b/>
          <w:bCs/>
          <w:color w:val="auto"/>
          <w:sz w:val="36"/>
          <w:szCs w:val="36"/>
          <w:highlight w:val="none"/>
        </w:rPr>
        <w:fldChar w:fldCharType="separate"/>
      </w:r>
      <w:r>
        <w:rPr>
          <w:rFonts w:hint="default" w:ascii="Times New Roman" w:hAnsi="Times New Roman" w:cs="Times New Roman" w:eastAsiaTheme="minorEastAsia"/>
          <w:b/>
          <w:bCs/>
          <w:color w:val="auto"/>
          <w:sz w:val="36"/>
          <w:szCs w:val="36"/>
          <w:highlight w:val="none"/>
        </w:rPr>
        <w:t>第四章  技术部分</w:t>
      </w:r>
      <w:r>
        <w:rPr>
          <w:rFonts w:hint="default" w:ascii="Times New Roman" w:hAnsi="Times New Roman" w:cs="Times New Roman" w:eastAsiaTheme="minorEastAsia"/>
          <w:b/>
          <w:bCs/>
          <w:color w:val="auto"/>
          <w:sz w:val="36"/>
          <w:szCs w:val="36"/>
          <w:highlight w:val="none"/>
        </w:rPr>
        <w:fldChar w:fldCharType="end"/>
      </w:r>
      <w:bookmarkEnd w:id="231"/>
      <w:bookmarkEnd w:id="232"/>
    </w:p>
    <w:bookmarkEnd w:id="74"/>
    <w:bookmarkEnd w:id="75"/>
    <w:bookmarkEnd w:id="76"/>
    <w:bookmarkEnd w:id="77"/>
    <w:bookmarkEnd w:id="78"/>
    <w:p w14:paraId="12C497E4">
      <w:pPr>
        <w:keepLines w:val="0"/>
        <w:pageBreakBefore/>
        <w:numPr>
          <w:ilvl w:val="0"/>
          <w:numId w:val="16"/>
        </w:numPr>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233" w:name="_方案设计与组织实施"/>
      <w:bookmarkEnd w:id="233"/>
      <w:bookmarkStart w:id="234" w:name="_组织实施方案"/>
      <w:bookmarkEnd w:id="234"/>
      <w:bookmarkStart w:id="235" w:name="_Toc108234924"/>
      <w:bookmarkStart w:id="236" w:name="_Toc136682924"/>
      <w:bookmarkStart w:id="237" w:name="_Toc119321159"/>
      <w:bookmarkStart w:id="238" w:name="_Toc4253"/>
      <w:bookmarkStart w:id="239" w:name="_Toc136662948"/>
      <w:bookmarkStart w:id="240" w:name="_Toc23802"/>
      <w:bookmarkStart w:id="241" w:name="_Toc24333"/>
      <w:bookmarkStart w:id="242" w:name="_Toc37670367"/>
      <w:bookmarkStart w:id="243" w:name="_Toc49329271"/>
      <w:bookmarkStart w:id="244" w:name="_Toc419106585"/>
      <w:bookmarkStart w:id="245" w:name="_Toc325031962"/>
      <w:bookmarkStart w:id="246" w:name="_Toc373767222"/>
      <w:bookmarkStart w:id="247" w:name="_Toc37670374"/>
      <w:bookmarkStart w:id="248" w:name="_Toc10384"/>
      <w:bookmarkStart w:id="249" w:name="_Toc310519907"/>
      <w:bookmarkStart w:id="250" w:name="_Toc49329275"/>
      <w:r>
        <w:rPr>
          <w:rFonts w:hint="default" w:ascii="Times New Roman" w:hAnsi="Times New Roman" w:cs="Times New Roman" w:eastAsiaTheme="minorEastAsia"/>
          <w:b/>
          <w:bCs/>
          <w:color w:val="auto"/>
          <w:sz w:val="36"/>
          <w:szCs w:val="36"/>
          <w:highlight w:val="none"/>
        </w:rPr>
        <w:fldChar w:fldCharType="begin"/>
      </w:r>
      <w:r>
        <w:rPr>
          <w:rFonts w:hint="default" w:ascii="Times New Roman" w:hAnsi="Times New Roman" w:cs="Times New Roman" w:eastAsiaTheme="minorEastAsia"/>
          <w:b/>
          <w:bCs/>
          <w:color w:val="auto"/>
          <w:sz w:val="36"/>
          <w:szCs w:val="36"/>
          <w:highlight w:val="none"/>
        </w:rPr>
        <w:instrText xml:space="preserve"> DOCVARIABLE  设备技术响应表开始  \* MERGEFORMAT </w:instrText>
      </w:r>
      <w:r>
        <w:rPr>
          <w:rFonts w:hint="default" w:ascii="Times New Roman" w:hAnsi="Times New Roman" w:cs="Times New Roman" w:eastAsiaTheme="minorEastAsia"/>
          <w:b/>
          <w:bCs/>
          <w:color w:val="auto"/>
          <w:sz w:val="36"/>
          <w:szCs w:val="36"/>
          <w:highlight w:val="none"/>
        </w:rPr>
        <w:fldChar w:fldCharType="separate"/>
      </w:r>
      <w:r>
        <w:rPr>
          <w:rFonts w:hint="default" w:ascii="Times New Roman" w:hAnsi="Times New Roman" w:cs="Times New Roman" w:eastAsiaTheme="minorEastAsia"/>
          <w:b/>
          <w:bCs/>
          <w:color w:val="auto"/>
          <w:sz w:val="36"/>
          <w:szCs w:val="36"/>
          <w:highlight w:val="none"/>
        </w:rPr>
        <w:fldChar w:fldCharType="end"/>
      </w:r>
      <w:bookmarkStart w:id="251" w:name="_Toc419106581"/>
      <w:bookmarkStart w:id="252" w:name="_Toc159385085"/>
      <w:r>
        <w:rPr>
          <w:rFonts w:hint="default" w:ascii="Times New Roman" w:hAnsi="Times New Roman" w:cs="Times New Roman" w:eastAsiaTheme="minorEastAsia"/>
          <w:b/>
          <w:bCs/>
          <w:color w:val="auto"/>
          <w:sz w:val="36"/>
          <w:szCs w:val="36"/>
          <w:highlight w:val="none"/>
        </w:rPr>
        <w:t>技术条款响应表</w:t>
      </w:r>
      <w:bookmarkEnd w:id="235"/>
      <w:bookmarkEnd w:id="236"/>
      <w:bookmarkEnd w:id="237"/>
      <w:bookmarkEnd w:id="238"/>
      <w:bookmarkEnd w:id="239"/>
      <w:bookmarkEnd w:id="240"/>
      <w:bookmarkEnd w:id="241"/>
      <w:bookmarkEnd w:id="251"/>
      <w:bookmarkEnd w:id="252"/>
    </w:p>
    <w:bookmarkEnd w:id="242"/>
    <w:bookmarkEnd w:id="243"/>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4D06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14:paraId="106EB70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一、技术参数响应情况</w:t>
            </w:r>
          </w:p>
        </w:tc>
      </w:tr>
      <w:tr w14:paraId="4819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05776EDD">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59E35F14">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159A90E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14:paraId="56E7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6A0EBBB8">
            <w:pPr>
              <w:keepNext w:val="0"/>
              <w:keepLines w:val="0"/>
              <w:pageBreakBefore w:val="0"/>
              <w:widowControl w:val="0"/>
              <w:numPr>
                <w:ilvl w:val="0"/>
                <w:numId w:val="17"/>
              </w:numPr>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3E0F7860">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35F99977">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r>
      <w:tr w14:paraId="6390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1124A811">
            <w:pPr>
              <w:keepNext w:val="0"/>
              <w:keepLines w:val="0"/>
              <w:pageBreakBefore w:val="0"/>
              <w:widowControl w:val="0"/>
              <w:numPr>
                <w:ilvl w:val="0"/>
                <w:numId w:val="17"/>
              </w:numPr>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791FB66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采购文件中的全部技术条款均能完全响应。</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67A0C64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r>
      <w:tr w14:paraId="6FFD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1903BD47">
            <w:pPr>
              <w:keepNext w:val="0"/>
              <w:keepLines w:val="0"/>
              <w:pageBreakBefore w:val="0"/>
              <w:widowControl w:val="0"/>
              <w:numPr>
                <w:ilvl w:val="0"/>
                <w:numId w:val="17"/>
              </w:numPr>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319B811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b/>
                <w:color w:val="auto"/>
                <w:highlight w:val="none"/>
              </w:rPr>
            </w:pPr>
            <w:r>
              <w:rPr>
                <w:rFonts w:hint="eastAsia" w:ascii="Times New Roman" w:hAnsi="Times New Roman" w:cs="Times New Roman"/>
                <w:b/>
                <w:color w:val="auto"/>
                <w:highlight w:val="none"/>
                <w:lang w:eastAsia="zh-CN"/>
              </w:rPr>
              <w:t>采购人</w:t>
            </w:r>
            <w:r>
              <w:rPr>
                <w:rFonts w:hint="default" w:ascii="Times New Roman" w:hAnsi="Times New Roman" w:cs="Times New Roman" w:eastAsiaTheme="minorEastAsia"/>
                <w:b/>
                <w:color w:val="auto"/>
                <w:highlight w:val="none"/>
              </w:rPr>
              <w:t>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03D49657">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r>
      <w:tr w14:paraId="44C5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6169DE65">
            <w:pPr>
              <w:keepNext w:val="0"/>
              <w:keepLines w:val="0"/>
              <w:pageBreakBefore w:val="0"/>
              <w:widowControl w:val="0"/>
              <w:numPr>
                <w:ilvl w:val="0"/>
                <w:numId w:val="17"/>
              </w:numPr>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14:paraId="42AE840F">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w:t>
            </w:r>
            <w:r>
              <w:rPr>
                <w:rFonts w:hint="eastAsia" w:ascii="Times New Roman" w:hAnsi="Times New Roman" w:cs="Times New Roman"/>
                <w:color w:val="auto"/>
                <w:highlight w:val="none"/>
                <w:lang w:eastAsia="zh-CN"/>
              </w:rPr>
              <w:t>采购人</w:t>
            </w:r>
            <w:r>
              <w:rPr>
                <w:rFonts w:hint="default" w:ascii="Times New Roman" w:hAnsi="Times New Roman" w:cs="Times New Roman" w:eastAsiaTheme="minorEastAsia"/>
                <w:color w:val="auto"/>
                <w:highlight w:val="none"/>
              </w:rPr>
              <w:t>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120ACEF3">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r>
      <w:tr w14:paraId="515D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14:paraId="357AAF6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二、技术参数偏离情况说明（如有）：</w:t>
            </w:r>
          </w:p>
        </w:tc>
      </w:tr>
      <w:tr w14:paraId="10F6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30F18E5B">
            <w:pPr>
              <w:keepNext w:val="0"/>
              <w:keepLines w:val="0"/>
              <w:pageBreakBefore w:val="0"/>
              <w:widowControl w:val="0"/>
              <w:numPr>
                <w:ilvl w:val="0"/>
                <w:numId w:val="17"/>
              </w:numPr>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14:paraId="63A3BB9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不同意公开的技术部分内容（如有）：</w:t>
            </w:r>
          </w:p>
        </w:tc>
      </w:tr>
    </w:tbl>
    <w:p w14:paraId="37A20C67">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630" w:leftChars="0" w:right="0" w:rightChars="0" w:hanging="630" w:hangingChars="300"/>
        <w:textAlignment w:val="auto"/>
        <w:rPr>
          <w:rFonts w:hint="default" w:ascii="Times New Roman" w:hAnsi="Times New Roman" w:cs="Times New Roman" w:eastAsiaTheme="minorEastAsia"/>
          <w:color w:val="auto"/>
          <w:highlight w:val="none"/>
        </w:rPr>
      </w:pPr>
    </w:p>
    <w:p w14:paraId="2AA8280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840" w:leftChars="0" w:right="0" w:rightChars="0" w:hanging="840" w:hangingChars="40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填表说明：</w:t>
      </w:r>
    </w:p>
    <w:p w14:paraId="65860856">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420" w:leftChars="0" w:right="0" w:rightChars="0" w:hanging="420" w:hangingChars="20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1、响应栏内空白或打“√”表示完全响应；对打“×”视为偏离，若技术参数存在偏离，请在“技术参数偏离情况说明栏”扼要描述。</w:t>
      </w:r>
    </w:p>
    <w:p w14:paraId="2A1E889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420" w:leftChars="0" w:right="0" w:rightChars="0" w:hanging="420" w:hangingChars="20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2、若上述技术条款内容与“采购项目技术要求”列述不一致时，均以“采购项目技术要求”详细内容为准。</w:t>
      </w:r>
    </w:p>
    <w:p w14:paraId="57B4D3D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420" w:leftChars="0" w:right="0" w:rightChars="0" w:hanging="420" w:hangingChars="20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3、本表内容不得擅自删改。</w:t>
      </w:r>
    </w:p>
    <w:p w14:paraId="394DA77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textAlignment w:val="auto"/>
        <w:rPr>
          <w:rFonts w:hint="default" w:ascii="Times New Roman" w:hAnsi="Times New Roman" w:cs="Times New Roman" w:eastAsiaTheme="minorEastAsia"/>
          <w:color w:val="auto"/>
          <w:highlight w:val="none"/>
        </w:rPr>
      </w:pPr>
    </w:p>
    <w:p w14:paraId="511FB022">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供应商名称：</w:t>
      </w:r>
      <w:r>
        <w:rPr>
          <w:rFonts w:hint="default" w:ascii="Times New Roman" w:hAnsi="Times New Roman" w:cs="Times New Roman" w:eastAsiaTheme="minorEastAsia"/>
          <w:color w:val="auto"/>
          <w:sz w:val="21"/>
          <w:szCs w:val="21"/>
          <w:highlight w:val="none"/>
          <w:u w:val="single"/>
        </w:rPr>
        <w:t xml:space="preserve">           （</w:t>
      </w:r>
      <w:r>
        <w:rPr>
          <w:rFonts w:hint="eastAsia" w:ascii="Times New Roman" w:hAnsi="Times New Roman" w:cs="Times New Roman"/>
          <w:color w:val="auto"/>
          <w:sz w:val="21"/>
          <w:szCs w:val="21"/>
          <w:highlight w:val="none"/>
          <w:u w:val="single"/>
          <w:lang w:eastAsia="zh-CN"/>
        </w:rPr>
        <w:t>单位名称</w:t>
      </w:r>
      <w:r>
        <w:rPr>
          <w:rFonts w:hint="default" w:ascii="Times New Roman" w:hAnsi="Times New Roman" w:cs="Times New Roman" w:eastAsiaTheme="minorEastAsia"/>
          <w:color w:val="auto"/>
          <w:sz w:val="21"/>
          <w:szCs w:val="21"/>
          <w:highlight w:val="none"/>
          <w:u w:val="single"/>
        </w:rPr>
        <w:t xml:space="preserve">全称）                </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eastAsiaTheme="minorEastAsia"/>
          <w:color w:val="auto"/>
          <w:sz w:val="21"/>
          <w:szCs w:val="21"/>
          <w:highlight w:val="none"/>
          <w:lang w:val="zh-CN"/>
        </w:rPr>
        <w:t>加盖供应商公章</w:t>
      </w:r>
      <w:r>
        <w:rPr>
          <w:rFonts w:hint="default" w:ascii="Times New Roman" w:hAnsi="Times New Roman" w:cs="Times New Roman" w:eastAsiaTheme="minorEastAsia"/>
          <w:color w:val="auto"/>
          <w:sz w:val="21"/>
          <w:szCs w:val="21"/>
          <w:highlight w:val="none"/>
        </w:rPr>
        <w:t>）</w:t>
      </w:r>
    </w:p>
    <w:p w14:paraId="63F6DA70">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textAlignment w:val="auto"/>
        <w:rPr>
          <w:rFonts w:hint="default" w:ascii="Times New Roman" w:hAnsi="Times New Roman" w:cs="Times New Roman" w:eastAsiaTheme="minorEastAsia"/>
          <w:color w:val="auto"/>
          <w:sz w:val="21"/>
          <w:szCs w:val="21"/>
          <w:highlight w:val="none"/>
          <w:u w:val="single"/>
        </w:rPr>
      </w:pPr>
      <w:r>
        <w:rPr>
          <w:rFonts w:hint="default" w:ascii="Times New Roman" w:hAnsi="Times New Roman" w:cs="Times New Roman" w:eastAsiaTheme="minorEastAsia"/>
          <w:b w:val="0"/>
          <w:bCs/>
          <w:color w:val="auto"/>
          <w:sz w:val="21"/>
          <w:szCs w:val="21"/>
          <w:highlight w:val="none"/>
        </w:rPr>
        <w:t>日期：</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年</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月</w:t>
      </w:r>
      <w:r>
        <w:rPr>
          <w:rFonts w:hint="default" w:ascii="Times New Roman" w:hAnsi="Times New Roman" w:cs="Times New Roman" w:eastAsiaTheme="minorEastAsia"/>
          <w:b w:val="0"/>
          <w:bCs/>
          <w:color w:val="auto"/>
          <w:sz w:val="21"/>
          <w:szCs w:val="21"/>
          <w:highlight w:val="none"/>
          <w:u w:val="single"/>
        </w:rPr>
        <w:t xml:space="preserve">    </w:t>
      </w:r>
      <w:r>
        <w:rPr>
          <w:rFonts w:hint="default" w:ascii="Times New Roman" w:hAnsi="Times New Roman" w:cs="Times New Roman" w:eastAsiaTheme="minorEastAsia"/>
          <w:b w:val="0"/>
          <w:bCs/>
          <w:color w:val="auto"/>
          <w:sz w:val="21"/>
          <w:szCs w:val="21"/>
          <w:highlight w:val="none"/>
        </w:rPr>
        <w:t>日</w:t>
      </w:r>
    </w:p>
    <w:p w14:paraId="6D4C0153">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color w:val="auto"/>
          <w:highlight w:val="none"/>
        </w:rPr>
      </w:pPr>
    </w:p>
    <w:p w14:paraId="4A6DF286">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color w:val="auto"/>
          <w:highlight w:val="none"/>
        </w:rPr>
        <w:sectPr>
          <w:headerReference r:id="rId7" w:type="first"/>
          <w:headerReference r:id="rId6" w:type="default"/>
          <w:pgSz w:w="11906" w:h="16838"/>
          <w:pgMar w:top="1134" w:right="1134" w:bottom="1134" w:left="1588" w:header="567" w:footer="737" w:gutter="0"/>
          <w:pgBorders>
            <w:top w:val="none" w:sz="0" w:space="0"/>
            <w:left w:val="none" w:sz="0" w:space="0"/>
            <w:bottom w:val="none" w:sz="0" w:space="0"/>
            <w:right w:val="none" w:sz="0" w:space="0"/>
          </w:pgBorders>
          <w:pgNumType w:fmt="decimal"/>
          <w:cols w:space="720" w:num="1"/>
          <w:docGrid w:linePitch="312" w:charSpace="0"/>
        </w:sectPr>
      </w:pPr>
    </w:p>
    <w:p w14:paraId="20226239">
      <w:pPr>
        <w:keepLines w:val="0"/>
        <w:pageBreakBefore/>
        <w:numPr>
          <w:ilvl w:val="0"/>
          <w:numId w:val="18"/>
        </w:numPr>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253" w:name="_Toc7892"/>
      <w:bookmarkStart w:id="254" w:name="_Toc22957"/>
      <w:bookmarkStart w:id="255" w:name="_Toc9103"/>
      <w:bookmarkStart w:id="256" w:name="_Toc419106582"/>
      <w:r>
        <w:rPr>
          <w:rFonts w:hint="default" w:ascii="Times New Roman" w:hAnsi="Times New Roman" w:cs="Times New Roman" w:eastAsiaTheme="minorEastAsia"/>
          <w:b/>
          <w:bCs/>
          <w:color w:val="auto"/>
          <w:sz w:val="36"/>
          <w:szCs w:val="36"/>
          <w:highlight w:val="none"/>
        </w:rPr>
        <w:t>技术方案总体内容</w:t>
      </w:r>
      <w:bookmarkEnd w:id="253"/>
      <w:bookmarkEnd w:id="254"/>
      <w:bookmarkEnd w:id="255"/>
      <w:bookmarkEnd w:id="256"/>
    </w:p>
    <w:p w14:paraId="53F65501">
      <w:pPr>
        <w:keepNext w:val="0"/>
        <w:keepLines w:val="0"/>
        <w:pageBreakBefore w:val="0"/>
        <w:widowControl w:val="0"/>
        <w:tabs>
          <w:tab w:val="left" w:pos="1322"/>
        </w:tabs>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default" w:ascii="Times New Roman" w:hAnsi="Times New Roman" w:cs="Times New Roman" w:eastAsiaTheme="minorEastAsia"/>
          <w:bCs/>
          <w:color w:val="auto"/>
          <w:sz w:val="21"/>
          <w:szCs w:val="21"/>
          <w:highlight w:val="none"/>
        </w:rPr>
      </w:pPr>
      <w:r>
        <w:rPr>
          <w:rFonts w:hint="default" w:ascii="Times New Roman" w:hAnsi="Times New Roman" w:cs="Times New Roman" w:eastAsiaTheme="minorEastAsia"/>
          <w:b w:val="0"/>
          <w:bCs/>
          <w:color w:val="auto"/>
          <w:sz w:val="21"/>
          <w:szCs w:val="21"/>
          <w:highlight w:val="none"/>
        </w:rPr>
        <w:t>技术方案必须科学合理、真实可行，能充分体现出自身技术和专业优势。技术方案必须对应评审方法中评审子项的顺序逐一进行描述，格式自拟，不限于以下内容要点：</w:t>
      </w:r>
    </w:p>
    <w:p w14:paraId="203771D5">
      <w:pPr>
        <w:keepNext w:val="0"/>
        <w:keepLines w:val="0"/>
        <w:pageBreakBefore w:val="0"/>
        <w:widowControl w:val="0"/>
        <w:numPr>
          <w:ilvl w:val="-1"/>
          <w:numId w:val="0"/>
        </w:numPr>
        <w:tabs>
          <w:tab w:val="left" w:pos="1322"/>
        </w:tabs>
        <w:kinsoku/>
        <w:wordWrap/>
        <w:overflowPunct/>
        <w:topLinePunct w:val="0"/>
        <w:autoSpaceDE/>
        <w:autoSpaceDN/>
        <w:bidi w:val="0"/>
        <w:adjustRightInd/>
        <w:snapToGrid/>
        <w:spacing w:beforeAutospacing="0" w:afterAutospacing="0" w:line="440" w:lineRule="atLeast"/>
        <w:ind w:left="0" w:leftChars="0" w:right="0" w:rightChars="0" w:firstLine="0" w:firstLineChars="0"/>
        <w:textAlignment w:val="auto"/>
        <w:rPr>
          <w:rFonts w:hint="eastAsia" w:ascii="Times New Roman" w:hAnsi="Times New Roman" w:cs="Times New Roman" w:eastAsiaTheme="minorEastAsia"/>
          <w:b w:val="0"/>
          <w:bCs w:val="0"/>
          <w:color w:val="auto"/>
          <w:sz w:val="21"/>
          <w:szCs w:val="21"/>
          <w:highlight w:val="none"/>
        </w:rPr>
      </w:pPr>
      <w:r>
        <w:rPr>
          <w:rFonts w:hint="eastAsia" w:ascii="Times New Roman" w:hAnsi="Times New Roman" w:cs="Times New Roman"/>
          <w:b w:val="0"/>
          <w:bCs w:val="0"/>
          <w:color w:val="auto"/>
          <w:sz w:val="21"/>
          <w:szCs w:val="21"/>
          <w:highlight w:val="none"/>
          <w:lang w:val="en-US" w:eastAsia="zh-CN"/>
        </w:rPr>
        <w:t>1、对项目的理解</w:t>
      </w:r>
      <w:r>
        <w:rPr>
          <w:rFonts w:hint="eastAsia" w:ascii="Times New Roman" w:hAnsi="Times New Roman" w:cs="Times New Roman"/>
          <w:b w:val="0"/>
          <w:bCs w:val="0"/>
          <w:color w:val="auto"/>
          <w:sz w:val="21"/>
          <w:szCs w:val="21"/>
          <w:highlight w:val="none"/>
          <w:lang w:eastAsia="zh-CN"/>
        </w:rPr>
        <w:t>；</w:t>
      </w:r>
    </w:p>
    <w:p w14:paraId="2C890275">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eastAsia"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2、总体设计</w:t>
      </w:r>
      <w:r>
        <w:rPr>
          <w:rFonts w:hint="eastAsia" w:ascii="Times New Roman" w:hAnsi="Times New Roman" w:cs="Times New Roman" w:eastAsiaTheme="minorEastAsia"/>
          <w:b w:val="0"/>
          <w:bCs w:val="0"/>
          <w:color w:val="auto"/>
          <w:sz w:val="21"/>
          <w:szCs w:val="21"/>
          <w:highlight w:val="none"/>
          <w:lang w:eastAsia="zh-CN"/>
        </w:rPr>
        <w:t>；</w:t>
      </w:r>
    </w:p>
    <w:p w14:paraId="6D8363A9">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eastAsia"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3、综合送达管理平台解决方案；</w:t>
      </w:r>
    </w:p>
    <w:p w14:paraId="71F34A95">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eastAsia"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4、集约送达服务方案；</w:t>
      </w:r>
    </w:p>
    <w:p w14:paraId="34EC1659">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5、送达地址库管理服务；</w:t>
      </w:r>
    </w:p>
    <w:p w14:paraId="0ACEE8FC">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6、项目管理及组织措施方案；</w:t>
      </w:r>
    </w:p>
    <w:p w14:paraId="38A7B40A">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7、培训方案；</w:t>
      </w:r>
    </w:p>
    <w:p w14:paraId="144D1872">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eastAsia"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8、项目安全保密措施；</w:t>
      </w:r>
    </w:p>
    <w:p w14:paraId="43E30239">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eastAsia"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9、人力资源保障措施；</w:t>
      </w:r>
    </w:p>
    <w:p w14:paraId="7FD84EEA">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10、应急情况处理方案；</w:t>
      </w:r>
    </w:p>
    <w:p w14:paraId="6D138D1B">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ascii="Times New Roman" w:hAnsi="Times New Roman" w:cs="Times New Roman" w:eastAsiaTheme="minorEastAsia"/>
          <w:b w:val="0"/>
          <w:bCs w:val="0"/>
          <w:color w:val="auto"/>
          <w:sz w:val="21"/>
          <w:szCs w:val="21"/>
          <w:highlight w:val="none"/>
          <w:lang w:val="en-US" w:eastAsia="zh-CN"/>
        </w:rPr>
        <w:t>11、系统优化承诺；</w:t>
      </w:r>
    </w:p>
    <w:p w14:paraId="43C23C71">
      <w:pPr>
        <w:pStyle w:val="2"/>
        <w:keepLines w:val="0"/>
        <w:kinsoku/>
        <w:wordWrap/>
        <w:overflowPunct/>
        <w:topLinePunct w:val="0"/>
        <w:bidi w:val="0"/>
        <w:spacing w:beforeAutospacing="0" w:afterAutospacing="0" w:line="440" w:lineRule="atLeast"/>
        <w:ind w:left="0" w:leftChars="0" w:right="0" w:rightChars="0" w:firstLine="480" w:firstLineChars="20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p>
    <w:p w14:paraId="05D3CB83">
      <w:pPr>
        <w:pStyle w:val="2"/>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4"/>
          <w:szCs w:val="24"/>
          <w:highlight w:val="none"/>
        </w:rPr>
        <w:sectPr>
          <w:pgSz w:w="11906" w:h="16838"/>
          <w:pgMar w:top="1134" w:right="1134" w:bottom="1134" w:left="1588" w:header="567" w:footer="737" w:gutter="0"/>
          <w:pgBorders>
            <w:top w:val="none" w:sz="0" w:space="0"/>
            <w:left w:val="none" w:sz="0" w:space="0"/>
            <w:bottom w:val="none" w:sz="0" w:space="0"/>
            <w:right w:val="none" w:sz="0" w:space="0"/>
          </w:pgBorders>
          <w:pgNumType w:fmt="decimal"/>
          <w:cols w:space="720" w:num="1"/>
          <w:docGrid w:linePitch="312" w:charSpace="0"/>
        </w:sectPr>
      </w:pPr>
    </w:p>
    <w:p w14:paraId="4780F488">
      <w:pPr>
        <w:keepLines w:val="0"/>
        <w:kinsoku/>
        <w:wordWrap/>
        <w:overflowPunct/>
        <w:topLinePunct w:val="0"/>
        <w:bidi w:val="0"/>
        <w:spacing w:beforeAutospacing="0" w:afterAutospacing="0" w:line="440" w:lineRule="atLeast"/>
        <w:ind w:left="0" w:leftChars="0" w:right="0" w:rightChars="0"/>
        <w:jc w:val="center"/>
        <w:outlineLvl w:val="0"/>
        <w:rPr>
          <w:rFonts w:hint="default" w:ascii="Times New Roman" w:hAnsi="Times New Roman" w:cs="Times New Roman" w:eastAsiaTheme="minorEastAsia"/>
          <w:b/>
          <w:color w:val="auto"/>
          <w:sz w:val="36"/>
          <w:szCs w:val="36"/>
          <w:highlight w:val="none"/>
        </w:rPr>
        <w:sectPr>
          <w:headerReference r:id="rId8" w:type="default"/>
          <w:pgSz w:w="11906" w:h="16838"/>
          <w:pgMar w:top="1134" w:right="1134" w:bottom="1134" w:left="1587" w:header="567" w:footer="737" w:gutter="0"/>
          <w:pgBorders>
            <w:top w:val="none" w:sz="0" w:space="0"/>
            <w:left w:val="none" w:sz="0" w:space="0"/>
            <w:bottom w:val="none" w:sz="0" w:space="0"/>
            <w:right w:val="none" w:sz="0" w:space="0"/>
          </w:pgBorders>
          <w:pgNumType w:fmt="decimal"/>
          <w:cols w:space="720" w:num="1"/>
          <w:docGrid w:linePitch="312" w:charSpace="0"/>
        </w:sectPr>
      </w:pPr>
      <w:bookmarkStart w:id="257" w:name="_Toc17802"/>
      <w:bookmarkStart w:id="258" w:name="_Toc21415"/>
      <w:bookmarkStart w:id="259" w:name="_Toc10979"/>
      <w:bookmarkStart w:id="260" w:name="_Toc29497"/>
      <w:bookmarkStart w:id="261" w:name="_Toc11945"/>
      <w:r>
        <w:rPr>
          <w:rFonts w:hint="default" w:ascii="Times New Roman" w:hAnsi="Times New Roman" w:cs="Times New Roman" w:eastAsiaTheme="minorEastAsia"/>
          <w:b/>
          <w:bCs/>
          <w:color w:val="auto"/>
          <w:sz w:val="36"/>
          <w:szCs w:val="36"/>
          <w:highlight w:val="none"/>
        </w:rPr>
        <w:fldChar w:fldCharType="begin"/>
      </w:r>
      <w:r>
        <w:rPr>
          <w:rFonts w:hint="default" w:ascii="Times New Roman" w:hAnsi="Times New Roman" w:cs="Times New Roman" w:eastAsiaTheme="minorEastAsia"/>
          <w:b/>
          <w:bCs/>
          <w:color w:val="auto"/>
          <w:sz w:val="36"/>
          <w:szCs w:val="36"/>
          <w:highlight w:val="none"/>
        </w:rPr>
        <w:instrText xml:space="preserve"> HYPERLINK  \l "_投标文件目录" </w:instrText>
      </w:r>
      <w:r>
        <w:rPr>
          <w:rFonts w:hint="default" w:ascii="Times New Roman" w:hAnsi="Times New Roman" w:cs="Times New Roman" w:eastAsiaTheme="minorEastAsia"/>
          <w:b/>
          <w:bCs/>
          <w:color w:val="auto"/>
          <w:sz w:val="36"/>
          <w:szCs w:val="36"/>
          <w:highlight w:val="none"/>
        </w:rPr>
        <w:fldChar w:fldCharType="separate"/>
      </w:r>
      <w:r>
        <w:rPr>
          <w:rFonts w:hint="default" w:ascii="Times New Roman" w:hAnsi="Times New Roman" w:cs="Times New Roman" w:eastAsiaTheme="minorEastAsia"/>
          <w:b/>
          <w:bCs/>
          <w:color w:val="auto"/>
          <w:sz w:val="36"/>
          <w:szCs w:val="36"/>
          <w:highlight w:val="none"/>
        </w:rPr>
        <w:t>第五章  价格部分</w:t>
      </w:r>
      <w:r>
        <w:rPr>
          <w:rFonts w:hint="default" w:ascii="Times New Roman" w:hAnsi="Times New Roman" w:cs="Times New Roman" w:eastAsiaTheme="minorEastAsia"/>
          <w:b/>
          <w:bCs/>
          <w:color w:val="auto"/>
          <w:sz w:val="36"/>
          <w:szCs w:val="36"/>
          <w:highlight w:val="none"/>
        </w:rPr>
        <w:fldChar w:fldCharType="end"/>
      </w:r>
      <w:bookmarkEnd w:id="257"/>
      <w:bookmarkEnd w:id="258"/>
    </w:p>
    <w:p w14:paraId="280BFBFE">
      <w:pPr>
        <w:keepLines w:val="0"/>
        <w:pageBreakBefore/>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color w:val="auto"/>
          <w:sz w:val="36"/>
          <w:szCs w:val="36"/>
          <w:highlight w:val="none"/>
        </w:rPr>
      </w:pPr>
      <w:bookmarkStart w:id="262" w:name="_Toc29896"/>
      <w:bookmarkStart w:id="263" w:name="_Toc26059"/>
      <w:r>
        <w:rPr>
          <w:rFonts w:hint="default" w:ascii="Times New Roman" w:hAnsi="Times New Roman" w:cs="Times New Roman" w:eastAsiaTheme="minorEastAsia"/>
          <w:b/>
          <w:bCs/>
          <w:color w:val="auto"/>
          <w:sz w:val="36"/>
          <w:szCs w:val="36"/>
          <w:highlight w:val="none"/>
          <w:lang w:val="en-US"/>
        </w:rPr>
        <w:t>5.1</w:t>
      </w:r>
      <w:r>
        <w:rPr>
          <w:rFonts w:hint="default" w:ascii="Times New Roman" w:hAnsi="Times New Roman" w:cs="Times New Roman" w:eastAsiaTheme="minorEastAsia"/>
          <w:b/>
          <w:bCs/>
          <w:color w:val="auto"/>
          <w:sz w:val="36"/>
          <w:szCs w:val="36"/>
          <w:highlight w:val="none"/>
        </w:rPr>
        <w:fldChar w:fldCharType="begin"/>
      </w:r>
      <w:r>
        <w:rPr>
          <w:rFonts w:hint="default" w:ascii="Times New Roman" w:hAnsi="Times New Roman" w:cs="Times New Roman" w:eastAsiaTheme="minorEastAsia"/>
          <w:b/>
          <w:bCs/>
          <w:color w:val="auto"/>
          <w:sz w:val="36"/>
          <w:szCs w:val="36"/>
          <w:highlight w:val="none"/>
        </w:rPr>
        <w:instrText xml:space="preserve"> DOCVARIABLE  报价一览表开始  \* MERGEFORMAT </w:instrText>
      </w:r>
      <w:r>
        <w:rPr>
          <w:rFonts w:hint="default" w:ascii="Times New Roman" w:hAnsi="Times New Roman" w:cs="Times New Roman" w:eastAsiaTheme="minorEastAsia"/>
          <w:b/>
          <w:bCs/>
          <w:color w:val="auto"/>
          <w:sz w:val="36"/>
          <w:szCs w:val="36"/>
          <w:highlight w:val="none"/>
        </w:rPr>
        <w:fldChar w:fldCharType="separate"/>
      </w:r>
      <w:r>
        <w:rPr>
          <w:rFonts w:hint="default" w:ascii="Times New Roman" w:hAnsi="Times New Roman" w:cs="Times New Roman" w:eastAsiaTheme="minorEastAsia"/>
          <w:b/>
          <w:bCs/>
          <w:color w:val="auto"/>
          <w:sz w:val="36"/>
          <w:szCs w:val="36"/>
          <w:highlight w:val="none"/>
        </w:rPr>
        <w:fldChar w:fldCharType="end"/>
      </w:r>
      <w:bookmarkStart w:id="264" w:name="_Toc159385082"/>
      <w:bookmarkStart w:id="265" w:name="_Toc419106577"/>
      <w:r>
        <w:rPr>
          <w:rFonts w:hint="default" w:ascii="Times New Roman" w:hAnsi="Times New Roman" w:cs="Times New Roman" w:eastAsiaTheme="minorEastAsia"/>
          <w:b/>
          <w:bCs/>
          <w:color w:val="auto"/>
          <w:sz w:val="36"/>
          <w:szCs w:val="36"/>
          <w:highlight w:val="none"/>
        </w:rPr>
        <w:t>报价汇总表</w:t>
      </w:r>
      <w:bookmarkEnd w:id="259"/>
      <w:bookmarkEnd w:id="260"/>
      <w:bookmarkEnd w:id="262"/>
      <w:bookmarkEnd w:id="263"/>
      <w:bookmarkEnd w:id="264"/>
      <w:bookmarkEnd w:id="265"/>
    </w:p>
    <w:p w14:paraId="6560E2EA">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Cs/>
          <w:color w:val="auto"/>
          <w:highlight w:val="none"/>
        </w:rPr>
      </w:pPr>
    </w:p>
    <w:p w14:paraId="01A2D23F">
      <w:pPr>
        <w:keepLines w:val="0"/>
        <w:pageBreakBefore w:val="0"/>
        <w:widowControl w:val="0"/>
        <w:tabs>
          <w:tab w:val="left" w:pos="5940"/>
        </w:tabs>
        <w:kinsoku/>
        <w:wordWrap/>
        <w:overflowPunct/>
        <w:topLinePunct w:val="0"/>
        <w:autoSpaceDE/>
        <w:autoSpaceDN/>
        <w:bidi w:val="0"/>
        <w:adjustRightInd/>
        <w:snapToGrid/>
        <w:spacing w:beforeAutospacing="0" w:afterAutospacing="0" w:line="440" w:lineRule="atLeast"/>
        <w:ind w:left="0" w:leftChars="0" w:right="0" w:rightChars="0"/>
        <w:jc w:val="left"/>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rPr>
        <w:t>项目名称：</w:t>
      </w:r>
      <w:r>
        <w:rPr>
          <w:rFonts w:hint="eastAsia" w:ascii="Times New Roman" w:hAnsi="Times New Roman" w:cs="Times New Roman"/>
          <w:bCs/>
          <w:color w:val="auto"/>
          <w:highlight w:val="none"/>
          <w:lang w:eastAsia="zh-CN"/>
        </w:rPr>
        <w:t>佛山市高明区人民法院执行案件集约化送达服务项目</w:t>
      </w:r>
    </w:p>
    <w:p w14:paraId="3B25C257">
      <w:pPr>
        <w:keepLines w:val="0"/>
        <w:pageBreakBefore w:val="0"/>
        <w:widowControl w:val="0"/>
        <w:tabs>
          <w:tab w:val="left" w:pos="5940"/>
        </w:tabs>
        <w:kinsoku/>
        <w:wordWrap/>
        <w:overflowPunct/>
        <w:topLinePunct w:val="0"/>
        <w:autoSpaceDE/>
        <w:autoSpaceDN/>
        <w:bidi w:val="0"/>
        <w:adjustRightInd/>
        <w:snapToGrid/>
        <w:spacing w:beforeAutospacing="0" w:afterAutospacing="0" w:line="440" w:lineRule="atLeast"/>
        <w:ind w:left="0" w:leftChars="0" w:right="0" w:rightChars="0"/>
        <w:jc w:val="left"/>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rPr>
        <w:t>项目编号：</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采购编号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eastAsia" w:ascii="Times New Roman" w:hAnsi="Times New Roman" w:cs="Times New Roman"/>
          <w:bCs/>
          <w:color w:val="auto"/>
          <w:highlight w:val="none"/>
          <w:lang w:eastAsia="zh-CN"/>
        </w:rPr>
        <w:t>GDYD240563</w:t>
      </w:r>
    </w:p>
    <w:tbl>
      <w:tblPr>
        <w:tblStyle w:val="18"/>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69269DCA">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20E3C93D">
            <w:pPr>
              <w:pStyle w:val="31"/>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atLeast"/>
              <w:ind w:left="0" w:leftChars="0" w:right="0" w:rightChars="0"/>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snapToGrid/>
                <w:color w:val="auto"/>
                <w:spacing w:val="0"/>
                <w:kern w:val="2"/>
                <w:szCs w:val="24"/>
                <w:highlight w:val="none"/>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2B074E82">
            <w:pPr>
              <w:pStyle w:val="31"/>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atLeast"/>
              <w:ind w:left="0" w:leftChars="0" w:right="0" w:rightChars="0"/>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snapToGrid/>
                <w:color w:val="auto"/>
                <w:spacing w:val="0"/>
                <w:kern w:val="2"/>
                <w:szCs w:val="24"/>
                <w:highlight w:val="none"/>
              </w:rPr>
              <w:t>合计</w:t>
            </w:r>
          </w:p>
        </w:tc>
      </w:tr>
      <w:tr w14:paraId="1F1C9D97">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noWrap w:val="0"/>
            <w:vAlign w:val="center"/>
          </w:tcPr>
          <w:p w14:paraId="45D74CF7">
            <w:pPr>
              <w:pStyle w:val="31"/>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atLeast"/>
              <w:ind w:left="0" w:leftChars="0" w:right="0" w:rightChars="0"/>
              <w:rPr>
                <w:rFonts w:hint="default" w:ascii="Times New Roman" w:hAnsi="Times New Roman" w:cs="Times New Roman" w:eastAsiaTheme="minorEastAsia"/>
                <w:snapToGrid/>
                <w:color w:val="auto"/>
                <w:spacing w:val="0"/>
                <w:kern w:val="2"/>
                <w:szCs w:val="24"/>
                <w:highlight w:val="none"/>
                <w:lang w:eastAsia="zh-CN"/>
              </w:rPr>
            </w:pPr>
            <w:r>
              <w:rPr>
                <w:rFonts w:hint="default" w:ascii="Times New Roman" w:hAnsi="Times New Roman" w:cs="Times New Roman" w:eastAsiaTheme="minorEastAsia"/>
                <w:snapToGrid/>
                <w:color w:val="auto"/>
                <w:spacing w:val="0"/>
                <w:kern w:val="2"/>
                <w:szCs w:val="24"/>
                <w:highlight w:val="none"/>
                <w:lang w:eastAsia="zh-CN"/>
              </w:rPr>
              <w:t>报价合计</w:t>
            </w:r>
          </w:p>
        </w:tc>
        <w:tc>
          <w:tcPr>
            <w:tcW w:w="6995" w:type="dxa"/>
            <w:tcBorders>
              <w:top w:val="single" w:color="auto" w:sz="4" w:space="0"/>
              <w:left w:val="single" w:color="auto" w:sz="4" w:space="0"/>
              <w:bottom w:val="single" w:color="auto" w:sz="4" w:space="0"/>
              <w:right w:val="single" w:color="auto" w:sz="4" w:space="0"/>
            </w:tcBorders>
            <w:noWrap w:val="0"/>
            <w:vAlign w:val="center"/>
          </w:tcPr>
          <w:p w14:paraId="54DB7647">
            <w:pPr>
              <w:pStyle w:val="31"/>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atLeast"/>
              <w:ind w:left="0" w:leftChars="0" w:right="0" w:rightChars="0"/>
              <w:jc w:val="both"/>
              <w:rPr>
                <w:rFonts w:hint="default" w:ascii="Times New Roman" w:hAnsi="Times New Roman" w:cs="Times New Roman" w:eastAsiaTheme="minorEastAsia"/>
                <w:color w:val="auto"/>
                <w:szCs w:val="24"/>
                <w:highlight w:val="none"/>
                <w:lang w:eastAsia="zh-CN"/>
              </w:rPr>
            </w:pPr>
            <w:r>
              <w:rPr>
                <w:rFonts w:hint="default" w:ascii="Times New Roman" w:hAnsi="Times New Roman" w:cs="Times New Roman" w:eastAsiaTheme="minorEastAsia"/>
                <w:color w:val="auto"/>
                <w:szCs w:val="24"/>
                <w:highlight w:val="none"/>
              </w:rPr>
              <w:t>小写：</w:t>
            </w:r>
            <w:r>
              <w:rPr>
                <w:rFonts w:hint="default" w:ascii="Times New Roman" w:hAnsi="Times New Roman" w:cs="Times New Roman" w:eastAsiaTheme="minorEastAsia"/>
                <w:color w:val="auto"/>
                <w:szCs w:val="24"/>
                <w:highlight w:val="none"/>
                <w:u w:val="single"/>
              </w:rPr>
              <w:t xml:space="preserve">      </w:t>
            </w:r>
            <w:r>
              <w:rPr>
                <w:rFonts w:hint="eastAsia" w:ascii="Times New Roman" w:hAnsi="Times New Roman" w:cs="Times New Roman" w:eastAsiaTheme="minorEastAsia"/>
                <w:color w:val="auto"/>
                <w:szCs w:val="24"/>
                <w:highlight w:val="none"/>
                <w:lang w:val="en-US" w:eastAsia="zh-CN"/>
              </w:rPr>
              <w:t>元</w:t>
            </w:r>
          </w:p>
          <w:p w14:paraId="3FFC84BF">
            <w:pPr>
              <w:pStyle w:val="31"/>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atLeast"/>
              <w:ind w:left="0" w:leftChars="0" w:right="0" w:rightChars="0"/>
              <w:jc w:val="both"/>
              <w:rPr>
                <w:rFonts w:hint="default" w:ascii="Times New Roman" w:hAnsi="Times New Roman" w:cs="Times New Roman" w:eastAsiaTheme="minorEastAsia"/>
                <w:snapToGrid/>
                <w:color w:val="auto"/>
                <w:spacing w:val="0"/>
                <w:kern w:val="2"/>
                <w:szCs w:val="24"/>
                <w:highlight w:val="none"/>
              </w:rPr>
            </w:pPr>
            <w:r>
              <w:rPr>
                <w:rFonts w:hint="default" w:ascii="Times New Roman" w:hAnsi="Times New Roman" w:cs="Times New Roman" w:eastAsiaTheme="minorEastAsia"/>
                <w:color w:val="auto"/>
                <w:szCs w:val="24"/>
                <w:highlight w:val="none"/>
              </w:rPr>
              <w:t>大写：</w:t>
            </w:r>
            <w:r>
              <w:rPr>
                <w:rFonts w:hint="eastAsia" w:ascii="Times New Roman" w:hAnsi="Times New Roman" w:cs="Times New Roman" w:eastAsiaTheme="minorEastAsia"/>
                <w:color w:val="auto"/>
                <w:szCs w:val="24"/>
                <w:highlight w:val="none"/>
                <w:lang w:eastAsia="zh-CN"/>
              </w:rPr>
              <w:t>人民币</w:t>
            </w:r>
            <w:r>
              <w:rPr>
                <w:rFonts w:hint="default" w:ascii="Times New Roman" w:hAnsi="Times New Roman" w:cs="Times New Roman" w:eastAsiaTheme="minorEastAsia"/>
                <w:color w:val="auto"/>
                <w:szCs w:val="24"/>
                <w:highlight w:val="none"/>
                <w:u w:val="single"/>
              </w:rPr>
              <w:t xml:space="preserve">         </w:t>
            </w:r>
          </w:p>
        </w:tc>
      </w:tr>
    </w:tbl>
    <w:p w14:paraId="2F0DEB93">
      <w:pPr>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left"/>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注：</w:t>
      </w:r>
    </w:p>
    <w:p w14:paraId="5421B291">
      <w:pPr>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left"/>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1、</w:t>
      </w:r>
      <w:r>
        <w:rPr>
          <w:rFonts w:hint="eastAsia" w:ascii="宋体" w:hAnsi="宋体" w:cs="宋体"/>
          <w:color w:val="auto"/>
          <w:highlight w:val="none"/>
        </w:rPr>
        <w:t>总价应为各分项报价之和，响应文件差异修正准则参见响应文件说明</w:t>
      </w:r>
      <w:r>
        <w:rPr>
          <w:rFonts w:hint="eastAsia" w:ascii="Times New Roman" w:hAnsi="Times New Roman" w:cs="Times New Roman"/>
          <w:color w:val="auto"/>
          <w:highlight w:val="none"/>
          <w:lang w:eastAsia="zh-CN"/>
        </w:rPr>
        <w:t>。</w:t>
      </w:r>
    </w:p>
    <w:p w14:paraId="31FB943D">
      <w:pPr>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0" w:firstLineChars="0"/>
        <w:rPr>
          <w:rFonts w:hint="default" w:ascii="Times New Roman" w:hAnsi="Times New Roman" w:cs="Times New Roman" w:eastAsiaTheme="minorEastAsia"/>
          <w:color w:val="auto"/>
          <w:highlight w:val="none"/>
        </w:rPr>
      </w:pPr>
      <w:r>
        <w:rPr>
          <w:rFonts w:hint="eastAsia" w:ascii="Times New Roman" w:hAnsi="Times New Roman" w:cs="Times New Roman"/>
          <w:color w:val="auto"/>
          <w:highlight w:val="none"/>
          <w:lang w:eastAsia="zh-CN"/>
        </w:rPr>
        <w:t>2、</w:t>
      </w:r>
      <w:r>
        <w:rPr>
          <w:rFonts w:hint="default" w:ascii="Times New Roman" w:hAnsi="Times New Roman" w:cs="Times New Roman" w:eastAsiaTheme="minorEastAsia"/>
          <w:color w:val="auto"/>
          <w:highlight w:val="none"/>
        </w:rPr>
        <w:t>报价表述限于选用中文大写或阿拉伯数字小写，均已核定准确无误。</w:t>
      </w:r>
    </w:p>
    <w:p w14:paraId="39ABFB65">
      <w:pPr>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p>
    <w:p w14:paraId="0AB76A91">
      <w:pPr>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p>
    <w:p w14:paraId="249A2295">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供应商名称：</w:t>
      </w:r>
      <w:r>
        <w:rPr>
          <w:rFonts w:hint="default" w:ascii="Times New Roman" w:hAnsi="Times New Roman" w:cs="Times New Roman" w:eastAsiaTheme="minorEastAsia"/>
          <w:b w:val="0"/>
          <w:bCs w:val="0"/>
          <w:color w:val="auto"/>
          <w:sz w:val="21"/>
          <w:szCs w:val="21"/>
          <w:highlight w:val="none"/>
          <w:u w:val="single"/>
        </w:rPr>
        <w:t xml:space="preserve">           （</w:t>
      </w:r>
      <w:r>
        <w:rPr>
          <w:rFonts w:hint="eastAsia" w:ascii="Times New Roman" w:hAnsi="Times New Roman" w:cs="Times New Roman"/>
          <w:b w:val="0"/>
          <w:bCs w:val="0"/>
          <w:color w:val="auto"/>
          <w:sz w:val="21"/>
          <w:szCs w:val="21"/>
          <w:highlight w:val="none"/>
          <w:u w:val="single"/>
          <w:lang w:eastAsia="zh-CN"/>
        </w:rPr>
        <w:t>单位名称</w:t>
      </w:r>
      <w:r>
        <w:rPr>
          <w:rFonts w:hint="default" w:ascii="Times New Roman" w:hAnsi="Times New Roman" w:cs="Times New Roman" w:eastAsiaTheme="minorEastAsia"/>
          <w:b w:val="0"/>
          <w:bCs w:val="0"/>
          <w:color w:val="auto"/>
          <w:sz w:val="21"/>
          <w:szCs w:val="21"/>
          <w:highlight w:val="none"/>
          <w:u w:val="single"/>
        </w:rPr>
        <w:t xml:space="preserve">全称）                </w:t>
      </w:r>
      <w:r>
        <w:rPr>
          <w:rFonts w:hint="default" w:ascii="Times New Roman" w:hAnsi="Times New Roman" w:cs="Times New Roman" w:eastAsiaTheme="minorEastAsia"/>
          <w:b w:val="0"/>
          <w:bCs w:val="0"/>
          <w:color w:val="auto"/>
          <w:sz w:val="21"/>
          <w:szCs w:val="21"/>
          <w:highlight w:val="none"/>
        </w:rPr>
        <w:t>（</w:t>
      </w:r>
      <w:r>
        <w:rPr>
          <w:rFonts w:hint="default" w:ascii="Times New Roman" w:hAnsi="Times New Roman" w:cs="Times New Roman" w:eastAsiaTheme="minorEastAsia"/>
          <w:b w:val="0"/>
          <w:bCs w:val="0"/>
          <w:color w:val="auto"/>
          <w:sz w:val="21"/>
          <w:szCs w:val="21"/>
          <w:highlight w:val="none"/>
          <w:lang w:val="zh-CN"/>
        </w:rPr>
        <w:t>加盖供应商公章</w:t>
      </w:r>
      <w:r>
        <w:rPr>
          <w:rFonts w:hint="default" w:ascii="Times New Roman" w:hAnsi="Times New Roman" w:cs="Times New Roman" w:eastAsiaTheme="minorEastAsia"/>
          <w:b w:val="0"/>
          <w:bCs w:val="0"/>
          <w:color w:val="auto"/>
          <w:sz w:val="21"/>
          <w:szCs w:val="21"/>
          <w:highlight w:val="none"/>
        </w:rPr>
        <w:t>）</w:t>
      </w:r>
    </w:p>
    <w:p w14:paraId="15F097C4">
      <w:pPr>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rPr>
          <w:rFonts w:hint="default" w:ascii="Times New Roman" w:hAnsi="Times New Roman" w:cs="Times New Roman" w:eastAsiaTheme="minorEastAsia"/>
          <w:b w:val="0"/>
          <w:bCs w:val="0"/>
          <w:color w:val="auto"/>
          <w:highlight w:val="none"/>
        </w:rPr>
      </w:pPr>
      <w:r>
        <w:rPr>
          <w:rFonts w:hint="default" w:ascii="Times New Roman" w:hAnsi="Times New Roman" w:cs="Times New Roman" w:eastAsiaTheme="minorEastAsia"/>
          <w:b w:val="0"/>
          <w:bCs w:val="0"/>
          <w:color w:val="auto"/>
          <w:highlight w:val="none"/>
        </w:rPr>
        <w:t>授权代表：</w:t>
      </w:r>
      <w:r>
        <w:rPr>
          <w:rFonts w:hint="default" w:ascii="Times New Roman" w:hAnsi="Times New Roman" w:cs="Times New Roman" w:eastAsiaTheme="minorEastAsia"/>
          <w:b w:val="0"/>
          <w:bCs w:val="0"/>
          <w:color w:val="auto"/>
          <w:highlight w:val="none"/>
          <w:u w:val="single"/>
        </w:rPr>
        <w:t xml:space="preserve">                              </w:t>
      </w:r>
      <w:r>
        <w:rPr>
          <w:rFonts w:hint="default" w:ascii="Times New Roman" w:hAnsi="Times New Roman" w:cs="Times New Roman" w:eastAsiaTheme="minorEastAsia"/>
          <w:b w:val="0"/>
          <w:bCs w:val="0"/>
          <w:color w:val="auto"/>
          <w:highlight w:val="none"/>
        </w:rPr>
        <w:t>（亲笔签名）</w:t>
      </w:r>
    </w:p>
    <w:p w14:paraId="45EE1B89">
      <w:pPr>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rPr>
          <w:rFonts w:hint="default" w:ascii="Times New Roman" w:hAnsi="Times New Roman" w:cs="Times New Roman" w:eastAsiaTheme="minorEastAsia"/>
          <w:b w:val="0"/>
          <w:bCs w:val="0"/>
          <w:color w:val="auto"/>
          <w:sz w:val="21"/>
          <w:szCs w:val="21"/>
          <w:highlight w:val="none"/>
          <w:u w:val="single"/>
        </w:rPr>
      </w:pPr>
      <w:r>
        <w:rPr>
          <w:rFonts w:hint="default" w:ascii="Times New Roman" w:hAnsi="Times New Roman" w:cs="Times New Roman" w:eastAsiaTheme="minorEastAsia"/>
          <w:b w:val="0"/>
          <w:bCs w:val="0"/>
          <w:color w:val="auto"/>
          <w:sz w:val="21"/>
          <w:szCs w:val="21"/>
          <w:highlight w:val="none"/>
        </w:rPr>
        <w:t>日期：</w:t>
      </w:r>
      <w:r>
        <w:rPr>
          <w:rFonts w:hint="default" w:ascii="Times New Roman" w:hAnsi="Times New Roman" w:cs="Times New Roman" w:eastAsiaTheme="minorEastAsia"/>
          <w:b w:val="0"/>
          <w:bCs w:val="0"/>
          <w:color w:val="auto"/>
          <w:sz w:val="21"/>
          <w:szCs w:val="21"/>
          <w:highlight w:val="none"/>
          <w:u w:val="single"/>
        </w:rPr>
        <w:t xml:space="preserve">    </w:t>
      </w:r>
      <w:r>
        <w:rPr>
          <w:rFonts w:hint="default" w:ascii="Times New Roman" w:hAnsi="Times New Roman" w:cs="Times New Roman" w:eastAsiaTheme="minorEastAsia"/>
          <w:b w:val="0"/>
          <w:bCs w:val="0"/>
          <w:color w:val="auto"/>
          <w:sz w:val="21"/>
          <w:szCs w:val="21"/>
          <w:highlight w:val="none"/>
        </w:rPr>
        <w:t>年</w:t>
      </w:r>
      <w:r>
        <w:rPr>
          <w:rFonts w:hint="default" w:ascii="Times New Roman" w:hAnsi="Times New Roman" w:cs="Times New Roman" w:eastAsiaTheme="minorEastAsia"/>
          <w:b w:val="0"/>
          <w:bCs w:val="0"/>
          <w:color w:val="auto"/>
          <w:sz w:val="21"/>
          <w:szCs w:val="21"/>
          <w:highlight w:val="none"/>
          <w:u w:val="single"/>
        </w:rPr>
        <w:t xml:space="preserve">    </w:t>
      </w:r>
      <w:r>
        <w:rPr>
          <w:rFonts w:hint="default" w:ascii="Times New Roman" w:hAnsi="Times New Roman" w:cs="Times New Roman" w:eastAsiaTheme="minorEastAsia"/>
          <w:b w:val="0"/>
          <w:bCs w:val="0"/>
          <w:color w:val="auto"/>
          <w:sz w:val="21"/>
          <w:szCs w:val="21"/>
          <w:highlight w:val="none"/>
        </w:rPr>
        <w:t>月</w:t>
      </w:r>
      <w:r>
        <w:rPr>
          <w:rFonts w:hint="default" w:ascii="Times New Roman" w:hAnsi="Times New Roman" w:cs="Times New Roman" w:eastAsiaTheme="minorEastAsia"/>
          <w:b w:val="0"/>
          <w:bCs w:val="0"/>
          <w:color w:val="auto"/>
          <w:sz w:val="21"/>
          <w:szCs w:val="21"/>
          <w:highlight w:val="none"/>
          <w:u w:val="single"/>
        </w:rPr>
        <w:t xml:space="preserve">    </w:t>
      </w:r>
      <w:r>
        <w:rPr>
          <w:rFonts w:hint="default" w:ascii="Times New Roman" w:hAnsi="Times New Roman" w:cs="Times New Roman" w:eastAsiaTheme="minorEastAsia"/>
          <w:b w:val="0"/>
          <w:bCs w:val="0"/>
          <w:color w:val="auto"/>
          <w:sz w:val="21"/>
          <w:szCs w:val="21"/>
          <w:highlight w:val="none"/>
        </w:rPr>
        <w:t>日</w:t>
      </w:r>
    </w:p>
    <w:p w14:paraId="43F21E54">
      <w:pPr>
        <w:pStyle w:val="17"/>
        <w:keepLines w:val="0"/>
        <w:kinsoku/>
        <w:wordWrap/>
        <w:overflowPunct/>
        <w:topLinePunct w:val="0"/>
        <w:bidi w:val="0"/>
        <w:spacing w:before="0" w:beforeLines="0" w:beforeAutospacing="0" w:after="0" w:afterLines="0" w:afterAutospacing="0" w:line="440" w:lineRule="atLeast"/>
        <w:ind w:left="0" w:leftChars="0" w:right="0" w:rightChars="0" w:firstLine="0" w:firstLineChars="0"/>
        <w:rPr>
          <w:rFonts w:hint="default" w:ascii="Times New Roman" w:hAnsi="Times New Roman" w:cs="Times New Roman" w:eastAsiaTheme="minorEastAsia"/>
          <w:b/>
          <w:color w:val="auto"/>
          <w:highlight w:val="none"/>
        </w:rPr>
      </w:pPr>
    </w:p>
    <w:p w14:paraId="2773BA8E">
      <w:pPr>
        <w:pStyle w:val="17"/>
        <w:keepLines w:val="0"/>
        <w:kinsoku/>
        <w:wordWrap/>
        <w:overflowPunct/>
        <w:topLinePunct w:val="0"/>
        <w:bidi w:val="0"/>
        <w:spacing w:before="0" w:beforeLines="0" w:beforeAutospacing="0" w:after="0" w:afterLines="0" w:afterAutospacing="0" w:line="440" w:lineRule="atLeast"/>
        <w:ind w:left="0" w:leftChars="0" w:right="0" w:rightChars="0" w:firstLine="0" w:firstLineChars="0"/>
        <w:rPr>
          <w:rFonts w:hint="default" w:ascii="Times New Roman" w:hAnsi="Times New Roman" w:cs="Times New Roman" w:eastAsiaTheme="minorEastAsia"/>
          <w:b/>
          <w:color w:val="auto"/>
          <w:highlight w:val="none"/>
        </w:rPr>
        <w:sectPr>
          <w:headerReference r:id="rId9" w:type="default"/>
          <w:pgSz w:w="11906" w:h="16838"/>
          <w:pgMar w:top="1134" w:right="1134" w:bottom="1134" w:left="1588" w:header="567" w:footer="737" w:gutter="0"/>
          <w:pgBorders>
            <w:top w:val="none" w:sz="0" w:space="0"/>
            <w:left w:val="none" w:sz="0" w:space="0"/>
            <w:bottom w:val="none" w:sz="0" w:space="0"/>
            <w:right w:val="none" w:sz="0" w:space="0"/>
          </w:pgBorders>
          <w:pgNumType w:fmt="decimal"/>
          <w:cols w:space="720" w:num="1"/>
          <w:docGrid w:linePitch="312" w:charSpace="0"/>
        </w:sectPr>
      </w:pPr>
    </w:p>
    <w:p w14:paraId="4D9ACD07">
      <w:pPr>
        <w:keepLines w:val="0"/>
        <w:kinsoku/>
        <w:wordWrap/>
        <w:overflowPunct/>
        <w:topLinePunct w:val="0"/>
        <w:bidi w:val="0"/>
        <w:spacing w:beforeAutospacing="0" w:afterAutospacing="0" w:line="440" w:lineRule="atLeast"/>
        <w:ind w:left="0" w:leftChars="0" w:right="0" w:rightChars="0"/>
        <w:jc w:val="center"/>
        <w:rPr>
          <w:rFonts w:hint="eastAsia"/>
          <w:b/>
          <w:color w:val="auto"/>
          <w:kern w:val="0"/>
          <w:sz w:val="36"/>
          <w:szCs w:val="36"/>
          <w:highlight w:val="none"/>
        </w:rPr>
      </w:pPr>
      <w:bookmarkStart w:id="266" w:name="_Toc419106583"/>
      <w:bookmarkStart w:id="267" w:name="_Toc30104"/>
      <w:bookmarkStart w:id="268" w:name="_Toc259803673"/>
      <w:bookmarkStart w:id="269" w:name="_Toc1321"/>
      <w:r>
        <w:rPr>
          <w:rFonts w:hint="eastAsia"/>
          <w:b/>
          <w:color w:val="auto"/>
          <w:kern w:val="0"/>
          <w:sz w:val="36"/>
          <w:szCs w:val="36"/>
          <w:highlight w:val="none"/>
        </w:rPr>
        <w:t>报价清单明细表</w:t>
      </w:r>
    </w:p>
    <w:p w14:paraId="0F17162F">
      <w:pPr>
        <w:keepNext w:val="0"/>
        <w:keepLines w:val="0"/>
        <w:pageBreakBefore w:val="0"/>
        <w:widowControl w:val="0"/>
        <w:tabs>
          <w:tab w:val="left" w:pos="5940"/>
        </w:tabs>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ascii="宋体" w:hAnsi="宋体" w:cs="宋体"/>
          <w:bCs/>
          <w:color w:val="auto"/>
          <w:highlight w:val="none"/>
        </w:rPr>
      </w:pPr>
      <w:r>
        <w:rPr>
          <w:rFonts w:hint="eastAsia" w:ascii="宋体" w:hAnsi="宋体" w:cs="宋体"/>
          <w:bCs/>
          <w:color w:val="auto"/>
          <w:highlight w:val="none"/>
        </w:rPr>
        <w:t>项目名称：</w:t>
      </w:r>
      <w:r>
        <w:rPr>
          <w:rFonts w:hint="eastAsia" w:ascii="Times New Roman" w:hAnsi="Times New Roman" w:cs="Times New Roman"/>
          <w:bCs/>
          <w:color w:val="auto"/>
          <w:highlight w:val="none"/>
          <w:lang w:eastAsia="zh-CN"/>
        </w:rPr>
        <w:t>佛山市高明区人民法院执行案件集约化送达服务项目</w:t>
      </w:r>
      <w:r>
        <w:rPr>
          <w:rFonts w:hint="eastAsia" w:ascii="宋体" w:hAnsi="宋体" w:cs="宋体"/>
          <w:color w:val="auto"/>
          <w:highlight w:val="none"/>
        </w:rPr>
        <w:fldChar w:fldCharType="begin"/>
      </w:r>
      <w:r>
        <w:rPr>
          <w:rFonts w:hint="eastAsia" w:ascii="宋体" w:hAnsi="宋体" w:cs="宋体"/>
          <w:color w:val="auto"/>
          <w:highlight w:val="none"/>
        </w:rPr>
        <w:instrText xml:space="preserve"> DOCVARIABLE  项目名称  \* MERGEFORMAT </w:instrText>
      </w:r>
      <w:r>
        <w:rPr>
          <w:rFonts w:ascii="宋体" w:hAnsi="宋体" w:cs="宋体"/>
          <w:color w:val="auto"/>
          <w:highlight w:val="none"/>
        </w:rPr>
        <w:fldChar w:fldCharType="separate"/>
      </w:r>
      <w:r>
        <w:rPr>
          <w:rFonts w:hint="eastAsia" w:ascii="宋体" w:hAnsi="宋体" w:cs="宋体"/>
          <w:color w:val="auto"/>
          <w:highlight w:val="none"/>
        </w:rPr>
        <w:fldChar w:fldCharType="end"/>
      </w:r>
      <w:r>
        <w:rPr>
          <w:rFonts w:hint="eastAsia" w:ascii="宋体" w:hAnsi="宋体" w:cs="宋体"/>
          <w:color w:val="auto"/>
          <w:highlight w:val="none"/>
        </w:rPr>
        <w:t xml:space="preserve"> </w:t>
      </w:r>
      <w:r>
        <w:rPr>
          <w:rFonts w:hint="eastAsia" w:ascii="宋体" w:hAnsi="宋体" w:cs="宋体"/>
          <w:bCs/>
          <w:color w:val="auto"/>
          <w:highlight w:val="none"/>
        </w:rPr>
        <w:t xml:space="preserve">        </w:t>
      </w:r>
    </w:p>
    <w:p w14:paraId="083CD5FD">
      <w:pPr>
        <w:keepNext w:val="0"/>
        <w:keepLines w:val="0"/>
        <w:pageBreakBefore w:val="0"/>
        <w:widowControl w:val="0"/>
        <w:tabs>
          <w:tab w:val="left" w:pos="5940"/>
        </w:tabs>
        <w:kinsoku/>
        <w:wordWrap/>
        <w:overflowPunct/>
        <w:topLinePunct w:val="0"/>
        <w:autoSpaceDE/>
        <w:autoSpaceDN/>
        <w:bidi w:val="0"/>
        <w:adjustRightInd/>
        <w:snapToGrid/>
        <w:spacing w:beforeAutospacing="0" w:afterAutospacing="0" w:line="440" w:lineRule="atLeast"/>
        <w:ind w:left="0" w:leftChars="0" w:right="0" w:rightChars="0"/>
        <w:jc w:val="left"/>
        <w:textAlignment w:val="auto"/>
        <w:rPr>
          <w:rFonts w:hint="default" w:ascii="宋体" w:hAnsi="宋体" w:eastAsia="宋体" w:cs="宋体"/>
          <w:bCs/>
          <w:color w:val="auto"/>
          <w:highlight w:val="none"/>
          <w:lang w:val="en-IE" w:eastAsia="zh-CN"/>
        </w:rPr>
      </w:pPr>
      <w:r>
        <w:rPr>
          <w:rFonts w:hint="eastAsia" w:ascii="宋体" w:hAnsi="宋体" w:cs="宋体"/>
          <w:bCs/>
          <w:color w:val="auto"/>
          <w:highlight w:val="none"/>
        </w:rPr>
        <w:t>项目编号：</w:t>
      </w:r>
      <w:r>
        <w:rPr>
          <w:rFonts w:hint="eastAsia" w:ascii="Times New Roman" w:hAnsi="Times New Roman" w:cs="Times New Roman"/>
          <w:bCs/>
          <w:color w:val="auto"/>
          <w:highlight w:val="none"/>
          <w:lang w:eastAsia="zh-CN"/>
        </w:rPr>
        <w:t>GDYD240563</w:t>
      </w:r>
    </w:p>
    <w:tbl>
      <w:tblPr>
        <w:tblStyle w:val="18"/>
        <w:tblW w:w="14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2508"/>
        <w:gridCol w:w="4175"/>
        <w:gridCol w:w="1620"/>
        <w:gridCol w:w="1110"/>
        <w:gridCol w:w="1050"/>
        <w:gridCol w:w="1260"/>
        <w:gridCol w:w="2420"/>
      </w:tblGrid>
      <w:tr w14:paraId="2C2D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4751" w:type="dxa"/>
            <w:gridSpan w:val="8"/>
            <w:tcBorders>
              <w:left w:val="threeDEmboss" w:color="auto" w:sz="6" w:space="0"/>
              <w:right w:val="threeDEmboss" w:color="auto" w:sz="6" w:space="0"/>
            </w:tcBorders>
            <w:shd w:val="clear" w:color="auto" w:fill="F3F3F3"/>
            <w:vAlign w:val="center"/>
          </w:tcPr>
          <w:p w14:paraId="506004E3">
            <w:pPr>
              <w:keepNext w:val="0"/>
              <w:keepLines w:val="0"/>
              <w:pageBreakBefore w:val="0"/>
              <w:widowControl w:val="0"/>
              <w:tabs>
                <w:tab w:val="left" w:pos="9585"/>
                <w:tab w:val="left" w:pos="11205"/>
              </w:tabs>
              <w:kinsoku/>
              <w:wordWrap/>
              <w:overflowPunct/>
              <w:topLinePunct w:val="0"/>
              <w:autoSpaceDE/>
              <w:autoSpaceDN/>
              <w:bidi w:val="0"/>
              <w:adjustRightInd/>
              <w:snapToGrid/>
              <w:spacing w:beforeAutospacing="0" w:afterAutospacing="0" w:line="440" w:lineRule="atLeast"/>
              <w:ind w:left="0" w:leftChars="0" w:right="0" w:rightChars="0" w:firstLine="24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一、服务类</w:t>
            </w:r>
          </w:p>
        </w:tc>
      </w:tr>
      <w:tr w14:paraId="0F51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vAlign w:val="center"/>
          </w:tcPr>
          <w:p w14:paraId="4AFF623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eastAsia" w:ascii="宋体" w:hAnsi="宋体" w:eastAsia="宋体" w:cs="宋体"/>
                <w:b/>
                <w:color w:val="auto"/>
                <w:sz w:val="18"/>
                <w:highlight w:val="none"/>
              </w:rPr>
            </w:pPr>
            <w:r>
              <w:rPr>
                <w:rFonts w:hint="eastAsia" w:ascii="宋体" w:hAnsi="宋体" w:eastAsia="宋体" w:cs="宋体"/>
                <w:b/>
                <w:color w:val="auto"/>
                <w:sz w:val="18"/>
                <w:highlight w:val="none"/>
              </w:rPr>
              <w:t>序号</w:t>
            </w:r>
          </w:p>
        </w:tc>
        <w:tc>
          <w:tcPr>
            <w:tcW w:w="2508" w:type="dxa"/>
            <w:vAlign w:val="center"/>
          </w:tcPr>
          <w:p w14:paraId="6D0512C6">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eastAsia" w:ascii="宋体" w:hAnsi="宋体" w:eastAsia="宋体" w:cs="宋体"/>
                <w:b/>
                <w:color w:val="auto"/>
                <w:sz w:val="18"/>
                <w:highlight w:val="none"/>
              </w:rPr>
            </w:pPr>
            <w:r>
              <w:rPr>
                <w:rFonts w:hint="eastAsia" w:ascii="宋体" w:hAnsi="宋体" w:eastAsia="宋体" w:cs="宋体"/>
                <w:b/>
                <w:color w:val="auto"/>
                <w:sz w:val="18"/>
                <w:highlight w:val="none"/>
              </w:rPr>
              <w:t>分项名称</w:t>
            </w:r>
          </w:p>
        </w:tc>
        <w:tc>
          <w:tcPr>
            <w:tcW w:w="4175" w:type="dxa"/>
            <w:vAlign w:val="center"/>
          </w:tcPr>
          <w:p w14:paraId="1FBC49E9">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eastAsia" w:ascii="宋体" w:hAnsi="宋体" w:eastAsia="宋体" w:cs="宋体"/>
                <w:b/>
                <w:color w:val="auto"/>
                <w:sz w:val="18"/>
                <w:highlight w:val="none"/>
              </w:rPr>
            </w:pPr>
            <w:r>
              <w:rPr>
                <w:rFonts w:hint="eastAsia" w:ascii="宋体" w:hAnsi="宋体" w:eastAsia="宋体" w:cs="宋体"/>
                <w:b/>
                <w:color w:val="auto"/>
                <w:sz w:val="18"/>
                <w:highlight w:val="none"/>
              </w:rPr>
              <w:t>具体内容</w:t>
            </w:r>
          </w:p>
        </w:tc>
        <w:tc>
          <w:tcPr>
            <w:tcW w:w="1620" w:type="dxa"/>
            <w:vAlign w:val="center"/>
          </w:tcPr>
          <w:p w14:paraId="2C2E78AC">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eastAsia" w:ascii="宋体" w:hAnsi="宋体" w:eastAsia="宋体" w:cs="宋体"/>
                <w:b/>
                <w:bCs/>
                <w:color w:val="auto"/>
                <w:sz w:val="18"/>
                <w:highlight w:val="none"/>
              </w:rPr>
            </w:pPr>
            <w:r>
              <w:rPr>
                <w:rFonts w:hint="eastAsia" w:ascii="宋体" w:hAnsi="宋体" w:eastAsia="宋体" w:cs="宋体"/>
                <w:b/>
                <w:bCs/>
                <w:color w:val="auto"/>
                <w:sz w:val="18"/>
                <w:highlight w:val="none"/>
              </w:rPr>
              <w:t>单位</w:t>
            </w:r>
          </w:p>
        </w:tc>
        <w:tc>
          <w:tcPr>
            <w:tcW w:w="1110" w:type="dxa"/>
            <w:vAlign w:val="center"/>
          </w:tcPr>
          <w:p w14:paraId="4C6F0AA6">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eastAsia" w:ascii="宋体" w:hAnsi="宋体" w:eastAsia="宋体" w:cs="宋体"/>
                <w:b/>
                <w:bCs/>
                <w:color w:val="auto"/>
                <w:sz w:val="18"/>
                <w:highlight w:val="none"/>
              </w:rPr>
            </w:pPr>
            <w:r>
              <w:rPr>
                <w:rFonts w:hint="eastAsia" w:ascii="宋体" w:hAnsi="宋体" w:eastAsia="宋体" w:cs="宋体"/>
                <w:b/>
                <w:bCs/>
                <w:color w:val="auto"/>
                <w:sz w:val="18"/>
                <w:highlight w:val="none"/>
              </w:rPr>
              <w:t>数量</w:t>
            </w:r>
          </w:p>
        </w:tc>
        <w:tc>
          <w:tcPr>
            <w:tcW w:w="1050" w:type="dxa"/>
            <w:vAlign w:val="center"/>
          </w:tcPr>
          <w:p w14:paraId="1B60E15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eastAsia" w:ascii="宋体" w:hAnsi="宋体" w:eastAsia="宋体" w:cs="宋体"/>
                <w:b/>
                <w:color w:val="auto"/>
                <w:sz w:val="18"/>
                <w:highlight w:val="none"/>
              </w:rPr>
            </w:pPr>
            <w:r>
              <w:rPr>
                <w:rFonts w:hint="eastAsia" w:ascii="宋体" w:hAnsi="宋体" w:eastAsia="宋体" w:cs="宋体"/>
                <w:b/>
                <w:color w:val="auto"/>
                <w:sz w:val="18"/>
                <w:highlight w:val="none"/>
              </w:rPr>
              <w:t>单价</w:t>
            </w:r>
          </w:p>
        </w:tc>
        <w:tc>
          <w:tcPr>
            <w:tcW w:w="1260" w:type="dxa"/>
            <w:vAlign w:val="center"/>
          </w:tcPr>
          <w:p w14:paraId="6FD55E8F">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eastAsia" w:ascii="宋体" w:hAnsi="宋体" w:eastAsia="宋体" w:cs="宋体"/>
                <w:b/>
                <w:color w:val="auto"/>
                <w:sz w:val="18"/>
                <w:highlight w:val="none"/>
              </w:rPr>
            </w:pPr>
            <w:r>
              <w:rPr>
                <w:rFonts w:hint="eastAsia" w:ascii="宋体" w:hAnsi="宋体" w:eastAsia="宋体" w:cs="宋体"/>
                <w:b/>
                <w:color w:val="auto"/>
                <w:sz w:val="18"/>
                <w:highlight w:val="none"/>
              </w:rPr>
              <w:t>合计（元）</w:t>
            </w:r>
          </w:p>
        </w:tc>
        <w:tc>
          <w:tcPr>
            <w:tcW w:w="2420" w:type="dxa"/>
            <w:tcBorders>
              <w:right w:val="threeDEmboss" w:color="auto" w:sz="6" w:space="0"/>
            </w:tcBorders>
            <w:vAlign w:val="center"/>
          </w:tcPr>
          <w:p w14:paraId="3DA428A3">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eastAsia" w:ascii="宋体" w:hAnsi="宋体" w:eastAsia="宋体" w:cs="宋体"/>
                <w:b/>
                <w:color w:val="auto"/>
                <w:sz w:val="18"/>
                <w:highlight w:val="none"/>
              </w:rPr>
            </w:pPr>
            <w:r>
              <w:rPr>
                <w:rFonts w:hint="eastAsia" w:ascii="宋体" w:hAnsi="宋体" w:eastAsia="宋体" w:cs="宋体"/>
                <w:b/>
                <w:color w:val="auto"/>
                <w:sz w:val="18"/>
                <w:highlight w:val="none"/>
              </w:rPr>
              <w:t>说    明</w:t>
            </w:r>
          </w:p>
        </w:tc>
      </w:tr>
      <w:tr w14:paraId="71E6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vAlign w:val="center"/>
          </w:tcPr>
          <w:p w14:paraId="234C9295">
            <w:pPr>
              <w:keepNext w:val="0"/>
              <w:keepLines w:val="0"/>
              <w:pageBreakBefore w:val="0"/>
              <w:widowControl w:val="0"/>
              <w:numPr>
                <w:ilvl w:val="0"/>
                <w:numId w:val="19"/>
              </w:numPr>
              <w:kinsoku/>
              <w:wordWrap/>
              <w:overflowPunct/>
              <w:topLinePunct w:val="0"/>
              <w:autoSpaceDE/>
              <w:autoSpaceDN/>
              <w:bidi w:val="0"/>
              <w:adjustRightInd/>
              <w:snapToGrid/>
              <w:spacing w:beforeAutospacing="0" w:afterAutospacing="0" w:line="440" w:lineRule="atLeast"/>
              <w:ind w:left="-68" w:leftChars="0" w:right="0" w:rightChars="0" w:firstLine="68" w:firstLineChars="0"/>
              <w:jc w:val="both"/>
              <w:textAlignment w:val="auto"/>
              <w:rPr>
                <w:rFonts w:hint="eastAsia" w:ascii="宋体" w:hAnsi="宋体" w:eastAsia="宋体" w:cs="宋体"/>
                <w:bCs/>
                <w:color w:val="auto"/>
                <w:sz w:val="18"/>
                <w:highlight w:val="none"/>
              </w:rPr>
            </w:pPr>
          </w:p>
        </w:tc>
        <w:tc>
          <w:tcPr>
            <w:tcW w:w="2508" w:type="dxa"/>
            <w:vAlign w:val="center"/>
          </w:tcPr>
          <w:p w14:paraId="5D5BDFB7">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color w:val="auto"/>
                <w:sz w:val="18"/>
                <w:highlight w:val="none"/>
                <w:lang w:eastAsia="zh-CN"/>
              </w:rPr>
            </w:pPr>
            <w:r>
              <w:rPr>
                <w:rFonts w:hint="eastAsia" w:ascii="宋体" w:hAnsi="宋体" w:eastAsia="宋体" w:cs="宋体"/>
                <w:color w:val="auto"/>
                <w:sz w:val="18"/>
                <w:highlight w:val="none"/>
                <w:lang w:eastAsia="zh-CN"/>
              </w:rPr>
              <w:t>佛山市高明区人民法院执行案件集约化送达服务项目</w:t>
            </w:r>
          </w:p>
        </w:tc>
        <w:tc>
          <w:tcPr>
            <w:tcW w:w="4175" w:type="dxa"/>
            <w:vAlign w:val="center"/>
          </w:tcPr>
          <w:p w14:paraId="3BA2B81F">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提供集电话送达，电子送达，EMS邮寄送达等为一体的多元化“综合送达平台”系统服务，打造高明法院送达特色应用</w:t>
            </w:r>
          </w:p>
          <w:p w14:paraId="5D1BE644">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提供若干名驻场服务人员，为高明区人民法院提供集约化送达服务</w:t>
            </w:r>
          </w:p>
        </w:tc>
        <w:tc>
          <w:tcPr>
            <w:tcW w:w="1620" w:type="dxa"/>
            <w:vAlign w:val="center"/>
          </w:tcPr>
          <w:p w14:paraId="34EF25C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eastAsia" w:ascii="宋体" w:hAnsi="宋体" w:eastAsia="宋体" w:cs="宋体"/>
                <w:bCs/>
                <w:color w:val="auto"/>
                <w:sz w:val="18"/>
                <w:highlight w:val="none"/>
                <w:lang w:eastAsia="zh-CN"/>
              </w:rPr>
            </w:pPr>
            <w:r>
              <w:rPr>
                <w:rFonts w:hint="eastAsia" w:ascii="宋体" w:hAnsi="宋体" w:eastAsia="宋体" w:cs="宋体"/>
                <w:bCs/>
                <w:color w:val="auto"/>
                <w:sz w:val="18"/>
                <w:highlight w:val="none"/>
                <w:lang w:eastAsia="zh-CN"/>
              </w:rPr>
              <w:t>件</w:t>
            </w:r>
          </w:p>
        </w:tc>
        <w:tc>
          <w:tcPr>
            <w:tcW w:w="1110" w:type="dxa"/>
            <w:vAlign w:val="center"/>
          </w:tcPr>
          <w:p w14:paraId="254F8704">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center"/>
              <w:textAlignment w:val="auto"/>
              <w:rPr>
                <w:rFonts w:hint="default" w:ascii="宋体" w:hAnsi="宋体" w:eastAsia="宋体" w:cs="宋体"/>
                <w:bCs/>
                <w:color w:val="auto"/>
                <w:sz w:val="18"/>
                <w:highlight w:val="none"/>
                <w:lang w:val="en-US" w:eastAsia="zh-CN"/>
              </w:rPr>
            </w:pPr>
            <w:r>
              <w:rPr>
                <w:rFonts w:hint="eastAsia" w:ascii="宋体" w:hAnsi="宋体" w:eastAsia="宋体" w:cs="宋体"/>
                <w:bCs/>
                <w:color w:val="auto"/>
                <w:sz w:val="18"/>
                <w:highlight w:val="none"/>
                <w:lang w:val="en-US" w:eastAsia="zh-CN"/>
              </w:rPr>
              <w:t>13000</w:t>
            </w:r>
          </w:p>
        </w:tc>
        <w:tc>
          <w:tcPr>
            <w:tcW w:w="1050" w:type="dxa"/>
            <w:vAlign w:val="center"/>
          </w:tcPr>
          <w:p w14:paraId="45757669">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Cs/>
                <w:color w:val="auto"/>
                <w:sz w:val="18"/>
                <w:highlight w:val="none"/>
              </w:rPr>
            </w:pPr>
          </w:p>
        </w:tc>
        <w:tc>
          <w:tcPr>
            <w:tcW w:w="1260" w:type="dxa"/>
            <w:vAlign w:val="center"/>
          </w:tcPr>
          <w:p w14:paraId="39F516C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
                <w:color w:val="auto"/>
                <w:sz w:val="18"/>
                <w:highlight w:val="none"/>
              </w:rPr>
            </w:pPr>
          </w:p>
        </w:tc>
        <w:tc>
          <w:tcPr>
            <w:tcW w:w="2420" w:type="dxa"/>
            <w:tcBorders>
              <w:right w:val="threeDEmboss" w:color="auto" w:sz="6" w:space="0"/>
            </w:tcBorders>
            <w:vAlign w:val="center"/>
          </w:tcPr>
          <w:p w14:paraId="710B81AF">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Cs/>
                <w:color w:val="auto"/>
                <w:sz w:val="18"/>
                <w:highlight w:val="none"/>
              </w:rPr>
            </w:pPr>
          </w:p>
        </w:tc>
      </w:tr>
      <w:tr w14:paraId="7750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08" w:type="dxa"/>
            <w:tcBorders>
              <w:left w:val="threeDEmboss" w:color="auto" w:sz="6" w:space="0"/>
            </w:tcBorders>
            <w:vAlign w:val="center"/>
          </w:tcPr>
          <w:p w14:paraId="1236744F">
            <w:pPr>
              <w:keepNext w:val="0"/>
              <w:keepLines w:val="0"/>
              <w:pageBreakBefore w:val="0"/>
              <w:widowControl w:val="0"/>
              <w:numPr>
                <w:ilvl w:val="0"/>
                <w:numId w:val="19"/>
              </w:numPr>
              <w:kinsoku/>
              <w:wordWrap/>
              <w:overflowPunct/>
              <w:topLinePunct w:val="0"/>
              <w:autoSpaceDE/>
              <w:autoSpaceDN/>
              <w:bidi w:val="0"/>
              <w:adjustRightInd/>
              <w:snapToGrid/>
              <w:spacing w:beforeAutospacing="0" w:afterAutospacing="0" w:line="440" w:lineRule="atLeast"/>
              <w:ind w:left="-68" w:leftChars="0" w:right="0" w:rightChars="0" w:firstLine="68" w:firstLineChars="0"/>
              <w:jc w:val="both"/>
              <w:textAlignment w:val="auto"/>
              <w:rPr>
                <w:rFonts w:hint="eastAsia" w:ascii="宋体" w:hAnsi="宋体" w:eastAsia="宋体" w:cs="宋体"/>
                <w:bCs/>
                <w:color w:val="auto"/>
                <w:sz w:val="18"/>
                <w:highlight w:val="none"/>
              </w:rPr>
            </w:pPr>
          </w:p>
        </w:tc>
        <w:tc>
          <w:tcPr>
            <w:tcW w:w="2508" w:type="dxa"/>
            <w:vAlign w:val="center"/>
          </w:tcPr>
          <w:p w14:paraId="3C53401F">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default" w:ascii="宋体" w:hAnsi="宋体" w:eastAsia="宋体" w:cs="宋体"/>
                <w:color w:val="auto"/>
                <w:sz w:val="18"/>
                <w:highlight w:val="none"/>
                <w:lang w:val="en-US" w:eastAsia="zh-CN"/>
              </w:rPr>
            </w:pPr>
            <w:r>
              <w:rPr>
                <w:rFonts w:hint="eastAsia" w:ascii="宋体" w:hAnsi="宋体" w:eastAsia="宋体" w:cs="宋体"/>
                <w:color w:val="auto"/>
                <w:sz w:val="18"/>
                <w:highlight w:val="none"/>
                <w:lang w:val="en-US" w:eastAsia="zh-CN"/>
              </w:rPr>
              <w:t>......</w:t>
            </w:r>
          </w:p>
        </w:tc>
        <w:tc>
          <w:tcPr>
            <w:tcW w:w="4175" w:type="dxa"/>
            <w:vAlign w:val="center"/>
          </w:tcPr>
          <w:p w14:paraId="57D229A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Cs/>
                <w:color w:val="auto"/>
                <w:sz w:val="18"/>
                <w:highlight w:val="none"/>
              </w:rPr>
            </w:pPr>
          </w:p>
        </w:tc>
        <w:tc>
          <w:tcPr>
            <w:tcW w:w="1620" w:type="dxa"/>
            <w:vAlign w:val="center"/>
          </w:tcPr>
          <w:p w14:paraId="5370B075">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Cs/>
                <w:color w:val="auto"/>
                <w:sz w:val="18"/>
                <w:highlight w:val="none"/>
              </w:rPr>
            </w:pPr>
          </w:p>
        </w:tc>
        <w:tc>
          <w:tcPr>
            <w:tcW w:w="1110" w:type="dxa"/>
            <w:vAlign w:val="center"/>
          </w:tcPr>
          <w:p w14:paraId="748ADBE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Cs/>
                <w:color w:val="auto"/>
                <w:sz w:val="18"/>
                <w:highlight w:val="none"/>
              </w:rPr>
            </w:pPr>
          </w:p>
        </w:tc>
        <w:tc>
          <w:tcPr>
            <w:tcW w:w="1050" w:type="dxa"/>
            <w:vAlign w:val="center"/>
          </w:tcPr>
          <w:p w14:paraId="54556053">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Cs/>
                <w:color w:val="auto"/>
                <w:sz w:val="18"/>
                <w:highlight w:val="none"/>
              </w:rPr>
            </w:pPr>
          </w:p>
        </w:tc>
        <w:tc>
          <w:tcPr>
            <w:tcW w:w="1260" w:type="dxa"/>
            <w:vAlign w:val="center"/>
          </w:tcPr>
          <w:p w14:paraId="0FE3654F">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
                <w:color w:val="auto"/>
                <w:sz w:val="18"/>
                <w:highlight w:val="none"/>
              </w:rPr>
            </w:pPr>
          </w:p>
        </w:tc>
        <w:tc>
          <w:tcPr>
            <w:tcW w:w="2420" w:type="dxa"/>
            <w:tcBorders>
              <w:right w:val="threeDEmboss" w:color="auto" w:sz="6" w:space="0"/>
            </w:tcBorders>
            <w:vAlign w:val="center"/>
          </w:tcPr>
          <w:p w14:paraId="526D1B1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Cs/>
                <w:color w:val="auto"/>
                <w:sz w:val="18"/>
                <w:highlight w:val="none"/>
              </w:rPr>
            </w:pPr>
          </w:p>
        </w:tc>
      </w:tr>
      <w:tr w14:paraId="2A44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91" w:type="dxa"/>
            <w:gridSpan w:val="3"/>
            <w:tcBorders>
              <w:left w:val="threeDEmboss" w:color="auto" w:sz="6" w:space="0"/>
            </w:tcBorders>
            <w:shd w:val="clear" w:color="auto" w:fill="auto"/>
            <w:vAlign w:val="center"/>
          </w:tcPr>
          <w:p w14:paraId="48F320CA">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
                <w:bCs/>
                <w:i/>
                <w:iCs/>
                <w:color w:val="auto"/>
                <w:highlight w:val="none"/>
              </w:rPr>
            </w:pPr>
            <w:r>
              <w:rPr>
                <w:rFonts w:hint="eastAsia" w:ascii="宋体" w:hAnsi="宋体" w:eastAsia="宋体" w:cs="宋体"/>
                <w:b/>
                <w:bCs/>
                <w:i w:val="0"/>
                <w:iCs w:val="0"/>
                <w:color w:val="auto"/>
                <w:highlight w:val="none"/>
              </w:rPr>
              <w:t xml:space="preserve">合     计 </w:t>
            </w:r>
            <w:r>
              <w:rPr>
                <w:rFonts w:hint="eastAsia" w:ascii="宋体" w:hAnsi="宋体" w:eastAsia="宋体" w:cs="宋体"/>
                <w:b/>
                <w:bCs/>
                <w:i/>
                <w:iCs/>
                <w:color w:val="auto"/>
                <w:highlight w:val="none"/>
              </w:rPr>
              <w:t xml:space="preserve">                               </w:t>
            </w:r>
          </w:p>
        </w:tc>
        <w:tc>
          <w:tcPr>
            <w:tcW w:w="7460" w:type="dxa"/>
            <w:gridSpan w:val="5"/>
            <w:tcBorders>
              <w:right w:val="threeDEmboss" w:color="auto" w:sz="6" w:space="0"/>
            </w:tcBorders>
            <w:shd w:val="clear" w:color="auto" w:fill="FFFFCC"/>
            <w:vAlign w:val="center"/>
          </w:tcPr>
          <w:p w14:paraId="3B9AF92B">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合计报价：     元</w:t>
            </w:r>
          </w:p>
        </w:tc>
      </w:tr>
    </w:tbl>
    <w:p w14:paraId="42FECC3C">
      <w:pPr>
        <w:pStyle w:val="10"/>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color w:val="auto"/>
          <w:highlight w:val="none"/>
        </w:rPr>
      </w:pPr>
    </w:p>
    <w:p w14:paraId="2776DFE8">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textAlignment w:val="auto"/>
        <w:rPr>
          <w:rFonts w:hint="eastAsia" w:ascii="宋体" w:hAnsi="宋体" w:eastAsia="宋体" w:cs="宋体"/>
          <w:color w:val="auto"/>
          <w:highlight w:val="none"/>
        </w:rPr>
      </w:pPr>
      <w:r>
        <w:rPr>
          <w:rFonts w:hint="eastAsia" w:ascii="宋体" w:hAnsi="宋体" w:cs="宋体"/>
          <w:color w:val="auto"/>
          <w:szCs w:val="21"/>
          <w:highlight w:val="none"/>
        </w:rPr>
        <w:t>注：</w:t>
      </w:r>
      <w:r>
        <w:rPr>
          <w:rFonts w:hint="eastAsia" w:ascii="宋体" w:hAnsi="宋体" w:eastAsia="宋体" w:cs="宋体"/>
          <w:color w:val="auto"/>
          <w:highlight w:val="none"/>
        </w:rPr>
        <w:t>1、以上表格仅供参考，可根据自身需要适当调整表格内容。</w:t>
      </w:r>
    </w:p>
    <w:p w14:paraId="20686EB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2、以上内容必须与响应方案中所介绍的内容、《报价汇总表》一致相符。</w:t>
      </w:r>
    </w:p>
    <w:p w14:paraId="4A9EDE21">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2" w:firstLineChars="200"/>
        <w:textAlignment w:val="auto"/>
        <w:rPr>
          <w:rFonts w:ascii="宋体" w:hAnsi="宋体" w:cs="宋体"/>
          <w:b/>
          <w:color w:val="auto"/>
          <w:szCs w:val="21"/>
          <w:highlight w:val="none"/>
          <w:u w:val="single"/>
        </w:rPr>
      </w:pPr>
    </w:p>
    <w:p w14:paraId="34C54B4D">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470" w:leftChars="0" w:right="0" w:rightChars="0" w:hanging="470" w:hangingChars="196"/>
        <w:jc w:val="center"/>
        <w:textAlignment w:val="auto"/>
        <w:rPr>
          <w:rFonts w:ascii="宋体" w:hAnsi="宋体" w:cs="宋体"/>
          <w:color w:val="auto"/>
          <w:sz w:val="24"/>
          <w:highlight w:val="none"/>
          <w:lang w:val="zh-CN"/>
        </w:rPr>
      </w:pPr>
      <w:bookmarkStart w:id="270" w:name="_Toc334280827"/>
      <w:bookmarkStart w:id="271" w:name="_Toc334432602"/>
      <w:bookmarkStart w:id="272" w:name="_Toc332900955"/>
    </w:p>
    <w:bookmarkEnd w:id="270"/>
    <w:bookmarkEnd w:id="271"/>
    <w:bookmarkEnd w:id="272"/>
    <w:p w14:paraId="191BEBB5">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供应商名称：</w:t>
      </w:r>
      <w:r>
        <w:rPr>
          <w:rFonts w:hint="default" w:ascii="Times New Roman" w:hAnsi="Times New Roman" w:cs="Times New Roman" w:eastAsiaTheme="minorEastAsia"/>
          <w:b w:val="0"/>
          <w:bCs w:val="0"/>
          <w:color w:val="auto"/>
          <w:sz w:val="21"/>
          <w:szCs w:val="21"/>
          <w:highlight w:val="none"/>
          <w:u w:val="single"/>
        </w:rPr>
        <w:t xml:space="preserve">           （</w:t>
      </w:r>
      <w:r>
        <w:rPr>
          <w:rFonts w:hint="eastAsia" w:ascii="Times New Roman" w:hAnsi="Times New Roman" w:cs="Times New Roman"/>
          <w:b w:val="0"/>
          <w:bCs w:val="0"/>
          <w:color w:val="auto"/>
          <w:sz w:val="21"/>
          <w:szCs w:val="21"/>
          <w:highlight w:val="none"/>
          <w:u w:val="single"/>
          <w:lang w:eastAsia="zh-CN"/>
        </w:rPr>
        <w:t>单位名称</w:t>
      </w:r>
      <w:r>
        <w:rPr>
          <w:rFonts w:hint="default" w:ascii="Times New Roman" w:hAnsi="Times New Roman" w:cs="Times New Roman" w:eastAsiaTheme="minorEastAsia"/>
          <w:b w:val="0"/>
          <w:bCs w:val="0"/>
          <w:color w:val="auto"/>
          <w:sz w:val="21"/>
          <w:szCs w:val="21"/>
          <w:highlight w:val="none"/>
          <w:u w:val="single"/>
        </w:rPr>
        <w:t xml:space="preserve">全称）                </w:t>
      </w:r>
      <w:r>
        <w:rPr>
          <w:rFonts w:hint="default" w:ascii="Times New Roman" w:hAnsi="Times New Roman" w:cs="Times New Roman" w:eastAsiaTheme="minorEastAsia"/>
          <w:b w:val="0"/>
          <w:bCs w:val="0"/>
          <w:color w:val="auto"/>
          <w:sz w:val="21"/>
          <w:szCs w:val="21"/>
          <w:highlight w:val="none"/>
        </w:rPr>
        <w:t>（</w:t>
      </w:r>
      <w:r>
        <w:rPr>
          <w:rFonts w:hint="default" w:ascii="Times New Roman" w:hAnsi="Times New Roman" w:cs="Times New Roman" w:eastAsiaTheme="minorEastAsia"/>
          <w:b w:val="0"/>
          <w:bCs w:val="0"/>
          <w:color w:val="auto"/>
          <w:sz w:val="21"/>
          <w:szCs w:val="21"/>
          <w:highlight w:val="none"/>
          <w:lang w:val="zh-CN"/>
        </w:rPr>
        <w:t>加盖供应商公章</w:t>
      </w:r>
      <w:r>
        <w:rPr>
          <w:rFonts w:hint="default" w:ascii="Times New Roman" w:hAnsi="Times New Roman" w:cs="Times New Roman" w:eastAsiaTheme="minorEastAsia"/>
          <w:b w:val="0"/>
          <w:bCs w:val="0"/>
          <w:color w:val="auto"/>
          <w:sz w:val="21"/>
          <w:szCs w:val="21"/>
          <w:highlight w:val="none"/>
        </w:rPr>
        <w:t>）</w:t>
      </w:r>
    </w:p>
    <w:p w14:paraId="70774F8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textAlignment w:val="auto"/>
        <w:rPr>
          <w:rFonts w:hint="default" w:ascii="Times New Roman" w:hAnsi="Times New Roman" w:cs="Times New Roman" w:eastAsiaTheme="minorEastAsia"/>
          <w:b w:val="0"/>
          <w:bCs w:val="0"/>
          <w:color w:val="auto"/>
          <w:sz w:val="21"/>
          <w:szCs w:val="21"/>
          <w:highlight w:val="none"/>
          <w:u w:val="single"/>
        </w:rPr>
      </w:pPr>
      <w:r>
        <w:rPr>
          <w:rFonts w:hint="default" w:ascii="Times New Roman" w:hAnsi="Times New Roman" w:cs="Times New Roman" w:eastAsiaTheme="minorEastAsia"/>
          <w:b w:val="0"/>
          <w:bCs w:val="0"/>
          <w:color w:val="auto"/>
          <w:sz w:val="21"/>
          <w:szCs w:val="21"/>
          <w:highlight w:val="none"/>
        </w:rPr>
        <w:t>日期：</w:t>
      </w:r>
      <w:r>
        <w:rPr>
          <w:rFonts w:hint="default" w:ascii="Times New Roman" w:hAnsi="Times New Roman" w:cs="Times New Roman" w:eastAsiaTheme="minorEastAsia"/>
          <w:b w:val="0"/>
          <w:bCs w:val="0"/>
          <w:color w:val="auto"/>
          <w:sz w:val="21"/>
          <w:szCs w:val="21"/>
          <w:highlight w:val="none"/>
          <w:u w:val="single"/>
        </w:rPr>
        <w:t xml:space="preserve">    </w:t>
      </w:r>
      <w:r>
        <w:rPr>
          <w:rFonts w:hint="default" w:ascii="Times New Roman" w:hAnsi="Times New Roman" w:cs="Times New Roman" w:eastAsiaTheme="minorEastAsia"/>
          <w:b w:val="0"/>
          <w:bCs w:val="0"/>
          <w:color w:val="auto"/>
          <w:sz w:val="21"/>
          <w:szCs w:val="21"/>
          <w:highlight w:val="none"/>
        </w:rPr>
        <w:t>年</w:t>
      </w:r>
      <w:r>
        <w:rPr>
          <w:rFonts w:hint="default" w:ascii="Times New Roman" w:hAnsi="Times New Roman" w:cs="Times New Roman" w:eastAsiaTheme="minorEastAsia"/>
          <w:b w:val="0"/>
          <w:bCs w:val="0"/>
          <w:color w:val="auto"/>
          <w:sz w:val="21"/>
          <w:szCs w:val="21"/>
          <w:highlight w:val="none"/>
          <w:u w:val="single"/>
        </w:rPr>
        <w:t xml:space="preserve">    </w:t>
      </w:r>
      <w:r>
        <w:rPr>
          <w:rFonts w:hint="default" w:ascii="Times New Roman" w:hAnsi="Times New Roman" w:cs="Times New Roman" w:eastAsiaTheme="minorEastAsia"/>
          <w:b w:val="0"/>
          <w:bCs w:val="0"/>
          <w:color w:val="auto"/>
          <w:sz w:val="21"/>
          <w:szCs w:val="21"/>
          <w:highlight w:val="none"/>
        </w:rPr>
        <w:t>月</w:t>
      </w:r>
      <w:r>
        <w:rPr>
          <w:rFonts w:hint="default" w:ascii="Times New Roman" w:hAnsi="Times New Roman" w:cs="Times New Roman" w:eastAsiaTheme="minorEastAsia"/>
          <w:b w:val="0"/>
          <w:bCs w:val="0"/>
          <w:color w:val="auto"/>
          <w:sz w:val="21"/>
          <w:szCs w:val="21"/>
          <w:highlight w:val="none"/>
          <w:u w:val="single"/>
        </w:rPr>
        <w:t xml:space="preserve">    </w:t>
      </w:r>
      <w:r>
        <w:rPr>
          <w:rFonts w:hint="default" w:ascii="Times New Roman" w:hAnsi="Times New Roman" w:cs="Times New Roman" w:eastAsiaTheme="minorEastAsia"/>
          <w:b w:val="0"/>
          <w:bCs w:val="0"/>
          <w:color w:val="auto"/>
          <w:sz w:val="21"/>
          <w:szCs w:val="21"/>
          <w:highlight w:val="none"/>
        </w:rPr>
        <w:t>日</w:t>
      </w:r>
    </w:p>
    <w:p w14:paraId="233D473E">
      <w:pPr>
        <w:keepLines w:val="0"/>
        <w:kinsoku/>
        <w:wordWrap/>
        <w:overflowPunct/>
        <w:topLinePunct w:val="0"/>
        <w:bidi w:val="0"/>
        <w:spacing w:beforeAutospacing="0" w:afterAutospacing="0" w:line="440" w:lineRule="atLeast"/>
        <w:ind w:left="0" w:leftChars="0" w:right="0" w:rightChars="0"/>
        <w:jc w:val="center"/>
        <w:rPr>
          <w:rFonts w:hint="eastAsia" w:ascii="宋体" w:hAnsi="宋体" w:cs="宋体"/>
          <w:color w:val="auto"/>
          <w:sz w:val="24"/>
          <w:highlight w:val="none"/>
          <w:lang w:val="zh-CN"/>
        </w:rPr>
      </w:pPr>
    </w:p>
    <w:p w14:paraId="0CA9B68F">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val="0"/>
          <w:bCs/>
          <w:color w:val="auto"/>
          <w:sz w:val="52"/>
          <w:highlight w:val="none"/>
        </w:rPr>
        <w:sectPr>
          <w:pgSz w:w="16838" w:h="11906" w:orient="landscape"/>
          <w:pgMar w:top="1588" w:right="1134" w:bottom="1134" w:left="1134" w:header="567" w:footer="737" w:gutter="0"/>
          <w:pgBorders>
            <w:top w:val="none" w:sz="0" w:space="0"/>
            <w:left w:val="none" w:sz="0" w:space="0"/>
            <w:bottom w:val="none" w:sz="0" w:space="0"/>
            <w:right w:val="none" w:sz="0" w:space="0"/>
          </w:pgBorders>
          <w:pgNumType w:fmt="decimal"/>
          <w:cols w:space="720" w:num="1"/>
          <w:docGrid w:linePitch="312" w:charSpace="0"/>
        </w:sectPr>
      </w:pPr>
    </w:p>
    <w:p w14:paraId="79E5B007">
      <w:pPr>
        <w:pStyle w:val="4"/>
        <w:keepLines w:val="0"/>
        <w:pageBreakBefore/>
        <w:kinsoku/>
        <w:wordWrap/>
        <w:overflowPunct/>
        <w:topLinePunct w:val="0"/>
        <w:bidi w:val="0"/>
        <w:spacing w:beforeAutospacing="0" w:afterAutospacing="0" w:line="440" w:lineRule="atLeast"/>
        <w:ind w:left="0" w:leftChars="0" w:right="0" w:rightChars="0"/>
        <w:jc w:val="center"/>
        <w:outlineLvl w:val="0"/>
        <w:rPr>
          <w:rFonts w:hint="default" w:ascii="Times New Roman" w:hAnsi="Times New Roman" w:cs="Times New Roman" w:eastAsiaTheme="minorEastAsia"/>
          <w:b/>
          <w:bCs w:val="0"/>
          <w:color w:val="auto"/>
          <w:sz w:val="36"/>
          <w:szCs w:val="36"/>
          <w:highlight w:val="none"/>
          <w:shd w:val="clear" w:color="auto" w:fill="CCFFFF"/>
        </w:rPr>
        <w:sectPr>
          <w:pgSz w:w="11906" w:h="16838"/>
          <w:pgMar w:top="1134" w:right="1134" w:bottom="1134" w:left="1588" w:header="567" w:footer="737"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s="Times New Roman" w:eastAsiaTheme="minorEastAsia"/>
          <w:b/>
          <w:bCs w:val="0"/>
          <w:color w:val="auto"/>
          <w:sz w:val="36"/>
          <w:szCs w:val="36"/>
          <w:highlight w:val="none"/>
        </w:rPr>
        <w:t>第六章 其他文件</w:t>
      </w:r>
      <w:bookmarkEnd w:id="261"/>
      <w:bookmarkEnd w:id="266"/>
      <w:bookmarkEnd w:id="267"/>
      <w:bookmarkEnd w:id="268"/>
      <w:bookmarkEnd w:id="269"/>
    </w:p>
    <w:p w14:paraId="16096FE0">
      <w:pPr>
        <w:keepLines w:val="0"/>
        <w:pageBreakBefore/>
        <w:kinsoku/>
        <w:wordWrap/>
        <w:overflowPunct/>
        <w:topLinePunct w:val="0"/>
        <w:bidi w:val="0"/>
        <w:spacing w:beforeAutospacing="0" w:afterAutospacing="0" w:line="440" w:lineRule="atLeast"/>
        <w:ind w:left="0" w:leftChars="0" w:right="0" w:rightChars="0"/>
        <w:jc w:val="center"/>
        <w:outlineLvl w:val="1"/>
        <w:rPr>
          <w:rFonts w:hint="default" w:ascii="Times New Roman" w:hAnsi="Times New Roman" w:cs="Times New Roman" w:eastAsiaTheme="minorEastAsia"/>
          <w:b/>
          <w:bCs w:val="0"/>
          <w:color w:val="auto"/>
          <w:sz w:val="36"/>
          <w:highlight w:val="none"/>
        </w:rPr>
      </w:pPr>
      <w:bookmarkStart w:id="273" w:name="_Toc11055"/>
      <w:bookmarkStart w:id="274" w:name="_Toc419106584"/>
      <w:bookmarkStart w:id="275" w:name="_Toc18123"/>
      <w:bookmarkStart w:id="276" w:name="_Toc28248"/>
      <w:r>
        <w:rPr>
          <w:rFonts w:hint="default" w:ascii="Times New Roman" w:hAnsi="Times New Roman" w:cs="Times New Roman" w:eastAsiaTheme="minorEastAsia"/>
          <w:b/>
          <w:bCs w:val="0"/>
          <w:color w:val="auto"/>
          <w:sz w:val="36"/>
          <w:highlight w:val="none"/>
        </w:rPr>
        <w:t>其它文件资料</w:t>
      </w:r>
      <w:bookmarkEnd w:id="273"/>
      <w:bookmarkEnd w:id="274"/>
      <w:bookmarkEnd w:id="275"/>
      <w:bookmarkEnd w:id="276"/>
    </w:p>
    <w:p w14:paraId="0EA77868">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sz w:val="28"/>
          <w:szCs w:val="28"/>
          <w:highlight w:val="none"/>
        </w:rPr>
      </w:pPr>
    </w:p>
    <w:p w14:paraId="5CCF3BBA">
      <w:pPr>
        <w:keepLines w:val="0"/>
        <w:numPr>
          <w:ilvl w:val="-1"/>
          <w:numId w:val="0"/>
        </w:numPr>
        <w:kinsoku/>
        <w:wordWrap/>
        <w:overflowPunct/>
        <w:topLinePunct w:val="0"/>
        <w:bidi w:val="0"/>
        <w:spacing w:beforeAutospacing="0" w:afterAutospacing="0" w:line="440" w:lineRule="atLeast"/>
        <w:ind w:left="-510" w:leftChars="0" w:right="0" w:rightChars="0" w:firstLine="562" w:firstLineChars="200"/>
        <w:rPr>
          <w:rFonts w:hint="default" w:ascii="Times New Roman" w:hAnsi="Times New Roman" w:cs="Times New Roman" w:eastAsiaTheme="minorEastAsia"/>
          <w:color w:val="auto"/>
          <w:sz w:val="28"/>
          <w:szCs w:val="28"/>
          <w:highlight w:val="none"/>
        </w:rPr>
      </w:pPr>
      <w:r>
        <w:rPr>
          <w:rFonts w:hint="eastAsia" w:ascii="Times New Roman" w:hAnsi="Times New Roman" w:cs="Times New Roman"/>
          <w:b/>
          <w:color w:val="auto"/>
          <w:sz w:val="28"/>
          <w:szCs w:val="28"/>
          <w:highlight w:val="none"/>
          <w:lang w:eastAsia="zh-CN"/>
        </w:rPr>
        <w:t>一、</w:t>
      </w:r>
      <w:r>
        <w:rPr>
          <w:rFonts w:hint="default" w:ascii="Times New Roman" w:hAnsi="Times New Roman" w:cs="Times New Roman" w:eastAsiaTheme="minorEastAsia"/>
          <w:b/>
          <w:color w:val="auto"/>
          <w:sz w:val="28"/>
          <w:szCs w:val="28"/>
          <w:highlight w:val="none"/>
        </w:rPr>
        <w:t>供应商认为有必要提供的其它材料。</w:t>
      </w:r>
    </w:p>
    <w:p w14:paraId="32A99AEC">
      <w:pPr>
        <w:keepLines w:val="0"/>
        <w:kinsoku/>
        <w:wordWrap/>
        <w:overflowPunct/>
        <w:topLinePunct w:val="0"/>
        <w:bidi w:val="0"/>
        <w:spacing w:beforeAutospacing="0" w:afterAutospacing="0" w:line="440" w:lineRule="atLeast"/>
        <w:ind w:left="0" w:leftChars="0" w:right="0" w:rightChars="0"/>
        <w:rPr>
          <w:rFonts w:hint="eastAsia" w:ascii="Times New Roman" w:hAnsi="Times New Roman" w:cs="Times New Roman" w:eastAsiaTheme="minorEastAsia"/>
          <w:b/>
          <w:color w:val="auto"/>
          <w:sz w:val="24"/>
          <w:szCs w:val="24"/>
          <w:highlight w:val="none"/>
          <w:lang w:eastAsia="zh-CN"/>
        </w:rPr>
      </w:pPr>
      <w:r>
        <w:rPr>
          <w:rFonts w:hint="eastAsia" w:ascii="Times New Roman" w:hAnsi="Times New Roman" w:cs="Times New Roman"/>
          <w:b/>
          <w:color w:val="auto"/>
          <w:sz w:val="24"/>
          <w:szCs w:val="24"/>
          <w:highlight w:val="none"/>
          <w:lang w:eastAsia="zh-CN"/>
        </w:rPr>
        <w:t>（</w:t>
      </w:r>
      <w:r>
        <w:rPr>
          <w:rFonts w:hint="default" w:ascii="Times New Roman" w:hAnsi="Times New Roman" w:cs="Times New Roman" w:eastAsiaTheme="minorEastAsia"/>
          <w:color w:val="auto"/>
          <w:sz w:val="24"/>
          <w:highlight w:val="none"/>
        </w:rPr>
        <w:t>供应商根据自身实际情况进行提供</w:t>
      </w:r>
      <w:r>
        <w:rPr>
          <w:rFonts w:hint="eastAsia" w:ascii="Times New Roman" w:hAnsi="Times New Roman" w:cs="Times New Roman"/>
          <w:color w:val="auto"/>
          <w:sz w:val="24"/>
          <w:highlight w:val="none"/>
          <w:lang w:eastAsia="zh-CN"/>
        </w:rPr>
        <w:t>。</w:t>
      </w:r>
      <w:r>
        <w:rPr>
          <w:rFonts w:hint="eastAsia" w:ascii="Times New Roman" w:hAnsi="Times New Roman" w:cs="Times New Roman"/>
          <w:b/>
          <w:color w:val="auto"/>
          <w:sz w:val="24"/>
          <w:szCs w:val="24"/>
          <w:highlight w:val="none"/>
          <w:lang w:eastAsia="zh-CN"/>
        </w:rPr>
        <w:t>）</w:t>
      </w:r>
    </w:p>
    <w:p w14:paraId="39F0ABCB">
      <w:pPr>
        <w:pStyle w:val="2"/>
        <w:rPr>
          <w:rFonts w:hint="default" w:ascii="Times New Roman" w:hAnsi="Times New Roman" w:cs="Times New Roman" w:eastAsiaTheme="minorEastAsia"/>
          <w:b/>
          <w:color w:val="auto"/>
          <w:sz w:val="28"/>
          <w:szCs w:val="28"/>
          <w:highlight w:val="none"/>
        </w:rPr>
      </w:pPr>
    </w:p>
    <w:p w14:paraId="51C7C5B0">
      <w:pPr>
        <w:pStyle w:val="2"/>
        <w:rPr>
          <w:rFonts w:hint="default" w:ascii="Times New Roman" w:hAnsi="Times New Roman" w:cs="Times New Roman" w:eastAsiaTheme="minorEastAsia"/>
          <w:b/>
          <w:color w:val="auto"/>
          <w:sz w:val="28"/>
          <w:szCs w:val="28"/>
          <w:highlight w:val="none"/>
        </w:rPr>
      </w:pPr>
    </w:p>
    <w:p w14:paraId="7C3984A4">
      <w:pPr>
        <w:pStyle w:val="2"/>
        <w:rPr>
          <w:rFonts w:hint="default" w:ascii="Times New Roman" w:hAnsi="Times New Roman" w:cs="Times New Roman" w:eastAsiaTheme="minorEastAsia"/>
          <w:b/>
          <w:color w:val="auto"/>
          <w:sz w:val="28"/>
          <w:szCs w:val="28"/>
          <w:highlight w:val="none"/>
        </w:rPr>
      </w:pPr>
    </w:p>
    <w:p w14:paraId="57930BBE">
      <w:pPr>
        <w:pStyle w:val="2"/>
        <w:rPr>
          <w:rFonts w:hint="default" w:ascii="Times New Roman" w:hAnsi="Times New Roman" w:cs="Times New Roman" w:eastAsiaTheme="minorEastAsia"/>
          <w:b/>
          <w:color w:val="auto"/>
          <w:sz w:val="28"/>
          <w:szCs w:val="28"/>
          <w:highlight w:val="none"/>
        </w:rPr>
      </w:pPr>
    </w:p>
    <w:p w14:paraId="7248C401">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二、唱标信封</w:t>
      </w:r>
    </w:p>
    <w:p w14:paraId="49532DC1">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z w:val="28"/>
          <w:szCs w:val="28"/>
          <w:highlight w:val="none"/>
        </w:rPr>
        <w:fldChar w:fldCharType="begin"/>
      </w:r>
      <w:r>
        <w:rPr>
          <w:rFonts w:hint="default" w:ascii="Times New Roman" w:hAnsi="Times New Roman" w:cs="Times New Roman" w:eastAsiaTheme="minorEastAsia"/>
          <w:b/>
          <w:bCs/>
          <w:color w:val="auto"/>
          <w:sz w:val="28"/>
          <w:szCs w:val="28"/>
          <w:highlight w:val="none"/>
        </w:rPr>
        <w:instrText xml:space="preserve"> DOCVARIABLE  报价一览表开始  \* MERGEFORMAT </w:instrText>
      </w:r>
      <w:r>
        <w:rPr>
          <w:rFonts w:hint="default" w:ascii="Times New Roman" w:hAnsi="Times New Roman" w:cs="Times New Roman" w:eastAsiaTheme="minorEastAsia"/>
          <w:b/>
          <w:bCs/>
          <w:color w:val="auto"/>
          <w:sz w:val="28"/>
          <w:szCs w:val="28"/>
          <w:highlight w:val="none"/>
        </w:rPr>
        <w:fldChar w:fldCharType="separate"/>
      </w:r>
      <w:r>
        <w:rPr>
          <w:rFonts w:hint="default" w:ascii="Times New Roman" w:hAnsi="Times New Roman" w:cs="Times New Roman" w:eastAsiaTheme="minorEastAsia"/>
          <w:b/>
          <w:bCs/>
          <w:color w:val="auto"/>
          <w:sz w:val="28"/>
          <w:szCs w:val="28"/>
          <w:highlight w:val="none"/>
        </w:rPr>
        <w:fldChar w:fldCharType="end"/>
      </w:r>
      <w:r>
        <w:rPr>
          <w:rFonts w:hint="default" w:ascii="Times New Roman" w:hAnsi="Times New Roman" w:cs="Times New Roman" w:eastAsiaTheme="minorEastAsia"/>
          <w:b/>
          <w:bCs/>
          <w:color w:val="auto"/>
          <w:sz w:val="28"/>
          <w:szCs w:val="28"/>
          <w:highlight w:val="none"/>
        </w:rPr>
        <w:t>报价汇总表</w:t>
      </w:r>
    </w:p>
    <w:p w14:paraId="2DE1D409">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Cs/>
          <w:color w:val="auto"/>
          <w:sz w:val="28"/>
          <w:szCs w:val="28"/>
          <w:highlight w:val="none"/>
        </w:rPr>
      </w:pPr>
    </w:p>
    <w:p w14:paraId="1B07174E">
      <w:pPr>
        <w:keepLines w:val="0"/>
        <w:tabs>
          <w:tab w:val="left" w:pos="5940"/>
        </w:tabs>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 xml:space="preserve">项目名称： </w:t>
      </w:r>
      <w:r>
        <w:rPr>
          <w:rFonts w:hint="eastAsia" w:ascii="Times New Roman" w:hAnsi="Times New Roman" w:cs="Times New Roman"/>
          <w:bCs/>
          <w:color w:val="auto"/>
          <w:highlight w:val="none"/>
          <w:lang w:eastAsia="zh-CN"/>
        </w:rPr>
        <w:t>佛山市高明区人民法院执行案件集约化送达服务项目</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p>
    <w:p w14:paraId="4F8E24FA">
      <w:pPr>
        <w:keepLines w:val="0"/>
        <w:tabs>
          <w:tab w:val="left" w:pos="5940"/>
        </w:tabs>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rPr>
        <w:t>项目编号：</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采购编号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highlight w:val="none"/>
        </w:rPr>
        <w:t xml:space="preserve"> </w:t>
      </w:r>
      <w:r>
        <w:rPr>
          <w:rFonts w:hint="eastAsia" w:ascii="Times New Roman" w:hAnsi="Times New Roman" w:cs="Times New Roman"/>
          <w:bCs/>
          <w:color w:val="auto"/>
          <w:highlight w:val="none"/>
          <w:lang w:eastAsia="zh-CN"/>
        </w:rPr>
        <w:t>GDYD240563</w:t>
      </w:r>
    </w:p>
    <w:tbl>
      <w:tblPr>
        <w:tblStyle w:val="18"/>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371C3709">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3F735210">
            <w:pPr>
              <w:pStyle w:val="31"/>
              <w:keepLines w:val="0"/>
              <w:kinsoku/>
              <w:wordWrap/>
              <w:overflowPunct/>
              <w:topLinePunct w:val="0"/>
              <w:bidi w:val="0"/>
              <w:spacing w:before="0" w:beforeLines="0" w:beforeAutospacing="0" w:after="0" w:afterLines="0" w:afterAutospacing="0" w:line="440" w:lineRule="atLeast"/>
              <w:ind w:left="0" w:leftChars="0" w:right="0" w:rightChars="0"/>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snapToGrid/>
                <w:color w:val="auto"/>
                <w:spacing w:val="0"/>
                <w:kern w:val="2"/>
                <w:szCs w:val="24"/>
                <w:highlight w:val="none"/>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4C9D9185">
            <w:pPr>
              <w:pStyle w:val="31"/>
              <w:keepLines w:val="0"/>
              <w:kinsoku/>
              <w:wordWrap/>
              <w:overflowPunct/>
              <w:topLinePunct w:val="0"/>
              <w:bidi w:val="0"/>
              <w:spacing w:before="0" w:beforeLines="0" w:beforeAutospacing="0" w:after="0" w:afterLines="0" w:afterAutospacing="0" w:line="440" w:lineRule="atLeast"/>
              <w:ind w:left="0" w:leftChars="0" w:right="0" w:rightChars="0"/>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snapToGrid/>
                <w:color w:val="auto"/>
                <w:spacing w:val="0"/>
                <w:kern w:val="2"/>
                <w:szCs w:val="24"/>
                <w:highlight w:val="none"/>
              </w:rPr>
              <w:t>合计</w:t>
            </w:r>
          </w:p>
        </w:tc>
      </w:tr>
      <w:tr w14:paraId="5AC6D1D3">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noWrap w:val="0"/>
            <w:vAlign w:val="center"/>
          </w:tcPr>
          <w:p w14:paraId="62BCA9E9">
            <w:pPr>
              <w:pStyle w:val="31"/>
              <w:keepLines w:val="0"/>
              <w:kinsoku/>
              <w:wordWrap/>
              <w:overflowPunct/>
              <w:topLinePunct w:val="0"/>
              <w:bidi w:val="0"/>
              <w:spacing w:before="0" w:beforeLines="0" w:beforeAutospacing="0" w:after="0" w:afterLines="0" w:afterAutospacing="0" w:line="440" w:lineRule="atLeast"/>
              <w:ind w:left="0" w:leftChars="0" w:right="0" w:rightChars="0"/>
              <w:rPr>
                <w:rFonts w:hint="default" w:ascii="Times New Roman" w:hAnsi="Times New Roman" w:cs="Times New Roman" w:eastAsiaTheme="minorEastAsia"/>
                <w:snapToGrid/>
                <w:color w:val="auto"/>
                <w:spacing w:val="0"/>
                <w:kern w:val="2"/>
                <w:szCs w:val="24"/>
                <w:highlight w:val="none"/>
                <w:lang w:eastAsia="zh-CN"/>
              </w:rPr>
            </w:pPr>
            <w:r>
              <w:rPr>
                <w:rFonts w:hint="default" w:ascii="Times New Roman" w:hAnsi="Times New Roman" w:cs="Times New Roman" w:eastAsiaTheme="minorEastAsia"/>
                <w:snapToGrid/>
                <w:color w:val="auto"/>
                <w:spacing w:val="0"/>
                <w:kern w:val="2"/>
                <w:szCs w:val="24"/>
                <w:highlight w:val="none"/>
                <w:lang w:eastAsia="zh-CN"/>
              </w:rPr>
              <w:t>报价合计</w:t>
            </w:r>
          </w:p>
        </w:tc>
        <w:tc>
          <w:tcPr>
            <w:tcW w:w="6995" w:type="dxa"/>
            <w:tcBorders>
              <w:top w:val="single" w:color="auto" w:sz="4" w:space="0"/>
              <w:left w:val="single" w:color="auto" w:sz="4" w:space="0"/>
              <w:bottom w:val="single" w:color="auto" w:sz="4" w:space="0"/>
              <w:right w:val="single" w:color="auto" w:sz="4" w:space="0"/>
            </w:tcBorders>
            <w:noWrap w:val="0"/>
            <w:vAlign w:val="center"/>
          </w:tcPr>
          <w:p w14:paraId="15BE287A">
            <w:pPr>
              <w:pStyle w:val="31"/>
              <w:keepLines w:val="0"/>
              <w:kinsoku/>
              <w:wordWrap/>
              <w:overflowPunct/>
              <w:topLinePunct w:val="0"/>
              <w:bidi w:val="0"/>
              <w:spacing w:before="0" w:beforeLines="0" w:beforeAutospacing="0" w:after="0" w:afterLines="0" w:afterAutospacing="0" w:line="440" w:lineRule="atLeast"/>
              <w:ind w:left="0" w:leftChars="0" w:right="0" w:rightChars="0"/>
              <w:jc w:val="both"/>
              <w:rPr>
                <w:rFonts w:hint="default" w:ascii="Times New Roman" w:hAnsi="Times New Roman" w:cs="Times New Roman" w:eastAsiaTheme="minorEastAsia"/>
                <w:color w:val="auto"/>
                <w:szCs w:val="24"/>
                <w:highlight w:val="none"/>
                <w:lang w:eastAsia="zh-CN"/>
              </w:rPr>
            </w:pPr>
            <w:r>
              <w:rPr>
                <w:rFonts w:hint="default" w:ascii="Times New Roman" w:hAnsi="Times New Roman" w:cs="Times New Roman" w:eastAsiaTheme="minorEastAsia"/>
                <w:color w:val="auto"/>
                <w:szCs w:val="24"/>
                <w:highlight w:val="none"/>
              </w:rPr>
              <w:t>小写：</w:t>
            </w:r>
            <w:r>
              <w:rPr>
                <w:rFonts w:hint="default" w:ascii="Times New Roman" w:hAnsi="Times New Roman" w:cs="Times New Roman" w:eastAsiaTheme="minorEastAsia"/>
                <w:color w:val="auto"/>
                <w:szCs w:val="24"/>
                <w:highlight w:val="none"/>
                <w:u w:val="single"/>
              </w:rPr>
              <w:t xml:space="preserve">      </w:t>
            </w:r>
            <w:r>
              <w:rPr>
                <w:rFonts w:hint="eastAsia" w:ascii="Times New Roman" w:hAnsi="Times New Roman" w:cs="Times New Roman" w:eastAsiaTheme="minorEastAsia"/>
                <w:color w:val="auto"/>
                <w:szCs w:val="24"/>
                <w:highlight w:val="none"/>
                <w:lang w:val="en-US" w:eastAsia="zh-CN"/>
              </w:rPr>
              <w:t>元</w:t>
            </w:r>
          </w:p>
          <w:p w14:paraId="03795A8E">
            <w:pPr>
              <w:pStyle w:val="31"/>
              <w:keepLines w:val="0"/>
              <w:kinsoku/>
              <w:wordWrap/>
              <w:overflowPunct/>
              <w:topLinePunct w:val="0"/>
              <w:bidi w:val="0"/>
              <w:spacing w:before="0" w:beforeLines="0" w:beforeAutospacing="0" w:after="0" w:afterLines="0" w:afterAutospacing="0" w:line="440" w:lineRule="atLeast"/>
              <w:ind w:left="0" w:leftChars="0" w:right="0" w:rightChars="0"/>
              <w:jc w:val="both"/>
              <w:rPr>
                <w:rFonts w:hint="default" w:ascii="Times New Roman" w:hAnsi="Times New Roman" w:cs="Times New Roman" w:eastAsiaTheme="minorEastAsia"/>
                <w:snapToGrid/>
                <w:color w:val="auto"/>
                <w:spacing w:val="0"/>
                <w:kern w:val="2"/>
                <w:szCs w:val="24"/>
                <w:highlight w:val="none"/>
              </w:rPr>
            </w:pPr>
            <w:r>
              <w:rPr>
                <w:rFonts w:hint="default" w:ascii="Times New Roman" w:hAnsi="Times New Roman" w:cs="Times New Roman" w:eastAsiaTheme="minorEastAsia"/>
                <w:color w:val="auto"/>
                <w:szCs w:val="24"/>
                <w:highlight w:val="none"/>
              </w:rPr>
              <w:t>大写：</w:t>
            </w:r>
            <w:r>
              <w:rPr>
                <w:rFonts w:hint="eastAsia" w:ascii="Times New Roman" w:hAnsi="Times New Roman" w:cs="Times New Roman" w:eastAsiaTheme="minorEastAsia"/>
                <w:color w:val="auto"/>
                <w:szCs w:val="24"/>
                <w:highlight w:val="none"/>
                <w:lang w:eastAsia="zh-CN"/>
              </w:rPr>
              <w:t>人民币</w:t>
            </w:r>
            <w:r>
              <w:rPr>
                <w:rFonts w:hint="default" w:ascii="Times New Roman" w:hAnsi="Times New Roman" w:cs="Times New Roman" w:eastAsiaTheme="minorEastAsia"/>
                <w:color w:val="auto"/>
                <w:szCs w:val="24"/>
                <w:highlight w:val="none"/>
                <w:u w:val="single"/>
              </w:rPr>
              <w:t xml:space="preserve">         </w:t>
            </w:r>
          </w:p>
        </w:tc>
      </w:tr>
    </w:tbl>
    <w:p w14:paraId="7ACE4F98">
      <w:pPr>
        <w:keepLines w:val="0"/>
        <w:kinsoku/>
        <w:wordWrap/>
        <w:overflowPunct/>
        <w:topLinePunct w:val="0"/>
        <w:bidi w:val="0"/>
        <w:spacing w:beforeAutospacing="0" w:afterAutospacing="0" w:line="440" w:lineRule="atLeast"/>
        <w:ind w:left="0" w:leftChars="0" w:right="0" w:rightChars="0"/>
        <w:jc w:val="left"/>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注：</w:t>
      </w:r>
    </w:p>
    <w:p w14:paraId="6C641338">
      <w:pPr>
        <w:keepLines w:val="0"/>
        <w:kinsoku/>
        <w:wordWrap/>
        <w:overflowPunct/>
        <w:topLinePunct w:val="0"/>
        <w:bidi w:val="0"/>
        <w:spacing w:beforeAutospacing="0" w:afterAutospacing="0" w:line="440" w:lineRule="atLeast"/>
        <w:ind w:left="0" w:leftChars="0" w:right="0" w:rightChars="0"/>
        <w:jc w:val="left"/>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1、</w:t>
      </w:r>
      <w:r>
        <w:rPr>
          <w:rFonts w:hint="eastAsia" w:ascii="宋体" w:hAnsi="宋体" w:cs="宋体"/>
          <w:color w:val="auto"/>
          <w:highlight w:val="none"/>
        </w:rPr>
        <w:t>总价应为各分项报价之和，响应文件差异修正准则参见响应文件说明</w:t>
      </w:r>
      <w:r>
        <w:rPr>
          <w:rFonts w:hint="eastAsia" w:ascii="Times New Roman" w:hAnsi="Times New Roman" w:cs="Times New Roman"/>
          <w:color w:val="auto"/>
          <w:highlight w:val="none"/>
          <w:lang w:eastAsia="zh-CN"/>
        </w:rPr>
        <w:t>。</w:t>
      </w:r>
    </w:p>
    <w:p w14:paraId="19FA2A5C">
      <w:pPr>
        <w:keepLines w:val="0"/>
        <w:kinsoku/>
        <w:wordWrap/>
        <w:overflowPunct/>
        <w:topLinePunct w:val="0"/>
        <w:bidi w:val="0"/>
        <w:spacing w:beforeAutospacing="0" w:afterAutospacing="0" w:line="440" w:lineRule="atLeast"/>
        <w:ind w:left="0" w:leftChars="0" w:right="0" w:rightChars="0" w:firstLine="0" w:firstLineChars="0"/>
        <w:rPr>
          <w:rFonts w:hint="default" w:ascii="Times New Roman" w:hAnsi="Times New Roman" w:cs="Times New Roman" w:eastAsiaTheme="minorEastAsia"/>
          <w:color w:val="auto"/>
          <w:highlight w:val="none"/>
        </w:rPr>
      </w:pPr>
      <w:r>
        <w:rPr>
          <w:rFonts w:hint="eastAsia" w:ascii="Times New Roman" w:hAnsi="Times New Roman" w:cs="Times New Roman"/>
          <w:color w:val="auto"/>
          <w:highlight w:val="none"/>
          <w:lang w:eastAsia="zh-CN"/>
        </w:rPr>
        <w:t>2、</w:t>
      </w:r>
      <w:r>
        <w:rPr>
          <w:rFonts w:hint="default" w:ascii="Times New Roman" w:hAnsi="Times New Roman" w:cs="Times New Roman" w:eastAsiaTheme="minorEastAsia"/>
          <w:color w:val="auto"/>
          <w:highlight w:val="none"/>
        </w:rPr>
        <w:t>报价表述限于选用中文大写或阿拉伯数字小写，均已核定准确无误。</w:t>
      </w:r>
    </w:p>
    <w:p w14:paraId="43161875">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p>
    <w:p w14:paraId="300578EF">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color w:val="auto"/>
          <w:highlight w:val="none"/>
        </w:rPr>
      </w:pPr>
    </w:p>
    <w:p w14:paraId="3BDF069E">
      <w:pPr>
        <w:keepNext w:val="0"/>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firstLine="420" w:firstLineChars="200"/>
        <w:jc w:val="right"/>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供应商名称：</w:t>
      </w:r>
      <w:r>
        <w:rPr>
          <w:rFonts w:hint="default" w:ascii="Times New Roman" w:hAnsi="Times New Roman" w:cs="Times New Roman" w:eastAsiaTheme="minorEastAsia"/>
          <w:b w:val="0"/>
          <w:bCs w:val="0"/>
          <w:color w:val="auto"/>
          <w:sz w:val="21"/>
          <w:szCs w:val="21"/>
          <w:highlight w:val="none"/>
          <w:u w:val="single"/>
        </w:rPr>
        <w:t xml:space="preserve">           （</w:t>
      </w:r>
      <w:r>
        <w:rPr>
          <w:rFonts w:hint="eastAsia" w:ascii="Times New Roman" w:hAnsi="Times New Roman" w:cs="Times New Roman"/>
          <w:b w:val="0"/>
          <w:bCs w:val="0"/>
          <w:color w:val="auto"/>
          <w:sz w:val="21"/>
          <w:szCs w:val="21"/>
          <w:highlight w:val="none"/>
          <w:u w:val="single"/>
          <w:lang w:eastAsia="zh-CN"/>
        </w:rPr>
        <w:t>单位名称</w:t>
      </w:r>
      <w:r>
        <w:rPr>
          <w:rFonts w:hint="default" w:ascii="Times New Roman" w:hAnsi="Times New Roman" w:cs="Times New Roman" w:eastAsiaTheme="minorEastAsia"/>
          <w:b w:val="0"/>
          <w:bCs w:val="0"/>
          <w:color w:val="auto"/>
          <w:sz w:val="21"/>
          <w:szCs w:val="21"/>
          <w:highlight w:val="none"/>
          <w:u w:val="single"/>
        </w:rPr>
        <w:t xml:space="preserve">全称）                </w:t>
      </w:r>
      <w:r>
        <w:rPr>
          <w:rFonts w:hint="default" w:ascii="Times New Roman" w:hAnsi="Times New Roman" w:cs="Times New Roman" w:eastAsiaTheme="minorEastAsia"/>
          <w:b w:val="0"/>
          <w:bCs w:val="0"/>
          <w:color w:val="auto"/>
          <w:sz w:val="21"/>
          <w:szCs w:val="21"/>
          <w:highlight w:val="none"/>
        </w:rPr>
        <w:t>（</w:t>
      </w:r>
      <w:r>
        <w:rPr>
          <w:rFonts w:hint="default" w:ascii="Times New Roman" w:hAnsi="Times New Roman" w:cs="Times New Roman" w:eastAsiaTheme="minorEastAsia"/>
          <w:b w:val="0"/>
          <w:bCs w:val="0"/>
          <w:color w:val="auto"/>
          <w:sz w:val="21"/>
          <w:szCs w:val="21"/>
          <w:highlight w:val="none"/>
          <w:lang w:val="zh-CN"/>
        </w:rPr>
        <w:t>加盖供应商公章</w:t>
      </w:r>
      <w:r>
        <w:rPr>
          <w:rFonts w:hint="default" w:ascii="Times New Roman" w:hAnsi="Times New Roman" w:cs="Times New Roman" w:eastAsiaTheme="minorEastAsia"/>
          <w:b w:val="0"/>
          <w:bCs w:val="0"/>
          <w:color w:val="auto"/>
          <w:sz w:val="21"/>
          <w:szCs w:val="21"/>
          <w:highlight w:val="none"/>
        </w:rPr>
        <w:t>）</w:t>
      </w:r>
    </w:p>
    <w:p w14:paraId="44A866E4">
      <w:pPr>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rPr>
          <w:rFonts w:hint="default" w:ascii="Times New Roman" w:hAnsi="Times New Roman" w:cs="Times New Roman" w:eastAsiaTheme="minorEastAsia"/>
          <w:b w:val="0"/>
          <w:bCs w:val="0"/>
          <w:color w:val="auto"/>
          <w:highlight w:val="none"/>
        </w:rPr>
      </w:pPr>
      <w:r>
        <w:rPr>
          <w:rFonts w:hint="default" w:ascii="Times New Roman" w:hAnsi="Times New Roman" w:cs="Times New Roman" w:eastAsiaTheme="minorEastAsia"/>
          <w:b w:val="0"/>
          <w:bCs w:val="0"/>
          <w:color w:val="auto"/>
          <w:highlight w:val="none"/>
        </w:rPr>
        <w:t>授权代表：</w:t>
      </w:r>
      <w:r>
        <w:rPr>
          <w:rFonts w:hint="default" w:ascii="Times New Roman" w:hAnsi="Times New Roman" w:cs="Times New Roman" w:eastAsiaTheme="minorEastAsia"/>
          <w:b w:val="0"/>
          <w:bCs w:val="0"/>
          <w:color w:val="auto"/>
          <w:highlight w:val="none"/>
          <w:u w:val="single"/>
        </w:rPr>
        <w:t xml:space="preserve">                              </w:t>
      </w:r>
      <w:r>
        <w:rPr>
          <w:rFonts w:hint="default" w:ascii="Times New Roman" w:hAnsi="Times New Roman" w:cs="Times New Roman" w:eastAsiaTheme="minorEastAsia"/>
          <w:b w:val="0"/>
          <w:bCs w:val="0"/>
          <w:color w:val="auto"/>
          <w:highlight w:val="none"/>
        </w:rPr>
        <w:t>（亲笔签名）</w:t>
      </w:r>
    </w:p>
    <w:p w14:paraId="037B6C12">
      <w:pPr>
        <w:keepLines w:val="0"/>
        <w:pageBreakBefore w:val="0"/>
        <w:widowControl w:val="0"/>
        <w:kinsoku/>
        <w:wordWrap/>
        <w:overflowPunct/>
        <w:topLinePunct w:val="0"/>
        <w:autoSpaceDE/>
        <w:autoSpaceDN/>
        <w:bidi w:val="0"/>
        <w:adjustRightInd/>
        <w:snapToGrid/>
        <w:spacing w:beforeAutospacing="0" w:afterAutospacing="0" w:line="440" w:lineRule="atLeast"/>
        <w:ind w:left="0" w:leftChars="0" w:right="0" w:rightChars="0"/>
        <w:jc w:val="right"/>
        <w:rPr>
          <w:rFonts w:hint="default" w:ascii="Times New Roman" w:hAnsi="Times New Roman" w:cs="Times New Roman" w:eastAsiaTheme="minorEastAsia"/>
          <w:b w:val="0"/>
          <w:bCs w:val="0"/>
          <w:color w:val="auto"/>
          <w:sz w:val="21"/>
          <w:szCs w:val="21"/>
          <w:highlight w:val="none"/>
          <w:u w:val="single"/>
        </w:rPr>
      </w:pPr>
      <w:r>
        <w:rPr>
          <w:rFonts w:hint="default" w:ascii="Times New Roman" w:hAnsi="Times New Roman" w:cs="Times New Roman" w:eastAsiaTheme="minorEastAsia"/>
          <w:b w:val="0"/>
          <w:bCs w:val="0"/>
          <w:color w:val="auto"/>
          <w:sz w:val="21"/>
          <w:szCs w:val="21"/>
          <w:highlight w:val="none"/>
        </w:rPr>
        <w:t>日期：</w:t>
      </w:r>
      <w:r>
        <w:rPr>
          <w:rFonts w:hint="default" w:ascii="Times New Roman" w:hAnsi="Times New Roman" w:cs="Times New Roman" w:eastAsiaTheme="minorEastAsia"/>
          <w:b w:val="0"/>
          <w:bCs w:val="0"/>
          <w:color w:val="auto"/>
          <w:sz w:val="21"/>
          <w:szCs w:val="21"/>
          <w:highlight w:val="none"/>
          <w:u w:val="single"/>
        </w:rPr>
        <w:t xml:space="preserve">    </w:t>
      </w:r>
      <w:r>
        <w:rPr>
          <w:rFonts w:hint="default" w:ascii="Times New Roman" w:hAnsi="Times New Roman" w:cs="Times New Roman" w:eastAsiaTheme="minorEastAsia"/>
          <w:b w:val="0"/>
          <w:bCs w:val="0"/>
          <w:color w:val="auto"/>
          <w:sz w:val="21"/>
          <w:szCs w:val="21"/>
          <w:highlight w:val="none"/>
        </w:rPr>
        <w:t>年</w:t>
      </w:r>
      <w:r>
        <w:rPr>
          <w:rFonts w:hint="default" w:ascii="Times New Roman" w:hAnsi="Times New Roman" w:cs="Times New Roman" w:eastAsiaTheme="minorEastAsia"/>
          <w:b w:val="0"/>
          <w:bCs w:val="0"/>
          <w:color w:val="auto"/>
          <w:sz w:val="21"/>
          <w:szCs w:val="21"/>
          <w:highlight w:val="none"/>
          <w:u w:val="single"/>
        </w:rPr>
        <w:t xml:space="preserve">    </w:t>
      </w:r>
      <w:r>
        <w:rPr>
          <w:rFonts w:hint="default" w:ascii="Times New Roman" w:hAnsi="Times New Roman" w:cs="Times New Roman" w:eastAsiaTheme="minorEastAsia"/>
          <w:b w:val="0"/>
          <w:bCs w:val="0"/>
          <w:color w:val="auto"/>
          <w:sz w:val="21"/>
          <w:szCs w:val="21"/>
          <w:highlight w:val="none"/>
        </w:rPr>
        <w:t>月</w:t>
      </w:r>
      <w:r>
        <w:rPr>
          <w:rFonts w:hint="default" w:ascii="Times New Roman" w:hAnsi="Times New Roman" w:cs="Times New Roman" w:eastAsiaTheme="minorEastAsia"/>
          <w:b w:val="0"/>
          <w:bCs w:val="0"/>
          <w:color w:val="auto"/>
          <w:sz w:val="21"/>
          <w:szCs w:val="21"/>
          <w:highlight w:val="none"/>
          <w:u w:val="single"/>
        </w:rPr>
        <w:t xml:space="preserve">    </w:t>
      </w:r>
      <w:r>
        <w:rPr>
          <w:rFonts w:hint="default" w:ascii="Times New Roman" w:hAnsi="Times New Roman" w:cs="Times New Roman" w:eastAsiaTheme="minorEastAsia"/>
          <w:b w:val="0"/>
          <w:bCs w:val="0"/>
          <w:color w:val="auto"/>
          <w:sz w:val="21"/>
          <w:szCs w:val="21"/>
          <w:highlight w:val="none"/>
        </w:rPr>
        <w:t>日</w:t>
      </w:r>
    </w:p>
    <w:p w14:paraId="71750F6E">
      <w:pPr>
        <w:keepLines w:val="0"/>
        <w:kinsoku/>
        <w:wordWrap/>
        <w:overflowPunct/>
        <w:topLinePunct w:val="0"/>
        <w:bidi w:val="0"/>
        <w:spacing w:beforeAutospacing="0" w:afterAutospacing="0" w:line="440" w:lineRule="atLeast"/>
        <w:ind w:left="0" w:leftChars="0" w:right="0" w:rightChars="0"/>
        <w:jc w:val="left"/>
        <w:rPr>
          <w:rFonts w:hint="default" w:ascii="Times New Roman" w:hAnsi="Times New Roman" w:cs="Times New Roman" w:eastAsiaTheme="minorEastAsia"/>
          <w:b/>
          <w:color w:val="auto"/>
          <w:highlight w:val="none"/>
        </w:rPr>
      </w:pPr>
    </w:p>
    <w:p w14:paraId="1886D7E0">
      <w:pPr>
        <w:pStyle w:val="17"/>
        <w:keepLines w:val="0"/>
        <w:kinsoku/>
        <w:wordWrap/>
        <w:overflowPunct/>
        <w:topLinePunct w:val="0"/>
        <w:bidi w:val="0"/>
        <w:spacing w:before="0" w:beforeLines="0" w:beforeAutospacing="0" w:after="0" w:afterLines="0" w:afterAutospacing="0" w:line="440" w:lineRule="atLeast"/>
        <w:ind w:left="0" w:leftChars="0" w:right="0" w:rightChars="0" w:firstLine="0" w:firstLineChars="0"/>
        <w:rPr>
          <w:rFonts w:hint="default" w:ascii="Times New Roman" w:hAnsi="Times New Roman" w:cs="Times New Roman" w:eastAsiaTheme="minorEastAsia"/>
          <w:b/>
          <w:color w:val="auto"/>
          <w:highlight w:val="none"/>
        </w:rPr>
        <w:sectPr>
          <w:headerReference r:id="rId10" w:type="default"/>
          <w:pgSz w:w="11906" w:h="16838"/>
          <w:pgMar w:top="1134" w:right="1134" w:bottom="1134" w:left="1588" w:header="567" w:footer="737" w:gutter="0"/>
          <w:pgBorders>
            <w:top w:val="none" w:sz="0" w:space="0"/>
            <w:left w:val="none" w:sz="0" w:space="0"/>
            <w:bottom w:val="none" w:sz="0" w:space="0"/>
            <w:right w:val="none" w:sz="0" w:space="0"/>
          </w:pgBorders>
          <w:pgNumType w:fmt="decimal"/>
          <w:cols w:space="720" w:num="1"/>
          <w:docGrid w:linePitch="312" w:charSpace="0"/>
        </w:sectPr>
      </w:pPr>
    </w:p>
    <w:bookmarkEnd w:id="244"/>
    <w:bookmarkEnd w:id="245"/>
    <w:bookmarkEnd w:id="246"/>
    <w:bookmarkEnd w:id="247"/>
    <w:bookmarkEnd w:id="248"/>
    <w:bookmarkEnd w:id="249"/>
    <w:bookmarkEnd w:id="250"/>
    <w:p w14:paraId="3EDF85C1">
      <w:pPr>
        <w:keepLines w:val="0"/>
        <w:pageBreakBefore/>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val="0"/>
          <w:bCs/>
          <w:color w:val="auto"/>
          <w:sz w:val="36"/>
          <w:highlight w:val="none"/>
        </w:rPr>
      </w:pPr>
      <w:bookmarkStart w:id="277" w:name="_Toc38337722"/>
      <w:bookmarkStart w:id="278" w:name="_Toc49329276"/>
      <w:bookmarkStart w:id="279" w:name="_Toc22927"/>
      <w:bookmarkStart w:id="280" w:name="_Toc310519909"/>
      <w:bookmarkStart w:id="281" w:name="_Toc419106587"/>
      <w:bookmarkStart w:id="282" w:name="_Toc325031964"/>
      <w:bookmarkStart w:id="283" w:name="_Toc373767224"/>
      <w:bookmarkStart w:id="284" w:name="_Toc18239"/>
      <w:bookmarkStart w:id="285" w:name="_Toc24787"/>
      <w:r>
        <w:rPr>
          <w:rFonts w:hint="default" w:ascii="Times New Roman" w:hAnsi="Times New Roman" w:cs="Times New Roman" w:eastAsiaTheme="minorEastAsia"/>
          <w:b w:val="0"/>
          <w:bCs/>
          <w:color w:val="auto"/>
          <w:sz w:val="36"/>
          <w:highlight w:val="none"/>
        </w:rPr>
        <w:t>文件包装袋</w:t>
      </w:r>
      <w:bookmarkEnd w:id="277"/>
      <w:bookmarkEnd w:id="278"/>
      <w:r>
        <w:rPr>
          <w:rFonts w:hint="default" w:ascii="Times New Roman" w:hAnsi="Times New Roman" w:cs="Times New Roman" w:eastAsiaTheme="minorEastAsia"/>
          <w:b w:val="0"/>
          <w:bCs/>
          <w:color w:val="auto"/>
          <w:sz w:val="36"/>
          <w:highlight w:val="none"/>
        </w:rPr>
        <w:t>封面标贴格式</w:t>
      </w:r>
      <w:bookmarkEnd w:id="279"/>
      <w:bookmarkEnd w:id="280"/>
      <w:bookmarkEnd w:id="281"/>
      <w:bookmarkEnd w:id="282"/>
      <w:bookmarkEnd w:id="283"/>
      <w:bookmarkEnd w:id="284"/>
      <w:bookmarkEnd w:id="285"/>
    </w:p>
    <w:tbl>
      <w:tblPr>
        <w:tblStyle w:val="18"/>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14:paraId="7F447AF1">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noWrap w:val="0"/>
            <w:vAlign w:val="top"/>
          </w:tcPr>
          <w:p w14:paraId="222766B5">
            <w:pPr>
              <w:keepLines w:val="0"/>
              <w:kinsoku/>
              <w:wordWrap/>
              <w:overflowPunct/>
              <w:topLinePunct w:val="0"/>
              <w:bidi w:val="0"/>
              <w:snapToGrid w:val="0"/>
              <w:spacing w:beforeAutospacing="0" w:afterAutospacing="0" w:line="440" w:lineRule="atLeast"/>
              <w:ind w:left="0" w:leftChars="0" w:right="0" w:rightChars="0"/>
              <w:jc w:val="center"/>
              <w:rPr>
                <w:rFonts w:hint="default" w:ascii="Times New Roman" w:hAnsi="Times New Roman" w:cs="Times New Roman" w:eastAsiaTheme="minorEastAsia"/>
                <w:b/>
                <w:color w:val="auto"/>
                <w:sz w:val="30"/>
                <w:highlight w:val="none"/>
              </w:rPr>
            </w:pPr>
          </w:p>
          <w:p w14:paraId="66C46F7A">
            <w:pPr>
              <w:pStyle w:val="2"/>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sz w:val="48"/>
                <w:highlight w:val="none"/>
              </w:rPr>
            </w:pPr>
            <w:r>
              <w:rPr>
                <w:rFonts w:hint="default" w:ascii="Times New Roman" w:hAnsi="Times New Roman" w:cs="Times New Roman" w:eastAsiaTheme="minorEastAsia"/>
                <w:b/>
                <w:bCs/>
                <w:color w:val="auto"/>
                <w:sz w:val="48"/>
                <w:highlight w:val="none"/>
              </w:rPr>
              <w:t>采购项目响应文件</w:t>
            </w:r>
          </w:p>
          <w:p w14:paraId="2DECC282">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密封内容：</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 xml:space="preserve">报价信封 / </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正、副本响应文件</w:t>
            </w:r>
          </w:p>
          <w:p w14:paraId="34722F4B">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color w:val="auto"/>
                <w:sz w:val="11"/>
                <w:szCs w:val="11"/>
                <w:highlight w:val="none"/>
              </w:rPr>
            </w:pPr>
          </w:p>
          <w:p w14:paraId="2F9AE904">
            <w:pPr>
              <w:keepLines w:val="0"/>
              <w:kinsoku/>
              <w:wordWrap/>
              <w:overflowPunct/>
              <w:topLinePunct w:val="0"/>
              <w:bidi w:val="0"/>
              <w:spacing w:beforeAutospacing="0" w:afterAutospacing="0" w:line="440" w:lineRule="atLeast"/>
              <w:ind w:left="0" w:leftChars="0" w:right="0" w:rightChars="0" w:firstLine="964" w:firstLineChars="400"/>
              <w:rPr>
                <w:rFonts w:hint="default" w:ascii="Times New Roman" w:hAnsi="Times New Roman" w:cs="Times New Roman" w:eastAsiaTheme="minorEastAsia"/>
                <w:b/>
                <w:bCs/>
                <w:color w:val="auto"/>
                <w:sz w:val="24"/>
                <w:highlight w:val="none"/>
                <w:u w:val="single"/>
              </w:rPr>
            </w:pPr>
            <w:r>
              <w:rPr>
                <w:rFonts w:hint="default" w:ascii="Times New Roman" w:hAnsi="Times New Roman" w:cs="Times New Roman" w:eastAsiaTheme="minorEastAsia"/>
                <w:b/>
                <w:bCs/>
                <w:color w:val="auto"/>
                <w:sz w:val="24"/>
                <w:highlight w:val="none"/>
              </w:rPr>
              <w:t>供应商名称：</w:t>
            </w:r>
            <w:r>
              <w:rPr>
                <w:rFonts w:hint="default" w:ascii="Times New Roman" w:hAnsi="Times New Roman" w:cs="Times New Roman" w:eastAsiaTheme="minorEastAsia"/>
                <w:color w:val="auto"/>
                <w:sz w:val="24"/>
                <w:highlight w:val="none"/>
                <w:u w:val="dotted"/>
              </w:rPr>
              <w:t xml:space="preserve">                                                  </w:t>
            </w:r>
          </w:p>
          <w:p w14:paraId="263AF514">
            <w:pPr>
              <w:keepLines w:val="0"/>
              <w:kinsoku/>
              <w:wordWrap/>
              <w:overflowPunct/>
              <w:topLinePunct w:val="0"/>
              <w:bidi w:val="0"/>
              <w:spacing w:beforeAutospacing="0" w:afterAutospacing="0" w:line="440" w:lineRule="atLeast"/>
              <w:ind w:left="0" w:leftChars="0" w:right="0" w:rightChars="0" w:firstLine="960" w:firstLineChars="4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项目编号：</w:t>
            </w:r>
            <w:r>
              <w:rPr>
                <w:rFonts w:hint="eastAsia" w:ascii="Times New Roman" w:hAnsi="Times New Roman" w:cs="Times New Roman"/>
                <w:b/>
                <w:color w:val="auto"/>
                <w:highlight w:val="none"/>
                <w:u w:val="dotted"/>
                <w:lang w:eastAsia="zh-CN"/>
              </w:rPr>
              <w:t>GDYD240563</w:t>
            </w:r>
            <w:r>
              <w:rPr>
                <w:rFonts w:hint="default" w:ascii="Times New Roman" w:hAnsi="Times New Roman" w:cs="Times New Roman" w:eastAsiaTheme="minorEastAsia"/>
                <w:color w:val="auto"/>
                <w:highlight w:val="none"/>
                <w:u w:val="dotted"/>
              </w:rPr>
              <w:t xml:space="preserve">       </w:t>
            </w:r>
            <w:r>
              <w:rPr>
                <w:rFonts w:hint="default" w:ascii="Times New Roman" w:hAnsi="Times New Roman" w:cs="Times New Roman" w:eastAsiaTheme="minorEastAsia"/>
                <w:color w:val="auto"/>
                <w:sz w:val="24"/>
                <w:highlight w:val="none"/>
                <w:u w:val="dotted"/>
              </w:rPr>
              <w:t xml:space="preserve">                </w:t>
            </w:r>
          </w:p>
          <w:p w14:paraId="5AEB7639">
            <w:pPr>
              <w:keepLines w:val="0"/>
              <w:kinsoku/>
              <w:wordWrap/>
              <w:overflowPunct/>
              <w:topLinePunct w:val="0"/>
              <w:bidi w:val="0"/>
              <w:spacing w:beforeAutospacing="0" w:afterAutospacing="0" w:line="440" w:lineRule="atLeast"/>
              <w:ind w:left="0" w:leftChars="0" w:right="0" w:rightChars="0" w:firstLine="960" w:firstLineChars="400"/>
              <w:jc w:val="both"/>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color w:val="auto"/>
                <w:sz w:val="24"/>
                <w:highlight w:val="none"/>
              </w:rPr>
              <w:t>项目名称：</w:t>
            </w:r>
            <w:r>
              <w:rPr>
                <w:rFonts w:hint="eastAsia" w:ascii="Times New Roman" w:hAnsi="Times New Roman" w:cs="Times New Roman"/>
                <w:b/>
                <w:color w:val="auto"/>
                <w:highlight w:val="none"/>
                <w:u w:val="dotted"/>
                <w:lang w:eastAsia="zh-CN"/>
              </w:rPr>
              <w:t>佛山市高明区人民法院执行案件集约化送达服务项目</w:t>
            </w:r>
          </w:p>
          <w:tbl>
            <w:tblPr>
              <w:tblStyle w:val="18"/>
              <w:tblW w:w="0" w:type="auto"/>
              <w:jc w:val="center"/>
              <w:tblLayout w:type="fixed"/>
              <w:tblCellMar>
                <w:top w:w="0" w:type="dxa"/>
                <w:left w:w="108" w:type="dxa"/>
                <w:bottom w:w="0" w:type="dxa"/>
                <w:right w:w="108" w:type="dxa"/>
              </w:tblCellMar>
            </w:tblPr>
            <w:tblGrid>
              <w:gridCol w:w="1260"/>
              <w:gridCol w:w="7246"/>
            </w:tblGrid>
            <w:tr w14:paraId="36AF1AAB">
              <w:tblPrEx>
                <w:tblCellMar>
                  <w:top w:w="0" w:type="dxa"/>
                  <w:left w:w="108" w:type="dxa"/>
                  <w:bottom w:w="0" w:type="dxa"/>
                  <w:right w:w="108" w:type="dxa"/>
                </w:tblCellMar>
              </w:tblPrEx>
              <w:trPr>
                <w:trHeight w:val="480" w:hRule="atLeast"/>
                <w:jc w:val="center"/>
              </w:trPr>
              <w:tc>
                <w:tcPr>
                  <w:tcW w:w="8506" w:type="dxa"/>
                  <w:gridSpan w:val="2"/>
                  <w:noWrap w:val="0"/>
                  <w:vAlign w:val="center"/>
                </w:tcPr>
                <w:p w14:paraId="16001229">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在2024年</w:t>
                  </w:r>
                  <w:r>
                    <w:rPr>
                      <w:rFonts w:hint="default" w:ascii="Times New Roman" w:hAnsi="Times New Roman" w:cs="Times New Roman" w:eastAsiaTheme="minorEastAsia"/>
                      <w:b/>
                      <w:bCs/>
                      <w:color w:val="auto"/>
                      <w:highlight w:val="none"/>
                      <w:lang w:val="en-US" w:eastAsia="zh-CN"/>
                    </w:rPr>
                    <w:t xml:space="preserve">  </w:t>
                  </w:r>
                  <w:r>
                    <w:rPr>
                      <w:rFonts w:hint="default" w:ascii="Times New Roman" w:hAnsi="Times New Roman" w:cs="Times New Roman" w:eastAsiaTheme="minorEastAsia"/>
                      <w:b/>
                      <w:bCs/>
                      <w:color w:val="auto"/>
                      <w:szCs w:val="21"/>
                      <w:highlight w:val="none"/>
                    </w:rPr>
                    <w:t>月</w:t>
                  </w:r>
                  <w:r>
                    <w:rPr>
                      <w:rFonts w:hint="default" w:ascii="Times New Roman" w:hAnsi="Times New Roman" w:cs="Times New Roman" w:eastAsiaTheme="minorEastAsia"/>
                      <w:b/>
                      <w:bCs/>
                      <w:color w:val="auto"/>
                      <w:szCs w:val="21"/>
                      <w:highlight w:val="none"/>
                      <w:lang w:val="en-US" w:eastAsia="zh-CN"/>
                    </w:rPr>
                    <w:t xml:space="preserve">  </w:t>
                  </w:r>
                  <w:r>
                    <w:rPr>
                      <w:rFonts w:hint="default" w:ascii="Times New Roman" w:hAnsi="Times New Roman" w:cs="Times New Roman" w:eastAsiaTheme="minorEastAsia"/>
                      <w:b/>
                      <w:bCs/>
                      <w:color w:val="auto"/>
                      <w:highlight w:val="none"/>
                    </w:rPr>
                    <w:t xml:space="preserve">日 </w:t>
                  </w:r>
                  <w:r>
                    <w:rPr>
                      <w:rFonts w:hint="default" w:ascii="Times New Roman" w:hAnsi="Times New Roman" w:cs="Times New Roman" w:eastAsiaTheme="minorEastAsia"/>
                      <w:b/>
                      <w:bCs/>
                      <w:color w:val="auto"/>
                      <w:highlight w:val="none"/>
                      <w:lang w:val="en-US" w:eastAsia="zh-CN"/>
                    </w:rPr>
                    <w:t xml:space="preserve"> </w:t>
                  </w:r>
                  <w:r>
                    <w:rPr>
                      <w:rFonts w:hint="default" w:ascii="Times New Roman" w:hAnsi="Times New Roman" w:cs="Times New Roman" w:eastAsiaTheme="minorEastAsia"/>
                      <w:b/>
                      <w:bCs/>
                      <w:color w:val="auto"/>
                      <w:highlight w:val="none"/>
                    </w:rPr>
                    <w:t xml:space="preserve"> 午 </w:t>
                  </w:r>
                  <w:r>
                    <w:rPr>
                      <w:rFonts w:hint="default" w:ascii="Times New Roman" w:hAnsi="Times New Roman" w:cs="Times New Roman" w:eastAsiaTheme="minorEastAsia"/>
                      <w:b/>
                      <w:bCs/>
                      <w:color w:val="auto"/>
                      <w:highlight w:val="none"/>
                      <w:lang w:val="en-US" w:eastAsia="zh-CN"/>
                    </w:rPr>
                    <w:t xml:space="preserve">  </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  </w:t>
                  </w:r>
                  <w:r>
                    <w:rPr>
                      <w:rFonts w:hint="default" w:ascii="Times New Roman" w:hAnsi="Times New Roman" w:cs="Times New Roman" w:eastAsiaTheme="minorEastAsia"/>
                      <w:b/>
                      <w:bCs/>
                      <w:color w:val="auto"/>
                      <w:highlight w:val="none"/>
                    </w:rPr>
                    <w:t xml:space="preserve"> 时之间准时当面递交且不得启封。</w:t>
                  </w:r>
                </w:p>
              </w:tc>
            </w:tr>
            <w:tr w14:paraId="113FC2B0">
              <w:tblPrEx>
                <w:tblCellMar>
                  <w:top w:w="0" w:type="dxa"/>
                  <w:left w:w="108" w:type="dxa"/>
                  <w:bottom w:w="0" w:type="dxa"/>
                  <w:right w:w="108" w:type="dxa"/>
                </w:tblCellMar>
              </w:tblPrEx>
              <w:trPr>
                <w:trHeight w:val="615" w:hRule="atLeast"/>
                <w:jc w:val="center"/>
              </w:trPr>
              <w:tc>
                <w:tcPr>
                  <w:tcW w:w="1260" w:type="dxa"/>
                  <w:noWrap w:val="0"/>
                  <w:vAlign w:val="center"/>
                </w:tcPr>
                <w:p w14:paraId="7A4A8AF3">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递交地点：</w:t>
                  </w:r>
                </w:p>
              </w:tc>
              <w:tc>
                <w:tcPr>
                  <w:tcW w:w="7246" w:type="dxa"/>
                  <w:noWrap w:val="0"/>
                  <w:vAlign w:val="center"/>
                </w:tcPr>
                <w:p w14:paraId="7DADB641">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佛山市禅城区季华五路10号金融广场大厦17层A区（广东远东招标代理有限公司开标室）。</w:t>
                  </w:r>
                </w:p>
              </w:tc>
            </w:tr>
            <w:tr w14:paraId="0915D6D1">
              <w:tblPrEx>
                <w:tblCellMar>
                  <w:top w:w="0" w:type="dxa"/>
                  <w:left w:w="108" w:type="dxa"/>
                  <w:bottom w:w="0" w:type="dxa"/>
                  <w:right w:w="108" w:type="dxa"/>
                </w:tblCellMar>
              </w:tblPrEx>
              <w:trPr>
                <w:trHeight w:val="465" w:hRule="atLeast"/>
                <w:jc w:val="center"/>
              </w:trPr>
              <w:tc>
                <w:tcPr>
                  <w:tcW w:w="1260" w:type="dxa"/>
                  <w:noWrap w:val="0"/>
                  <w:vAlign w:val="center"/>
                </w:tcPr>
                <w:p w14:paraId="791A0835">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电    话：</w:t>
                  </w:r>
                </w:p>
              </w:tc>
              <w:tc>
                <w:tcPr>
                  <w:tcW w:w="7246" w:type="dxa"/>
                  <w:noWrap w:val="0"/>
                  <w:vAlign w:val="center"/>
                </w:tcPr>
                <w:p w14:paraId="1FFF3740">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0757-83332528。</w:t>
                  </w:r>
                </w:p>
              </w:tc>
            </w:tr>
            <w:tr w14:paraId="39866743">
              <w:tblPrEx>
                <w:tblCellMar>
                  <w:top w:w="0" w:type="dxa"/>
                  <w:left w:w="108" w:type="dxa"/>
                  <w:bottom w:w="0" w:type="dxa"/>
                  <w:right w:w="108" w:type="dxa"/>
                </w:tblCellMar>
              </w:tblPrEx>
              <w:trPr>
                <w:trHeight w:val="285" w:hRule="atLeast"/>
                <w:jc w:val="center"/>
              </w:trPr>
              <w:tc>
                <w:tcPr>
                  <w:tcW w:w="1260" w:type="dxa"/>
                  <w:noWrap w:val="0"/>
                  <w:vAlign w:val="center"/>
                </w:tcPr>
                <w:p w14:paraId="325A52C0">
                  <w:pPr>
                    <w:keepLines w:val="0"/>
                    <w:kinsoku/>
                    <w:wordWrap/>
                    <w:overflowPunct/>
                    <w:topLinePunct w:val="0"/>
                    <w:bidi w:val="0"/>
                    <w:spacing w:beforeAutospacing="0" w:afterAutospacing="0" w:line="440" w:lineRule="atLeast"/>
                    <w:ind w:left="0" w:leftChars="0" w:right="0" w:right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声    明：</w:t>
                  </w:r>
                </w:p>
              </w:tc>
              <w:tc>
                <w:tcPr>
                  <w:tcW w:w="7246" w:type="dxa"/>
                  <w:noWrap w:val="0"/>
                  <w:vAlign w:val="center"/>
                </w:tcPr>
                <w:p w14:paraId="69C539B0">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同意由递交响应文件登记顺序的前两名供应商，将作为集中推选的代表，现场对所有响应文件进行密封性检查。</w:t>
                  </w:r>
                </w:p>
              </w:tc>
            </w:tr>
          </w:tbl>
          <w:p w14:paraId="10753BE5">
            <w:pPr>
              <w:keepLines w:val="0"/>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p>
        </w:tc>
      </w:tr>
    </w:tbl>
    <w:p w14:paraId="05BEEE15">
      <w:pPr>
        <w:keepLines w:val="0"/>
        <w:kinsoku/>
        <w:wordWrap/>
        <w:overflowPunct/>
        <w:topLinePunct w:val="0"/>
        <w:bidi w:val="0"/>
        <w:spacing w:beforeAutospacing="0" w:afterAutospacing="0" w:line="440" w:lineRule="atLeast"/>
        <w:ind w:left="0" w:leftChars="0" w:right="0" w:rightChars="0" w:firstLine="480" w:firstLineChars="200"/>
        <w:rPr>
          <w:rFonts w:hint="default" w:ascii="Times New Roman" w:hAnsi="Times New Roman" w:cs="Times New Roman" w:eastAsiaTheme="minorEastAsia"/>
          <w:color w:val="auto"/>
          <w:sz w:val="24"/>
          <w:highlight w:val="none"/>
        </w:rPr>
      </w:pPr>
    </w:p>
    <w:p w14:paraId="49B0F63A">
      <w:pPr>
        <w:keepLines w:val="0"/>
        <w:kinsoku/>
        <w:wordWrap/>
        <w:overflowPunct/>
        <w:topLinePunct w:val="0"/>
        <w:bidi w:val="0"/>
        <w:spacing w:beforeAutospacing="0" w:afterAutospacing="0" w:line="440" w:lineRule="atLeast"/>
        <w:ind w:left="0" w:leftChars="0" w:right="0" w:rightChars="0" w:firstLine="480" w:firstLineChars="100"/>
        <w:rPr>
          <w:rFonts w:hint="default" w:ascii="Times New Roman" w:hAnsi="Times New Roman" w:cs="Times New Roman" w:eastAsiaTheme="minorEastAsia"/>
          <w:color w:val="auto"/>
          <w:sz w:val="48"/>
          <w:szCs w:val="48"/>
          <w:highlight w:val="none"/>
        </w:rPr>
      </w:pPr>
      <w:r>
        <w:rPr>
          <w:rFonts w:hint="default" w:ascii="Times New Roman" w:hAnsi="Times New Roman" w:cs="Times New Roman" w:eastAsiaTheme="minorEastAsia"/>
          <w:color w:val="auto"/>
          <w:sz w:val="48"/>
          <w:szCs w:val="48"/>
          <w:highlight w:val="none"/>
        </w:rPr>
        <w:t>注意事项</w:t>
      </w:r>
    </w:p>
    <w:p w14:paraId="2051F617">
      <w:pPr>
        <w:keepLines w:val="0"/>
        <w:kinsoku/>
        <w:wordWrap/>
        <w:overflowPunct/>
        <w:topLinePunct w:val="0"/>
        <w:bidi w:val="0"/>
        <w:spacing w:beforeAutospacing="0" w:afterAutospacing="0" w:line="440" w:lineRule="atLeast"/>
        <w:ind w:left="0" w:leftChars="0" w:right="0" w:rightChars="0"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一、报价信封另单独封装，并按下列顺序装订：</w:t>
      </w:r>
    </w:p>
    <w:p w14:paraId="626AC79F">
      <w:pPr>
        <w:keepLines w:val="0"/>
        <w:tabs>
          <w:tab w:val="left" w:pos="900"/>
        </w:tabs>
        <w:kinsoku/>
        <w:wordWrap/>
        <w:overflowPunct/>
        <w:topLinePunct w:val="0"/>
        <w:bidi w:val="0"/>
        <w:spacing w:beforeAutospacing="0" w:afterAutospacing="0" w:line="440" w:lineRule="atLeast"/>
        <w:ind w:left="0" w:leftChars="0" w:right="0" w:rightChars="0"/>
        <w:outlineLvl w:val="1"/>
        <w:rPr>
          <w:rFonts w:hint="default" w:ascii="Times New Roman" w:hAnsi="Times New Roman" w:cs="Times New Roman" w:eastAsiaTheme="minorEastAsia"/>
          <w:color w:val="auto"/>
          <w:highlight w:val="none"/>
        </w:rPr>
      </w:pPr>
      <w:bookmarkStart w:id="286" w:name="_Toc10860"/>
      <w:r>
        <w:rPr>
          <w:rFonts w:hint="default" w:ascii="Times New Roman" w:hAnsi="Times New Roman" w:cs="Times New Roman" w:eastAsiaTheme="minorEastAsia"/>
          <w:color w:val="auto"/>
          <w:highlight w:val="none"/>
        </w:rPr>
        <w:t>1、《报价汇总表》 原件（须加盖公章）；</w:t>
      </w:r>
      <w:bookmarkEnd w:id="286"/>
    </w:p>
    <w:p w14:paraId="5AA639EE">
      <w:pPr>
        <w:keepLines w:val="0"/>
        <w:tabs>
          <w:tab w:val="left" w:pos="900"/>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2、电子文件（须包含资格性文件、评审内容索引、技术部分、商务部分、价格部分、其他文件等；具体格式要求详见“投标人须知”）。</w:t>
      </w:r>
    </w:p>
    <w:p w14:paraId="61C1F820">
      <w:pPr>
        <w:keepLines w:val="0"/>
        <w:kinsoku/>
        <w:wordWrap/>
        <w:overflowPunct/>
        <w:topLinePunct w:val="0"/>
        <w:bidi w:val="0"/>
        <w:spacing w:beforeAutospacing="0" w:afterAutospacing="0" w:line="440" w:lineRule="atLeast"/>
        <w:ind w:left="0" w:leftChars="0" w:right="0" w:rightChars="0" w:firstLine="480" w:firstLineChars="200"/>
        <w:rPr>
          <w:rFonts w:hint="default" w:ascii="Times New Roman" w:hAnsi="Times New Roman" w:cs="Times New Roman" w:eastAsiaTheme="minorEastAsia"/>
          <w:color w:val="auto"/>
          <w:sz w:val="24"/>
          <w:szCs w:val="24"/>
          <w:highlight w:val="none"/>
        </w:rPr>
      </w:pPr>
    </w:p>
    <w:p w14:paraId="6546A13D">
      <w:pPr>
        <w:keepLines w:val="0"/>
        <w:kinsoku/>
        <w:wordWrap/>
        <w:overflowPunct/>
        <w:topLinePunct w:val="0"/>
        <w:bidi w:val="0"/>
        <w:spacing w:beforeAutospacing="0" w:afterAutospacing="0" w:line="440" w:lineRule="atLeast"/>
        <w:ind w:left="0" w:leftChars="0" w:right="0" w:rightChars="0" w:firstLine="480" w:firstLineChars="200"/>
        <w:rPr>
          <w:rFonts w:hint="default" w:ascii="Times New Roman" w:hAnsi="Times New Roman" w:cs="Times New Roman" w:eastAsiaTheme="minorEastAsia"/>
          <w:color w:val="auto"/>
          <w:sz w:val="24"/>
          <w:szCs w:val="24"/>
          <w:highlight w:val="none"/>
        </w:rPr>
      </w:pPr>
    </w:p>
    <w:p w14:paraId="3670C147">
      <w:pPr>
        <w:keepLines w:val="0"/>
        <w:kinsoku/>
        <w:wordWrap/>
        <w:overflowPunct/>
        <w:topLinePunct w:val="0"/>
        <w:bidi w:val="0"/>
        <w:spacing w:beforeAutospacing="0" w:afterAutospacing="0" w:line="440" w:lineRule="atLeast"/>
        <w:ind w:left="0" w:leftChars="0" w:right="0" w:rightChars="0"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二、重要提示：</w:t>
      </w:r>
    </w:p>
    <w:p w14:paraId="3197E52D">
      <w:pPr>
        <w:keepLines w:val="0"/>
        <w:tabs>
          <w:tab w:val="left" w:pos="900"/>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1.</w:t>
      </w:r>
      <w:r>
        <w:rPr>
          <w:rFonts w:hint="default" w:ascii="Times New Roman" w:hAnsi="Times New Roman" w:cs="Times New Roman" w:eastAsiaTheme="minorEastAsia"/>
          <w:color w:val="auto"/>
          <w:highlight w:val="none"/>
        </w:rPr>
        <w:t>唱标信封与正、副本必须分开单独封装并标贴此封面，密封口处须加盖公章或授权代表签名。</w:t>
      </w:r>
    </w:p>
    <w:p w14:paraId="4426C913">
      <w:pPr>
        <w:keepLines w:val="0"/>
        <w:tabs>
          <w:tab w:val="left" w:pos="900"/>
        </w:tabs>
        <w:kinsoku/>
        <w:wordWrap/>
        <w:overflowPunct/>
        <w:topLinePunct w:val="0"/>
        <w:bidi w:val="0"/>
        <w:spacing w:beforeAutospacing="0" w:afterAutospacing="0" w:line="440" w:lineRule="atLeast"/>
        <w:ind w:left="0" w:leftChars="0" w:right="0" w:rightChars="0"/>
        <w:rPr>
          <w:rFonts w:hint="default" w:ascii="Times New Roman" w:hAnsi="Times New Roman" w:cs="Times New Roman" w:eastAsiaTheme="minorEastAsia"/>
          <w:color w:val="auto"/>
          <w:highlight w:val="none"/>
          <w:lang w:val="en-US" w:eastAsia="zh-Hans"/>
        </w:rPr>
      </w:pPr>
      <w:r>
        <w:rPr>
          <w:rFonts w:hint="default" w:ascii="Times New Roman" w:hAnsi="Times New Roman" w:cs="Times New Roman" w:eastAsiaTheme="minorEastAsia"/>
          <w:color w:val="auto"/>
          <w:highlight w:val="none"/>
          <w:lang w:val="en-US" w:eastAsia="zh-CN"/>
        </w:rPr>
        <w:t>2.</w:t>
      </w:r>
      <w:r>
        <w:rPr>
          <w:rFonts w:hint="default" w:ascii="Times New Roman" w:hAnsi="Times New Roman" w:cs="Times New Roman" w:eastAsiaTheme="minorEastAsia"/>
          <w:color w:val="auto"/>
          <w:highlight w:val="none"/>
        </w:rPr>
        <w:t>递交文件登记顺序的前二名供应商，将作为集中推选的代表现场对所有响应文件进行密封性检查。</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9F56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D3745">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6D3745">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6E9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BB3E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A8AD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D127D">
    <w:pPr>
      <w:pBdr>
        <w:bottom w:val="single" w:color="auto" w:sz="4" w:space="1"/>
      </w:pBdr>
    </w:pPr>
    <w:r>
      <w:rPr>
        <w:rFonts w:hint="eastAsia" w:ascii="宋体" w:hAnsi="宋体"/>
      </w:rPr>
      <w:t>项目名称：                                                     采购编号：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C24B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B724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5DB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571C8E"/>
    <w:multiLevelType w:val="multilevel"/>
    <w:tmpl w:val="A4571C8E"/>
    <w:lvl w:ilvl="0" w:tentative="0">
      <w:start w:val="1"/>
      <w:numFmt w:val="decimal"/>
      <w:lvlText w:val="%1"/>
      <w:lvlJc w:val="center"/>
      <w:pPr>
        <w:tabs>
          <w:tab w:val="left" w:pos="-61"/>
        </w:tabs>
        <w:ind w:left="41" w:firstLine="179"/>
      </w:pPr>
      <w:rPr>
        <w:rFonts w:hint="eastAsia"/>
        <w:spacing w:val="-20"/>
        <w:kern w:val="2"/>
        <w:position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A"/>
    <w:multiLevelType w:val="multilevel"/>
    <w:tmpl w:val="0000000A"/>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multilevel"/>
    <w:tmpl w:val="0000000B"/>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multilevel"/>
    <w:tmpl w:val="0000000D"/>
    <w:lvl w:ilvl="0" w:tentative="0">
      <w:start w:val="1"/>
      <w:numFmt w:val="bullet"/>
      <w:lvlText w:val=""/>
      <w:lvlJc w:val="left"/>
      <w:pPr>
        <w:tabs>
          <w:tab w:val="left" w:pos="930"/>
        </w:tabs>
        <w:ind w:left="930" w:hanging="51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
    <w:nsid w:val="00000010"/>
    <w:multiLevelType w:val="multilevel"/>
    <w:tmpl w:val="00000010"/>
    <w:lvl w:ilvl="0" w:tentative="0">
      <w:start w:val="3"/>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
    <w:nsid w:val="00000012"/>
    <w:multiLevelType w:val="multilevel"/>
    <w:tmpl w:val="00000012"/>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3"/>
    <w:multiLevelType w:val="multilevel"/>
    <w:tmpl w:val="00000013"/>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4"/>
    <w:multiLevelType w:val="singleLevel"/>
    <w:tmpl w:val="00000014"/>
    <w:lvl w:ilvl="0" w:tentative="0">
      <w:start w:val="1"/>
      <w:numFmt w:val="decimal"/>
      <w:lvlText w:val="%1."/>
      <w:lvlJc w:val="left"/>
      <w:pPr>
        <w:tabs>
          <w:tab w:val="left" w:pos="425"/>
        </w:tabs>
        <w:ind w:left="425" w:hanging="425"/>
      </w:pPr>
      <w:rPr>
        <w:rFonts w:hint="default"/>
      </w:rPr>
    </w:lvl>
  </w:abstractNum>
  <w:abstractNum w:abstractNumId="8">
    <w:nsid w:val="00000015"/>
    <w:multiLevelType w:val="multilevel"/>
    <w:tmpl w:val="00000015"/>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6"/>
    <w:multiLevelType w:val="multilevel"/>
    <w:tmpl w:val="00000016"/>
    <w:lvl w:ilvl="0" w:tentative="0">
      <w:start w:val="1"/>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7"/>
    <w:multiLevelType w:val="multilevel"/>
    <w:tmpl w:val="00000017"/>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9"/>
    <w:multiLevelType w:val="multilevel"/>
    <w:tmpl w:val="00000019"/>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A"/>
    <w:multiLevelType w:val="multilevel"/>
    <w:tmpl w:val="0000001A"/>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B"/>
    <w:multiLevelType w:val="multilevel"/>
    <w:tmpl w:val="0000001B"/>
    <w:lvl w:ilvl="0" w:tentative="0">
      <w:start w:val="1"/>
      <w:numFmt w:val="bullet"/>
      <w:lvlText w:val=""/>
      <w:lvlJc w:val="left"/>
      <w:pPr>
        <w:tabs>
          <w:tab w:val="left" w:pos="695"/>
        </w:tabs>
        <w:ind w:left="695" w:hanging="420"/>
      </w:pPr>
      <w:rPr>
        <w:rFonts w:hint="default" w:ascii="Wingdings" w:hAnsi="Wingdings"/>
        <w:color w:val="auto"/>
        <w:sz w:val="28"/>
        <w:szCs w:val="28"/>
      </w:rPr>
    </w:lvl>
    <w:lvl w:ilvl="1" w:tentative="0">
      <w:start w:val="1"/>
      <w:numFmt w:val="decimal"/>
      <w:lvlText w:val="%2)"/>
      <w:lvlJc w:val="left"/>
      <w:pPr>
        <w:tabs>
          <w:tab w:val="left" w:pos="1115"/>
        </w:tabs>
        <w:ind w:left="1115" w:hanging="420"/>
      </w:pPr>
      <w:rPr>
        <w:rFonts w:hint="default"/>
      </w:rPr>
    </w:lvl>
    <w:lvl w:ilvl="2" w:tentative="0">
      <w:start w:val="1"/>
      <w:numFmt w:val="bullet"/>
      <w:lvlText w:val=""/>
      <w:lvlJc w:val="left"/>
      <w:pPr>
        <w:tabs>
          <w:tab w:val="left" w:pos="1535"/>
        </w:tabs>
        <w:ind w:left="1535" w:hanging="420"/>
      </w:pPr>
      <w:rPr>
        <w:rFonts w:hint="default" w:ascii="Wingdings" w:hAnsi="Wingdings"/>
      </w:rPr>
    </w:lvl>
    <w:lvl w:ilvl="3" w:tentative="0">
      <w:start w:val="1"/>
      <w:numFmt w:val="bullet"/>
      <w:lvlText w:val=""/>
      <w:lvlJc w:val="left"/>
      <w:pPr>
        <w:tabs>
          <w:tab w:val="left" w:pos="1955"/>
        </w:tabs>
        <w:ind w:left="1955" w:hanging="420"/>
      </w:pPr>
      <w:rPr>
        <w:rFonts w:hint="default" w:ascii="Wingdings" w:hAnsi="Wingdings"/>
      </w:rPr>
    </w:lvl>
    <w:lvl w:ilvl="4" w:tentative="0">
      <w:start w:val="1"/>
      <w:numFmt w:val="bullet"/>
      <w:lvlText w:val=""/>
      <w:lvlJc w:val="left"/>
      <w:pPr>
        <w:tabs>
          <w:tab w:val="left" w:pos="2375"/>
        </w:tabs>
        <w:ind w:left="2375" w:hanging="420"/>
      </w:pPr>
      <w:rPr>
        <w:rFonts w:hint="default" w:ascii="Wingdings" w:hAnsi="Wingdings"/>
      </w:rPr>
    </w:lvl>
    <w:lvl w:ilvl="5" w:tentative="0">
      <w:start w:val="1"/>
      <w:numFmt w:val="bullet"/>
      <w:lvlText w:val=""/>
      <w:lvlJc w:val="left"/>
      <w:pPr>
        <w:tabs>
          <w:tab w:val="left" w:pos="2795"/>
        </w:tabs>
        <w:ind w:left="2795" w:hanging="420"/>
      </w:pPr>
      <w:rPr>
        <w:rFonts w:hint="default" w:ascii="Wingdings" w:hAnsi="Wingdings"/>
      </w:rPr>
    </w:lvl>
    <w:lvl w:ilvl="6" w:tentative="0">
      <w:start w:val="1"/>
      <w:numFmt w:val="bullet"/>
      <w:lvlText w:val=""/>
      <w:lvlJc w:val="left"/>
      <w:pPr>
        <w:tabs>
          <w:tab w:val="left" w:pos="3215"/>
        </w:tabs>
        <w:ind w:left="3215" w:hanging="420"/>
      </w:pPr>
      <w:rPr>
        <w:rFonts w:hint="default" w:ascii="Wingdings" w:hAnsi="Wingdings"/>
      </w:rPr>
    </w:lvl>
    <w:lvl w:ilvl="7" w:tentative="0">
      <w:start w:val="1"/>
      <w:numFmt w:val="bullet"/>
      <w:lvlText w:val=""/>
      <w:lvlJc w:val="left"/>
      <w:pPr>
        <w:tabs>
          <w:tab w:val="left" w:pos="3635"/>
        </w:tabs>
        <w:ind w:left="3635" w:hanging="420"/>
      </w:pPr>
      <w:rPr>
        <w:rFonts w:hint="default" w:ascii="Wingdings" w:hAnsi="Wingdings"/>
      </w:rPr>
    </w:lvl>
    <w:lvl w:ilvl="8" w:tentative="0">
      <w:start w:val="1"/>
      <w:numFmt w:val="bullet"/>
      <w:lvlText w:val=""/>
      <w:lvlJc w:val="left"/>
      <w:pPr>
        <w:tabs>
          <w:tab w:val="left" w:pos="4055"/>
        </w:tabs>
        <w:ind w:left="4055" w:hanging="420"/>
      </w:pPr>
      <w:rPr>
        <w:rFonts w:hint="default" w:ascii="Wingdings" w:hAnsi="Wingdings"/>
      </w:rPr>
    </w:lvl>
  </w:abstractNum>
  <w:abstractNum w:abstractNumId="14">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3CD76780"/>
    <w:multiLevelType w:val="multilevel"/>
    <w:tmpl w:val="3CD76780"/>
    <w:lvl w:ilvl="0" w:tentative="0">
      <w:start w:val="1"/>
      <w:numFmt w:val="chineseCountingThousand"/>
      <w:lvlText w:val="%1、"/>
      <w:lvlJc w:val="left"/>
      <w:pPr>
        <w:tabs>
          <w:tab w:val="left" w:pos="510"/>
        </w:tabs>
        <w:ind w:left="510" w:hanging="510"/>
      </w:pPr>
      <w:rPr>
        <w:rFonts w:hint="eastAsia"/>
        <w:b/>
        <w:i w:val="0"/>
        <w:caps w:val="0"/>
        <w:color w:val="000000"/>
        <w:spacing w:val="0"/>
        <w:w w:val="100"/>
        <w:sz w:val="24"/>
        <w:szCs w:val="24"/>
        <w:u w:val="none"/>
      </w:rPr>
    </w:lvl>
    <w:lvl w:ilvl="1" w:tentative="0">
      <w:start w:val="1"/>
      <w:numFmt w:val="decimal"/>
      <w:lvlText w:val="%2."/>
      <w:lvlJc w:val="left"/>
      <w:pPr>
        <w:tabs>
          <w:tab w:val="left" w:pos="510"/>
        </w:tabs>
        <w:ind w:left="0" w:leftChars="0" w:firstLine="0" w:firstLineChars="0"/>
      </w:pPr>
      <w:rPr>
        <w:rFonts w:hint="eastAsia"/>
        <w:b/>
        <w:i w:val="0"/>
        <w:caps w:val="0"/>
        <w:color w:val="000000"/>
        <w:spacing w:val="0"/>
        <w:w w:val="100"/>
        <w:sz w:val="24"/>
        <w:szCs w:val="24"/>
        <w:u w:val="none"/>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7">
    <w:nsid w:val="4598D3F1"/>
    <w:multiLevelType w:val="singleLevel"/>
    <w:tmpl w:val="4598D3F1"/>
    <w:lvl w:ilvl="0" w:tentative="0">
      <w:start w:val="1"/>
      <w:numFmt w:val="decimal"/>
      <w:suff w:val="nothing"/>
      <w:lvlText w:val="%1、"/>
      <w:lvlJc w:val="left"/>
    </w:lvl>
  </w:abstractNum>
  <w:abstractNum w:abstractNumId="18">
    <w:nsid w:val="66D52DFB"/>
    <w:multiLevelType w:val="singleLevel"/>
    <w:tmpl w:val="66D52DFB"/>
    <w:lvl w:ilvl="0" w:tentative="0">
      <w:start w:val="1"/>
      <w:numFmt w:val="decimal"/>
      <w:suff w:val="nothing"/>
      <w:lvlText w:val="%1、"/>
      <w:lvlJc w:val="left"/>
    </w:lvl>
  </w:abstractNum>
  <w:num w:numId="1">
    <w:abstractNumId w:val="17"/>
  </w:num>
  <w:num w:numId="2">
    <w:abstractNumId w:val="16"/>
  </w:num>
  <w:num w:numId="3">
    <w:abstractNumId w:val="13"/>
  </w:num>
  <w:num w:numId="4">
    <w:abstractNumId w:val="12"/>
  </w:num>
  <w:num w:numId="5">
    <w:abstractNumId w:val="8"/>
  </w:num>
  <w:num w:numId="6">
    <w:abstractNumId w:val="9"/>
  </w:num>
  <w:num w:numId="7">
    <w:abstractNumId w:val="4"/>
  </w:num>
  <w:num w:numId="8">
    <w:abstractNumId w:val="7"/>
  </w:num>
  <w:num w:numId="9">
    <w:abstractNumId w:val="18"/>
  </w:num>
  <w:num w:numId="10">
    <w:abstractNumId w:val="14"/>
  </w:num>
  <w:num w:numId="11">
    <w:abstractNumId w:val="11"/>
  </w:num>
  <w:num w:numId="12">
    <w:abstractNumId w:val="6"/>
  </w:num>
  <w:num w:numId="13">
    <w:abstractNumId w:val="2"/>
  </w:num>
  <w:num w:numId="14">
    <w:abstractNumId w:val="3"/>
  </w:num>
  <w:num w:numId="15">
    <w:abstractNumId w:val="10"/>
  </w:num>
  <w:num w:numId="16">
    <w:abstractNumId w:val="1"/>
  </w:num>
  <w:num w:numId="17">
    <w:abstractNumId w:val="15"/>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yZGU4ZTA2ZGIwZjQ3ZDc0ZWZlNGRkMmViYTk4Y2MifQ=="/>
  </w:docVars>
  <w:rsids>
    <w:rsidRoot w:val="53B52B8D"/>
    <w:rsid w:val="007D4F6C"/>
    <w:rsid w:val="00AC2428"/>
    <w:rsid w:val="00F42B70"/>
    <w:rsid w:val="01164C6F"/>
    <w:rsid w:val="01287101"/>
    <w:rsid w:val="02DD6033"/>
    <w:rsid w:val="030C3A54"/>
    <w:rsid w:val="03640C37"/>
    <w:rsid w:val="03712C1D"/>
    <w:rsid w:val="038D224B"/>
    <w:rsid w:val="04EE6D03"/>
    <w:rsid w:val="05717438"/>
    <w:rsid w:val="05814DD8"/>
    <w:rsid w:val="06290392"/>
    <w:rsid w:val="06760529"/>
    <w:rsid w:val="068406C7"/>
    <w:rsid w:val="06BD1984"/>
    <w:rsid w:val="073A2F80"/>
    <w:rsid w:val="07725360"/>
    <w:rsid w:val="07797A4C"/>
    <w:rsid w:val="07A8437E"/>
    <w:rsid w:val="084B5CF7"/>
    <w:rsid w:val="087A387F"/>
    <w:rsid w:val="08E21B49"/>
    <w:rsid w:val="08F8435C"/>
    <w:rsid w:val="090E4181"/>
    <w:rsid w:val="092B4FD8"/>
    <w:rsid w:val="093223D0"/>
    <w:rsid w:val="0937642F"/>
    <w:rsid w:val="09B11BD0"/>
    <w:rsid w:val="0B202517"/>
    <w:rsid w:val="0B892782"/>
    <w:rsid w:val="0B9A495D"/>
    <w:rsid w:val="0BEC14C3"/>
    <w:rsid w:val="0E747096"/>
    <w:rsid w:val="0ED426DE"/>
    <w:rsid w:val="0F6273CA"/>
    <w:rsid w:val="0FD833CB"/>
    <w:rsid w:val="10B353ED"/>
    <w:rsid w:val="10E41613"/>
    <w:rsid w:val="11B27A23"/>
    <w:rsid w:val="135A32B1"/>
    <w:rsid w:val="13E73EF9"/>
    <w:rsid w:val="13F07F97"/>
    <w:rsid w:val="14576AF9"/>
    <w:rsid w:val="14927E49"/>
    <w:rsid w:val="1582093B"/>
    <w:rsid w:val="16315EBE"/>
    <w:rsid w:val="16627D11"/>
    <w:rsid w:val="16D345D7"/>
    <w:rsid w:val="16ED1BA1"/>
    <w:rsid w:val="177F50ED"/>
    <w:rsid w:val="17F77304"/>
    <w:rsid w:val="184513B2"/>
    <w:rsid w:val="184D6DCC"/>
    <w:rsid w:val="19805192"/>
    <w:rsid w:val="19FA2401"/>
    <w:rsid w:val="1ACC0944"/>
    <w:rsid w:val="1AEF5419"/>
    <w:rsid w:val="1B670350"/>
    <w:rsid w:val="1B974FD5"/>
    <w:rsid w:val="1BA60602"/>
    <w:rsid w:val="1BF00B53"/>
    <w:rsid w:val="1C1A51C0"/>
    <w:rsid w:val="1C56667E"/>
    <w:rsid w:val="1CE8451F"/>
    <w:rsid w:val="1D0D62DF"/>
    <w:rsid w:val="1D734062"/>
    <w:rsid w:val="1D81039B"/>
    <w:rsid w:val="1DA557E7"/>
    <w:rsid w:val="1DE01BCA"/>
    <w:rsid w:val="1DEC46DC"/>
    <w:rsid w:val="1E0C6498"/>
    <w:rsid w:val="1E4C6754"/>
    <w:rsid w:val="20580CB1"/>
    <w:rsid w:val="205D5D4B"/>
    <w:rsid w:val="20A82EE1"/>
    <w:rsid w:val="21894680"/>
    <w:rsid w:val="21CF3709"/>
    <w:rsid w:val="21F11636"/>
    <w:rsid w:val="22655D1C"/>
    <w:rsid w:val="229A609C"/>
    <w:rsid w:val="235F050E"/>
    <w:rsid w:val="23A40CFC"/>
    <w:rsid w:val="23B0363D"/>
    <w:rsid w:val="23BB718F"/>
    <w:rsid w:val="248155AF"/>
    <w:rsid w:val="248926CC"/>
    <w:rsid w:val="24C56E96"/>
    <w:rsid w:val="24D9595E"/>
    <w:rsid w:val="24DE1416"/>
    <w:rsid w:val="25E310F1"/>
    <w:rsid w:val="264C1327"/>
    <w:rsid w:val="26594A5E"/>
    <w:rsid w:val="267C1339"/>
    <w:rsid w:val="26862B41"/>
    <w:rsid w:val="26B9344C"/>
    <w:rsid w:val="26C64D67"/>
    <w:rsid w:val="26E37BD5"/>
    <w:rsid w:val="27594AE0"/>
    <w:rsid w:val="281D1523"/>
    <w:rsid w:val="28F752E4"/>
    <w:rsid w:val="28F94FC5"/>
    <w:rsid w:val="295B3AA4"/>
    <w:rsid w:val="298338DB"/>
    <w:rsid w:val="2995312F"/>
    <w:rsid w:val="2A053176"/>
    <w:rsid w:val="2AA3400B"/>
    <w:rsid w:val="2AB12D68"/>
    <w:rsid w:val="2AD04692"/>
    <w:rsid w:val="2B471263"/>
    <w:rsid w:val="2BF15B26"/>
    <w:rsid w:val="2D64113C"/>
    <w:rsid w:val="2D700F57"/>
    <w:rsid w:val="2E1037AC"/>
    <w:rsid w:val="2E5F7614"/>
    <w:rsid w:val="2EF553F5"/>
    <w:rsid w:val="2F4D4F3E"/>
    <w:rsid w:val="2F772127"/>
    <w:rsid w:val="2FAD0BBB"/>
    <w:rsid w:val="2FC647D1"/>
    <w:rsid w:val="30851BFE"/>
    <w:rsid w:val="313030E2"/>
    <w:rsid w:val="313A6116"/>
    <w:rsid w:val="314B3AFF"/>
    <w:rsid w:val="322A618B"/>
    <w:rsid w:val="32555174"/>
    <w:rsid w:val="32786EF6"/>
    <w:rsid w:val="32A44717"/>
    <w:rsid w:val="32FF0E87"/>
    <w:rsid w:val="334E26D2"/>
    <w:rsid w:val="348151C9"/>
    <w:rsid w:val="3523626A"/>
    <w:rsid w:val="366D365F"/>
    <w:rsid w:val="3735048E"/>
    <w:rsid w:val="37914FF6"/>
    <w:rsid w:val="37A42790"/>
    <w:rsid w:val="38150003"/>
    <w:rsid w:val="38223E1B"/>
    <w:rsid w:val="38B14685"/>
    <w:rsid w:val="38B20E6C"/>
    <w:rsid w:val="38DB3B74"/>
    <w:rsid w:val="3933116D"/>
    <w:rsid w:val="39E0610D"/>
    <w:rsid w:val="39E56093"/>
    <w:rsid w:val="3AE534FD"/>
    <w:rsid w:val="3AF963A7"/>
    <w:rsid w:val="3B9431ED"/>
    <w:rsid w:val="3B9A2EF8"/>
    <w:rsid w:val="3BB12A92"/>
    <w:rsid w:val="3BB371F1"/>
    <w:rsid w:val="3BDE1F6B"/>
    <w:rsid w:val="3C380386"/>
    <w:rsid w:val="3C844A43"/>
    <w:rsid w:val="3CF0648C"/>
    <w:rsid w:val="3D0E2985"/>
    <w:rsid w:val="3D155716"/>
    <w:rsid w:val="3DA037A5"/>
    <w:rsid w:val="3DA442BB"/>
    <w:rsid w:val="3DB95E3A"/>
    <w:rsid w:val="3F246899"/>
    <w:rsid w:val="3F2A73B9"/>
    <w:rsid w:val="3F4357C6"/>
    <w:rsid w:val="3F4E4BBE"/>
    <w:rsid w:val="3F51536E"/>
    <w:rsid w:val="3F5376E9"/>
    <w:rsid w:val="3F543C83"/>
    <w:rsid w:val="3F5B5C7D"/>
    <w:rsid w:val="3FFF7DD0"/>
    <w:rsid w:val="40093884"/>
    <w:rsid w:val="40356162"/>
    <w:rsid w:val="404367B8"/>
    <w:rsid w:val="405E3601"/>
    <w:rsid w:val="40D55E4F"/>
    <w:rsid w:val="41104C09"/>
    <w:rsid w:val="411C7EDE"/>
    <w:rsid w:val="412C0C8E"/>
    <w:rsid w:val="41546D16"/>
    <w:rsid w:val="41666B4A"/>
    <w:rsid w:val="426B5597"/>
    <w:rsid w:val="42A27F69"/>
    <w:rsid w:val="434979F3"/>
    <w:rsid w:val="43633C60"/>
    <w:rsid w:val="43E323C7"/>
    <w:rsid w:val="445E7455"/>
    <w:rsid w:val="44D84527"/>
    <w:rsid w:val="45055262"/>
    <w:rsid w:val="45216639"/>
    <w:rsid w:val="456E4143"/>
    <w:rsid w:val="45E6619E"/>
    <w:rsid w:val="45F67B77"/>
    <w:rsid w:val="460A1F4F"/>
    <w:rsid w:val="46322751"/>
    <w:rsid w:val="466C70B0"/>
    <w:rsid w:val="46D10A76"/>
    <w:rsid w:val="47185ED5"/>
    <w:rsid w:val="472933AD"/>
    <w:rsid w:val="47752E85"/>
    <w:rsid w:val="48721204"/>
    <w:rsid w:val="487466ED"/>
    <w:rsid w:val="488B012C"/>
    <w:rsid w:val="49550E48"/>
    <w:rsid w:val="4A4C3ABB"/>
    <w:rsid w:val="4AB77AAC"/>
    <w:rsid w:val="4B3F661F"/>
    <w:rsid w:val="4B9B6F36"/>
    <w:rsid w:val="4D937D80"/>
    <w:rsid w:val="4DBF3025"/>
    <w:rsid w:val="4DE804C5"/>
    <w:rsid w:val="4E4D0DDF"/>
    <w:rsid w:val="4EC43E0B"/>
    <w:rsid w:val="4F314687"/>
    <w:rsid w:val="4F7F25E0"/>
    <w:rsid w:val="4F8534D4"/>
    <w:rsid w:val="4FBD17B5"/>
    <w:rsid w:val="500C3C97"/>
    <w:rsid w:val="50BF3B17"/>
    <w:rsid w:val="50E25A58"/>
    <w:rsid w:val="51167616"/>
    <w:rsid w:val="51212285"/>
    <w:rsid w:val="517F7502"/>
    <w:rsid w:val="51C730BB"/>
    <w:rsid w:val="527B23E0"/>
    <w:rsid w:val="52F7005F"/>
    <w:rsid w:val="52F9777F"/>
    <w:rsid w:val="530A0261"/>
    <w:rsid w:val="5341518C"/>
    <w:rsid w:val="5389509E"/>
    <w:rsid w:val="53A05E55"/>
    <w:rsid w:val="53B52B8D"/>
    <w:rsid w:val="53ED2917"/>
    <w:rsid w:val="546C42F7"/>
    <w:rsid w:val="55313209"/>
    <w:rsid w:val="554F18E1"/>
    <w:rsid w:val="55762362"/>
    <w:rsid w:val="55C63470"/>
    <w:rsid w:val="56BC3A54"/>
    <w:rsid w:val="57CB3347"/>
    <w:rsid w:val="57E44562"/>
    <w:rsid w:val="58156E12"/>
    <w:rsid w:val="58224D61"/>
    <w:rsid w:val="586E28CA"/>
    <w:rsid w:val="58E660B8"/>
    <w:rsid w:val="58ED2DF8"/>
    <w:rsid w:val="58F564FB"/>
    <w:rsid w:val="59CC128C"/>
    <w:rsid w:val="5A6E1145"/>
    <w:rsid w:val="5A8F0AE0"/>
    <w:rsid w:val="5AC36D8D"/>
    <w:rsid w:val="5AE22E06"/>
    <w:rsid w:val="5AEE750A"/>
    <w:rsid w:val="5AEF3C49"/>
    <w:rsid w:val="5B1104DF"/>
    <w:rsid w:val="5B4B673D"/>
    <w:rsid w:val="5BC859E8"/>
    <w:rsid w:val="5BFF190E"/>
    <w:rsid w:val="5C750170"/>
    <w:rsid w:val="5D4F18B9"/>
    <w:rsid w:val="5D9F6BA2"/>
    <w:rsid w:val="5DD415C7"/>
    <w:rsid w:val="5E1935AF"/>
    <w:rsid w:val="5E1C702F"/>
    <w:rsid w:val="5E4A24C9"/>
    <w:rsid w:val="5E7A69B4"/>
    <w:rsid w:val="5ED109C2"/>
    <w:rsid w:val="5F071EFA"/>
    <w:rsid w:val="5F2C2169"/>
    <w:rsid w:val="5FC27515"/>
    <w:rsid w:val="5FFB3C03"/>
    <w:rsid w:val="602A37D7"/>
    <w:rsid w:val="607E6D8D"/>
    <w:rsid w:val="608A0701"/>
    <w:rsid w:val="608F1995"/>
    <w:rsid w:val="60997552"/>
    <w:rsid w:val="61A025AC"/>
    <w:rsid w:val="62174E1A"/>
    <w:rsid w:val="629168EA"/>
    <w:rsid w:val="62B965EC"/>
    <w:rsid w:val="62F151FD"/>
    <w:rsid w:val="63222D38"/>
    <w:rsid w:val="63BC430D"/>
    <w:rsid w:val="641461CF"/>
    <w:rsid w:val="652B74FB"/>
    <w:rsid w:val="657B0C15"/>
    <w:rsid w:val="65D21DE8"/>
    <w:rsid w:val="67810225"/>
    <w:rsid w:val="67D26069"/>
    <w:rsid w:val="67E260DB"/>
    <w:rsid w:val="67FE100B"/>
    <w:rsid w:val="68873690"/>
    <w:rsid w:val="6898707B"/>
    <w:rsid w:val="69AE677E"/>
    <w:rsid w:val="69E92EC5"/>
    <w:rsid w:val="6A466ED2"/>
    <w:rsid w:val="6AB822C6"/>
    <w:rsid w:val="6B1F5212"/>
    <w:rsid w:val="6B257891"/>
    <w:rsid w:val="6B3A562D"/>
    <w:rsid w:val="6B9952FA"/>
    <w:rsid w:val="6D727B58"/>
    <w:rsid w:val="6D88746D"/>
    <w:rsid w:val="6DD71F9A"/>
    <w:rsid w:val="6EB83BFB"/>
    <w:rsid w:val="6F5F7596"/>
    <w:rsid w:val="6F7E40AF"/>
    <w:rsid w:val="6F7E4E45"/>
    <w:rsid w:val="705C369A"/>
    <w:rsid w:val="71465B9E"/>
    <w:rsid w:val="717F3294"/>
    <w:rsid w:val="71DE1576"/>
    <w:rsid w:val="720F713E"/>
    <w:rsid w:val="7220374A"/>
    <w:rsid w:val="724C6340"/>
    <w:rsid w:val="7299158E"/>
    <w:rsid w:val="72D306DE"/>
    <w:rsid w:val="736A2CCC"/>
    <w:rsid w:val="74AF414E"/>
    <w:rsid w:val="74F30699"/>
    <w:rsid w:val="751D1E9F"/>
    <w:rsid w:val="756E3E36"/>
    <w:rsid w:val="75EB4681"/>
    <w:rsid w:val="76262EEE"/>
    <w:rsid w:val="76C526F3"/>
    <w:rsid w:val="77F34477"/>
    <w:rsid w:val="77F79321"/>
    <w:rsid w:val="785D2852"/>
    <w:rsid w:val="78E926CC"/>
    <w:rsid w:val="793E5018"/>
    <w:rsid w:val="79632093"/>
    <w:rsid w:val="79697DCC"/>
    <w:rsid w:val="796F0365"/>
    <w:rsid w:val="799522C2"/>
    <w:rsid w:val="7A190395"/>
    <w:rsid w:val="7AE213CC"/>
    <w:rsid w:val="7AE96FDF"/>
    <w:rsid w:val="7B401FC9"/>
    <w:rsid w:val="7C3522B8"/>
    <w:rsid w:val="7C5807CC"/>
    <w:rsid w:val="7C692EF8"/>
    <w:rsid w:val="7CE8458D"/>
    <w:rsid w:val="7D5E6A79"/>
    <w:rsid w:val="7D66349E"/>
    <w:rsid w:val="7D9D2EC1"/>
    <w:rsid w:val="7E0C3B30"/>
    <w:rsid w:val="7E124BA9"/>
    <w:rsid w:val="7E1919D1"/>
    <w:rsid w:val="7E5C0A47"/>
    <w:rsid w:val="7E920800"/>
    <w:rsid w:val="7EF722B8"/>
    <w:rsid w:val="7F9A43C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4">
    <w:name w:val="heading 2"/>
    <w:basedOn w:val="1"/>
    <w:next w:val="1"/>
    <w:qFormat/>
    <w:uiPriority w:val="0"/>
    <w:pPr>
      <w:autoSpaceDE w:val="0"/>
      <w:autoSpaceDN w:val="0"/>
      <w:adjustRightInd w:val="0"/>
      <w:spacing w:line="360" w:lineRule="auto"/>
      <w:jc w:val="center"/>
      <w:outlineLvl w:val="1"/>
    </w:pPr>
    <w:rPr>
      <w:rFonts w:ascii="宋体" w:hAnsi="宋体" w:eastAsia="宋体" w:cs="Times New Roman"/>
      <w:b/>
      <w:color w:val="000000"/>
      <w:kern w:val="0"/>
      <w:sz w:val="30"/>
      <w:szCs w:val="20"/>
    </w:rPr>
  </w:style>
  <w:style w:type="paragraph" w:styleId="5">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eastAsia="宋体" w:cs="Times New Roman"/>
      <w:b/>
      <w:color w:val="000000"/>
      <w:kern w:val="0"/>
      <w:szCs w:val="20"/>
    </w:rPr>
  </w:style>
  <w:style w:type="paragraph" w:styleId="6">
    <w:name w:val="heading 4"/>
    <w:basedOn w:val="5"/>
    <w:next w:val="1"/>
    <w:unhideWhenUsed/>
    <w:qFormat/>
    <w:uiPriority w:val="9"/>
    <w:pPr>
      <w:outlineLvl w:val="3"/>
    </w:pPr>
    <w:rPr>
      <w:sz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kern w:val="0"/>
      <w:sz w:val="28"/>
      <w:szCs w:val="21"/>
    </w:rPr>
  </w:style>
  <w:style w:type="paragraph" w:styleId="7">
    <w:name w:val="caption"/>
    <w:basedOn w:val="1"/>
    <w:next w:val="1"/>
    <w:qFormat/>
    <w:uiPriority w:val="0"/>
    <w:pPr>
      <w:spacing w:before="152" w:beforeLines="0" w:after="160" w:afterLines="0"/>
    </w:pPr>
    <w:rPr>
      <w:rFonts w:ascii="Arial" w:hAnsi="Arial" w:eastAsia="黑体" w:cs="Arial"/>
      <w:sz w:val="20"/>
      <w:szCs w:val="20"/>
    </w:rPr>
  </w:style>
  <w:style w:type="paragraph" w:styleId="8">
    <w:name w:val="annotation text"/>
    <w:basedOn w:val="1"/>
    <w:qFormat/>
    <w:uiPriority w:val="0"/>
    <w:pPr>
      <w:jc w:val="left"/>
    </w:pPr>
  </w:style>
  <w:style w:type="paragraph" w:styleId="9">
    <w:name w:val="Body Text Indent"/>
    <w:basedOn w:val="1"/>
    <w:qFormat/>
    <w:uiPriority w:val="0"/>
    <w:pPr>
      <w:widowControl/>
      <w:spacing w:before="120" w:beforeLines="0" w:after="120" w:afterLines="0"/>
      <w:ind w:left="420" w:leftChars="200"/>
      <w:jc w:val="left"/>
    </w:pPr>
    <w:rPr>
      <w:rFonts w:ascii="宋体" w:hAnsi="宋体" w:eastAsia="宋体" w:cs="Times New Roman"/>
      <w:bCs/>
      <w:color w:val="000000"/>
      <w:sz w:val="24"/>
      <w:szCs w:val="21"/>
    </w:rPr>
  </w:style>
  <w:style w:type="paragraph" w:styleId="10">
    <w:name w:val="endnote text"/>
    <w:basedOn w:val="1"/>
    <w:qFormat/>
    <w:uiPriority w:val="0"/>
    <w:pPr>
      <w:snapToGrid w:val="0"/>
      <w:jc w:val="left"/>
    </w:pPr>
    <w:rPr>
      <w:rFonts w:ascii="宋体" w:hAnsi="宋体"/>
      <w:kern w:val="0"/>
      <w:sz w:val="28"/>
    </w:rPr>
  </w:style>
  <w:style w:type="paragraph" w:styleId="11">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rPr>
      <w:rFonts w:ascii="Calibri" w:hAnsi="Calibri" w:eastAsia="宋体" w:cs="Times New Roman"/>
    </w:rPr>
  </w:style>
  <w:style w:type="paragraph" w:styleId="15">
    <w:name w:val="Body Text 2"/>
    <w:basedOn w:val="1"/>
    <w:qFormat/>
    <w:uiPriority w:val="0"/>
    <w:pPr>
      <w:spacing w:after="120" w:line="480" w:lineRule="auto"/>
    </w:p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Body Text First Indent 2"/>
    <w:basedOn w:val="9"/>
    <w:qFormat/>
    <w:uiPriority w:val="0"/>
    <w:pPr>
      <w:ind w:firstLine="420" w:firstLineChars="200"/>
    </w:pPr>
    <w:rPr>
      <w:rFonts w:ascii="Times New Roman" w:hAnsi="Times New Roman" w:eastAsia="宋体" w:cs="Times New Roman"/>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
    <w:name w:val="null3"/>
    <w:hidden/>
    <w:qFormat/>
    <w:uiPriority w:val="0"/>
    <w:rPr>
      <w:rFonts w:hint="eastAsia" w:asciiTheme="minorHAnsi" w:hAnsiTheme="minorHAnsi" w:eastAsiaTheme="minorEastAsia" w:cstheme="minorBidi"/>
      <w:lang w:val="en-US" w:eastAsia="zh-Hans"/>
    </w:rPr>
  </w:style>
  <w:style w:type="paragraph" w:customStyle="1" w:styleId="22">
    <w:name w:val="正文_0"/>
    <w:qFormat/>
    <w:uiPriority w:val="0"/>
    <w:rPr>
      <w:rFonts w:ascii="Times New Roman" w:hAnsi="Times New Roman" w:eastAsia="宋体" w:cs="Times New Roman"/>
      <w:kern w:val="0"/>
      <w:sz w:val="21"/>
      <w:szCs w:val="20"/>
      <w:lang w:val="en-US" w:eastAsia="zh-CN" w:bidi="ar-SA"/>
    </w:rPr>
  </w:style>
  <w:style w:type="paragraph" w:customStyle="1" w:styleId="23">
    <w:name w:val="表格文字"/>
    <w:basedOn w:val="1"/>
    <w:next w:val="2"/>
    <w:qFormat/>
    <w:uiPriority w:val="0"/>
    <w:pPr>
      <w:jc w:val="left"/>
    </w:pPr>
    <w:rPr>
      <w:bCs/>
      <w:spacing w:val="10"/>
      <w:kern w:val="0"/>
      <w:sz w:val="24"/>
      <w:szCs w:val="20"/>
    </w:rPr>
  </w:style>
  <w:style w:type="paragraph" w:customStyle="1" w:styleId="24">
    <w:name w:val="正文_1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5">
    <w:name w:val="正文_5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正文_4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28">
    <w:name w:val="正文_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_0_0_3_0"/>
    <w:qFormat/>
    <w:uiPriority w:val="99"/>
    <w:pPr>
      <w:widowControl w:val="0"/>
      <w:jc w:val="both"/>
    </w:pPr>
    <w:rPr>
      <w:rFonts w:ascii="Times New Roman" w:hAnsi="Times New Roman" w:eastAsia="等线" w:cs="Times New Roman"/>
      <w:color w:val="0000FF"/>
      <w:kern w:val="2"/>
      <w:sz w:val="24"/>
      <w:szCs w:val="24"/>
      <w:lang w:val="en-US" w:eastAsia="zh-CN" w:bidi="ar-SA"/>
    </w:rPr>
  </w:style>
  <w:style w:type="paragraph" w:customStyle="1" w:styleId="30">
    <w:name w:val="正文_0_6"/>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图"/>
    <w:basedOn w:val="1"/>
    <w:qFormat/>
    <w:uiPriority w:val="0"/>
    <w:pPr>
      <w:keepNext/>
      <w:adjustRightInd w:val="0"/>
      <w:spacing w:before="60" w:beforeLines="0" w:after="60" w:afterLines="0" w:line="300" w:lineRule="auto"/>
      <w:jc w:val="center"/>
      <w:textAlignment w:val="center"/>
    </w:pPr>
    <w:rPr>
      <w:rFonts w:ascii="Calibri" w:hAnsi="Calibri" w:eastAsia="宋体" w:cs="Times New Roman"/>
      <w:snapToGrid w:val="0"/>
      <w:spacing w:val="20"/>
      <w:kern w:val="0"/>
      <w:sz w:val="24"/>
      <w:szCs w:val="20"/>
    </w:rPr>
  </w:style>
  <w:style w:type="paragraph" w:customStyle="1" w:styleId="32">
    <w:name w:val="Body Text 3"/>
    <w:basedOn w:val="1"/>
    <w:qFormat/>
    <w:uiPriority w:val="0"/>
    <w:rPr>
      <w:rFonts w:ascii="Calibri" w:hAnsi="Calibri" w:eastAsia="宋体" w:cs="Times New Roman"/>
      <w:color w:val="FF0000"/>
      <w:szCs w:val="21"/>
    </w:rPr>
  </w:style>
  <w:style w:type="paragraph" w:customStyle="1" w:styleId="33">
    <w:name w:val="正文正"/>
    <w:basedOn w:val="1"/>
    <w:qFormat/>
    <w:uiPriority w:val="99"/>
    <w:pPr>
      <w:spacing w:line="560" w:lineRule="exact"/>
      <w:ind w:firstLine="561"/>
    </w:pPr>
    <w:rPr>
      <w:rFonts w:eastAsia="仿宋_GB2312"/>
      <w:sz w:val="28"/>
    </w:rPr>
  </w:style>
  <w:style w:type="paragraph" w:customStyle="1" w:styleId="34">
    <w:name w:val="正文_5_0"/>
    <w:next w:val="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缩进_4_0"/>
    <w:basedOn w:val="36"/>
    <w:qFormat/>
    <w:uiPriority w:val="0"/>
    <w:pPr>
      <w:widowControl/>
      <w:ind w:firstLine="420" w:firstLineChars="200"/>
      <w:jc w:val="left"/>
    </w:pPr>
    <w:rPr>
      <w:rFonts w:ascii="Times New Roman" w:hAnsi="Times New Roman" w:eastAsia="宋体" w:cs="Times New Roman"/>
      <w:kern w:val="0"/>
      <w:sz w:val="20"/>
      <w:szCs w:val="20"/>
    </w:rPr>
  </w:style>
  <w:style w:type="paragraph" w:customStyle="1" w:styleId="36">
    <w:name w:val="正文_5_1"/>
    <w:next w:val="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纯文本_0"/>
    <w:basedOn w:val="39"/>
    <w:qFormat/>
    <w:uiPriority w:val="0"/>
    <w:rPr>
      <w:rFonts w:ascii="宋体" w:hAnsi="Courier New" w:eastAsia="宋体" w:cs="Times New Roman"/>
      <w:szCs w:val="21"/>
    </w:rPr>
  </w:style>
  <w:style w:type="paragraph" w:customStyle="1" w:styleId="39">
    <w:name w:val="正文_3_1"/>
    <w:next w:val="4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0">
    <w:name w:val="正文缩进_2"/>
    <w:basedOn w:val="41"/>
    <w:qFormat/>
    <w:uiPriority w:val="0"/>
    <w:pPr>
      <w:ind w:firstLine="420" w:firstLineChars="200"/>
    </w:pPr>
    <w:rPr>
      <w:rFonts w:ascii="Calibri" w:hAnsi="Calibri" w:eastAsia="宋体" w:cs="Times New Roman"/>
      <w:szCs w:val="22"/>
    </w:rPr>
  </w:style>
  <w:style w:type="paragraph" w:customStyle="1" w:styleId="41">
    <w:name w:val="正文_3_2"/>
    <w:next w:val="4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2">
    <w:name w:val="文本块1"/>
    <w:basedOn w:val="1"/>
    <w:qFormat/>
    <w:uiPriority w:val="0"/>
    <w:pPr>
      <w:ind w:left="1440" w:leftChars="700" w:right="1440" w:rightChars="700"/>
    </w:pPr>
    <w:rPr>
      <w:rFonts w:ascii="Times New Roman" w:hAnsi="Times New Roman" w:eastAsia="宋体" w:cs="Times New Roman"/>
    </w:rPr>
  </w:style>
  <w:style w:type="paragraph" w:customStyle="1" w:styleId="43">
    <w:name w:val="题注4"/>
    <w:basedOn w:val="1"/>
    <w:next w:val="7"/>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44">
    <w:name w:val="正文 New New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5">
    <w:name w:val="正文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6">
    <w:name w:val="题注5"/>
    <w:basedOn w:val="1"/>
    <w:next w:val="7"/>
    <w:qFormat/>
    <w:uiPriority w:val="0"/>
    <w:pPr>
      <w:jc w:val="center"/>
    </w:pPr>
    <w:rPr>
      <w:rFonts w:ascii="Calibri" w:hAnsi="Calibri" w:eastAsia="宋体" w:cs="Times New Roman"/>
      <w:b/>
      <w:color w:val="000000"/>
      <w:sz w:val="24"/>
      <w:szCs w:val="21"/>
    </w:rPr>
  </w:style>
  <w:style w:type="paragraph" w:customStyle="1" w:styleId="47">
    <w:name w:val="正文缩进1"/>
    <w:basedOn w:val="1"/>
    <w:next w:val="48"/>
    <w:qFormat/>
    <w:uiPriority w:val="0"/>
    <w:pPr>
      <w:ind w:firstLine="420" w:firstLineChars="200"/>
    </w:pPr>
    <w:rPr>
      <w:rFonts w:eastAsia="宋体"/>
      <w:szCs w:val="21"/>
    </w:rPr>
  </w:style>
  <w:style w:type="paragraph" w:customStyle="1" w:styleId="48">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9">
    <w:name w:val="正文_27"/>
    <w:next w:val="50"/>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0">
    <w:name w:val="尾注文本_0"/>
    <w:basedOn w:val="51"/>
    <w:qFormat/>
    <w:uiPriority w:val="0"/>
    <w:pPr>
      <w:snapToGrid w:val="0"/>
      <w:jc w:val="left"/>
    </w:pPr>
    <w:rPr>
      <w:rFonts w:ascii="宋体" w:hAnsi="宋体" w:eastAsia="宋体" w:cs="Times New Roman"/>
      <w:kern w:val="0"/>
      <w:sz w:val="28"/>
    </w:rPr>
  </w:style>
  <w:style w:type="paragraph" w:customStyle="1" w:styleId="51">
    <w:name w:val="正文_0_1_1"/>
    <w:next w:val="52"/>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2">
    <w:name w:val="正文缩进_0_0"/>
    <w:basedOn w:val="51"/>
    <w:qFormat/>
    <w:uiPriority w:val="0"/>
    <w:pPr>
      <w:widowControl/>
      <w:ind w:firstLine="420" w:firstLineChars="200"/>
      <w:jc w:val="left"/>
    </w:pPr>
    <w:rPr>
      <w:rFonts w:ascii="Times New Roman" w:hAnsi="Times New Roman" w:eastAsia="宋体" w:cs="Times New Roman"/>
      <w:kern w:val="0"/>
      <w:sz w:val="20"/>
      <w:szCs w:val="20"/>
    </w:rPr>
  </w:style>
  <w:style w:type="paragraph" w:customStyle="1" w:styleId="53">
    <w:name w:val="正文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正文_2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WPSOffice手动目录 2"/>
    <w:qFormat/>
    <w:uiPriority w:val="0"/>
    <w:pPr>
      <w:ind w:leftChars="200"/>
    </w:pPr>
    <w:rPr>
      <w:rFonts w:ascii="Times New Roman" w:hAnsi="Times New Roman" w:eastAsia="宋体" w:cs="Times New Roman"/>
      <w:sz w:val="20"/>
      <w:szCs w:val="20"/>
    </w:rPr>
  </w:style>
  <w:style w:type="paragraph" w:customStyle="1" w:styleId="57">
    <w:name w:val="Body Text First Indent 21"/>
    <w:basedOn w:val="58"/>
    <w:qFormat/>
    <w:uiPriority w:val="0"/>
    <w:pPr>
      <w:ind w:firstLine="420" w:firstLineChars="200"/>
    </w:pPr>
  </w:style>
  <w:style w:type="paragraph" w:customStyle="1" w:styleId="58">
    <w:name w:val="Body Text Indent1"/>
    <w:basedOn w:val="1"/>
    <w:qFormat/>
    <w:uiPriority w:val="0"/>
    <w:pPr>
      <w:spacing w:after="120" w:afterLines="0"/>
      <w:ind w:left="420" w:leftChars="200"/>
    </w:pPr>
    <w:rPr>
      <w:rFonts w:ascii="Times New Roman" w:hAnsi="Times New Roman" w:eastAsia="宋体" w:cs="Times New Roman"/>
      <w:szCs w:val="22"/>
    </w:rPr>
  </w:style>
  <w:style w:type="paragraph" w:customStyle="1" w:styleId="59">
    <w:name w:val="正文_4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List Paragraph"/>
    <w:basedOn w:val="1"/>
    <w:qFormat/>
    <w:uiPriority w:val="11"/>
    <w:pPr>
      <w:ind w:firstLine="0" w:firstLineChars="0"/>
    </w:pPr>
  </w:style>
  <w:style w:type="paragraph" w:customStyle="1" w:styleId="61">
    <w:name w:val="正文2"/>
    <w:qFormat/>
    <w:uiPriority w:val="0"/>
    <w:rPr>
      <w:rFonts w:ascii="Calibri" w:hAnsi="Calibri" w:eastAsia="Times New Roman" w:cs="Times New Roman"/>
      <w:sz w:val="24"/>
      <w:szCs w:val="24"/>
      <w:lang w:val="en-US" w:eastAsia="zh-CN" w:bidi="ar-SA"/>
    </w:rPr>
  </w:style>
  <w:style w:type="paragraph" w:customStyle="1" w:styleId="62">
    <w:name w:val="正文-招标书"/>
    <w:basedOn w:val="1"/>
    <w:qFormat/>
    <w:uiPriority w:val="0"/>
    <w:pPr>
      <w:widowControl/>
      <w:spacing w:line="480" w:lineRule="exact"/>
      <w:jc w:val="left"/>
    </w:pPr>
    <w:rPr>
      <w:rFonts w:ascii="宋体" w:hAnsi="宋体" w:eastAsia="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48371</Words>
  <Characters>49908</Characters>
  <Lines>0</Lines>
  <Paragraphs>0</Paragraphs>
  <TotalTime>14</TotalTime>
  <ScaleCrop>false</ScaleCrop>
  <LinksUpToDate>false</LinksUpToDate>
  <CharactersWithSpaces>51308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招标代理</cp:lastModifiedBy>
  <cp:lastPrinted>2024-07-03T02:38:00Z</cp:lastPrinted>
  <dcterms:modified xsi:type="dcterms:W3CDTF">2024-07-25T09:10:29Z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B54C130831094400948D437C5A444392</vt:lpwstr>
  </property>
</Properties>
</file>