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C03C8">
      <w:pPr>
        <w:pStyle w:val="21"/>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lang w:eastAsia="zh-CN"/>
        </w:rPr>
      </w:pPr>
      <w:bookmarkStart w:id="287" w:name="_GoBack"/>
      <w:bookmarkEnd w:id="287"/>
    </w:p>
    <w:p w14:paraId="693BC65E">
      <w:pPr>
        <w:pStyle w:val="21"/>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lang w:eastAsia="zh-CN"/>
        </w:rPr>
      </w:pPr>
    </w:p>
    <w:p w14:paraId="281143C0">
      <w:pPr>
        <w:pStyle w:val="21"/>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lang w:eastAsia="zh-CN"/>
        </w:rPr>
      </w:pPr>
    </w:p>
    <w:p w14:paraId="3077016D">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b/>
          <w:color w:val="auto"/>
          <w:sz w:val="48"/>
          <w:highlight w:val="none"/>
        </w:rPr>
      </w:pPr>
      <w:r>
        <w:rPr>
          <w:rFonts w:hint="eastAsia" w:ascii="Times New Roman" w:hAnsi="Times New Roman" w:cs="Times New Roman"/>
          <w:b/>
          <w:color w:val="auto"/>
          <w:sz w:val="48"/>
          <w:highlight w:val="none"/>
          <w:lang w:eastAsia="zh-CN"/>
        </w:rPr>
        <w:t>佛山市高明区人民法院执行案件集约化送达服务项目</w:t>
      </w:r>
    </w:p>
    <w:p w14:paraId="28B5D61A">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b/>
          <w:color w:val="auto"/>
          <w:sz w:val="48"/>
          <w:highlight w:val="none"/>
        </w:rPr>
      </w:pPr>
    </w:p>
    <w:p w14:paraId="1FABD922">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b/>
          <w:color w:val="auto"/>
          <w:sz w:val="48"/>
          <w:highlight w:val="none"/>
          <w:lang w:eastAsia="zh-CN"/>
        </w:rPr>
      </w:pPr>
      <w:r>
        <w:rPr>
          <w:rFonts w:hint="default" w:ascii="Times New Roman" w:hAnsi="Times New Roman" w:cs="Times New Roman" w:eastAsiaTheme="minorEastAsia"/>
          <w:b/>
          <w:color w:val="auto"/>
          <w:sz w:val="48"/>
          <w:highlight w:val="none"/>
        </w:rPr>
        <w:t>竞 争 性 磋 商 文 件</w:t>
      </w:r>
    </w:p>
    <w:p w14:paraId="2D3FAA9A">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b/>
          <w:color w:val="auto"/>
          <w:sz w:val="48"/>
          <w:highlight w:val="none"/>
          <w:lang w:eastAsia="zh-CN"/>
        </w:rPr>
      </w:pPr>
    </w:p>
    <w:p w14:paraId="752A2D9D">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color w:val="auto"/>
          <w:highlight w:val="none"/>
          <w:lang w:eastAsia="zh-CN"/>
        </w:rPr>
      </w:pPr>
    </w:p>
    <w:p w14:paraId="1B0DEFAD">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color w:val="auto"/>
          <w:highlight w:val="none"/>
          <w:lang w:eastAsia="zh-CN"/>
        </w:rPr>
      </w:pPr>
    </w:p>
    <w:p w14:paraId="7E9D384E">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color w:val="auto"/>
          <w:highlight w:val="none"/>
          <w:lang w:eastAsia="zh-CN"/>
        </w:rPr>
      </w:pPr>
    </w:p>
    <w:p w14:paraId="2CFD8A2C">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color w:val="auto"/>
          <w:highlight w:val="none"/>
          <w:lang w:eastAsia="zh-CN"/>
        </w:rPr>
      </w:pPr>
    </w:p>
    <w:p w14:paraId="41FFF114">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color w:val="auto"/>
          <w:highlight w:val="none"/>
          <w:lang w:eastAsia="zh-CN"/>
        </w:rPr>
      </w:pPr>
    </w:p>
    <w:p w14:paraId="4873728E">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color w:val="auto"/>
          <w:highlight w:val="none"/>
          <w:lang w:eastAsia="zh-CN"/>
        </w:rPr>
      </w:pPr>
    </w:p>
    <w:p w14:paraId="280DBAC9">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color w:val="auto"/>
          <w:highlight w:val="none"/>
          <w:lang w:eastAsia="zh-CN"/>
        </w:rPr>
      </w:pPr>
    </w:p>
    <w:p w14:paraId="22B1AA49">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color w:val="auto"/>
          <w:highlight w:val="none"/>
          <w:lang w:eastAsia="zh-CN"/>
        </w:rPr>
      </w:pPr>
    </w:p>
    <w:p w14:paraId="303752AB">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color w:val="auto"/>
          <w:highlight w:val="none"/>
          <w:lang w:eastAsia="zh-CN"/>
        </w:rPr>
      </w:pPr>
    </w:p>
    <w:p w14:paraId="7288EAA6">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color w:val="auto"/>
          <w:highlight w:val="none"/>
          <w:lang w:eastAsia="zh-CN"/>
        </w:rPr>
      </w:pPr>
    </w:p>
    <w:p w14:paraId="6DDE5E66">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color w:val="auto"/>
          <w:highlight w:val="none"/>
          <w:lang w:eastAsia="zh-CN"/>
        </w:rPr>
      </w:pPr>
    </w:p>
    <w:p w14:paraId="718F3633">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color w:val="auto"/>
          <w:highlight w:val="none"/>
          <w:lang w:eastAsia="zh-CN"/>
        </w:rPr>
      </w:pPr>
    </w:p>
    <w:p w14:paraId="4D56459A">
      <w:pPr>
        <w:pStyle w:val="21"/>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color w:val="auto"/>
          <w:highlight w:val="none"/>
          <w:lang w:eastAsia="zh-CN"/>
        </w:rPr>
      </w:pPr>
    </w:p>
    <w:p w14:paraId="5D82451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outlineLvl w:val="9"/>
        <w:rPr>
          <w:rFonts w:hint="default" w:ascii="Times New Roman" w:hAnsi="Times New Roman" w:cs="Times New Roman" w:eastAsiaTheme="minorEastAsia"/>
          <w:color w:val="auto"/>
          <w:highlight w:val="none"/>
          <w:lang w:eastAsia="zh-CN"/>
        </w:rPr>
      </w:pPr>
    </w:p>
    <w:p w14:paraId="45CD61D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outlineLvl w:val="9"/>
        <w:rPr>
          <w:rFonts w:hint="default" w:ascii="Times New Roman" w:hAnsi="Times New Roman" w:cs="Times New Roman" w:eastAsiaTheme="minorEastAsia"/>
          <w:color w:val="auto"/>
          <w:highlight w:val="none"/>
        </w:rPr>
      </w:pPr>
    </w:p>
    <w:p w14:paraId="24BAF70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outlineLvl w:val="0"/>
        <w:rPr>
          <w:rFonts w:hint="default" w:ascii="Times New Roman" w:hAnsi="Times New Roman" w:cs="Times New Roman" w:eastAsiaTheme="minorEastAsia"/>
          <w:color w:val="auto"/>
          <w:sz w:val="28"/>
          <w:szCs w:val="28"/>
          <w:highlight w:val="none"/>
          <w:lang w:eastAsia="zh-CN"/>
        </w:rPr>
      </w:pPr>
      <w:bookmarkStart w:id="0" w:name="_Toc21600"/>
      <w:bookmarkStart w:id="1" w:name="_Toc6693"/>
      <w:r>
        <w:rPr>
          <w:rFonts w:hint="default" w:ascii="Times New Roman" w:hAnsi="Times New Roman" w:cs="Times New Roman" w:eastAsiaTheme="minorEastAsia"/>
          <w:b/>
          <w:color w:val="auto"/>
          <w:sz w:val="28"/>
          <w:szCs w:val="28"/>
          <w:highlight w:val="none"/>
        </w:rPr>
        <w:t>采购项目编号：</w:t>
      </w:r>
      <w:bookmarkEnd w:id="0"/>
      <w:bookmarkEnd w:id="1"/>
      <w:r>
        <w:rPr>
          <w:rFonts w:hint="eastAsia" w:ascii="Times New Roman" w:hAnsi="Times New Roman" w:cs="Times New Roman"/>
          <w:b/>
          <w:color w:val="auto"/>
          <w:sz w:val="28"/>
          <w:szCs w:val="28"/>
          <w:highlight w:val="none"/>
          <w:lang w:eastAsia="zh-CN"/>
        </w:rPr>
        <w:t>GDYD240563</w:t>
      </w:r>
    </w:p>
    <w:p w14:paraId="51732E0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outlineLvl w:val="0"/>
        <w:rPr>
          <w:rFonts w:hint="default" w:ascii="Times New Roman" w:hAnsi="Times New Roman" w:cs="Times New Roman" w:eastAsiaTheme="minorEastAsia"/>
          <w:color w:val="auto"/>
          <w:sz w:val="28"/>
          <w:szCs w:val="28"/>
          <w:highlight w:val="none"/>
          <w:lang w:eastAsia="zh-CN"/>
        </w:rPr>
      </w:pPr>
      <w:bookmarkStart w:id="2" w:name="_Toc9603"/>
      <w:bookmarkStart w:id="3" w:name="_Toc31591"/>
      <w:r>
        <w:rPr>
          <w:rFonts w:hint="default" w:ascii="Times New Roman" w:hAnsi="Times New Roman" w:cs="Times New Roman" w:eastAsiaTheme="minorEastAsia"/>
          <w:b/>
          <w:color w:val="auto"/>
          <w:sz w:val="28"/>
          <w:szCs w:val="28"/>
          <w:highlight w:val="none"/>
        </w:rPr>
        <w:t>采购人：</w:t>
      </w:r>
      <w:bookmarkEnd w:id="2"/>
      <w:bookmarkEnd w:id="3"/>
      <w:r>
        <w:rPr>
          <w:rFonts w:hint="eastAsia" w:ascii="Times New Roman" w:hAnsi="Times New Roman" w:cs="Times New Roman"/>
          <w:b/>
          <w:color w:val="auto"/>
          <w:sz w:val="28"/>
          <w:szCs w:val="28"/>
          <w:highlight w:val="none"/>
          <w:lang w:eastAsia="zh-CN"/>
        </w:rPr>
        <w:t>佛山市高明区人民法院</w:t>
      </w:r>
    </w:p>
    <w:p w14:paraId="30AE481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b/>
          <w:color w:val="auto"/>
          <w:sz w:val="28"/>
          <w:szCs w:val="28"/>
          <w:highlight w:val="none"/>
        </w:rPr>
        <w:t>采购代理机构：</w:t>
      </w:r>
      <w:r>
        <w:rPr>
          <w:rFonts w:hint="default" w:ascii="Times New Roman" w:hAnsi="Times New Roman" w:cs="Times New Roman" w:eastAsiaTheme="minorEastAsia"/>
          <w:b/>
          <w:color w:val="auto"/>
          <w:sz w:val="28"/>
          <w:szCs w:val="28"/>
          <w:highlight w:val="none"/>
          <w:lang w:eastAsia="zh-CN"/>
        </w:rPr>
        <w:t>广东远东招标代理有限公司</w:t>
      </w:r>
    </w:p>
    <w:p w14:paraId="5A516AC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outlineLvl w:val="0"/>
        <w:rPr>
          <w:rFonts w:hint="default" w:ascii="Times New Roman" w:hAnsi="Times New Roman" w:cs="Times New Roman" w:eastAsiaTheme="minorEastAsia"/>
          <w:b/>
          <w:color w:val="auto"/>
          <w:sz w:val="28"/>
          <w:szCs w:val="28"/>
          <w:highlight w:val="none"/>
          <w:lang w:val="en-US" w:eastAsia="zh-CN"/>
        </w:rPr>
      </w:pPr>
      <w:r>
        <w:rPr>
          <w:rFonts w:hint="eastAsia" w:ascii="Times New Roman" w:hAnsi="Times New Roman" w:cs="Times New Roman" w:eastAsiaTheme="minorEastAsia"/>
          <w:b/>
          <w:color w:val="auto"/>
          <w:sz w:val="28"/>
          <w:szCs w:val="28"/>
          <w:highlight w:val="none"/>
          <w:lang w:val="en-US" w:eastAsia="zh-CN"/>
        </w:rPr>
        <w:t>2024年</w:t>
      </w:r>
      <w:r>
        <w:rPr>
          <w:rFonts w:hint="eastAsia" w:ascii="Times New Roman" w:hAnsi="Times New Roman" w:cs="Times New Roman"/>
          <w:b/>
          <w:color w:val="auto"/>
          <w:sz w:val="28"/>
          <w:szCs w:val="28"/>
          <w:highlight w:val="none"/>
          <w:lang w:val="en-US" w:eastAsia="zh-CN"/>
        </w:rPr>
        <w:t>7</w:t>
      </w:r>
      <w:r>
        <w:rPr>
          <w:rFonts w:hint="eastAsia" w:ascii="Times New Roman" w:hAnsi="Times New Roman" w:cs="Times New Roman" w:eastAsiaTheme="minorEastAsia"/>
          <w:b/>
          <w:color w:val="auto"/>
          <w:sz w:val="28"/>
          <w:szCs w:val="28"/>
          <w:highlight w:val="none"/>
          <w:lang w:val="en-US" w:eastAsia="zh-CN"/>
        </w:rPr>
        <w:t>月</w:t>
      </w:r>
    </w:p>
    <w:p w14:paraId="16A447FC">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36"/>
          <w:highlight w:val="none"/>
        </w:rPr>
      </w:pPr>
      <w:r>
        <w:rPr>
          <w:rFonts w:hint="default" w:ascii="Times New Roman" w:hAnsi="Times New Roman" w:cs="Times New Roman" w:eastAsiaTheme="minorEastAsia"/>
          <w:b/>
          <w:color w:val="auto"/>
          <w:sz w:val="36"/>
          <w:highlight w:val="none"/>
        </w:rPr>
        <w:br w:type="page"/>
      </w:r>
    </w:p>
    <w:sdt>
      <w:sdtPr>
        <w:rPr>
          <w:rFonts w:hint="default" w:ascii="Times New Roman" w:hAnsi="Times New Roman" w:cs="Times New Roman" w:eastAsiaTheme="minorEastAsia"/>
          <w:b/>
          <w:bCs/>
          <w:color w:val="auto"/>
          <w:kern w:val="2"/>
          <w:sz w:val="21"/>
          <w:szCs w:val="24"/>
          <w:highlight w:val="none"/>
          <w:lang w:val="en-US" w:eastAsia="zh-CN" w:bidi="ar-SA"/>
        </w:rPr>
        <w:id w:val="147483314"/>
        <w15:color w:val="DBDBDB"/>
        <w:docPartObj>
          <w:docPartGallery w:val="Table of Contents"/>
          <w:docPartUnique/>
        </w:docPartObj>
      </w:sdtPr>
      <w:sdtEndPr>
        <w:rPr>
          <w:rFonts w:hint="default" w:ascii="Times New Roman" w:hAnsi="Times New Roman" w:cs="Times New Roman" w:eastAsiaTheme="minorEastAsia"/>
          <w:b/>
          <w:bCs/>
          <w:color w:val="auto"/>
          <w:kern w:val="2"/>
          <w:sz w:val="21"/>
          <w:szCs w:val="24"/>
          <w:highlight w:val="none"/>
          <w:lang w:val="en-US" w:eastAsia="zh-CN" w:bidi="ar-SA"/>
        </w:rPr>
      </w:sdtEndPr>
      <w:sdtContent>
        <w:p w14:paraId="064BAEBB">
          <w:pPr>
            <w:keepLines w:val="0"/>
            <w:kinsoku/>
            <w:wordWrap/>
            <w:overflowPunct/>
            <w:topLinePunct w:val="0"/>
            <w:bidi w:val="0"/>
            <w:spacing w:beforeAutospacing="0" w:afterAutospacing="0" w:line="440" w:lineRule="atLeast"/>
            <w:ind w:left="0" w:leftChars="0" w:right="0" w:rightChars="0" w:firstLine="0" w:firstLineChars="0"/>
            <w:jc w:val="center"/>
            <w:rPr>
              <w:rFonts w:hint="default" w:ascii="Times New Roman" w:hAnsi="Times New Roman" w:cs="Times New Roman" w:eastAsiaTheme="minorEastAsia"/>
              <w:b/>
              <w:bCs/>
              <w:color w:val="auto"/>
              <w:sz w:val="28"/>
              <w:szCs w:val="28"/>
              <w:highlight w:val="none"/>
            </w:rPr>
          </w:pPr>
          <w:r>
            <w:rPr>
              <w:rFonts w:hint="default" w:ascii="Times New Roman" w:hAnsi="Times New Roman" w:cs="Times New Roman" w:eastAsiaTheme="minorEastAsia"/>
              <w:b/>
              <w:bCs/>
              <w:color w:val="auto"/>
              <w:sz w:val="28"/>
              <w:szCs w:val="28"/>
              <w:highlight w:val="none"/>
            </w:rPr>
            <w:t>目</w:t>
          </w:r>
          <w:r>
            <w:rPr>
              <w:rFonts w:hint="eastAsia" w:ascii="Times New Roman" w:hAnsi="Times New Roman" w:cs="Times New Roman"/>
              <w:b/>
              <w:bCs/>
              <w:color w:val="auto"/>
              <w:sz w:val="28"/>
              <w:szCs w:val="28"/>
              <w:highlight w:val="none"/>
              <w:lang w:val="en-US" w:eastAsia="zh-CN"/>
            </w:rPr>
            <w:t xml:space="preserve"> </w:t>
          </w:r>
          <w:r>
            <w:rPr>
              <w:rFonts w:hint="default" w:ascii="Times New Roman" w:hAnsi="Times New Roman" w:cs="Times New Roman" w:eastAsiaTheme="minorEastAsia"/>
              <w:b/>
              <w:bCs/>
              <w:color w:val="auto"/>
              <w:sz w:val="28"/>
              <w:szCs w:val="28"/>
              <w:highlight w:val="none"/>
            </w:rPr>
            <w:t>录</w:t>
          </w:r>
        </w:p>
        <w:p w14:paraId="2AAB8596">
          <w:pPr>
            <w:pStyle w:val="13"/>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fldChar w:fldCharType="begin"/>
          </w:r>
          <w:r>
            <w:rPr>
              <w:rFonts w:hint="default" w:ascii="Times New Roman" w:hAnsi="Times New Roman" w:cs="Times New Roman" w:eastAsiaTheme="minorEastAsia"/>
              <w:color w:val="auto"/>
              <w:sz w:val="28"/>
              <w:szCs w:val="28"/>
              <w:highlight w:val="none"/>
            </w:rPr>
            <w:instrText xml:space="preserve">TOC \o "1-2" \h \u </w:instrText>
          </w:r>
          <w:r>
            <w:rPr>
              <w:rFonts w:hint="default" w:ascii="Times New Roman" w:hAnsi="Times New Roman" w:cs="Times New Roman" w:eastAsiaTheme="minorEastAsia"/>
              <w:color w:val="auto"/>
              <w:sz w:val="28"/>
              <w:szCs w:val="28"/>
              <w:highlight w:val="none"/>
            </w:rPr>
            <w:fldChar w:fldCharType="separate"/>
          </w:r>
        </w:p>
        <w:p w14:paraId="7193ACF2">
          <w:pPr>
            <w:pStyle w:val="13"/>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fldChar w:fldCharType="begin"/>
          </w:r>
          <w:r>
            <w:rPr>
              <w:rFonts w:hint="default" w:ascii="Times New Roman" w:hAnsi="Times New Roman" w:cs="Times New Roman" w:eastAsiaTheme="minorEastAsia"/>
              <w:b/>
              <w:bCs/>
              <w:color w:val="auto"/>
              <w:sz w:val="21"/>
              <w:szCs w:val="21"/>
              <w:highlight w:val="none"/>
            </w:rPr>
            <w:instrText xml:space="preserve"> HYPERLINK \l _Toc22053 </w:instrText>
          </w:r>
          <w:r>
            <w:rPr>
              <w:rFonts w:hint="default" w:ascii="Times New Roman" w:hAnsi="Times New Roman" w:cs="Times New Roman" w:eastAsiaTheme="minorEastAsia"/>
              <w:b/>
              <w:bCs/>
              <w:color w:val="auto"/>
              <w:sz w:val="21"/>
              <w:szCs w:val="21"/>
              <w:highlight w:val="none"/>
            </w:rPr>
            <w:fldChar w:fldCharType="separate"/>
          </w:r>
          <w:r>
            <w:rPr>
              <w:rFonts w:hint="default" w:ascii="Times New Roman" w:hAnsi="Times New Roman" w:cs="Times New Roman" w:eastAsiaTheme="minorEastAsia"/>
              <w:b/>
              <w:bCs/>
              <w:color w:val="auto"/>
              <w:sz w:val="21"/>
              <w:szCs w:val="21"/>
              <w:highlight w:val="none"/>
            </w:rPr>
            <w:t>第一</w:t>
          </w:r>
          <w:r>
            <w:rPr>
              <w:rFonts w:hint="default" w:ascii="Times New Roman" w:hAnsi="Times New Roman" w:cs="Times New Roman" w:eastAsiaTheme="minorEastAsia"/>
              <w:b/>
              <w:bCs/>
              <w:color w:val="auto"/>
              <w:sz w:val="21"/>
              <w:szCs w:val="21"/>
              <w:highlight w:val="none"/>
              <w:lang w:eastAsia="zh-CN"/>
            </w:rPr>
            <w:t>部分</w:t>
          </w:r>
          <w:r>
            <w:rPr>
              <w:rFonts w:hint="default" w:ascii="Times New Roman" w:hAnsi="Times New Roman" w:cs="Times New Roman" w:eastAsiaTheme="minorEastAsia"/>
              <w:b/>
              <w:bCs/>
              <w:color w:val="auto"/>
              <w:sz w:val="21"/>
              <w:szCs w:val="21"/>
              <w:highlight w:val="none"/>
            </w:rPr>
            <w:t xml:space="preserve"> 磋商邀请</w:t>
          </w:r>
          <w:r>
            <w:rPr>
              <w:rFonts w:hint="default" w:ascii="Times New Roman" w:hAnsi="Times New Roman" w:cs="Times New Roman" w:eastAsiaTheme="minorEastAsia"/>
              <w:b/>
              <w:bCs/>
              <w:color w:val="auto"/>
              <w:sz w:val="21"/>
              <w:szCs w:val="21"/>
              <w:highlight w:val="none"/>
            </w:rPr>
            <w:tab/>
          </w:r>
          <w:r>
            <w:rPr>
              <w:rFonts w:hint="default" w:ascii="Times New Roman" w:hAnsi="Times New Roman" w:cs="Times New Roman" w:eastAsiaTheme="minorEastAsia"/>
              <w:b/>
              <w:bCs/>
              <w:color w:val="auto"/>
              <w:sz w:val="21"/>
              <w:szCs w:val="21"/>
              <w:highlight w:val="none"/>
            </w:rPr>
            <w:fldChar w:fldCharType="begin"/>
          </w:r>
          <w:r>
            <w:rPr>
              <w:rFonts w:hint="default" w:ascii="Times New Roman" w:hAnsi="Times New Roman" w:cs="Times New Roman" w:eastAsiaTheme="minorEastAsia"/>
              <w:b/>
              <w:bCs/>
              <w:color w:val="auto"/>
              <w:sz w:val="21"/>
              <w:szCs w:val="21"/>
              <w:highlight w:val="none"/>
            </w:rPr>
            <w:instrText xml:space="preserve"> PAGEREF _Toc22053 \h </w:instrText>
          </w:r>
          <w:r>
            <w:rPr>
              <w:rFonts w:hint="default" w:ascii="Times New Roman" w:hAnsi="Times New Roman" w:cs="Times New Roman" w:eastAsiaTheme="minorEastAsia"/>
              <w:b/>
              <w:bCs/>
              <w:color w:val="auto"/>
              <w:sz w:val="21"/>
              <w:szCs w:val="21"/>
              <w:highlight w:val="none"/>
            </w:rPr>
            <w:fldChar w:fldCharType="separate"/>
          </w:r>
          <w:r>
            <w:rPr>
              <w:rFonts w:hint="default" w:ascii="Times New Roman" w:hAnsi="Times New Roman" w:cs="Times New Roman" w:eastAsiaTheme="minorEastAsia"/>
              <w:b/>
              <w:bCs/>
              <w:color w:val="auto"/>
              <w:sz w:val="21"/>
              <w:szCs w:val="21"/>
              <w:highlight w:val="none"/>
            </w:rPr>
            <w:t>3</w:t>
          </w:r>
          <w:r>
            <w:rPr>
              <w:rFonts w:hint="default" w:ascii="Times New Roman" w:hAnsi="Times New Roman" w:cs="Times New Roman" w:eastAsiaTheme="minorEastAsia"/>
              <w:b/>
              <w:bCs/>
              <w:color w:val="auto"/>
              <w:sz w:val="21"/>
              <w:szCs w:val="21"/>
              <w:highlight w:val="none"/>
            </w:rPr>
            <w:fldChar w:fldCharType="end"/>
          </w:r>
          <w:r>
            <w:rPr>
              <w:rFonts w:hint="default" w:ascii="Times New Roman" w:hAnsi="Times New Roman" w:cs="Times New Roman" w:eastAsiaTheme="minorEastAsia"/>
              <w:b/>
              <w:bCs/>
              <w:color w:val="auto"/>
              <w:sz w:val="21"/>
              <w:szCs w:val="21"/>
              <w:highlight w:val="none"/>
            </w:rPr>
            <w:fldChar w:fldCharType="end"/>
          </w:r>
        </w:p>
        <w:p w14:paraId="34D0D119">
          <w:pPr>
            <w:pStyle w:val="13"/>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fldChar w:fldCharType="begin"/>
          </w:r>
          <w:r>
            <w:rPr>
              <w:rFonts w:hint="default" w:ascii="Times New Roman" w:hAnsi="Times New Roman" w:cs="Times New Roman" w:eastAsiaTheme="minorEastAsia"/>
              <w:b/>
              <w:bCs/>
              <w:color w:val="auto"/>
              <w:sz w:val="21"/>
              <w:szCs w:val="21"/>
              <w:highlight w:val="none"/>
            </w:rPr>
            <w:instrText xml:space="preserve"> HYPERLINK \l _Toc32673 </w:instrText>
          </w:r>
          <w:r>
            <w:rPr>
              <w:rFonts w:hint="default" w:ascii="Times New Roman" w:hAnsi="Times New Roman" w:cs="Times New Roman" w:eastAsiaTheme="minorEastAsia"/>
              <w:b/>
              <w:bCs/>
              <w:color w:val="auto"/>
              <w:sz w:val="21"/>
              <w:szCs w:val="21"/>
              <w:highlight w:val="none"/>
            </w:rPr>
            <w:fldChar w:fldCharType="separate"/>
          </w:r>
          <w:r>
            <w:rPr>
              <w:rFonts w:hint="default" w:ascii="Times New Roman" w:hAnsi="Times New Roman" w:cs="Times New Roman" w:eastAsiaTheme="minorEastAsia"/>
              <w:b/>
              <w:bCs/>
              <w:color w:val="auto"/>
              <w:sz w:val="21"/>
              <w:szCs w:val="21"/>
              <w:highlight w:val="none"/>
            </w:rPr>
            <w:t>第二</w:t>
          </w:r>
          <w:r>
            <w:rPr>
              <w:rFonts w:hint="default" w:ascii="Times New Roman" w:hAnsi="Times New Roman" w:cs="Times New Roman" w:eastAsiaTheme="minorEastAsia"/>
              <w:b/>
              <w:bCs/>
              <w:color w:val="auto"/>
              <w:sz w:val="21"/>
              <w:szCs w:val="21"/>
              <w:highlight w:val="none"/>
              <w:lang w:eastAsia="zh-CN"/>
            </w:rPr>
            <w:t>部分</w:t>
          </w:r>
          <w:r>
            <w:rPr>
              <w:rFonts w:hint="default" w:ascii="Times New Roman" w:hAnsi="Times New Roman" w:cs="Times New Roman" w:eastAsiaTheme="minorEastAsia"/>
              <w:b/>
              <w:bCs/>
              <w:color w:val="auto"/>
              <w:sz w:val="21"/>
              <w:szCs w:val="21"/>
              <w:highlight w:val="none"/>
            </w:rPr>
            <w:t xml:space="preserve"> 采购需求</w:t>
          </w:r>
          <w:r>
            <w:rPr>
              <w:rFonts w:hint="default" w:ascii="Times New Roman" w:hAnsi="Times New Roman" w:cs="Times New Roman" w:eastAsiaTheme="minorEastAsia"/>
              <w:b/>
              <w:bCs/>
              <w:color w:val="auto"/>
              <w:sz w:val="21"/>
              <w:szCs w:val="21"/>
              <w:highlight w:val="none"/>
            </w:rPr>
            <w:tab/>
          </w:r>
          <w:r>
            <w:rPr>
              <w:rFonts w:hint="default" w:ascii="Times New Roman" w:hAnsi="Times New Roman" w:cs="Times New Roman" w:eastAsiaTheme="minorEastAsia"/>
              <w:b/>
              <w:bCs/>
              <w:color w:val="auto"/>
              <w:sz w:val="21"/>
              <w:szCs w:val="21"/>
              <w:highlight w:val="none"/>
            </w:rPr>
            <w:fldChar w:fldCharType="begin"/>
          </w:r>
          <w:r>
            <w:rPr>
              <w:rFonts w:hint="default" w:ascii="Times New Roman" w:hAnsi="Times New Roman" w:cs="Times New Roman" w:eastAsiaTheme="minorEastAsia"/>
              <w:b/>
              <w:bCs/>
              <w:color w:val="auto"/>
              <w:sz w:val="21"/>
              <w:szCs w:val="21"/>
              <w:highlight w:val="none"/>
            </w:rPr>
            <w:instrText xml:space="preserve"> PAGEREF _Toc32673 \h </w:instrText>
          </w:r>
          <w:r>
            <w:rPr>
              <w:rFonts w:hint="default" w:ascii="Times New Roman" w:hAnsi="Times New Roman" w:cs="Times New Roman" w:eastAsiaTheme="minorEastAsia"/>
              <w:b/>
              <w:bCs/>
              <w:color w:val="auto"/>
              <w:sz w:val="21"/>
              <w:szCs w:val="21"/>
              <w:highlight w:val="none"/>
            </w:rPr>
            <w:fldChar w:fldCharType="separate"/>
          </w:r>
          <w:r>
            <w:rPr>
              <w:rFonts w:hint="default" w:ascii="Times New Roman" w:hAnsi="Times New Roman" w:cs="Times New Roman" w:eastAsiaTheme="minorEastAsia"/>
              <w:b/>
              <w:bCs/>
              <w:color w:val="auto"/>
              <w:sz w:val="21"/>
              <w:szCs w:val="21"/>
              <w:highlight w:val="none"/>
            </w:rPr>
            <w:t>6</w:t>
          </w:r>
          <w:r>
            <w:rPr>
              <w:rFonts w:hint="default" w:ascii="Times New Roman" w:hAnsi="Times New Roman" w:cs="Times New Roman" w:eastAsiaTheme="minorEastAsia"/>
              <w:b/>
              <w:bCs/>
              <w:color w:val="auto"/>
              <w:sz w:val="21"/>
              <w:szCs w:val="21"/>
              <w:highlight w:val="none"/>
            </w:rPr>
            <w:fldChar w:fldCharType="end"/>
          </w:r>
          <w:r>
            <w:rPr>
              <w:rFonts w:hint="default" w:ascii="Times New Roman" w:hAnsi="Times New Roman" w:cs="Times New Roman" w:eastAsiaTheme="minorEastAsia"/>
              <w:b/>
              <w:bCs/>
              <w:color w:val="auto"/>
              <w:sz w:val="21"/>
              <w:szCs w:val="21"/>
              <w:highlight w:val="none"/>
            </w:rPr>
            <w:fldChar w:fldCharType="end"/>
          </w:r>
        </w:p>
        <w:p w14:paraId="7A731F5E">
          <w:pPr>
            <w:pStyle w:val="14"/>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_Toc3325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1.主要商务要求</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_Toc3325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6</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62BC79E7">
          <w:pPr>
            <w:pStyle w:val="14"/>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_Toc4684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2.技术标准与要求</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_Toc4684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9</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336F5FCB">
          <w:pPr>
            <w:pStyle w:val="13"/>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fldChar w:fldCharType="begin"/>
          </w:r>
          <w:r>
            <w:rPr>
              <w:rFonts w:hint="default" w:ascii="Times New Roman" w:hAnsi="Times New Roman" w:cs="Times New Roman" w:eastAsiaTheme="minorEastAsia"/>
              <w:b/>
              <w:bCs/>
              <w:color w:val="auto"/>
              <w:sz w:val="21"/>
              <w:szCs w:val="21"/>
              <w:highlight w:val="none"/>
            </w:rPr>
            <w:instrText xml:space="preserve"> HYPERLINK \l _Toc24412 </w:instrText>
          </w:r>
          <w:r>
            <w:rPr>
              <w:rFonts w:hint="default" w:ascii="Times New Roman" w:hAnsi="Times New Roman" w:cs="Times New Roman" w:eastAsiaTheme="minorEastAsia"/>
              <w:b/>
              <w:bCs/>
              <w:color w:val="auto"/>
              <w:sz w:val="21"/>
              <w:szCs w:val="21"/>
              <w:highlight w:val="none"/>
            </w:rPr>
            <w:fldChar w:fldCharType="separate"/>
          </w:r>
          <w:r>
            <w:rPr>
              <w:rFonts w:hint="default" w:ascii="Times New Roman" w:hAnsi="Times New Roman" w:cs="Times New Roman" w:eastAsiaTheme="minorEastAsia"/>
              <w:b/>
              <w:bCs/>
              <w:color w:val="auto"/>
              <w:sz w:val="21"/>
              <w:szCs w:val="21"/>
              <w:highlight w:val="none"/>
            </w:rPr>
            <w:t>第三</w:t>
          </w:r>
          <w:r>
            <w:rPr>
              <w:rFonts w:hint="default" w:ascii="Times New Roman" w:hAnsi="Times New Roman" w:cs="Times New Roman" w:eastAsiaTheme="minorEastAsia"/>
              <w:b/>
              <w:bCs/>
              <w:color w:val="auto"/>
              <w:sz w:val="21"/>
              <w:szCs w:val="21"/>
              <w:highlight w:val="none"/>
              <w:lang w:eastAsia="zh-CN"/>
            </w:rPr>
            <w:t>部分</w:t>
          </w:r>
          <w:r>
            <w:rPr>
              <w:rFonts w:hint="default" w:ascii="Times New Roman" w:hAnsi="Times New Roman" w:cs="Times New Roman" w:eastAsiaTheme="minorEastAsia"/>
              <w:b/>
              <w:bCs/>
              <w:color w:val="auto"/>
              <w:sz w:val="21"/>
              <w:szCs w:val="21"/>
              <w:highlight w:val="none"/>
            </w:rPr>
            <w:t xml:space="preserve"> 供应商须知</w:t>
          </w:r>
          <w:r>
            <w:rPr>
              <w:rFonts w:hint="default" w:ascii="Times New Roman" w:hAnsi="Times New Roman" w:cs="Times New Roman" w:eastAsiaTheme="minorEastAsia"/>
              <w:b/>
              <w:bCs/>
              <w:color w:val="auto"/>
              <w:sz w:val="21"/>
              <w:szCs w:val="21"/>
              <w:highlight w:val="none"/>
            </w:rPr>
            <w:tab/>
          </w:r>
          <w:r>
            <w:rPr>
              <w:rFonts w:hint="default" w:ascii="Times New Roman" w:hAnsi="Times New Roman" w:cs="Times New Roman" w:eastAsiaTheme="minorEastAsia"/>
              <w:b/>
              <w:bCs/>
              <w:color w:val="auto"/>
              <w:sz w:val="21"/>
              <w:szCs w:val="21"/>
              <w:highlight w:val="none"/>
            </w:rPr>
            <w:fldChar w:fldCharType="begin"/>
          </w:r>
          <w:r>
            <w:rPr>
              <w:rFonts w:hint="default" w:ascii="Times New Roman" w:hAnsi="Times New Roman" w:cs="Times New Roman" w:eastAsiaTheme="minorEastAsia"/>
              <w:b/>
              <w:bCs/>
              <w:color w:val="auto"/>
              <w:sz w:val="21"/>
              <w:szCs w:val="21"/>
              <w:highlight w:val="none"/>
            </w:rPr>
            <w:instrText xml:space="preserve"> PAGEREF _Toc24412 \h </w:instrText>
          </w:r>
          <w:r>
            <w:rPr>
              <w:rFonts w:hint="default" w:ascii="Times New Roman" w:hAnsi="Times New Roman" w:cs="Times New Roman" w:eastAsiaTheme="minorEastAsia"/>
              <w:b/>
              <w:bCs/>
              <w:color w:val="auto"/>
              <w:sz w:val="21"/>
              <w:szCs w:val="21"/>
              <w:highlight w:val="none"/>
            </w:rPr>
            <w:fldChar w:fldCharType="separate"/>
          </w:r>
          <w:r>
            <w:rPr>
              <w:rFonts w:hint="default" w:ascii="Times New Roman" w:hAnsi="Times New Roman" w:cs="Times New Roman" w:eastAsiaTheme="minorEastAsia"/>
              <w:b/>
              <w:bCs/>
              <w:color w:val="auto"/>
              <w:sz w:val="21"/>
              <w:szCs w:val="21"/>
              <w:highlight w:val="none"/>
            </w:rPr>
            <w:t>16</w:t>
          </w:r>
          <w:r>
            <w:rPr>
              <w:rFonts w:hint="default" w:ascii="Times New Roman" w:hAnsi="Times New Roman" w:cs="Times New Roman" w:eastAsiaTheme="minorEastAsia"/>
              <w:b/>
              <w:bCs/>
              <w:color w:val="auto"/>
              <w:sz w:val="21"/>
              <w:szCs w:val="21"/>
              <w:highlight w:val="none"/>
            </w:rPr>
            <w:fldChar w:fldCharType="end"/>
          </w:r>
          <w:r>
            <w:rPr>
              <w:rFonts w:hint="default" w:ascii="Times New Roman" w:hAnsi="Times New Roman" w:cs="Times New Roman" w:eastAsiaTheme="minorEastAsia"/>
              <w:b/>
              <w:bCs/>
              <w:color w:val="auto"/>
              <w:sz w:val="21"/>
              <w:szCs w:val="21"/>
              <w:highlight w:val="none"/>
            </w:rPr>
            <w:fldChar w:fldCharType="end"/>
          </w:r>
        </w:p>
        <w:p w14:paraId="24F6F409">
          <w:pPr>
            <w:pStyle w:val="14"/>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_Toc23160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一、名词解释</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_Toc23160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16</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286232CE">
          <w:pPr>
            <w:pStyle w:val="14"/>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_Toc15214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二、须知前附表</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_Toc15214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17</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3128F0F7">
          <w:pPr>
            <w:pStyle w:val="14"/>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_Toc30236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三、说明</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_Toc30236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18</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1D33EA9B">
          <w:pPr>
            <w:pStyle w:val="14"/>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_Toc28688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四、磋商文件的澄清和修改</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_Toc28688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20</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3F2B6617">
          <w:pPr>
            <w:pStyle w:val="14"/>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_Toc31787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五、响应要求</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_Toc31787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21</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2D192AFE">
          <w:pPr>
            <w:pStyle w:val="14"/>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_Toc16931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六、磋商、评审和结果确定</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_Toc16931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23</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0134BF2B">
          <w:pPr>
            <w:pStyle w:val="14"/>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_Toc26837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七、询问、质疑与投诉</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_Toc26837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23</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6D06F4AD">
          <w:pPr>
            <w:pStyle w:val="14"/>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_Toc9375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八、合同签订和履行</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_Toc9375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24</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4B86D199">
          <w:pPr>
            <w:pStyle w:val="13"/>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fldChar w:fldCharType="begin"/>
          </w:r>
          <w:r>
            <w:rPr>
              <w:rFonts w:hint="default" w:ascii="Times New Roman" w:hAnsi="Times New Roman" w:cs="Times New Roman" w:eastAsiaTheme="minorEastAsia"/>
              <w:b/>
              <w:bCs/>
              <w:color w:val="auto"/>
              <w:sz w:val="21"/>
              <w:szCs w:val="21"/>
              <w:highlight w:val="none"/>
            </w:rPr>
            <w:instrText xml:space="preserve"> HYPERLINK \l _Toc21650 </w:instrText>
          </w:r>
          <w:r>
            <w:rPr>
              <w:rFonts w:hint="default" w:ascii="Times New Roman" w:hAnsi="Times New Roman" w:cs="Times New Roman" w:eastAsiaTheme="minorEastAsia"/>
              <w:b/>
              <w:bCs/>
              <w:color w:val="auto"/>
              <w:sz w:val="21"/>
              <w:szCs w:val="21"/>
              <w:highlight w:val="none"/>
            </w:rPr>
            <w:fldChar w:fldCharType="separate"/>
          </w:r>
          <w:r>
            <w:rPr>
              <w:rFonts w:hint="default" w:ascii="Times New Roman" w:hAnsi="Times New Roman" w:cs="Times New Roman" w:eastAsiaTheme="minorEastAsia"/>
              <w:b/>
              <w:bCs/>
              <w:color w:val="auto"/>
              <w:sz w:val="21"/>
              <w:szCs w:val="21"/>
              <w:highlight w:val="none"/>
            </w:rPr>
            <w:t>第四</w:t>
          </w:r>
          <w:r>
            <w:rPr>
              <w:rFonts w:hint="default" w:ascii="Times New Roman" w:hAnsi="Times New Roman" w:cs="Times New Roman" w:eastAsiaTheme="minorEastAsia"/>
              <w:b/>
              <w:bCs/>
              <w:color w:val="auto"/>
              <w:sz w:val="21"/>
              <w:szCs w:val="21"/>
              <w:highlight w:val="none"/>
              <w:lang w:eastAsia="zh-CN"/>
            </w:rPr>
            <w:t>部分</w:t>
          </w:r>
          <w:r>
            <w:rPr>
              <w:rFonts w:hint="default" w:ascii="Times New Roman" w:hAnsi="Times New Roman" w:cs="Times New Roman" w:eastAsiaTheme="minorEastAsia"/>
              <w:b/>
              <w:bCs/>
              <w:color w:val="auto"/>
              <w:sz w:val="21"/>
              <w:szCs w:val="21"/>
              <w:highlight w:val="none"/>
            </w:rPr>
            <w:t xml:space="preserve"> 评审</w:t>
          </w:r>
          <w:r>
            <w:rPr>
              <w:rFonts w:hint="default" w:ascii="Times New Roman" w:hAnsi="Times New Roman" w:cs="Times New Roman" w:eastAsiaTheme="minorEastAsia"/>
              <w:b/>
              <w:bCs/>
              <w:color w:val="auto"/>
              <w:sz w:val="21"/>
              <w:szCs w:val="21"/>
              <w:highlight w:val="none"/>
            </w:rPr>
            <w:tab/>
          </w:r>
          <w:r>
            <w:rPr>
              <w:rFonts w:hint="default" w:ascii="Times New Roman" w:hAnsi="Times New Roman" w:cs="Times New Roman" w:eastAsiaTheme="minorEastAsia"/>
              <w:b/>
              <w:bCs/>
              <w:color w:val="auto"/>
              <w:sz w:val="21"/>
              <w:szCs w:val="21"/>
              <w:highlight w:val="none"/>
            </w:rPr>
            <w:fldChar w:fldCharType="begin"/>
          </w:r>
          <w:r>
            <w:rPr>
              <w:rFonts w:hint="default" w:ascii="Times New Roman" w:hAnsi="Times New Roman" w:cs="Times New Roman" w:eastAsiaTheme="minorEastAsia"/>
              <w:b/>
              <w:bCs/>
              <w:color w:val="auto"/>
              <w:sz w:val="21"/>
              <w:szCs w:val="21"/>
              <w:highlight w:val="none"/>
            </w:rPr>
            <w:instrText xml:space="preserve"> PAGEREF _Toc21650 \h </w:instrText>
          </w:r>
          <w:r>
            <w:rPr>
              <w:rFonts w:hint="default" w:ascii="Times New Roman" w:hAnsi="Times New Roman" w:cs="Times New Roman" w:eastAsiaTheme="minorEastAsia"/>
              <w:b/>
              <w:bCs/>
              <w:color w:val="auto"/>
              <w:sz w:val="21"/>
              <w:szCs w:val="21"/>
              <w:highlight w:val="none"/>
            </w:rPr>
            <w:fldChar w:fldCharType="separate"/>
          </w:r>
          <w:r>
            <w:rPr>
              <w:rFonts w:hint="default" w:ascii="Times New Roman" w:hAnsi="Times New Roman" w:cs="Times New Roman" w:eastAsiaTheme="minorEastAsia"/>
              <w:b/>
              <w:bCs/>
              <w:color w:val="auto"/>
              <w:sz w:val="21"/>
              <w:szCs w:val="21"/>
              <w:highlight w:val="none"/>
            </w:rPr>
            <w:t>26</w:t>
          </w:r>
          <w:r>
            <w:rPr>
              <w:rFonts w:hint="default" w:ascii="Times New Roman" w:hAnsi="Times New Roman" w:cs="Times New Roman" w:eastAsiaTheme="minorEastAsia"/>
              <w:b/>
              <w:bCs/>
              <w:color w:val="auto"/>
              <w:sz w:val="21"/>
              <w:szCs w:val="21"/>
              <w:highlight w:val="none"/>
            </w:rPr>
            <w:fldChar w:fldCharType="end"/>
          </w:r>
          <w:r>
            <w:rPr>
              <w:rFonts w:hint="default" w:ascii="Times New Roman" w:hAnsi="Times New Roman" w:cs="Times New Roman" w:eastAsiaTheme="minorEastAsia"/>
              <w:b/>
              <w:bCs/>
              <w:color w:val="auto"/>
              <w:sz w:val="21"/>
              <w:szCs w:val="21"/>
              <w:highlight w:val="none"/>
            </w:rPr>
            <w:fldChar w:fldCharType="end"/>
          </w:r>
        </w:p>
        <w:p w14:paraId="2FC4E2D8">
          <w:pPr>
            <w:pStyle w:val="14"/>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_Toc504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一、评审要求</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_Toc504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26</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5E664D67">
          <w:pPr>
            <w:pStyle w:val="14"/>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_Toc19574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二</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政府采购政策落实</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_Toc19574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28</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4231E4BE">
          <w:pPr>
            <w:pStyle w:val="14"/>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_Toc5531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三、评审程序</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_Toc5531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29</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75152665">
          <w:pPr>
            <w:pStyle w:val="13"/>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fldChar w:fldCharType="begin"/>
          </w:r>
          <w:r>
            <w:rPr>
              <w:rFonts w:hint="default" w:ascii="Times New Roman" w:hAnsi="Times New Roman" w:cs="Times New Roman" w:eastAsiaTheme="minorEastAsia"/>
              <w:b/>
              <w:bCs/>
              <w:color w:val="auto"/>
              <w:sz w:val="21"/>
              <w:szCs w:val="21"/>
              <w:highlight w:val="none"/>
            </w:rPr>
            <w:instrText xml:space="preserve"> HYPERLINK \l _Toc7743 </w:instrText>
          </w:r>
          <w:r>
            <w:rPr>
              <w:rFonts w:hint="default" w:ascii="Times New Roman" w:hAnsi="Times New Roman" w:cs="Times New Roman" w:eastAsiaTheme="minorEastAsia"/>
              <w:b/>
              <w:bCs/>
              <w:color w:val="auto"/>
              <w:sz w:val="21"/>
              <w:szCs w:val="21"/>
              <w:highlight w:val="none"/>
            </w:rPr>
            <w:fldChar w:fldCharType="separate"/>
          </w:r>
          <w:r>
            <w:rPr>
              <w:rFonts w:hint="default" w:ascii="Times New Roman" w:hAnsi="Times New Roman" w:cs="Times New Roman" w:eastAsiaTheme="minorEastAsia"/>
              <w:b/>
              <w:bCs/>
              <w:color w:val="auto"/>
              <w:sz w:val="21"/>
              <w:szCs w:val="21"/>
              <w:highlight w:val="none"/>
              <w:lang w:val="en-US" w:eastAsia="zh-Hans"/>
            </w:rPr>
            <w:t>第五部分</w:t>
          </w:r>
          <w:r>
            <w:rPr>
              <w:rFonts w:hint="default" w:ascii="Times New Roman" w:hAnsi="Times New Roman" w:cs="Times New Roman" w:eastAsiaTheme="minorEastAsia"/>
              <w:b/>
              <w:bCs/>
              <w:color w:val="auto"/>
              <w:sz w:val="21"/>
              <w:szCs w:val="21"/>
              <w:highlight w:val="none"/>
              <w:lang w:val="en-US" w:eastAsia="zh-CN"/>
            </w:rPr>
            <w:t xml:space="preserve"> </w:t>
          </w:r>
          <w:r>
            <w:rPr>
              <w:rFonts w:hint="default" w:ascii="Times New Roman" w:hAnsi="Times New Roman" w:cs="Times New Roman" w:eastAsiaTheme="minorEastAsia"/>
              <w:b/>
              <w:bCs/>
              <w:color w:val="auto"/>
              <w:sz w:val="21"/>
              <w:szCs w:val="21"/>
              <w:highlight w:val="none"/>
            </w:rPr>
            <w:t>合同文本</w:t>
          </w:r>
          <w:r>
            <w:rPr>
              <w:rFonts w:hint="default" w:ascii="Times New Roman" w:hAnsi="Times New Roman" w:cs="Times New Roman" w:eastAsiaTheme="minorEastAsia"/>
              <w:b/>
              <w:bCs/>
              <w:color w:val="auto"/>
              <w:sz w:val="21"/>
              <w:szCs w:val="21"/>
              <w:highlight w:val="none"/>
            </w:rPr>
            <w:tab/>
          </w:r>
          <w:r>
            <w:rPr>
              <w:rFonts w:hint="default" w:ascii="Times New Roman" w:hAnsi="Times New Roman" w:cs="Times New Roman" w:eastAsiaTheme="minorEastAsia"/>
              <w:b/>
              <w:bCs/>
              <w:color w:val="auto"/>
              <w:sz w:val="21"/>
              <w:szCs w:val="21"/>
              <w:highlight w:val="none"/>
            </w:rPr>
            <w:fldChar w:fldCharType="begin"/>
          </w:r>
          <w:r>
            <w:rPr>
              <w:rFonts w:hint="default" w:ascii="Times New Roman" w:hAnsi="Times New Roman" w:cs="Times New Roman" w:eastAsiaTheme="minorEastAsia"/>
              <w:b/>
              <w:bCs/>
              <w:color w:val="auto"/>
              <w:sz w:val="21"/>
              <w:szCs w:val="21"/>
              <w:highlight w:val="none"/>
            </w:rPr>
            <w:instrText xml:space="preserve"> PAGEREF _Toc7743 \h </w:instrText>
          </w:r>
          <w:r>
            <w:rPr>
              <w:rFonts w:hint="default" w:ascii="Times New Roman" w:hAnsi="Times New Roman" w:cs="Times New Roman" w:eastAsiaTheme="minorEastAsia"/>
              <w:b/>
              <w:bCs/>
              <w:color w:val="auto"/>
              <w:sz w:val="21"/>
              <w:szCs w:val="21"/>
              <w:highlight w:val="none"/>
            </w:rPr>
            <w:fldChar w:fldCharType="separate"/>
          </w:r>
          <w:r>
            <w:rPr>
              <w:rFonts w:hint="default" w:ascii="Times New Roman" w:hAnsi="Times New Roman" w:cs="Times New Roman" w:eastAsiaTheme="minorEastAsia"/>
              <w:b/>
              <w:bCs/>
              <w:color w:val="auto"/>
              <w:sz w:val="21"/>
              <w:szCs w:val="21"/>
              <w:highlight w:val="none"/>
            </w:rPr>
            <w:t>39</w:t>
          </w:r>
          <w:r>
            <w:rPr>
              <w:rFonts w:hint="default" w:ascii="Times New Roman" w:hAnsi="Times New Roman" w:cs="Times New Roman" w:eastAsiaTheme="minorEastAsia"/>
              <w:b/>
              <w:bCs/>
              <w:color w:val="auto"/>
              <w:sz w:val="21"/>
              <w:szCs w:val="21"/>
              <w:highlight w:val="none"/>
            </w:rPr>
            <w:fldChar w:fldCharType="end"/>
          </w:r>
          <w:r>
            <w:rPr>
              <w:rFonts w:hint="default" w:ascii="Times New Roman" w:hAnsi="Times New Roman" w:cs="Times New Roman" w:eastAsiaTheme="minorEastAsia"/>
              <w:b/>
              <w:bCs/>
              <w:color w:val="auto"/>
              <w:sz w:val="21"/>
              <w:szCs w:val="21"/>
              <w:highlight w:val="none"/>
            </w:rPr>
            <w:fldChar w:fldCharType="end"/>
          </w:r>
        </w:p>
        <w:p w14:paraId="48D5AF0F">
          <w:pPr>
            <w:pStyle w:val="13"/>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fldChar w:fldCharType="begin"/>
          </w:r>
          <w:r>
            <w:rPr>
              <w:rFonts w:hint="default" w:ascii="Times New Roman" w:hAnsi="Times New Roman" w:cs="Times New Roman" w:eastAsiaTheme="minorEastAsia"/>
              <w:b/>
              <w:bCs/>
              <w:color w:val="auto"/>
              <w:sz w:val="21"/>
              <w:szCs w:val="21"/>
              <w:highlight w:val="none"/>
            </w:rPr>
            <w:instrText xml:space="preserve"> HYPERLINK \l _Toc24585 </w:instrText>
          </w:r>
          <w:r>
            <w:rPr>
              <w:rFonts w:hint="default" w:ascii="Times New Roman" w:hAnsi="Times New Roman" w:cs="Times New Roman" w:eastAsiaTheme="minorEastAsia"/>
              <w:b/>
              <w:bCs/>
              <w:color w:val="auto"/>
              <w:sz w:val="21"/>
              <w:szCs w:val="21"/>
              <w:highlight w:val="none"/>
            </w:rPr>
            <w:fldChar w:fldCharType="separate"/>
          </w:r>
          <w:r>
            <w:rPr>
              <w:rFonts w:hint="default" w:ascii="Times New Roman" w:hAnsi="Times New Roman" w:cs="Times New Roman" w:eastAsiaTheme="minorEastAsia"/>
              <w:b/>
              <w:bCs/>
              <w:color w:val="auto"/>
              <w:sz w:val="21"/>
              <w:szCs w:val="21"/>
              <w:highlight w:val="none"/>
            </w:rPr>
            <w:t>第六</w:t>
          </w:r>
          <w:r>
            <w:rPr>
              <w:rFonts w:hint="default" w:ascii="Times New Roman" w:hAnsi="Times New Roman" w:cs="Times New Roman" w:eastAsiaTheme="minorEastAsia"/>
              <w:b/>
              <w:bCs/>
              <w:color w:val="auto"/>
              <w:sz w:val="21"/>
              <w:szCs w:val="21"/>
              <w:highlight w:val="none"/>
              <w:lang w:eastAsia="zh-CN"/>
            </w:rPr>
            <w:t>部分</w:t>
          </w:r>
          <w:r>
            <w:rPr>
              <w:rFonts w:hint="default" w:ascii="Times New Roman" w:hAnsi="Times New Roman" w:cs="Times New Roman" w:eastAsiaTheme="minorEastAsia"/>
              <w:b/>
              <w:bCs/>
              <w:color w:val="auto"/>
              <w:sz w:val="21"/>
              <w:szCs w:val="21"/>
              <w:highlight w:val="none"/>
            </w:rPr>
            <w:t xml:space="preserve"> 响应文件格式与要求</w:t>
          </w:r>
          <w:r>
            <w:rPr>
              <w:rFonts w:hint="default" w:ascii="Times New Roman" w:hAnsi="Times New Roman" w:cs="Times New Roman" w:eastAsiaTheme="minorEastAsia"/>
              <w:b/>
              <w:bCs/>
              <w:color w:val="auto"/>
              <w:sz w:val="21"/>
              <w:szCs w:val="21"/>
              <w:highlight w:val="none"/>
            </w:rPr>
            <w:tab/>
          </w:r>
          <w:r>
            <w:rPr>
              <w:rFonts w:hint="default" w:ascii="Times New Roman" w:hAnsi="Times New Roman" w:cs="Times New Roman" w:eastAsiaTheme="minorEastAsia"/>
              <w:b/>
              <w:bCs/>
              <w:color w:val="auto"/>
              <w:sz w:val="21"/>
              <w:szCs w:val="21"/>
              <w:highlight w:val="none"/>
            </w:rPr>
            <w:fldChar w:fldCharType="begin"/>
          </w:r>
          <w:r>
            <w:rPr>
              <w:rFonts w:hint="default" w:ascii="Times New Roman" w:hAnsi="Times New Roman" w:cs="Times New Roman" w:eastAsiaTheme="minorEastAsia"/>
              <w:b/>
              <w:bCs/>
              <w:color w:val="auto"/>
              <w:sz w:val="21"/>
              <w:szCs w:val="21"/>
              <w:highlight w:val="none"/>
            </w:rPr>
            <w:instrText xml:space="preserve"> PAGEREF _Toc24585 \h </w:instrText>
          </w:r>
          <w:r>
            <w:rPr>
              <w:rFonts w:hint="default" w:ascii="Times New Roman" w:hAnsi="Times New Roman" w:cs="Times New Roman" w:eastAsiaTheme="minorEastAsia"/>
              <w:b/>
              <w:bCs/>
              <w:color w:val="auto"/>
              <w:sz w:val="21"/>
              <w:szCs w:val="21"/>
              <w:highlight w:val="none"/>
            </w:rPr>
            <w:fldChar w:fldCharType="separate"/>
          </w:r>
          <w:r>
            <w:rPr>
              <w:rFonts w:hint="default" w:ascii="Times New Roman" w:hAnsi="Times New Roman" w:cs="Times New Roman" w:eastAsiaTheme="minorEastAsia"/>
              <w:b/>
              <w:bCs/>
              <w:color w:val="auto"/>
              <w:sz w:val="21"/>
              <w:szCs w:val="21"/>
              <w:highlight w:val="none"/>
            </w:rPr>
            <w:t>50</w:t>
          </w:r>
          <w:r>
            <w:rPr>
              <w:rFonts w:hint="default" w:ascii="Times New Roman" w:hAnsi="Times New Roman" w:cs="Times New Roman" w:eastAsiaTheme="minorEastAsia"/>
              <w:b/>
              <w:bCs/>
              <w:color w:val="auto"/>
              <w:sz w:val="21"/>
              <w:szCs w:val="21"/>
              <w:highlight w:val="none"/>
            </w:rPr>
            <w:fldChar w:fldCharType="end"/>
          </w:r>
          <w:r>
            <w:rPr>
              <w:rFonts w:hint="default" w:ascii="Times New Roman" w:hAnsi="Times New Roman" w:cs="Times New Roman" w:eastAsiaTheme="minorEastAsia"/>
              <w:b/>
              <w:bCs/>
              <w:color w:val="auto"/>
              <w:sz w:val="21"/>
              <w:szCs w:val="21"/>
              <w:highlight w:val="none"/>
            </w:rPr>
            <w:fldChar w:fldCharType="end"/>
          </w:r>
        </w:p>
        <w:p w14:paraId="6CD291DF">
          <w:pPr>
            <w:pStyle w:val="13"/>
            <w:keepLines w:val="0"/>
            <w:tabs>
              <w:tab w:val="right" w:leader="dot" w:pos="9185"/>
            </w:tabs>
            <w:kinsoku/>
            <w:wordWrap/>
            <w:overflowPunct/>
            <w:topLinePunct w:val="0"/>
            <w:bidi w:val="0"/>
            <w:spacing w:beforeAutospacing="0" w:afterAutospacing="0" w:line="440" w:lineRule="atLeast"/>
            <w:ind w:left="0" w:leftChars="0" w:right="0" w:rightChars="0" w:firstLine="420" w:firstLineChars="20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_Toc6174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第一章  资格性文件</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_Toc6174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52</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38874DD4">
          <w:pPr>
            <w:pStyle w:val="13"/>
            <w:keepLines w:val="0"/>
            <w:tabs>
              <w:tab w:val="right" w:leader="dot" w:pos="9185"/>
            </w:tabs>
            <w:kinsoku/>
            <w:wordWrap/>
            <w:overflowPunct/>
            <w:topLinePunct w:val="0"/>
            <w:bidi w:val="0"/>
            <w:spacing w:beforeAutospacing="0" w:afterAutospacing="0" w:line="440" w:lineRule="atLeast"/>
            <w:ind w:left="0" w:leftChars="0" w:right="0" w:rightChars="0" w:firstLine="420" w:firstLineChars="20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_Toc9610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第二章  评审内容索引</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_Toc9610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64</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102291A8">
          <w:pPr>
            <w:pStyle w:val="13"/>
            <w:keepLines w:val="0"/>
            <w:tabs>
              <w:tab w:val="right" w:leader="dot" w:pos="9185"/>
            </w:tabs>
            <w:kinsoku/>
            <w:wordWrap/>
            <w:overflowPunct/>
            <w:topLinePunct w:val="0"/>
            <w:bidi w:val="0"/>
            <w:spacing w:beforeAutospacing="0" w:afterAutospacing="0" w:line="440" w:lineRule="atLeast"/>
            <w:ind w:left="0" w:leftChars="0" w:right="0" w:rightChars="0" w:firstLine="420" w:firstLineChars="20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_Toc8179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第三章  商务部分</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_Toc8179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68</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5CB9BB2B">
          <w:pPr>
            <w:pStyle w:val="13"/>
            <w:keepLines w:val="0"/>
            <w:tabs>
              <w:tab w:val="right" w:leader="dot" w:pos="9185"/>
            </w:tabs>
            <w:kinsoku/>
            <w:wordWrap/>
            <w:overflowPunct/>
            <w:topLinePunct w:val="0"/>
            <w:bidi w:val="0"/>
            <w:spacing w:beforeAutospacing="0" w:afterAutospacing="0" w:line="440" w:lineRule="atLeast"/>
            <w:ind w:left="0" w:leftChars="0" w:right="0" w:rightChars="0" w:firstLine="420" w:firstLineChars="20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_Toc18982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第四章  技术部分</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_Toc18982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72</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4A420A2A">
          <w:pPr>
            <w:pStyle w:val="13"/>
            <w:keepLines w:val="0"/>
            <w:tabs>
              <w:tab w:val="right" w:leader="dot" w:pos="9185"/>
            </w:tabs>
            <w:kinsoku/>
            <w:wordWrap/>
            <w:overflowPunct/>
            <w:topLinePunct w:val="0"/>
            <w:bidi w:val="0"/>
            <w:spacing w:beforeAutospacing="0" w:afterAutospacing="0" w:line="440" w:lineRule="atLeast"/>
            <w:ind w:left="0" w:leftChars="0" w:right="0" w:rightChars="0" w:firstLine="420" w:firstLineChars="20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_Toc21415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第五章  价格部分</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_Toc21415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75</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73F4141C">
          <w:pPr>
            <w:pStyle w:val="13"/>
            <w:keepLines w:val="0"/>
            <w:tabs>
              <w:tab w:val="right" w:leader="dot" w:pos="9185"/>
            </w:tabs>
            <w:kinsoku/>
            <w:wordWrap/>
            <w:overflowPunct/>
            <w:topLinePunct w:val="0"/>
            <w:bidi w:val="0"/>
            <w:spacing w:beforeAutospacing="0" w:afterAutospacing="0" w:line="440" w:lineRule="atLeast"/>
            <w:ind w:left="0" w:leftChars="0" w:right="0" w:rightChars="0" w:firstLine="420" w:firstLineChars="20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HYPERLINK \l _Toc1321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第六章 其他文件</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PAGEREF _Toc1321 \h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t>77</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fldChar w:fldCharType="end"/>
          </w:r>
        </w:p>
        <w:p w14:paraId="5C299F78">
          <w:pPr>
            <w:pStyle w:val="14"/>
            <w:keepLines w:val="0"/>
            <w:tabs>
              <w:tab w:val="right" w:leader="dot" w:pos="9185"/>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8"/>
              <w:szCs w:val="28"/>
              <w:highlight w:val="none"/>
            </w:rPr>
          </w:pPr>
        </w:p>
        <w:p w14:paraId="1370ACB7">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8"/>
              <w:szCs w:val="28"/>
              <w:highlight w:val="none"/>
            </w:rPr>
            <w:fldChar w:fldCharType="end"/>
          </w:r>
        </w:p>
      </w:sdtContent>
    </w:sdt>
    <w:p w14:paraId="54C6D91A">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36"/>
          <w:highlight w:val="none"/>
        </w:rPr>
      </w:pPr>
      <w:r>
        <w:rPr>
          <w:rFonts w:hint="default" w:ascii="Times New Roman" w:hAnsi="Times New Roman" w:cs="Times New Roman" w:eastAsiaTheme="minorEastAsia"/>
          <w:b/>
          <w:color w:val="auto"/>
          <w:sz w:val="36"/>
          <w:highlight w:val="none"/>
        </w:rPr>
        <w:br w:type="page"/>
      </w:r>
    </w:p>
    <w:p w14:paraId="368E4E43">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outlineLvl w:val="0"/>
        <w:rPr>
          <w:rFonts w:hint="default" w:ascii="Times New Roman" w:hAnsi="Times New Roman" w:cs="Times New Roman" w:eastAsiaTheme="minorEastAsia"/>
          <w:color w:val="auto"/>
          <w:sz w:val="28"/>
          <w:szCs w:val="28"/>
          <w:highlight w:val="none"/>
        </w:rPr>
      </w:pPr>
      <w:bookmarkStart w:id="4" w:name="_Toc22053"/>
      <w:r>
        <w:rPr>
          <w:rFonts w:hint="default" w:ascii="Times New Roman" w:hAnsi="Times New Roman" w:cs="Times New Roman" w:eastAsiaTheme="minorEastAsia"/>
          <w:b/>
          <w:color w:val="auto"/>
          <w:sz w:val="28"/>
          <w:szCs w:val="28"/>
          <w:highlight w:val="none"/>
        </w:rPr>
        <w:t>第一</w:t>
      </w:r>
      <w:r>
        <w:rPr>
          <w:rFonts w:hint="default" w:ascii="Times New Roman" w:hAnsi="Times New Roman" w:cs="Times New Roman" w:eastAsiaTheme="minorEastAsia"/>
          <w:b/>
          <w:color w:val="auto"/>
          <w:sz w:val="28"/>
          <w:szCs w:val="28"/>
          <w:highlight w:val="none"/>
          <w:lang w:eastAsia="zh-CN"/>
        </w:rPr>
        <w:t>部分</w:t>
      </w:r>
      <w:r>
        <w:rPr>
          <w:rFonts w:hint="default" w:ascii="Times New Roman" w:hAnsi="Times New Roman" w:cs="Times New Roman" w:eastAsiaTheme="minorEastAsia"/>
          <w:b/>
          <w:color w:val="auto"/>
          <w:sz w:val="28"/>
          <w:szCs w:val="28"/>
          <w:highlight w:val="none"/>
        </w:rPr>
        <w:t xml:space="preserve"> 磋商邀请</w:t>
      </w:r>
      <w:bookmarkEnd w:id="4"/>
    </w:p>
    <w:p w14:paraId="3BC380F3">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eastAsia="zh-CN"/>
        </w:rPr>
        <w:t>广东远东招标代理有限公司</w:t>
      </w:r>
      <w:r>
        <w:rPr>
          <w:rFonts w:hint="default" w:ascii="Times New Roman" w:hAnsi="Times New Roman" w:cs="Times New Roman" w:eastAsiaTheme="minorEastAsia"/>
          <w:color w:val="auto"/>
          <w:sz w:val="21"/>
          <w:szCs w:val="21"/>
          <w:highlight w:val="none"/>
        </w:rPr>
        <w:t>受</w:t>
      </w:r>
      <w:r>
        <w:rPr>
          <w:rFonts w:hint="eastAsia" w:ascii="Times New Roman" w:hAnsi="Times New Roman" w:cs="Times New Roman"/>
          <w:color w:val="auto"/>
          <w:sz w:val="21"/>
          <w:szCs w:val="21"/>
          <w:highlight w:val="none"/>
          <w:lang w:eastAsia="zh-CN"/>
        </w:rPr>
        <w:t>佛山市高明区人民法院</w:t>
      </w:r>
      <w:r>
        <w:rPr>
          <w:rFonts w:hint="default" w:ascii="Times New Roman" w:hAnsi="Times New Roman" w:cs="Times New Roman" w:eastAsiaTheme="minorEastAsia"/>
          <w:color w:val="auto"/>
          <w:sz w:val="21"/>
          <w:szCs w:val="21"/>
          <w:highlight w:val="none"/>
        </w:rPr>
        <w:t>的委托，采用竞争性磋商方式组织采购</w:t>
      </w:r>
      <w:r>
        <w:rPr>
          <w:rFonts w:hint="eastAsia" w:ascii="Times New Roman" w:hAnsi="Times New Roman" w:cs="Times New Roman"/>
          <w:color w:val="auto"/>
          <w:sz w:val="21"/>
          <w:szCs w:val="21"/>
          <w:highlight w:val="none"/>
          <w:lang w:eastAsia="zh-CN"/>
        </w:rPr>
        <w:t>佛山市高明区人民法院执行案件集约化送达服务项目</w:t>
      </w:r>
      <w:r>
        <w:rPr>
          <w:rFonts w:hint="default" w:ascii="Times New Roman" w:hAnsi="Times New Roman" w:cs="Times New Roman" w:eastAsiaTheme="minorEastAsia"/>
          <w:color w:val="auto"/>
          <w:sz w:val="21"/>
          <w:szCs w:val="21"/>
          <w:highlight w:val="none"/>
        </w:rPr>
        <w:t>。欢迎符合资格条件的供应商参加。</w:t>
      </w:r>
    </w:p>
    <w:p w14:paraId="66ACFD06">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1"/>
        <w:rPr>
          <w:rFonts w:hint="default" w:ascii="Times New Roman" w:hAnsi="Times New Roman" w:cs="Times New Roman" w:eastAsiaTheme="minorEastAsia"/>
          <w:color w:val="auto"/>
          <w:sz w:val="24"/>
          <w:szCs w:val="24"/>
          <w:highlight w:val="none"/>
        </w:rPr>
      </w:pPr>
      <w:bookmarkStart w:id="5" w:name="_Toc17424"/>
      <w:r>
        <w:rPr>
          <w:rFonts w:hint="default" w:ascii="Times New Roman" w:hAnsi="Times New Roman" w:cs="Times New Roman" w:eastAsiaTheme="minorEastAsia"/>
          <w:b/>
          <w:color w:val="auto"/>
          <w:sz w:val="24"/>
          <w:szCs w:val="24"/>
          <w:highlight w:val="none"/>
        </w:rPr>
        <w:t>一.项目概述</w:t>
      </w:r>
      <w:bookmarkEnd w:id="5"/>
    </w:p>
    <w:p w14:paraId="5BA1F5A9">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1.名称与编号</w:t>
      </w:r>
    </w:p>
    <w:p w14:paraId="2BEC68D3">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采购项目名称：</w:t>
      </w:r>
      <w:r>
        <w:rPr>
          <w:rFonts w:hint="eastAsia" w:ascii="Times New Roman" w:hAnsi="Times New Roman" w:cs="Times New Roman"/>
          <w:color w:val="auto"/>
          <w:sz w:val="21"/>
          <w:szCs w:val="21"/>
          <w:highlight w:val="none"/>
          <w:lang w:eastAsia="zh-CN"/>
        </w:rPr>
        <w:t>佛山市高明区人民法院执行案件集约化送达服务项目</w:t>
      </w:r>
    </w:p>
    <w:p w14:paraId="2473121D">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采购项目编号：</w:t>
      </w:r>
      <w:r>
        <w:rPr>
          <w:rFonts w:hint="eastAsia" w:ascii="Times New Roman" w:hAnsi="Times New Roman" w:cs="Times New Roman"/>
          <w:color w:val="auto"/>
          <w:sz w:val="21"/>
          <w:szCs w:val="21"/>
          <w:highlight w:val="none"/>
          <w:lang w:eastAsia="zh-CN"/>
        </w:rPr>
        <w:t>GDYD240563</w:t>
      </w:r>
    </w:p>
    <w:p w14:paraId="01585931">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采购人</w:t>
      </w:r>
      <w:r>
        <w:rPr>
          <w:rFonts w:hint="default" w:ascii="Times New Roman" w:hAnsi="Times New Roman" w:cs="Times New Roman" w:eastAsiaTheme="minorEastAsia"/>
          <w:color w:val="auto"/>
          <w:sz w:val="21"/>
          <w:szCs w:val="21"/>
          <w:highlight w:val="none"/>
        </w:rPr>
        <w:t>式：竞争性磋商</w:t>
      </w:r>
    </w:p>
    <w:p w14:paraId="73CFC692">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预算金额：</w:t>
      </w:r>
      <w:r>
        <w:rPr>
          <w:rFonts w:hint="eastAsia" w:ascii="Times New Roman" w:hAnsi="Times New Roman" w:cs="Times New Roman"/>
          <w:color w:val="auto"/>
          <w:sz w:val="21"/>
          <w:szCs w:val="21"/>
          <w:highlight w:val="none"/>
          <w:lang w:val="en-US" w:eastAsia="zh-CN"/>
        </w:rPr>
        <w:t>585,000.00</w:t>
      </w:r>
      <w:r>
        <w:rPr>
          <w:rFonts w:hint="default" w:ascii="Times New Roman" w:hAnsi="Times New Roman" w:cs="Times New Roman" w:eastAsiaTheme="minorEastAsia"/>
          <w:color w:val="auto"/>
          <w:sz w:val="21"/>
          <w:szCs w:val="21"/>
          <w:highlight w:val="none"/>
        </w:rPr>
        <w:t>元</w:t>
      </w:r>
    </w:p>
    <w:p w14:paraId="4BD225CF">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2.项目内容及需求情况（采购项目技术规格、参数及要求）</w:t>
      </w:r>
    </w:p>
    <w:tbl>
      <w:tblPr>
        <w:tblStyle w:val="18"/>
        <w:tblW w:w="956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9"/>
        <w:gridCol w:w="1167"/>
        <w:gridCol w:w="4050"/>
        <w:gridCol w:w="1007"/>
        <w:gridCol w:w="2427"/>
      </w:tblGrid>
      <w:tr w14:paraId="316C2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8" w:hRule="atLeast"/>
          <w:jc w:val="center"/>
        </w:trPr>
        <w:tc>
          <w:tcPr>
            <w:tcW w:w="909" w:type="dxa"/>
            <w:vAlign w:val="center"/>
          </w:tcPr>
          <w:p w14:paraId="354C07AF">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品目号</w:t>
            </w:r>
          </w:p>
        </w:tc>
        <w:tc>
          <w:tcPr>
            <w:tcW w:w="1167" w:type="dxa"/>
            <w:vAlign w:val="center"/>
          </w:tcPr>
          <w:p w14:paraId="2ED51DF6">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品目名称</w:t>
            </w:r>
          </w:p>
        </w:tc>
        <w:tc>
          <w:tcPr>
            <w:tcW w:w="4050" w:type="dxa"/>
            <w:vAlign w:val="center"/>
          </w:tcPr>
          <w:p w14:paraId="3475DF14">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采购标的</w:t>
            </w:r>
          </w:p>
        </w:tc>
        <w:tc>
          <w:tcPr>
            <w:tcW w:w="1007" w:type="dxa"/>
            <w:vAlign w:val="center"/>
          </w:tcPr>
          <w:p w14:paraId="09E0912F">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数量</w:t>
            </w:r>
          </w:p>
        </w:tc>
        <w:tc>
          <w:tcPr>
            <w:tcW w:w="2427" w:type="dxa"/>
            <w:vAlign w:val="center"/>
          </w:tcPr>
          <w:p w14:paraId="70AB8231">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技术规格、参数及要求</w:t>
            </w:r>
          </w:p>
        </w:tc>
      </w:tr>
      <w:tr w14:paraId="4D677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0" w:hRule="atLeast"/>
          <w:jc w:val="center"/>
        </w:trPr>
        <w:tc>
          <w:tcPr>
            <w:tcW w:w="909" w:type="dxa"/>
            <w:vAlign w:val="center"/>
          </w:tcPr>
          <w:p w14:paraId="5BD90738">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w:t>
            </w:r>
          </w:p>
        </w:tc>
        <w:tc>
          <w:tcPr>
            <w:tcW w:w="1167" w:type="dxa"/>
            <w:vAlign w:val="center"/>
          </w:tcPr>
          <w:p w14:paraId="70D69ADA">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eastAsia="zh-CN"/>
              </w:rPr>
              <w:t>其他服务</w:t>
            </w:r>
          </w:p>
        </w:tc>
        <w:tc>
          <w:tcPr>
            <w:tcW w:w="4050" w:type="dxa"/>
            <w:vAlign w:val="center"/>
          </w:tcPr>
          <w:p w14:paraId="5A470CC0">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佛山市高明区人民法院执行案件集约化送达服务项目</w:t>
            </w:r>
          </w:p>
        </w:tc>
        <w:tc>
          <w:tcPr>
            <w:tcW w:w="1007" w:type="dxa"/>
            <w:vAlign w:val="center"/>
          </w:tcPr>
          <w:p w14:paraId="7EF08C9D">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1项</w:t>
            </w:r>
          </w:p>
        </w:tc>
        <w:tc>
          <w:tcPr>
            <w:tcW w:w="2427" w:type="dxa"/>
            <w:vAlign w:val="center"/>
          </w:tcPr>
          <w:p w14:paraId="7860F93B">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详见第二章</w:t>
            </w:r>
          </w:p>
        </w:tc>
      </w:tr>
    </w:tbl>
    <w:p w14:paraId="046AC10E">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本</w:t>
      </w:r>
      <w:r>
        <w:rPr>
          <w:rFonts w:hint="eastAsia" w:ascii="Times New Roman" w:hAnsi="Times New Roman" w:cs="Times New Roman"/>
          <w:color w:val="auto"/>
          <w:sz w:val="21"/>
          <w:szCs w:val="21"/>
          <w:highlight w:val="none"/>
          <w:lang w:eastAsia="zh-CN"/>
        </w:rPr>
        <w:t>项目</w:t>
      </w:r>
      <w:r>
        <w:rPr>
          <w:rFonts w:hint="default" w:ascii="Times New Roman" w:hAnsi="Times New Roman" w:cs="Times New Roman" w:eastAsiaTheme="minorEastAsia"/>
          <w:color w:val="auto"/>
          <w:sz w:val="21"/>
          <w:szCs w:val="21"/>
          <w:highlight w:val="none"/>
        </w:rPr>
        <w:t>不接受联合体响应</w:t>
      </w:r>
      <w:r>
        <w:rPr>
          <w:rFonts w:hint="eastAsia" w:ascii="Times New Roman" w:hAnsi="Times New Roman" w:cs="Times New Roman"/>
          <w:color w:val="auto"/>
          <w:sz w:val="21"/>
          <w:szCs w:val="21"/>
          <w:highlight w:val="none"/>
          <w:lang w:eastAsia="zh-CN"/>
        </w:rPr>
        <w:t>。</w:t>
      </w:r>
    </w:p>
    <w:p w14:paraId="5A0A4A92">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合同分包：不允许合同分包</w:t>
      </w:r>
      <w:r>
        <w:rPr>
          <w:rFonts w:hint="eastAsia" w:ascii="Times New Roman" w:hAnsi="Times New Roman" w:cs="Times New Roman"/>
          <w:color w:val="auto"/>
          <w:sz w:val="21"/>
          <w:szCs w:val="21"/>
          <w:highlight w:val="none"/>
          <w:lang w:eastAsia="zh-CN"/>
        </w:rPr>
        <w:t>。</w:t>
      </w:r>
    </w:p>
    <w:p w14:paraId="004CA6C8">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合同履行期限：工作量当达到合同总金额时，合同自动终止；未达到合同总金额，但达到合同履行服务期（24个月），经双方友好协商可适当延长合同期限</w:t>
      </w:r>
      <w:r>
        <w:rPr>
          <w:rFonts w:hint="eastAsia" w:ascii="Times New Roman" w:hAnsi="Times New Roman" w:cs="Times New Roman"/>
          <w:color w:val="auto"/>
          <w:sz w:val="21"/>
          <w:szCs w:val="21"/>
          <w:highlight w:val="none"/>
          <w:lang w:eastAsia="zh-CN"/>
        </w:rPr>
        <w:t>。</w:t>
      </w:r>
    </w:p>
    <w:p w14:paraId="1EE68B01">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1"/>
        <w:rPr>
          <w:rFonts w:hint="default" w:ascii="Times New Roman" w:hAnsi="Times New Roman" w:cs="Times New Roman" w:eastAsiaTheme="minorEastAsia"/>
          <w:b/>
          <w:color w:val="auto"/>
          <w:sz w:val="24"/>
          <w:szCs w:val="24"/>
          <w:highlight w:val="none"/>
        </w:rPr>
      </w:pPr>
      <w:bookmarkStart w:id="6" w:name="_Toc30476"/>
      <w:r>
        <w:rPr>
          <w:rFonts w:hint="default" w:ascii="Times New Roman" w:hAnsi="Times New Roman" w:cs="Times New Roman" w:eastAsiaTheme="minorEastAsia"/>
          <w:b/>
          <w:color w:val="auto"/>
          <w:sz w:val="24"/>
          <w:szCs w:val="24"/>
          <w:highlight w:val="none"/>
        </w:rPr>
        <w:t>二.供应商的资格要求</w:t>
      </w:r>
      <w:bookmarkEnd w:id="6"/>
    </w:p>
    <w:p w14:paraId="1B2C8D92">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1.供应商应具备《中华人民共和国政府采购法》第二十二条规定的条件，提供下列材料：</w:t>
      </w:r>
    </w:p>
    <w:p w14:paraId="2E304215">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1）具有独立承担民事责任的能力：在中华人民共和国境内注册的法人或其他组织或自然人，投标（响应）时提交有效的营业执照（或事业法人登记证或身份证等相关证明）副本</w:t>
      </w:r>
      <w:r>
        <w:rPr>
          <w:rFonts w:hint="default" w:ascii="Times New Roman" w:hAnsi="Times New Roman" w:cs="Times New Roman" w:eastAsiaTheme="minorEastAsia"/>
          <w:color w:val="auto"/>
          <w:sz w:val="21"/>
          <w:szCs w:val="21"/>
          <w:highlight w:val="none"/>
          <w:lang w:eastAsia="zh-CN"/>
        </w:rPr>
        <w:t>复印</w:t>
      </w:r>
      <w:r>
        <w:rPr>
          <w:rFonts w:hint="default" w:ascii="Times New Roman" w:hAnsi="Times New Roman" w:cs="Times New Roman" w:eastAsiaTheme="minorEastAsia"/>
          <w:color w:val="auto"/>
          <w:sz w:val="21"/>
          <w:szCs w:val="21"/>
          <w:highlight w:val="none"/>
        </w:rPr>
        <w:t>件。</w:t>
      </w:r>
    </w:p>
    <w:p w14:paraId="5BF0E971">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2）有依法缴纳税收和社会保障资金的良好记录</w:t>
      </w:r>
      <w:r>
        <w:rPr>
          <w:rFonts w:hint="eastAsia" w:ascii="Times New Roman" w:hAnsi="Times New Roman" w:cs="Times New Roman"/>
          <w:color w:val="auto"/>
          <w:sz w:val="21"/>
          <w:szCs w:val="21"/>
          <w:highlight w:val="none"/>
          <w:lang w:eastAsia="zh-CN"/>
        </w:rPr>
        <w:t>，提供以下两种证明材料之一</w:t>
      </w:r>
      <w:r>
        <w:rPr>
          <w:rFonts w:hint="default" w:ascii="Times New Roman" w:hAnsi="Times New Roman" w:cs="Times New Roman" w:eastAsiaTheme="minorEastAsia"/>
          <w:color w:val="auto"/>
          <w:sz w:val="21"/>
          <w:szCs w:val="21"/>
          <w:highlight w:val="none"/>
        </w:rPr>
        <w:t>：1</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提供《政府采购供应商资格信用承诺函》，具体要求详见</w:t>
      </w:r>
      <w:r>
        <w:rPr>
          <w:rFonts w:hint="default" w:ascii="Times New Roman" w:hAnsi="Times New Roman" w:cs="Times New Roman" w:eastAsiaTheme="minorEastAsia"/>
          <w:color w:val="auto"/>
          <w:sz w:val="21"/>
          <w:szCs w:val="21"/>
          <w:highlight w:val="none"/>
          <w:lang w:eastAsia="zh-CN"/>
        </w:rPr>
        <w:t>投标文件格式</w:t>
      </w:r>
      <w:r>
        <w:rPr>
          <w:rFonts w:hint="default" w:ascii="Times New Roman" w:hAnsi="Times New Roman" w:cs="Times New Roman" w:eastAsiaTheme="minorEastAsia"/>
          <w:color w:val="auto"/>
          <w:sz w:val="21"/>
          <w:szCs w:val="21"/>
          <w:highlight w:val="none"/>
        </w:rPr>
        <w:t>；2</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提供投标截止日前6个月内任意1个月依法缴纳税收和社会保障资金的相关材料。如依法免税或不需要缴纳社会保障资金的，提供相应证明材料。</w:t>
      </w:r>
    </w:p>
    <w:p w14:paraId="4568099D">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3）具有良好的商业信誉和健全的财务会计制度</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提供以下三种证明材料之一：1</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提供《政府采购供应商资格信用承诺函》，具体要求详见</w:t>
      </w:r>
      <w:r>
        <w:rPr>
          <w:rFonts w:hint="default" w:ascii="Times New Roman" w:hAnsi="Times New Roman" w:cs="Times New Roman" w:eastAsiaTheme="minorEastAsia"/>
          <w:color w:val="auto"/>
          <w:sz w:val="21"/>
          <w:szCs w:val="21"/>
          <w:highlight w:val="none"/>
          <w:lang w:eastAsia="zh-CN"/>
        </w:rPr>
        <w:t>投标文件格式</w:t>
      </w:r>
      <w:r>
        <w:rPr>
          <w:rFonts w:hint="default" w:ascii="Times New Roman" w:hAnsi="Times New Roman" w:cs="Times New Roman" w:eastAsiaTheme="minorEastAsia"/>
          <w:color w:val="auto"/>
          <w:sz w:val="21"/>
          <w:szCs w:val="21"/>
          <w:highlight w:val="none"/>
        </w:rPr>
        <w:t>；2</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提供2022或2023年度财务状况报告，财务状况报告须由第三方会计师事务所出具，能清晰显示第三方会计师事务所的印章，并能反映审计结论；3</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提供投标截止日前6个月内基本开户银行出具的资信证明，并同时提交开户（基本户）许可证扫描件，开户（基本户）许可证已取消的，应提供能体现基本开户银行的“基本存款账户编号”的相关证明。）。</w:t>
      </w:r>
    </w:p>
    <w:p w14:paraId="7447214D">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4）履行合同所必需的设备和专业技术能力：按投标（响应）文件格式填写《具有履行合同所必需的设备和专业技术能力的承诺函》。</w:t>
      </w:r>
    </w:p>
    <w:p w14:paraId="34E0ED4F">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1981BB7">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2.落实政府采购政策需满足的资格要求：</w:t>
      </w:r>
    </w:p>
    <w:p w14:paraId="2A831CEC">
      <w:pPr>
        <w:pStyle w:val="21"/>
        <w:keepNext w:val="0"/>
        <w:keepLines w:val="0"/>
        <w:pageBreakBefore w:val="0"/>
        <w:kinsoku/>
        <w:wordWrap/>
        <w:overflowPunct/>
        <w:topLinePunct w:val="0"/>
        <w:autoSpaceDE/>
        <w:autoSpaceDN/>
        <w:bidi w:val="0"/>
        <w:adjustRightInd/>
        <w:snapToGrid/>
        <w:spacing w:line="420" w:lineRule="atLeast"/>
        <w:ind w:firstLine="420" w:firstLineChars="200"/>
        <w:jc w:val="left"/>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本项目</w:t>
      </w:r>
      <w:r>
        <w:rPr>
          <w:rFonts w:hint="eastAsia" w:ascii="Times New Roman" w:hAnsi="Times New Roman" w:cs="Times New Roman" w:eastAsiaTheme="minorEastAsia"/>
          <w:color w:val="auto"/>
          <w:sz w:val="21"/>
          <w:szCs w:val="21"/>
          <w:highlight w:val="none"/>
          <w:lang w:eastAsia="zh-CN"/>
        </w:rPr>
        <w:t>整体专门面向中小企业采购，监狱企业、残疾人福利性单位视同小型、微型企业。</w:t>
      </w:r>
    </w:p>
    <w:p w14:paraId="51196177">
      <w:pPr>
        <w:pStyle w:val="21"/>
        <w:keepNext w:val="0"/>
        <w:keepLines w:val="0"/>
        <w:pageBreakBefore w:val="0"/>
        <w:kinsoku/>
        <w:wordWrap/>
        <w:overflowPunct/>
        <w:topLinePunct w:val="0"/>
        <w:autoSpaceDE/>
        <w:autoSpaceDN/>
        <w:bidi w:val="0"/>
        <w:adjustRightInd/>
        <w:snapToGrid/>
        <w:spacing w:line="420" w:lineRule="atLeast"/>
        <w:jc w:val="left"/>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（1）中小企业评审及《中小企业声明函》填写要求：</w:t>
      </w:r>
    </w:p>
    <w:p w14:paraId="606A2C67">
      <w:pPr>
        <w:pStyle w:val="21"/>
        <w:keepNext w:val="0"/>
        <w:keepLines w:val="0"/>
        <w:pageBreakBefore w:val="0"/>
        <w:kinsoku/>
        <w:wordWrap/>
        <w:overflowPunct/>
        <w:topLinePunct w:val="0"/>
        <w:autoSpaceDE/>
        <w:autoSpaceDN/>
        <w:bidi w:val="0"/>
        <w:adjustRightInd/>
        <w:snapToGrid/>
        <w:spacing w:line="420" w:lineRule="atLeast"/>
        <w:jc w:val="left"/>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①本项目为服务类项目，供应商须根据本项目采购类别选择对应的《中小企业声明函》填写。</w:t>
      </w:r>
    </w:p>
    <w:p w14:paraId="73B23E6C">
      <w:pPr>
        <w:pStyle w:val="21"/>
        <w:keepNext w:val="0"/>
        <w:keepLines w:val="0"/>
        <w:pageBreakBefore w:val="0"/>
        <w:kinsoku/>
        <w:wordWrap/>
        <w:overflowPunct/>
        <w:topLinePunct w:val="0"/>
        <w:autoSpaceDE/>
        <w:autoSpaceDN/>
        <w:bidi w:val="0"/>
        <w:adjustRightInd/>
        <w:snapToGrid/>
        <w:spacing w:line="420" w:lineRule="atLeast"/>
        <w:jc w:val="left"/>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②本项目采购标的对应的中小企业划分标准所属行业</w:t>
      </w:r>
      <w:r>
        <w:rPr>
          <w:rFonts w:hint="eastAsia" w:ascii="Times New Roman" w:hAnsi="Times New Roman" w:cs="Times New Roman"/>
          <w:color w:val="auto"/>
          <w:sz w:val="21"/>
          <w:szCs w:val="21"/>
          <w:highlight w:val="none"/>
          <w:lang w:eastAsia="zh-CN"/>
        </w:rPr>
        <w:t>为</w:t>
      </w:r>
      <w:r>
        <w:rPr>
          <w:rFonts w:hint="eastAsia" w:ascii="Times New Roman" w:hAnsi="Times New Roman" w:cs="Times New Roman"/>
          <w:b w:val="0"/>
          <w:bCs w:val="0"/>
          <w:color w:val="auto"/>
          <w:sz w:val="21"/>
          <w:szCs w:val="21"/>
          <w:highlight w:val="none"/>
          <w:lang w:eastAsia="zh-CN"/>
        </w:rPr>
        <w:t>其他未列明行业</w:t>
      </w:r>
      <w:r>
        <w:rPr>
          <w:rFonts w:hint="eastAsia" w:ascii="Times New Roman" w:hAnsi="Times New Roman" w:cs="Times New Roman" w:eastAsiaTheme="minorEastAsia"/>
          <w:color w:val="auto"/>
          <w:sz w:val="21"/>
          <w:szCs w:val="21"/>
          <w:highlight w:val="none"/>
          <w:lang w:eastAsia="zh-CN"/>
        </w:rPr>
        <w:t>。</w:t>
      </w:r>
    </w:p>
    <w:p w14:paraId="1117D078">
      <w:pPr>
        <w:pStyle w:val="21"/>
        <w:keepNext w:val="0"/>
        <w:keepLines w:val="0"/>
        <w:pageBreakBefore w:val="0"/>
        <w:kinsoku/>
        <w:wordWrap/>
        <w:overflowPunct/>
        <w:topLinePunct w:val="0"/>
        <w:autoSpaceDE/>
        <w:autoSpaceDN/>
        <w:bidi w:val="0"/>
        <w:adjustRightInd/>
        <w:snapToGrid/>
        <w:spacing w:line="420" w:lineRule="atLeast"/>
        <w:jc w:val="left"/>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③供应商提交的《中小企业声明函》应按要求完整填报所有信息。</w:t>
      </w:r>
    </w:p>
    <w:p w14:paraId="62B8105B">
      <w:pPr>
        <w:pStyle w:val="21"/>
        <w:keepNext w:val="0"/>
        <w:keepLines w:val="0"/>
        <w:pageBreakBefore w:val="0"/>
        <w:kinsoku/>
        <w:wordWrap/>
        <w:overflowPunct/>
        <w:topLinePunct w:val="0"/>
        <w:autoSpaceDE/>
        <w:autoSpaceDN/>
        <w:bidi w:val="0"/>
        <w:adjustRightInd/>
        <w:snapToGrid/>
        <w:spacing w:line="420" w:lineRule="atLeast"/>
        <w:jc w:val="left"/>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④涉及多个采购标的且由不同制造商制造或者由不同供应商承建（承接）的，应当逐一填报每个采购标的的制造商或者承建（承接）供应商信息。</w:t>
      </w:r>
    </w:p>
    <w:p w14:paraId="6029A760">
      <w:pPr>
        <w:pStyle w:val="21"/>
        <w:keepNext w:val="0"/>
        <w:keepLines w:val="0"/>
        <w:pageBreakBefore w:val="0"/>
        <w:kinsoku/>
        <w:wordWrap/>
        <w:overflowPunct/>
        <w:topLinePunct w:val="0"/>
        <w:autoSpaceDE/>
        <w:autoSpaceDN/>
        <w:bidi w:val="0"/>
        <w:adjustRightInd/>
        <w:snapToGrid/>
        <w:spacing w:line="420" w:lineRule="atLeast"/>
        <w:jc w:val="left"/>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（2）监狱企业评审要求：提供由省级以上监狱管理局、戒毒管理局（含新疆生产建设兵团）出具的属于监狱企业的证明文件。</w:t>
      </w:r>
    </w:p>
    <w:p w14:paraId="6AF951D6">
      <w:pPr>
        <w:pStyle w:val="21"/>
        <w:keepNext w:val="0"/>
        <w:keepLines w:val="0"/>
        <w:pageBreakBefore w:val="0"/>
        <w:kinsoku/>
        <w:wordWrap/>
        <w:overflowPunct/>
        <w:topLinePunct w:val="0"/>
        <w:autoSpaceDE/>
        <w:autoSpaceDN/>
        <w:bidi w:val="0"/>
        <w:adjustRightInd/>
        <w:snapToGrid/>
        <w:spacing w:line="420" w:lineRule="atLeast"/>
        <w:jc w:val="left"/>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（3）残疾人福利性单位评审要求：提供《残疾人福利性单位声明函》。</w:t>
      </w:r>
    </w:p>
    <w:p w14:paraId="301E2BC9">
      <w:pPr>
        <w:pStyle w:val="21"/>
        <w:keepNext w:val="0"/>
        <w:keepLines w:val="0"/>
        <w:pageBreakBefore w:val="0"/>
        <w:kinsoku/>
        <w:wordWrap/>
        <w:overflowPunct/>
        <w:topLinePunct w:val="0"/>
        <w:autoSpaceDE/>
        <w:autoSpaceDN/>
        <w:bidi w:val="0"/>
        <w:adjustRightInd/>
        <w:snapToGrid/>
        <w:spacing w:line="420" w:lineRule="atLeast"/>
        <w:jc w:val="left"/>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（4）中小企业划型标准详见《关于印发中小企业划型标准规定的通知》（工信部联企业〔2011〕300号）（http://www.gov.cn/zwgk/2011-07/04/content_1898747.htm）。</w:t>
      </w:r>
    </w:p>
    <w:p w14:paraId="0AF2B9B7">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3.本项目特定的资格要求：</w:t>
      </w:r>
    </w:p>
    <w:p w14:paraId="50BF3FDC">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p w14:paraId="3B21CFF7">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单位负责人为同一人或者存在直接控股、管理关系的不同供应商，不得同时参加本采购项目投标（响应）。</w:t>
      </w:r>
    </w:p>
    <w:p w14:paraId="33DBFB4F">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1"/>
        <w:rPr>
          <w:rFonts w:hint="default" w:ascii="Times New Roman" w:hAnsi="Times New Roman" w:cs="Times New Roman" w:eastAsiaTheme="minorEastAsia"/>
          <w:b/>
          <w:color w:val="auto"/>
          <w:sz w:val="24"/>
          <w:szCs w:val="24"/>
          <w:highlight w:val="none"/>
        </w:rPr>
      </w:pPr>
      <w:bookmarkStart w:id="7" w:name="_Toc13137"/>
      <w:r>
        <w:rPr>
          <w:rFonts w:hint="default" w:ascii="Times New Roman" w:hAnsi="Times New Roman" w:cs="Times New Roman" w:eastAsiaTheme="minorEastAsia"/>
          <w:b/>
          <w:color w:val="auto"/>
          <w:sz w:val="24"/>
          <w:szCs w:val="24"/>
          <w:highlight w:val="none"/>
        </w:rPr>
        <w:t>三.获取磋商文件</w:t>
      </w:r>
      <w:bookmarkEnd w:id="7"/>
    </w:p>
    <w:p w14:paraId="54493C32">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时间：详见磋商公告及其变更公告（如有）</w:t>
      </w:r>
    </w:p>
    <w:p w14:paraId="6124097B">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地点：详见磋商公告及其变更公告（如有）</w:t>
      </w:r>
    </w:p>
    <w:p w14:paraId="61C970DB">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获取方式：</w:t>
      </w:r>
      <w:r>
        <w:rPr>
          <w:rFonts w:hint="eastAsia" w:ascii="Times New Roman" w:hAnsi="Times New Roman" w:cs="Times New Roman"/>
          <w:color w:val="auto"/>
          <w:sz w:val="21"/>
          <w:szCs w:val="21"/>
          <w:highlight w:val="none"/>
          <w:lang w:eastAsia="zh-CN"/>
        </w:rPr>
        <w:t>免费</w:t>
      </w:r>
      <w:r>
        <w:rPr>
          <w:rFonts w:hint="default" w:ascii="Times New Roman" w:hAnsi="Times New Roman" w:cs="Times New Roman" w:eastAsiaTheme="minorEastAsia"/>
          <w:color w:val="auto"/>
          <w:sz w:val="21"/>
          <w:szCs w:val="21"/>
          <w:highlight w:val="none"/>
        </w:rPr>
        <w:t>获取。</w:t>
      </w:r>
    </w:p>
    <w:p w14:paraId="5F6559B9">
      <w:pPr>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符合资格的潜在供应商应当在采购文件获取时间内按代理机构规定方式获取采购文件，流程如下：</w:t>
      </w:r>
    </w:p>
    <w:p w14:paraId="06F4A3CB">
      <w:pPr>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20" w:firstLineChars="200"/>
        <w:textAlignment w:val="auto"/>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本项目需提交资料（均须加盖供应商公章）要求为：a.有效的营业执照副本或社会团体法人证书或事业单位法人证书等复印件；b.法定代表人证明书及授权文件；将上述资料发送至邮箱：zgydfs@126.com，在资料通过审核后，即视为报名成功。</w:t>
      </w:r>
    </w:p>
    <w:p w14:paraId="43F2514D">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1"/>
        <w:rPr>
          <w:rFonts w:hint="default" w:ascii="Times New Roman" w:hAnsi="Times New Roman" w:cs="Times New Roman" w:eastAsiaTheme="minorEastAsia"/>
          <w:b/>
          <w:color w:val="auto"/>
          <w:sz w:val="24"/>
          <w:szCs w:val="24"/>
          <w:highlight w:val="none"/>
        </w:rPr>
      </w:pPr>
      <w:bookmarkStart w:id="8" w:name="_Toc23679"/>
      <w:r>
        <w:rPr>
          <w:rFonts w:hint="default" w:ascii="Times New Roman" w:hAnsi="Times New Roman" w:cs="Times New Roman" w:eastAsiaTheme="minorEastAsia"/>
          <w:b/>
          <w:color w:val="auto"/>
          <w:sz w:val="24"/>
          <w:szCs w:val="24"/>
          <w:highlight w:val="none"/>
        </w:rPr>
        <w:t>四.提交响应文件截止时间、开启时间和地点：</w:t>
      </w:r>
      <w:bookmarkEnd w:id="8"/>
    </w:p>
    <w:p w14:paraId="5E0F8D9B">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提交响应文件截止时间和开启时间：详见磋商公告及其变更公告（如有）（自响应文件开始发出之日起至响应供应商提交响应文件截止之日止，不得少于10个日历日）</w:t>
      </w:r>
    </w:p>
    <w:p w14:paraId="69F77224">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地点：详见磋商公告及其变更公告（如有）</w:t>
      </w:r>
    </w:p>
    <w:p w14:paraId="5EBDE2CE">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1"/>
        <w:rPr>
          <w:rFonts w:hint="default" w:ascii="Times New Roman" w:hAnsi="Times New Roman" w:cs="Times New Roman" w:eastAsiaTheme="minorEastAsia"/>
          <w:b/>
          <w:color w:val="auto"/>
          <w:sz w:val="24"/>
          <w:szCs w:val="24"/>
          <w:highlight w:val="none"/>
        </w:rPr>
      </w:pPr>
      <w:bookmarkStart w:id="9" w:name="_Toc28143"/>
      <w:r>
        <w:rPr>
          <w:rFonts w:hint="default" w:ascii="Times New Roman" w:hAnsi="Times New Roman" w:cs="Times New Roman" w:eastAsiaTheme="minorEastAsia"/>
          <w:b/>
          <w:color w:val="auto"/>
          <w:sz w:val="24"/>
          <w:szCs w:val="24"/>
          <w:highlight w:val="none"/>
        </w:rPr>
        <w:t>五.公告期限：</w:t>
      </w:r>
      <w:bookmarkEnd w:id="9"/>
    </w:p>
    <w:p w14:paraId="063094CA">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公告期限：自本公告发布之日起不得少于3个工作日。</w:t>
      </w:r>
    </w:p>
    <w:p w14:paraId="54A99726">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1"/>
        <w:rPr>
          <w:rFonts w:hint="default" w:ascii="Times New Roman" w:hAnsi="Times New Roman" w:cs="Times New Roman" w:eastAsiaTheme="minorEastAsia"/>
          <w:b/>
          <w:color w:val="auto"/>
          <w:sz w:val="24"/>
          <w:szCs w:val="24"/>
          <w:highlight w:val="none"/>
        </w:rPr>
      </w:pPr>
      <w:bookmarkStart w:id="10" w:name="_Toc24038"/>
      <w:r>
        <w:rPr>
          <w:rFonts w:hint="default" w:ascii="Times New Roman" w:hAnsi="Times New Roman" w:cs="Times New Roman" w:eastAsiaTheme="minorEastAsia"/>
          <w:b/>
          <w:color w:val="auto"/>
          <w:sz w:val="24"/>
          <w:szCs w:val="24"/>
          <w:highlight w:val="none"/>
        </w:rPr>
        <w:t>六.本项目联系方式：</w:t>
      </w:r>
      <w:bookmarkEnd w:id="10"/>
    </w:p>
    <w:p w14:paraId="2D98B1C8">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1.采购人信息</w:t>
      </w:r>
    </w:p>
    <w:p w14:paraId="7EC6B813">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名称：</w:t>
      </w:r>
      <w:r>
        <w:rPr>
          <w:rFonts w:hint="eastAsia" w:ascii="Times New Roman" w:hAnsi="Times New Roman" w:cs="Times New Roman"/>
          <w:color w:val="auto"/>
          <w:sz w:val="21"/>
          <w:szCs w:val="21"/>
          <w:highlight w:val="none"/>
          <w:lang w:eastAsia="zh-CN"/>
        </w:rPr>
        <w:t>佛山市高明区人民法院</w:t>
      </w:r>
    </w:p>
    <w:p w14:paraId="779EB9DD">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地址：</w:t>
      </w:r>
      <w:r>
        <w:rPr>
          <w:rFonts w:hint="eastAsia" w:ascii="Times New Roman" w:hAnsi="Times New Roman" w:cs="Times New Roman"/>
          <w:color w:val="auto"/>
          <w:sz w:val="21"/>
          <w:szCs w:val="21"/>
          <w:highlight w:val="none"/>
          <w:lang w:eastAsia="zh-CN"/>
        </w:rPr>
        <w:t>佛山市高明区荷城街道荷富大道明国路633号</w:t>
      </w:r>
    </w:p>
    <w:p w14:paraId="49E9FA72">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联系方式：0757-88266215</w:t>
      </w:r>
    </w:p>
    <w:p w14:paraId="51116C1D">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2.采购代理机构信息</w:t>
      </w:r>
    </w:p>
    <w:p w14:paraId="4571B275">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名称：</w:t>
      </w:r>
      <w:r>
        <w:rPr>
          <w:rFonts w:hint="default" w:ascii="Times New Roman" w:hAnsi="Times New Roman" w:cs="Times New Roman" w:eastAsiaTheme="minorEastAsia"/>
          <w:color w:val="auto"/>
          <w:sz w:val="21"/>
          <w:szCs w:val="21"/>
          <w:highlight w:val="none"/>
          <w:lang w:eastAsia="zh-CN"/>
        </w:rPr>
        <w:t>广东远东招标代理有限公司</w:t>
      </w:r>
    </w:p>
    <w:p w14:paraId="27F268B0">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地址：广东省佛山市禅城区季华五路10号金融广场17层A区之一</w:t>
      </w:r>
    </w:p>
    <w:p w14:paraId="68DEB377">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联系方式：0757-83332518</w:t>
      </w:r>
    </w:p>
    <w:p w14:paraId="3EF73286">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3.项目联系方式</w:t>
      </w:r>
    </w:p>
    <w:p w14:paraId="19EA9D4D">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项目联系人：</w:t>
      </w:r>
      <w:r>
        <w:rPr>
          <w:rFonts w:hint="eastAsia" w:ascii="Times New Roman" w:hAnsi="Times New Roman" w:cs="Times New Roman"/>
          <w:color w:val="auto"/>
          <w:sz w:val="21"/>
          <w:szCs w:val="21"/>
          <w:highlight w:val="none"/>
          <w:lang w:eastAsia="zh-CN"/>
        </w:rPr>
        <w:t>李</w:t>
      </w:r>
      <w:r>
        <w:rPr>
          <w:rFonts w:hint="default" w:ascii="Times New Roman" w:hAnsi="Times New Roman" w:cs="Times New Roman" w:eastAsiaTheme="minorEastAsia"/>
          <w:color w:val="auto"/>
          <w:sz w:val="21"/>
          <w:szCs w:val="21"/>
          <w:highlight w:val="none"/>
        </w:rPr>
        <w:t>先生</w:t>
      </w:r>
    </w:p>
    <w:p w14:paraId="6E5AF8D7">
      <w:pPr>
        <w:pStyle w:val="21"/>
        <w:keepNext w:val="0"/>
        <w:keepLines w:val="0"/>
        <w:pageBreakBefore w:val="0"/>
        <w:kinsoku/>
        <w:wordWrap/>
        <w:overflowPunct/>
        <w:topLinePunct w:val="0"/>
        <w:autoSpaceDE/>
        <w:autoSpaceDN/>
        <w:bidi w:val="0"/>
        <w:adjustRightInd/>
        <w:snapToGrid/>
        <w:spacing w:beforeAutospacing="0" w:afterAutospacing="0" w:line="42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电话：0757-83332518</w:t>
      </w:r>
    </w:p>
    <w:p w14:paraId="06D249EE">
      <w:pPr>
        <w:pStyle w:val="21"/>
        <w:keepNext w:val="0"/>
        <w:keepLines w:val="0"/>
        <w:pageBreakBefore w:val="0"/>
        <w:shd w:val="solid" w:color="FFFFFF" w:fill="auto"/>
        <w:kinsoku/>
        <w:wordWrap/>
        <w:overflowPunct/>
        <w:topLinePunct w:val="0"/>
        <w:autoSpaceDE/>
        <w:autoSpaceDN/>
        <w:bidi w:val="0"/>
        <w:adjustRightInd/>
        <w:snapToGrid/>
        <w:spacing w:beforeAutospacing="0" w:afterAutospacing="0" w:line="420" w:lineRule="atLeast"/>
        <w:ind w:left="0" w:leftChars="0" w:right="0" w:rightChars="0"/>
        <w:textAlignment w:val="auto"/>
        <w:outlineLvl w:val="1"/>
        <w:rPr>
          <w:rFonts w:hint="default" w:ascii="Times New Roman" w:hAnsi="Times New Roman" w:cs="Times New Roman"/>
          <w:b/>
          <w:color w:val="auto"/>
          <w:kern w:val="0"/>
          <w:sz w:val="24"/>
          <w:szCs w:val="24"/>
          <w:highlight w:val="none"/>
          <w:shd w:val="clear" w:color="auto" w:fill="FFFFFF"/>
        </w:rPr>
      </w:pPr>
      <w:r>
        <w:rPr>
          <w:rFonts w:hint="eastAsia" w:ascii="Times New Roman" w:hAnsi="Times New Roman" w:cs="Times New Roman"/>
          <w:b/>
          <w:color w:val="auto"/>
          <w:kern w:val="0"/>
          <w:sz w:val="24"/>
          <w:szCs w:val="24"/>
          <w:highlight w:val="none"/>
          <w:shd w:val="clear"/>
          <w:lang w:eastAsia="zh-CN"/>
        </w:rPr>
        <w:t>七</w:t>
      </w:r>
      <w:r>
        <w:rPr>
          <w:rFonts w:hint="default" w:ascii="Times New Roman" w:hAnsi="Times New Roman" w:cs="Times New Roman"/>
          <w:b/>
          <w:color w:val="auto"/>
          <w:kern w:val="0"/>
          <w:sz w:val="24"/>
          <w:szCs w:val="24"/>
          <w:highlight w:val="none"/>
          <w:shd w:val="clear" w:color="auto" w:fill="FFFFFF"/>
        </w:rPr>
        <w:t>、发布公告的媒介</w:t>
      </w:r>
    </w:p>
    <w:p w14:paraId="2BC7187A">
      <w:pPr>
        <w:keepNext w:val="0"/>
        <w:keepLines w:val="0"/>
        <w:pageBreakBefore w:val="0"/>
        <w:kinsoku/>
        <w:wordWrap/>
        <w:overflowPunct/>
        <w:topLinePunct w:val="0"/>
        <w:autoSpaceDE/>
        <w:autoSpaceDN/>
        <w:bidi w:val="0"/>
        <w:adjustRightInd/>
        <w:snapToGrid w:val="0"/>
        <w:spacing w:beforeAutospacing="0" w:afterAutospacing="0" w:line="420" w:lineRule="atLeast"/>
        <w:ind w:left="0" w:leftChars="0" w:right="0" w:rightChars="0" w:firstLine="441" w:firstLineChars="210"/>
        <w:textAlignment w:val="auto"/>
        <w:rPr>
          <w:rFonts w:hint="eastAsia" w:eastAsiaTheme="minorEastAsia"/>
          <w:color w:val="auto"/>
          <w:szCs w:val="21"/>
          <w:highlight w:val="none"/>
          <w:lang w:eastAsia="zh-CN"/>
        </w:rPr>
      </w:pPr>
      <w:r>
        <w:rPr>
          <w:color w:val="auto"/>
          <w:szCs w:val="21"/>
          <w:highlight w:val="none"/>
        </w:rPr>
        <w:t>广东远东招标代理有限公司网（http://www.gdydzb.com/）</w:t>
      </w:r>
      <w:r>
        <w:rPr>
          <w:rFonts w:hint="eastAsia"/>
          <w:color w:val="auto"/>
          <w:szCs w:val="21"/>
          <w:highlight w:val="none"/>
          <w:lang w:eastAsia="zh-CN"/>
        </w:rPr>
        <w:t>。</w:t>
      </w:r>
    </w:p>
    <w:p w14:paraId="6AF24600">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36"/>
          <w:highlight w:val="none"/>
        </w:rPr>
      </w:pPr>
      <w:r>
        <w:rPr>
          <w:rFonts w:hint="default" w:ascii="Times New Roman" w:hAnsi="Times New Roman" w:cs="Times New Roman" w:eastAsiaTheme="minorEastAsia"/>
          <w:b/>
          <w:color w:val="auto"/>
          <w:sz w:val="36"/>
          <w:highlight w:val="none"/>
        </w:rPr>
        <w:br w:type="page"/>
      </w:r>
    </w:p>
    <w:p w14:paraId="61EFB094">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outlineLvl w:val="0"/>
        <w:rPr>
          <w:rFonts w:hint="default" w:ascii="Times New Roman" w:hAnsi="Times New Roman" w:cs="Times New Roman" w:eastAsiaTheme="minorEastAsia"/>
          <w:color w:val="auto"/>
          <w:sz w:val="28"/>
          <w:szCs w:val="28"/>
          <w:highlight w:val="none"/>
        </w:rPr>
      </w:pPr>
      <w:bookmarkStart w:id="11" w:name="_Toc32673"/>
      <w:r>
        <w:rPr>
          <w:rFonts w:hint="default" w:ascii="Times New Roman" w:hAnsi="Times New Roman" w:cs="Times New Roman" w:eastAsiaTheme="minorEastAsia"/>
          <w:b/>
          <w:color w:val="auto"/>
          <w:sz w:val="28"/>
          <w:szCs w:val="28"/>
          <w:highlight w:val="none"/>
        </w:rPr>
        <w:t>第二</w:t>
      </w:r>
      <w:r>
        <w:rPr>
          <w:rFonts w:hint="default" w:ascii="Times New Roman" w:hAnsi="Times New Roman" w:cs="Times New Roman" w:eastAsiaTheme="minorEastAsia"/>
          <w:b/>
          <w:color w:val="auto"/>
          <w:sz w:val="28"/>
          <w:szCs w:val="28"/>
          <w:highlight w:val="none"/>
          <w:lang w:eastAsia="zh-CN"/>
        </w:rPr>
        <w:t>部分</w:t>
      </w:r>
      <w:r>
        <w:rPr>
          <w:rFonts w:hint="default" w:ascii="Times New Roman" w:hAnsi="Times New Roman" w:cs="Times New Roman" w:eastAsiaTheme="minorEastAsia"/>
          <w:b/>
          <w:color w:val="auto"/>
          <w:sz w:val="28"/>
          <w:szCs w:val="28"/>
          <w:highlight w:val="none"/>
        </w:rPr>
        <w:t xml:space="preserve"> 采购需求</w:t>
      </w:r>
      <w:bookmarkEnd w:id="11"/>
    </w:p>
    <w:p w14:paraId="2DF99FC2">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outlineLvl w:val="1"/>
        <w:rPr>
          <w:rFonts w:hint="default" w:ascii="Times New Roman" w:hAnsi="Times New Roman" w:cs="Times New Roman" w:eastAsiaTheme="minorEastAsia"/>
          <w:color w:val="auto"/>
          <w:sz w:val="24"/>
          <w:szCs w:val="24"/>
          <w:highlight w:val="none"/>
        </w:rPr>
      </w:pPr>
      <w:bookmarkStart w:id="12" w:name="_Toc27194"/>
      <w:bookmarkStart w:id="13" w:name="_Toc7528"/>
      <w:r>
        <w:rPr>
          <w:rFonts w:hint="default" w:ascii="Times New Roman" w:hAnsi="Times New Roman" w:cs="Times New Roman" w:eastAsiaTheme="minorEastAsia"/>
          <w:b/>
          <w:color w:val="auto"/>
          <w:sz w:val="24"/>
          <w:szCs w:val="24"/>
          <w:highlight w:val="none"/>
        </w:rPr>
        <w:t>一、项目概况</w:t>
      </w:r>
      <w:bookmarkEnd w:id="12"/>
      <w:bookmarkEnd w:id="13"/>
    </w:p>
    <w:p w14:paraId="6634DAEA">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2" w:firstLineChars="200"/>
        <w:textAlignment w:val="auto"/>
        <w:rPr>
          <w:rFonts w:hint="eastAsia" w:ascii="Times New Roman" w:hAnsi="Times New Roman" w:cs="Times New Roman" w:eastAsiaTheme="minorEastAsia"/>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1、项目背景</w:t>
      </w:r>
    </w:p>
    <w:p w14:paraId="62435547">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送达难”已经成为困扰法院审判、执行工作的一个难题，当事人地址不确定、恶意躲避送达，分散性送达，送达方式单一等直接制约了案件裁判的质量和效率。2019年7月31日，最高院《关于建设一站式多元化解纷机制一站式诉讼服务中心的意见》(法〔2019〕19号)明确指出“完善集约化诉讼服务机制。推动将扫描装订、卷宗流转等辅助性、事务性工作集中到诉讼服务中心，实现集约管理。建立集约化送达机制，配备专门送达团队，负责预约送达、直接送达、留置送达、邮寄送达、委托送达、转交送达、代收送达、公告送达等送达实施事务”；“完善社会化服务机制。将能够由社会第三方辅助完成以及能够外包的服务性工作全部剥离出来，通过购买服务，由社会化专业团队开展。进一步规范购买社会服务的种类、性质和内容”。加大司法便民利民惠民工作力度，为人民群众提供丰富快捷的一站式高品质的诉讼服务，全方位提升人民群众的获得感、幸福感、安全感。</w:t>
      </w:r>
    </w:p>
    <w:p w14:paraId="2F68439B">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2" w:firstLineChars="200"/>
        <w:textAlignment w:val="auto"/>
        <w:rPr>
          <w:rFonts w:hint="eastAsia" w:ascii="Times New Roman" w:hAnsi="Times New Roman" w:cs="Times New Roman" w:eastAsiaTheme="minorEastAsia"/>
          <w:b/>
          <w:bCs w:val="0"/>
          <w:color w:val="auto"/>
          <w:sz w:val="21"/>
          <w:szCs w:val="21"/>
          <w:highlight w:val="none"/>
          <w:lang w:eastAsia="zh-CN"/>
        </w:rPr>
      </w:pPr>
      <w:r>
        <w:rPr>
          <w:rFonts w:hint="eastAsia" w:ascii="Times New Roman" w:hAnsi="Times New Roman" w:cs="Times New Roman"/>
          <w:b/>
          <w:bCs w:val="0"/>
          <w:color w:val="auto"/>
          <w:sz w:val="21"/>
          <w:szCs w:val="21"/>
          <w:highlight w:val="none"/>
          <w:lang w:eastAsia="zh-CN"/>
        </w:rPr>
        <w:t>2</w:t>
      </w:r>
      <w:r>
        <w:rPr>
          <w:rFonts w:hint="eastAsia" w:ascii="Times New Roman" w:hAnsi="Times New Roman" w:cs="Times New Roman" w:eastAsiaTheme="minorEastAsia"/>
          <w:b/>
          <w:bCs w:val="0"/>
          <w:color w:val="auto"/>
          <w:sz w:val="21"/>
          <w:szCs w:val="21"/>
          <w:highlight w:val="none"/>
          <w:lang w:eastAsia="zh-CN"/>
        </w:rPr>
        <w:t>、服务目标</w:t>
      </w:r>
    </w:p>
    <w:p w14:paraId="386A269F">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集约化送达服务立足实效实用，为法官提供快速、有效、专业的送达服务，方便当事人诉讼活动，提升社会力量的协作能力和服务水平，形成线上和线下的集约式、一体化送达服务能力。</w:t>
      </w:r>
    </w:p>
    <w:p w14:paraId="213F9628">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2" w:firstLineChars="200"/>
        <w:textAlignment w:val="auto"/>
        <w:rPr>
          <w:rFonts w:hint="eastAsia" w:ascii="Times New Roman" w:hAnsi="Times New Roman" w:cs="Times New Roman" w:eastAsiaTheme="minorEastAsia"/>
          <w:b/>
          <w:bCs w:val="0"/>
          <w:color w:val="auto"/>
          <w:sz w:val="21"/>
          <w:szCs w:val="21"/>
          <w:highlight w:val="none"/>
          <w:lang w:eastAsia="zh-CN"/>
        </w:rPr>
      </w:pPr>
      <w:r>
        <w:rPr>
          <w:rFonts w:hint="eastAsia" w:ascii="Times New Roman" w:hAnsi="Times New Roman" w:cs="Times New Roman"/>
          <w:b/>
          <w:bCs w:val="0"/>
          <w:color w:val="auto"/>
          <w:sz w:val="21"/>
          <w:szCs w:val="21"/>
          <w:highlight w:val="none"/>
          <w:lang w:eastAsia="zh-CN"/>
        </w:rPr>
        <w:t>3</w:t>
      </w:r>
      <w:r>
        <w:rPr>
          <w:rFonts w:hint="eastAsia" w:ascii="Times New Roman" w:hAnsi="Times New Roman" w:cs="Times New Roman" w:eastAsiaTheme="minorEastAsia"/>
          <w:b/>
          <w:bCs w:val="0"/>
          <w:color w:val="auto"/>
          <w:sz w:val="21"/>
          <w:szCs w:val="21"/>
          <w:highlight w:val="none"/>
          <w:lang w:eastAsia="zh-CN"/>
        </w:rPr>
        <w:t>、服务原则</w:t>
      </w:r>
    </w:p>
    <w:p w14:paraId="31E6D58D">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1．依法合规原则。送达工作过程要坚持合法合规，严格遵守民事诉讼法及相关司法解释关于各种送达方式的规定，避免因送达程序不合法导致案件被发改，影响案件质量。适用送达地址推定、公告送达等情况，应由业务部门审慎确定，并明确指示送达中心。遇无明确指导意见的情形，送达专员应及时请示案件承办人，并严格按照承办人的指示从事送达工作；</w:t>
      </w:r>
    </w:p>
    <w:p w14:paraId="7CD8FF85">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2．安全可靠原则。确保网络环境、作业场地的安全可靠，强化对信息流和实物流的监控，有效保障信息和文书实物的安全；</w:t>
      </w:r>
    </w:p>
    <w:p w14:paraId="5C4C87CA">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3．快速反应原则。实现送达信息网上推送、邮寄面单在线打印，线上电子送达为主、线下邮寄送达为辅，所有送达信息在集中送达平台处理分流，采用最合适的送达方式处理，尽最快速度把送达信息交付给受送达人；</w:t>
      </w:r>
    </w:p>
    <w:p w14:paraId="6F3A113B">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4．效率优先原则。送达要坚持注重效率，送达工作应由业务部门和送达中心协同配合，根据案件实际情况，选择送达方式，安排送达计划，优化送达流程，保证送达工作高质高效完成。充分推广运用电子送达手段，挖掘时效性潜力；采用与法院审判系统对接的送达业务系统，在法律文书接收、处理、转运和送达环节优先处理，确保送达效率；</w:t>
      </w:r>
    </w:p>
    <w:p w14:paraId="2AF30DE5">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5．全程留痕原则。送达要坚持全程留痕，送达中心充分借助信息化手段，做到各送达节点及时录入送达信息，过程中产生的电话录音、送达回证、邮单回执、送达报告等送达信息共享利用，供全院随时查询回溯。</w:t>
      </w:r>
    </w:p>
    <w:p w14:paraId="71590F50">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2" w:firstLineChars="200"/>
        <w:textAlignment w:val="auto"/>
        <w:rPr>
          <w:rFonts w:hint="eastAsia" w:ascii="Times New Roman" w:hAnsi="Times New Roman" w:cs="Times New Roman" w:eastAsiaTheme="minorEastAsia"/>
          <w:b/>
          <w:bCs w:val="0"/>
          <w:color w:val="auto"/>
          <w:sz w:val="21"/>
          <w:szCs w:val="21"/>
          <w:highlight w:val="none"/>
          <w:lang w:eastAsia="zh-CN"/>
        </w:rPr>
      </w:pPr>
      <w:r>
        <w:rPr>
          <w:rFonts w:hint="eastAsia" w:ascii="Times New Roman" w:hAnsi="Times New Roman" w:cs="Times New Roman"/>
          <w:b/>
          <w:bCs w:val="0"/>
          <w:color w:val="auto"/>
          <w:sz w:val="21"/>
          <w:szCs w:val="21"/>
          <w:highlight w:val="none"/>
          <w:lang w:eastAsia="zh-CN"/>
        </w:rPr>
        <w:t>4</w:t>
      </w:r>
      <w:r>
        <w:rPr>
          <w:rFonts w:hint="eastAsia" w:ascii="Times New Roman" w:hAnsi="Times New Roman" w:cs="Times New Roman" w:eastAsiaTheme="minorEastAsia"/>
          <w:b/>
          <w:bCs w:val="0"/>
          <w:color w:val="auto"/>
          <w:sz w:val="21"/>
          <w:szCs w:val="21"/>
          <w:highlight w:val="none"/>
          <w:lang w:eastAsia="zh-CN"/>
        </w:rPr>
        <w:t>、服务范围</w:t>
      </w:r>
    </w:p>
    <w:p w14:paraId="3AD7B0BC">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高明区人民法院执行案件送达服务，费用包含送达系统软件、驻场送达服务人员、智能录音电话等，不含设备耗材和EMS邮寄费用。</w:t>
      </w:r>
    </w:p>
    <w:p w14:paraId="7EC09221">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textAlignment w:val="auto"/>
        <w:rPr>
          <w:rFonts w:hint="default" w:ascii="Times New Roman" w:hAnsi="Times New Roman" w:cs="Times New Roman" w:eastAsiaTheme="minorEastAsia"/>
          <w:b w:val="0"/>
          <w:bCs/>
          <w:color w:val="auto"/>
          <w:sz w:val="21"/>
          <w:szCs w:val="21"/>
          <w:highlight w:val="none"/>
        </w:rPr>
      </w:pPr>
    </w:p>
    <w:p w14:paraId="702F73AE">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outlineLvl w:val="1"/>
        <w:rPr>
          <w:rFonts w:hint="default" w:ascii="Times New Roman" w:hAnsi="Times New Roman" w:cs="Times New Roman" w:eastAsiaTheme="minorEastAsia"/>
          <w:b/>
          <w:color w:val="auto"/>
          <w:sz w:val="24"/>
          <w:szCs w:val="24"/>
          <w:highlight w:val="none"/>
        </w:rPr>
      </w:pPr>
      <w:bookmarkStart w:id="14" w:name="_Toc3325"/>
      <w:r>
        <w:rPr>
          <w:rFonts w:hint="default" w:ascii="Times New Roman" w:hAnsi="Times New Roman" w:cs="Times New Roman"/>
          <w:b/>
          <w:color w:val="auto"/>
          <w:sz w:val="24"/>
          <w:szCs w:val="24"/>
          <w:highlight w:val="none"/>
          <w:lang w:eastAsia="zh-CN"/>
        </w:rPr>
        <w:t>二、</w:t>
      </w:r>
      <w:r>
        <w:rPr>
          <w:rFonts w:hint="default" w:ascii="Times New Roman" w:hAnsi="Times New Roman" w:cs="Times New Roman" w:eastAsiaTheme="minorEastAsia"/>
          <w:b/>
          <w:color w:val="auto"/>
          <w:sz w:val="24"/>
          <w:szCs w:val="24"/>
          <w:highlight w:val="none"/>
        </w:rPr>
        <w:t>主要商务要求</w:t>
      </w:r>
      <w:bookmarkEnd w:id="14"/>
    </w:p>
    <w:tbl>
      <w:tblPr>
        <w:tblStyle w:val="18"/>
        <w:tblW w:w="9614" w:type="dxa"/>
        <w:tblInd w:w="-21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93"/>
        <w:gridCol w:w="7921"/>
      </w:tblGrid>
      <w:tr w14:paraId="6A631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tcPr>
          <w:p w14:paraId="32D1265E">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标的提供的时间</w:t>
            </w:r>
          </w:p>
        </w:tc>
        <w:tc>
          <w:tcPr>
            <w:tcW w:w="7921" w:type="dxa"/>
          </w:tcPr>
          <w:p w14:paraId="5424D58D">
            <w:pPr>
              <w:pStyle w:val="21"/>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eastAsiaTheme="minorEastAsia"/>
                <w:color w:val="auto"/>
                <w:sz w:val="21"/>
                <w:szCs w:val="21"/>
                <w:highlight w:val="none"/>
                <w:lang w:val="en-US" w:eastAsia="zh-CN"/>
              </w:rPr>
              <w:t>工作量达到合同总金额时，合同自动终止；未达到合同总金额，但达到合同履行服务期（24个月），经双方友好协商可适当延长合同期限。</w:t>
            </w:r>
          </w:p>
          <w:p w14:paraId="420DAA05">
            <w:pPr>
              <w:pStyle w:val="21"/>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2、合同履行期限补充要求：原则上合同生效之日计起24个月。若在合同期内未完成约定的工作量，经双方友好协商可适当延长合同期限。</w:t>
            </w:r>
          </w:p>
        </w:tc>
      </w:tr>
      <w:tr w14:paraId="4124A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tcPr>
          <w:p w14:paraId="1F2D59C2">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标的提供的地点</w:t>
            </w:r>
          </w:p>
        </w:tc>
        <w:tc>
          <w:tcPr>
            <w:tcW w:w="7921" w:type="dxa"/>
          </w:tcPr>
          <w:p w14:paraId="56E1876D">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kern w:val="0"/>
                <w:sz w:val="21"/>
                <w:szCs w:val="21"/>
                <w:highlight w:val="none"/>
                <w:lang w:eastAsia="zh-CN" w:bidi="ar"/>
              </w:rPr>
              <w:t>佛山市高明区人民法院</w:t>
            </w:r>
            <w:r>
              <w:rPr>
                <w:rFonts w:hint="default" w:ascii="Times New Roman" w:hAnsi="Times New Roman" w:cs="Times New Roman" w:eastAsiaTheme="minorEastAsia"/>
                <w:color w:val="auto"/>
                <w:kern w:val="0"/>
                <w:sz w:val="21"/>
                <w:szCs w:val="21"/>
                <w:highlight w:val="none"/>
                <w:lang w:eastAsia="zh-CN" w:bidi="ar"/>
              </w:rPr>
              <w:t>。</w:t>
            </w:r>
          </w:p>
        </w:tc>
      </w:tr>
      <w:tr w14:paraId="13B9D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7FED9BE4">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付款方式</w:t>
            </w:r>
          </w:p>
        </w:tc>
        <w:tc>
          <w:tcPr>
            <w:tcW w:w="7921" w:type="dxa"/>
          </w:tcPr>
          <w:p w14:paraId="22D80546">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预付款：合同签订生效后的15个工作日内，采购人启动财政支付流程向供应商支付合同总额的40%作为预付款。</w:t>
            </w:r>
          </w:p>
          <w:p w14:paraId="1440C6D3">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进度款：从合同签订后第三个月起按供应商每季度完成量支付。供应商申请付款时应向采购人提供双方确认后的案件量清单及送达报告，与支付金额相符的有效发票，且收款方、出具发票方、合同乙方均必须与</w:t>
            </w:r>
            <w:r>
              <w:rPr>
                <w:rFonts w:hint="eastAsia" w:ascii="Times New Roman" w:hAnsi="Times New Roman" w:cs="Times New Roman"/>
                <w:color w:val="auto"/>
                <w:sz w:val="21"/>
                <w:szCs w:val="21"/>
                <w:highlight w:val="none"/>
                <w:lang w:eastAsia="zh-CN"/>
              </w:rPr>
              <w:t>成交人</w:t>
            </w:r>
            <w:r>
              <w:rPr>
                <w:rFonts w:hint="default" w:ascii="Times New Roman" w:hAnsi="Times New Roman" w:cs="Times New Roman" w:eastAsiaTheme="minorEastAsia"/>
                <w:color w:val="auto"/>
                <w:sz w:val="21"/>
                <w:szCs w:val="21"/>
                <w:highlight w:val="none"/>
              </w:rPr>
              <w:t xml:space="preserve">名称一致，每期费用在十五个工作日内支付。 </w:t>
            </w:r>
          </w:p>
          <w:p w14:paraId="11558550">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rPr>
              <w:t>采购人应在供应商提出验收申请之日起5个工作日内验收：①.如果验收合格，采购人出具书面验收合格证明。如果验收不合格，采购人明确列明不合格之处，并出具整改意见书。如采购人在5日届满前未进行验收或未出具书面验收结果的，或提出超出本合同需求范围的不合理整改意见的，则视为供应商服务及成果已经采购人认可，通过验收。②验收办法：</w:t>
            </w:r>
            <w:r>
              <w:rPr>
                <w:rFonts w:hint="eastAsia" w:ascii="Times New Roman" w:hAnsi="Times New Roman" w:cs="Times New Roman"/>
                <w:color w:val="auto"/>
                <w:sz w:val="21"/>
                <w:szCs w:val="21"/>
                <w:highlight w:val="none"/>
                <w:lang w:eastAsia="zh-CN"/>
              </w:rPr>
              <w:t>成交人</w:t>
            </w:r>
            <w:r>
              <w:rPr>
                <w:rFonts w:hint="default" w:ascii="Times New Roman" w:hAnsi="Times New Roman" w:cs="Times New Roman" w:eastAsiaTheme="minorEastAsia"/>
                <w:color w:val="auto"/>
                <w:sz w:val="21"/>
                <w:szCs w:val="21"/>
                <w:highlight w:val="none"/>
              </w:rPr>
              <w:t>与采购人验收应参照《财政部关于进一步加强政府采购需求和履约验收管理的指导意见》 （财库〔2016〕205号）规定的要求进行验收。③.验收标准：按国家有关规定 、招标文件的服务要求、</w:t>
            </w:r>
            <w:r>
              <w:rPr>
                <w:rFonts w:hint="eastAsia" w:ascii="Times New Roman" w:hAnsi="Times New Roman" w:cs="Times New Roman"/>
                <w:color w:val="auto"/>
                <w:sz w:val="21"/>
                <w:szCs w:val="21"/>
                <w:highlight w:val="none"/>
                <w:lang w:eastAsia="zh-CN"/>
              </w:rPr>
              <w:t>成交人</w:t>
            </w:r>
            <w:r>
              <w:rPr>
                <w:rFonts w:hint="default" w:ascii="Times New Roman" w:hAnsi="Times New Roman" w:cs="Times New Roman" w:eastAsiaTheme="minorEastAsia"/>
                <w:color w:val="auto"/>
                <w:sz w:val="21"/>
                <w:szCs w:val="21"/>
                <w:highlight w:val="none"/>
              </w:rPr>
              <w:t>的投标文件及承诺以及合同约定标准进行验收。</w:t>
            </w:r>
          </w:p>
          <w:p w14:paraId="67FA941C">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eastAsiaTheme="minorEastAsia"/>
                <w:color w:val="auto"/>
                <w:sz w:val="21"/>
                <w:szCs w:val="21"/>
                <w:highlight w:val="none"/>
              </w:rPr>
              <w:t>因采购人使用的是财政资金，采购人在前款规定的付款时间为向政府采购支付部门提出办理财政支付申请手续的时间（不含政府财政支付部门审核的时间），在规定时间内提出支付申请手续后视为采购人已经按期支付。</w:t>
            </w:r>
          </w:p>
          <w:p w14:paraId="591C046B">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eastAsiaTheme="minorEastAsia"/>
                <w:color w:val="auto"/>
                <w:sz w:val="21"/>
                <w:szCs w:val="21"/>
                <w:highlight w:val="none"/>
              </w:rPr>
              <w:t>具体支付方式和支付进度，采购人可以根据项目进展情况做出调整，由采购人代表验收合格并盖章确认。</w:t>
            </w:r>
          </w:p>
          <w:p w14:paraId="579B40D3">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6、付款要求</w:t>
            </w:r>
          </w:p>
          <w:p w14:paraId="548D089A">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①甲方不承担因财政资金不能及时到位给乙方造成的任何损失。</w:t>
            </w:r>
          </w:p>
          <w:p w14:paraId="384E3084">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②收款方、出具发票方、合同乙方名称均必须与成交供应商名称一致。</w:t>
            </w:r>
          </w:p>
        </w:tc>
      </w:tr>
      <w:tr w14:paraId="1A6D2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74DF881E">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验收要求</w:t>
            </w:r>
          </w:p>
        </w:tc>
        <w:tc>
          <w:tcPr>
            <w:tcW w:w="7921" w:type="dxa"/>
          </w:tcPr>
          <w:p w14:paraId="069BB3C0">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成交供应商需为验收提供必需的一切条件及相关费用，并提供本项目</w:t>
            </w:r>
            <w:r>
              <w:rPr>
                <w:rFonts w:hint="eastAsia" w:ascii="Times New Roman" w:hAnsi="Times New Roman" w:cs="Times New Roman"/>
                <w:color w:val="auto"/>
                <w:sz w:val="21"/>
                <w:szCs w:val="21"/>
                <w:highlight w:val="none"/>
                <w:lang w:eastAsia="zh-CN"/>
              </w:rPr>
              <w:t>服务过程中</w:t>
            </w:r>
            <w:r>
              <w:rPr>
                <w:rFonts w:hint="default" w:ascii="Times New Roman" w:hAnsi="Times New Roman" w:cs="Times New Roman" w:eastAsiaTheme="minorEastAsia"/>
                <w:color w:val="auto"/>
                <w:sz w:val="21"/>
                <w:szCs w:val="21"/>
                <w:highlight w:val="none"/>
              </w:rPr>
              <w:t>的相关文档和验收所需资料</w:t>
            </w:r>
            <w:r>
              <w:rPr>
                <w:rFonts w:hint="eastAsia" w:ascii="Times New Roman" w:hAnsi="Times New Roman" w:cs="Times New Roman"/>
                <w:color w:val="auto"/>
                <w:sz w:val="21"/>
                <w:szCs w:val="21"/>
                <w:highlight w:val="none"/>
                <w:lang w:eastAsia="zh-CN"/>
              </w:rPr>
              <w:t>及记录</w:t>
            </w:r>
            <w:r>
              <w:rPr>
                <w:rFonts w:hint="default" w:ascii="Times New Roman" w:hAnsi="Times New Roman" w:cs="Times New Roman" w:eastAsiaTheme="minorEastAsia"/>
                <w:color w:val="auto"/>
                <w:sz w:val="21"/>
                <w:szCs w:val="21"/>
                <w:highlight w:val="none"/>
              </w:rPr>
              <w:t>，积极配合采购人完成验收工作。</w:t>
            </w:r>
          </w:p>
          <w:p w14:paraId="654E394B">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项目验收依次序对照执行标准</w:t>
            </w:r>
          </w:p>
          <w:p w14:paraId="56B1C58D">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符合中华人民共和国国家和履约地相关安全质量标准、行业技术规范标准、环保节能标准；</w:t>
            </w:r>
          </w:p>
          <w:p w14:paraId="416F1DA4">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符合招标文件和投标承诺中各方共同认可的各项要求；</w:t>
            </w:r>
          </w:p>
          <w:p w14:paraId="2A6BDCD8">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符合服务类项目官方颁布的验收标准。</w:t>
            </w:r>
          </w:p>
          <w:p w14:paraId="15DE616E">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eastAsiaTheme="minorEastAsia"/>
                <w:color w:val="auto"/>
                <w:sz w:val="21"/>
                <w:szCs w:val="21"/>
                <w:highlight w:val="none"/>
              </w:rPr>
              <w:t>上述各类标准与法规必须是有关官方机构最新发布的现行标准版本。</w:t>
            </w:r>
          </w:p>
          <w:p w14:paraId="5F674B9F">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rPr>
              <w:t>验收内容。按照合同规定的技术、服务、安全标准组织对供应商履约情况进行验收，并出具验收报告。验收报告应当包括每一项技术、服务、安全标准的履约情况。</w:t>
            </w:r>
          </w:p>
          <w:p w14:paraId="598BCD24">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eastAsiaTheme="minorEastAsia"/>
                <w:color w:val="auto"/>
                <w:sz w:val="21"/>
                <w:szCs w:val="21"/>
                <w:highlight w:val="none"/>
              </w:rPr>
              <w:t>验收结果。以书面形式作出结论性意见（验收报告），由验收小组成员签字及供应商授权代表签字盖章后，报告采购人。</w:t>
            </w:r>
          </w:p>
        </w:tc>
      </w:tr>
      <w:tr w14:paraId="4F96B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tcPr>
          <w:p w14:paraId="44253103">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履约保证金</w:t>
            </w:r>
          </w:p>
        </w:tc>
        <w:tc>
          <w:tcPr>
            <w:tcW w:w="7921" w:type="dxa"/>
          </w:tcPr>
          <w:p w14:paraId="2556728C">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eastAsiaTheme="minorEastAsia"/>
                <w:color w:val="auto"/>
                <w:sz w:val="21"/>
                <w:szCs w:val="21"/>
                <w:highlight w:val="none"/>
                <w:lang w:eastAsia="zh-CN"/>
              </w:rPr>
              <w:t>。</w:t>
            </w:r>
          </w:p>
          <w:p w14:paraId="039A316B">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1、为保证乙方提供的服务符合采购文件、乙方投标文件及本合同约定要求，乙方在签定合同后10个工作日内向甲方</w:t>
            </w:r>
            <w:r>
              <w:rPr>
                <w:rFonts w:hint="eastAsia" w:ascii="Times New Roman" w:hAnsi="Times New Roman" w:cs="Times New Roman" w:eastAsiaTheme="minorEastAsia"/>
                <w:color w:val="auto"/>
                <w:sz w:val="21"/>
                <w:szCs w:val="21"/>
                <w:highlight w:val="none"/>
              </w:rPr>
              <w:t>指定账号缴纳</w:t>
            </w:r>
            <w:r>
              <w:rPr>
                <w:rFonts w:hint="eastAsia" w:ascii="Times New Roman" w:hAnsi="Times New Roman" w:cs="Times New Roman" w:eastAsiaTheme="minorEastAsia"/>
                <w:color w:val="auto"/>
                <w:sz w:val="21"/>
                <w:szCs w:val="21"/>
                <w:highlight w:val="none"/>
                <w:lang w:val="en-US" w:eastAsia="zh-CN"/>
              </w:rPr>
              <w:t>合同总价的5%作为履约保证金。</w:t>
            </w:r>
          </w:p>
          <w:p w14:paraId="269B7B8E">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2、如果乙方拒绝提交或没有在规定的时间内提交履约保证金，则视为放弃中标资格。</w:t>
            </w:r>
          </w:p>
          <w:p w14:paraId="57D99581">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3、如乙方违约，甲方可随时启动项目履约保证金，因乙方违约导致扣减履约保证金后，乙方须在五个工作日内补足至原有金额，否则将视为乙方毁约，甲方有权单方面解除本合同。</w:t>
            </w:r>
          </w:p>
          <w:p w14:paraId="5B13BE65">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4、合同期内无违约行为的，履约保证金在合同结束后1个月内无息退还。</w:t>
            </w:r>
          </w:p>
        </w:tc>
      </w:tr>
    </w:tbl>
    <w:p w14:paraId="3FF221B1">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p w14:paraId="2D718A2C">
      <w:pPr>
        <w:pStyle w:val="21"/>
        <w:keepLines w:val="0"/>
        <w:kinsoku/>
        <w:wordWrap/>
        <w:overflowPunct/>
        <w:topLinePunct w:val="0"/>
        <w:bidi w:val="0"/>
        <w:spacing w:beforeAutospacing="0" w:afterAutospacing="0" w:line="360" w:lineRule="atLeast"/>
        <w:ind w:left="0" w:leftChars="0" w:right="0" w:rightChars="0"/>
        <w:outlineLvl w:val="1"/>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b/>
          <w:color w:val="auto"/>
          <w:sz w:val="24"/>
          <w:szCs w:val="24"/>
          <w:highlight w:val="none"/>
          <w:lang w:eastAsia="zh-CN"/>
        </w:rPr>
        <w:t>三、</w:t>
      </w:r>
      <w:r>
        <w:rPr>
          <w:rFonts w:hint="default" w:ascii="Times New Roman" w:hAnsi="Times New Roman" w:cs="Times New Roman" w:eastAsiaTheme="minorEastAsia"/>
          <w:b/>
          <w:color w:val="auto"/>
          <w:sz w:val="24"/>
          <w:szCs w:val="24"/>
          <w:highlight w:val="none"/>
        </w:rPr>
        <w:t>其他商务需求</w:t>
      </w:r>
    </w:p>
    <w:tbl>
      <w:tblPr>
        <w:tblStyle w:val="18"/>
        <w:tblW w:w="9633" w:type="dxa"/>
        <w:tblInd w:w="-2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0"/>
        <w:gridCol w:w="617"/>
        <w:gridCol w:w="1116"/>
        <w:gridCol w:w="7150"/>
      </w:tblGrid>
      <w:tr w14:paraId="2A1F2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39B77254">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参数</w:t>
            </w:r>
          </w:p>
          <w:p w14:paraId="7BFCC452">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性质</w:t>
            </w:r>
          </w:p>
        </w:tc>
        <w:tc>
          <w:tcPr>
            <w:tcW w:w="617" w:type="dxa"/>
            <w:vAlign w:val="center"/>
          </w:tcPr>
          <w:p w14:paraId="05760F0D">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1116" w:type="dxa"/>
            <w:vAlign w:val="center"/>
          </w:tcPr>
          <w:p w14:paraId="4DD94D30">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内容明细</w:t>
            </w:r>
          </w:p>
        </w:tc>
        <w:tc>
          <w:tcPr>
            <w:tcW w:w="7150" w:type="dxa"/>
            <w:vAlign w:val="center"/>
          </w:tcPr>
          <w:p w14:paraId="22D73F78">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内容说明</w:t>
            </w:r>
          </w:p>
        </w:tc>
      </w:tr>
      <w:tr w14:paraId="324AF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51A36791">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c>
          <w:tcPr>
            <w:tcW w:w="617" w:type="dxa"/>
          </w:tcPr>
          <w:p w14:paraId="48E81DFE">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116" w:type="dxa"/>
          </w:tcPr>
          <w:p w14:paraId="26675989">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报价要求</w:t>
            </w:r>
          </w:p>
        </w:tc>
        <w:tc>
          <w:tcPr>
            <w:tcW w:w="7150" w:type="dxa"/>
          </w:tcPr>
          <w:p w14:paraId="4A252B8C">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en-US" w:eastAsia="zh-CN"/>
              </w:rPr>
              <w:t xml:space="preserve">本项目报价为广东省佛山市目的地交付价。 </w:t>
            </w:r>
          </w:p>
          <w:p w14:paraId="5392F2C2">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投标报价指</w:t>
            </w:r>
            <w:r>
              <w:rPr>
                <w:rFonts w:hint="eastAsia" w:ascii="Times New Roman" w:hAnsi="Times New Roman" w:cs="Times New Roman"/>
                <w:color w:val="auto"/>
                <w:sz w:val="21"/>
                <w:szCs w:val="21"/>
                <w:highlight w:val="none"/>
                <w:lang w:val="en-US" w:eastAsia="zh-CN"/>
              </w:rPr>
              <w:t>供应商</w:t>
            </w:r>
            <w:r>
              <w:rPr>
                <w:rFonts w:hint="default" w:ascii="Times New Roman" w:hAnsi="Times New Roman" w:cs="Times New Roman"/>
                <w:color w:val="auto"/>
                <w:sz w:val="21"/>
                <w:szCs w:val="21"/>
                <w:highlight w:val="none"/>
                <w:lang w:val="en-US" w:eastAsia="zh-CN"/>
              </w:rPr>
              <w:t>为完成本项目所收取的全部费用，包含但不限于以下费用：成本费、劳务费、设备费、系统及软件费、接口费、交通费、税金（全额含税发票）、雇员费用、采购代理服务费、疫情防控费用以及项目实施过程中其他应预见和不可预见费用等完成本采购项目、达到采购人目的的一切费用及企业利润。</w:t>
            </w:r>
          </w:p>
          <w:p w14:paraId="4618ABB4">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3、供应商</w:t>
            </w:r>
            <w:r>
              <w:rPr>
                <w:rFonts w:hint="default" w:ascii="Times New Roman" w:hAnsi="Times New Roman" w:cs="Times New Roman"/>
                <w:color w:val="auto"/>
                <w:sz w:val="21"/>
                <w:szCs w:val="21"/>
                <w:highlight w:val="none"/>
                <w:lang w:val="en-US" w:eastAsia="zh-CN"/>
              </w:rPr>
              <w:t xml:space="preserve">需考虑本项目在实施期间的一切可能产生的费用。 </w:t>
            </w:r>
          </w:p>
          <w:p w14:paraId="043AD11F">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val="en-US" w:eastAsia="zh-CN"/>
              </w:rPr>
              <w:t>集约化送达完成约13000件执行案件全流程办案配套服务。单价最高限价：人民币45元/</w:t>
            </w:r>
            <w:r>
              <w:rPr>
                <w:rFonts w:hint="eastAsia" w:ascii="Times New Roman" w:hAnsi="Times New Roman" w:cs="Times New Roman"/>
                <w:color w:val="auto"/>
                <w:sz w:val="21"/>
                <w:szCs w:val="21"/>
                <w:highlight w:val="none"/>
                <w:lang w:val="en-US" w:eastAsia="zh-CN"/>
              </w:rPr>
              <w:t>件</w:t>
            </w:r>
            <w:r>
              <w:rPr>
                <w:rFonts w:hint="default" w:ascii="Times New Roman" w:hAnsi="Times New Roman" w:cs="Times New Roman"/>
                <w:color w:val="auto"/>
                <w:sz w:val="21"/>
                <w:szCs w:val="21"/>
                <w:highlight w:val="none"/>
                <w:lang w:val="en-US" w:eastAsia="zh-CN"/>
              </w:rPr>
              <w:t xml:space="preserve">，总价最高限价：人民币58.5万元。 </w:t>
            </w:r>
          </w:p>
          <w:p w14:paraId="5A1050B0">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本项目以单价进行报价，报价不得高于本项目的单价最高限价，否则视为无效报价，作无效投标处理。</w:t>
            </w:r>
          </w:p>
        </w:tc>
      </w:tr>
      <w:tr w14:paraId="6BAA1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707F289C">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p>
        </w:tc>
        <w:tc>
          <w:tcPr>
            <w:tcW w:w="617" w:type="dxa"/>
          </w:tcPr>
          <w:p w14:paraId="70FD2619">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2</w:t>
            </w:r>
          </w:p>
        </w:tc>
        <w:tc>
          <w:tcPr>
            <w:tcW w:w="1116" w:type="dxa"/>
          </w:tcPr>
          <w:p w14:paraId="72DB9B5A">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履约期限</w:t>
            </w:r>
          </w:p>
        </w:tc>
        <w:tc>
          <w:tcPr>
            <w:tcW w:w="7150" w:type="dxa"/>
          </w:tcPr>
          <w:p w14:paraId="53C0C6FD">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rPr>
              <w:t>合同履行期限：</w:t>
            </w:r>
            <w:r>
              <w:rPr>
                <w:rFonts w:hint="default" w:ascii="Times New Roman" w:hAnsi="Times New Roman" w:cs="Times New Roman" w:eastAsiaTheme="minorEastAsia"/>
                <w:color w:val="auto"/>
                <w:sz w:val="21"/>
                <w:szCs w:val="21"/>
                <w:highlight w:val="none"/>
              </w:rPr>
              <w:t>工作量当达到合同总金额时，合同自动终止；未达到合同总金额，但达到合同履行服务期（24个月），经双方友好协商可适当延长合同期限。</w:t>
            </w:r>
          </w:p>
        </w:tc>
      </w:tr>
      <w:tr w14:paraId="37AD4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16F2C2C1">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p>
        </w:tc>
        <w:tc>
          <w:tcPr>
            <w:tcW w:w="617" w:type="dxa"/>
          </w:tcPr>
          <w:p w14:paraId="63CDD956">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p>
        </w:tc>
        <w:tc>
          <w:tcPr>
            <w:tcW w:w="1116" w:type="dxa"/>
          </w:tcPr>
          <w:p w14:paraId="452D59EA">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结算方式</w:t>
            </w:r>
          </w:p>
        </w:tc>
        <w:tc>
          <w:tcPr>
            <w:tcW w:w="7150" w:type="dxa"/>
          </w:tcPr>
          <w:p w14:paraId="2E965BAF">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单个案件以通过法院管理部门对案件送达验收视为完成全部服务内容。若合同期满后供应商不再继续提送达配套服务时，则根据案件送达状态折算工作量进行一次性支付结算。</w:t>
            </w:r>
          </w:p>
          <w:tbl>
            <w:tblPr>
              <w:tblStyle w:val="19"/>
              <w:tblW w:w="6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2295"/>
              <w:gridCol w:w="2434"/>
            </w:tblGrid>
            <w:tr w14:paraId="7375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82" w:type="dxa"/>
                  <w:vAlign w:val="center"/>
                </w:tcPr>
                <w:p w14:paraId="307A1E78">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年份</w:t>
                  </w:r>
                </w:p>
              </w:tc>
              <w:tc>
                <w:tcPr>
                  <w:tcW w:w="2295" w:type="dxa"/>
                  <w:vAlign w:val="center"/>
                </w:tcPr>
                <w:p w14:paraId="3D89BF07">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电子送达有效率</w:t>
                  </w:r>
                </w:p>
              </w:tc>
              <w:tc>
                <w:tcPr>
                  <w:tcW w:w="2434" w:type="dxa"/>
                  <w:vAlign w:val="center"/>
                </w:tcPr>
                <w:p w14:paraId="611D289B">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结算方式</w:t>
                  </w:r>
                </w:p>
              </w:tc>
            </w:tr>
            <w:tr w14:paraId="198F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82" w:type="dxa"/>
                  <w:vMerge w:val="restart"/>
                  <w:vAlign w:val="center"/>
                </w:tcPr>
                <w:p w14:paraId="024F8599">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第一年</w:t>
                  </w:r>
                </w:p>
                <w:p w14:paraId="3D628E2E">
                  <w:pPr>
                    <w:pStyle w:val="2"/>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（1-12个月）</w:t>
                  </w:r>
                </w:p>
              </w:tc>
              <w:tc>
                <w:tcPr>
                  <w:tcW w:w="2295" w:type="dxa"/>
                  <w:vAlign w:val="center"/>
                </w:tcPr>
                <w:p w14:paraId="093A4BF6">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电子送达有效率&lt;65%</w:t>
                  </w:r>
                </w:p>
              </w:tc>
              <w:tc>
                <w:tcPr>
                  <w:tcW w:w="2434" w:type="dxa"/>
                  <w:vAlign w:val="center"/>
                </w:tcPr>
                <w:p w14:paraId="703F4B6B">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结案数×案件单价×95%</w:t>
                  </w:r>
                </w:p>
              </w:tc>
            </w:tr>
            <w:tr w14:paraId="1E75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982" w:type="dxa"/>
                  <w:vMerge w:val="continue"/>
                  <w:vAlign w:val="center"/>
                </w:tcPr>
                <w:p w14:paraId="022FF791">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p>
              </w:tc>
              <w:tc>
                <w:tcPr>
                  <w:tcW w:w="2295" w:type="dxa"/>
                  <w:vAlign w:val="center"/>
                </w:tcPr>
                <w:p w14:paraId="46974D80">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电子送达有效率≧65%</w:t>
                  </w:r>
                </w:p>
              </w:tc>
              <w:tc>
                <w:tcPr>
                  <w:tcW w:w="2434" w:type="dxa"/>
                  <w:vAlign w:val="center"/>
                </w:tcPr>
                <w:p w14:paraId="1B618107">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结案数×案件单价</w:t>
                  </w:r>
                </w:p>
              </w:tc>
            </w:tr>
            <w:tr w14:paraId="20A6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82" w:type="dxa"/>
                  <w:vMerge w:val="restart"/>
                  <w:vAlign w:val="center"/>
                </w:tcPr>
                <w:p w14:paraId="119EBDF2">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第二年</w:t>
                  </w:r>
                </w:p>
                <w:p w14:paraId="517F623C">
                  <w:pPr>
                    <w:pStyle w:val="2"/>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（13-24个月）</w:t>
                  </w:r>
                </w:p>
              </w:tc>
              <w:tc>
                <w:tcPr>
                  <w:tcW w:w="2295" w:type="dxa"/>
                  <w:vAlign w:val="center"/>
                </w:tcPr>
                <w:p w14:paraId="56E8F34A">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电子送达有效率&lt;68%</w:t>
                  </w:r>
                </w:p>
              </w:tc>
              <w:tc>
                <w:tcPr>
                  <w:tcW w:w="2434" w:type="dxa"/>
                  <w:vAlign w:val="center"/>
                </w:tcPr>
                <w:p w14:paraId="2DE85108">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结案数×案件单价×95%</w:t>
                  </w:r>
                </w:p>
              </w:tc>
            </w:tr>
            <w:tr w14:paraId="7DFF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982" w:type="dxa"/>
                  <w:vMerge w:val="continue"/>
                  <w:vAlign w:val="center"/>
                </w:tcPr>
                <w:p w14:paraId="04C9C4EF">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p>
              </w:tc>
              <w:tc>
                <w:tcPr>
                  <w:tcW w:w="2295" w:type="dxa"/>
                  <w:vAlign w:val="center"/>
                </w:tcPr>
                <w:p w14:paraId="34BA748E">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电子送达有效率≧68%</w:t>
                  </w:r>
                </w:p>
              </w:tc>
              <w:tc>
                <w:tcPr>
                  <w:tcW w:w="2434" w:type="dxa"/>
                  <w:vAlign w:val="center"/>
                </w:tcPr>
                <w:p w14:paraId="0457D456">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结案数×案件单价</w:t>
                  </w:r>
                </w:p>
              </w:tc>
            </w:tr>
            <w:tr w14:paraId="5D07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11" w:type="dxa"/>
                  <w:gridSpan w:val="3"/>
                  <w:vAlign w:val="center"/>
                </w:tcPr>
                <w:p w14:paraId="68F89EF9">
                  <w:pPr>
                    <w:pStyle w:val="2"/>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电子送达有效率指受送达人成功打开电子链接或签收邮件的比率，（每季结算一次）</w:t>
                  </w:r>
                </w:p>
              </w:tc>
            </w:tr>
          </w:tbl>
          <w:p w14:paraId="0396A59E">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b w:val="0"/>
                <w:bCs w:val="0"/>
                <w:color w:val="auto"/>
                <w:sz w:val="21"/>
                <w:szCs w:val="21"/>
                <w:highlight w:val="none"/>
              </w:rPr>
            </w:pPr>
          </w:p>
        </w:tc>
      </w:tr>
      <w:tr w14:paraId="687F1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5E762222">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p>
        </w:tc>
        <w:tc>
          <w:tcPr>
            <w:tcW w:w="617" w:type="dxa"/>
          </w:tcPr>
          <w:p w14:paraId="2D521489">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4</w:t>
            </w:r>
          </w:p>
        </w:tc>
        <w:tc>
          <w:tcPr>
            <w:tcW w:w="1116" w:type="dxa"/>
          </w:tcPr>
          <w:p w14:paraId="2ADA5CF2">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违约责任</w:t>
            </w:r>
          </w:p>
        </w:tc>
        <w:tc>
          <w:tcPr>
            <w:tcW w:w="7150" w:type="dxa"/>
          </w:tcPr>
          <w:p w14:paraId="3EFB8BB2">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供应商未能按照“时间进度要求”完成资源配备及试运行各项工作的，应支付合同总额25%的违约金，采购人有权解除合同并没收尚未退还的保证金。</w:t>
            </w:r>
          </w:p>
          <w:p w14:paraId="7B30A565">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供应商未能按照“结算方式”的约定达到当年(每季结算一次）电子送达有效率，按“结算方式”约定的结算方式结算。实际电子送达有效率比当年约定送达有效率低于15%（当年约定电子送达有效率－实际电子送达有效率≥15%），采购人有权解除合同并没收尚未退还的保证金。</w:t>
            </w:r>
          </w:p>
          <w:p w14:paraId="4E4D4DFB">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rPr>
              <w:t>供应商终止合同未提前3个月通知采购人，按合同总价的10%进行赔偿；</w:t>
            </w:r>
          </w:p>
          <w:p w14:paraId="04436CC5">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eastAsiaTheme="minorEastAsia"/>
                <w:color w:val="auto"/>
                <w:sz w:val="21"/>
                <w:szCs w:val="21"/>
                <w:highlight w:val="none"/>
              </w:rPr>
              <w:t>本合同服务期满时，若供应商需要撤场，供应商未向采购人交接电脑硬盘等全部存储介质的，或不配合采购人做好后续交接衔接工作的，应按合同总价的10%进行赔偿。</w:t>
            </w:r>
          </w:p>
        </w:tc>
      </w:tr>
      <w:tr w14:paraId="1E2AE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4A0BA9FC">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p>
        </w:tc>
        <w:tc>
          <w:tcPr>
            <w:tcW w:w="617" w:type="dxa"/>
          </w:tcPr>
          <w:p w14:paraId="48B63901">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5</w:t>
            </w:r>
          </w:p>
        </w:tc>
        <w:tc>
          <w:tcPr>
            <w:tcW w:w="1116" w:type="dxa"/>
          </w:tcPr>
          <w:p w14:paraId="3EBFC1DC">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其他</w:t>
            </w:r>
          </w:p>
        </w:tc>
        <w:tc>
          <w:tcPr>
            <w:tcW w:w="7150" w:type="dxa"/>
          </w:tcPr>
          <w:p w14:paraId="13406496">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争议解决</w:t>
            </w:r>
          </w:p>
          <w:p w14:paraId="5FE07883">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合同执行过程中发生的任何争议，如双方不能通过友好协商解决，双方一致同意向采购人所在地人民法院提起诉讼。</w:t>
            </w:r>
          </w:p>
          <w:p w14:paraId="28BDC168">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不可抗力</w:t>
            </w:r>
          </w:p>
          <w:p w14:paraId="0C534436">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由于地震、台风、水灾、战争、以及其它不能预见并且对其发生和后果不能防止或避免的不可抗力事故，致使直接影响本合同的履行或者不能按约定的条件履行时，遇有上述不可抗力事故的一方，应在不可抗力事故发生后立即将事故情况电传通知对方，并应在15天内提供事故详情及合同不能履行，或者部分不能履行，或者需要延期履行的理由的有效证明文件。此项证明文件应由事故发生地区的公证机构出具。按照事故对履行合同的影响程度，由合同各方协商决定是否解除合同，或者部分免除履行合同的责任，或者延期履行合同。</w:t>
            </w:r>
          </w:p>
          <w:p w14:paraId="4D7F6F1E">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rPr>
              <w:t>税费</w:t>
            </w:r>
          </w:p>
          <w:p w14:paraId="45836043">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在中国境</w:t>
            </w:r>
            <w:r>
              <w:rPr>
                <w:rFonts w:hint="eastAsia" w:ascii="Times New Roman" w:hAnsi="Times New Roman" w:cs="Times New Roman" w:eastAsiaTheme="minorEastAsia"/>
                <w:color w:val="auto"/>
                <w:sz w:val="21"/>
                <w:szCs w:val="21"/>
                <w:highlight w:val="none"/>
                <w:lang w:val="en-US" w:eastAsia="zh-CN"/>
              </w:rPr>
              <w:t>内、</w:t>
            </w:r>
            <w:r>
              <w:rPr>
                <w:rFonts w:hint="default" w:ascii="Times New Roman" w:hAnsi="Times New Roman" w:cs="Times New Roman" w:eastAsiaTheme="minorEastAsia"/>
                <w:color w:val="auto"/>
                <w:sz w:val="21"/>
                <w:szCs w:val="21"/>
                <w:highlight w:val="none"/>
              </w:rPr>
              <w:t>外发生的与本合同相关的一切税费及不可预见费均由供应商负担。</w:t>
            </w:r>
          </w:p>
          <w:p w14:paraId="33C5484F">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eastAsiaTheme="minorEastAsia"/>
                <w:color w:val="auto"/>
                <w:sz w:val="21"/>
                <w:szCs w:val="21"/>
                <w:highlight w:val="none"/>
              </w:rPr>
              <w:t>防疫要求</w:t>
            </w:r>
          </w:p>
          <w:p w14:paraId="485A1E5E">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如遇突发的公共卫生事件，必须服从采购人的工作安排，配合政府及相关防疫部门的工作部署，开展防疫工作。</w:t>
            </w:r>
          </w:p>
        </w:tc>
      </w:tr>
      <w:tr w14:paraId="32AB4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7" w:type="dxa"/>
            <w:gridSpan w:val="2"/>
          </w:tcPr>
          <w:p w14:paraId="60E24A0E">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说明</w:t>
            </w:r>
          </w:p>
        </w:tc>
        <w:tc>
          <w:tcPr>
            <w:tcW w:w="8266" w:type="dxa"/>
            <w:gridSpan w:val="2"/>
          </w:tcPr>
          <w:p w14:paraId="545D6B9A">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 xml:space="preserve">打“★”号条款为实质性条款，若有任何一条负偏离或不满足则导致投标（响应）无效。 </w:t>
            </w:r>
          </w:p>
          <w:p w14:paraId="116FC4B5">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打“▲”号条款为重要参数（如有），若有部分“▲”条款未响应或不满足，将根据评审要求影响其得分，但不作为无效投标（响应）条款。</w:t>
            </w:r>
          </w:p>
        </w:tc>
      </w:tr>
    </w:tbl>
    <w:p w14:paraId="5061547D">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outlineLvl w:val="1"/>
        <w:rPr>
          <w:rFonts w:hint="default" w:ascii="Times New Roman" w:hAnsi="Times New Roman" w:cs="Times New Roman" w:eastAsiaTheme="minorEastAsia"/>
          <w:b/>
          <w:color w:val="auto"/>
          <w:sz w:val="24"/>
          <w:szCs w:val="24"/>
          <w:highlight w:val="none"/>
          <w:lang w:eastAsia="zh-CN"/>
        </w:rPr>
      </w:pPr>
      <w:bookmarkStart w:id="15" w:name="_Toc4684"/>
    </w:p>
    <w:p w14:paraId="137CA00C">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outlineLvl w:val="1"/>
        <w:rPr>
          <w:rFonts w:hint="default" w:ascii="Times New Roman" w:hAnsi="Times New Roman" w:cs="Times New Roman" w:eastAsiaTheme="minorEastAsia"/>
          <w:b/>
          <w:color w:val="auto"/>
          <w:sz w:val="24"/>
          <w:szCs w:val="24"/>
          <w:highlight w:val="none"/>
          <w:lang w:eastAsia="zh-CN"/>
        </w:rPr>
      </w:pPr>
      <w:r>
        <w:rPr>
          <w:rFonts w:hint="default" w:ascii="Times New Roman" w:hAnsi="Times New Roman" w:cs="Times New Roman"/>
          <w:b/>
          <w:color w:val="auto"/>
          <w:sz w:val="24"/>
          <w:szCs w:val="24"/>
          <w:highlight w:val="none"/>
          <w:lang w:eastAsia="zh-CN"/>
        </w:rPr>
        <w:t>四、</w:t>
      </w:r>
      <w:r>
        <w:rPr>
          <w:rFonts w:hint="default" w:ascii="Times New Roman" w:hAnsi="Times New Roman" w:cs="Times New Roman" w:eastAsiaTheme="minorEastAsia"/>
          <w:b/>
          <w:color w:val="auto"/>
          <w:sz w:val="24"/>
          <w:szCs w:val="24"/>
          <w:highlight w:val="none"/>
          <w:lang w:eastAsia="zh-CN"/>
        </w:rPr>
        <w:t>技术标准与要求</w:t>
      </w:r>
      <w:bookmarkEnd w:id="15"/>
    </w:p>
    <w:tbl>
      <w:tblPr>
        <w:tblStyle w:val="18"/>
        <w:tblW w:w="9667" w:type="dxa"/>
        <w:tblInd w:w="-2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1"/>
        <w:gridCol w:w="1313"/>
        <w:gridCol w:w="1626"/>
        <w:gridCol w:w="650"/>
        <w:gridCol w:w="701"/>
        <w:gridCol w:w="1235"/>
        <w:gridCol w:w="1235"/>
        <w:gridCol w:w="893"/>
        <w:gridCol w:w="1123"/>
      </w:tblGrid>
      <w:tr w14:paraId="7BDE4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8" w:hRule="atLeast"/>
        </w:trPr>
        <w:tc>
          <w:tcPr>
            <w:tcW w:w="891" w:type="dxa"/>
            <w:vAlign w:val="center"/>
          </w:tcPr>
          <w:p w14:paraId="30FA6DAB">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313" w:type="dxa"/>
            <w:vAlign w:val="center"/>
          </w:tcPr>
          <w:p w14:paraId="159C7F5C">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品目名称</w:t>
            </w:r>
          </w:p>
        </w:tc>
        <w:tc>
          <w:tcPr>
            <w:tcW w:w="1626" w:type="dxa"/>
            <w:vAlign w:val="center"/>
          </w:tcPr>
          <w:p w14:paraId="1F500168">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标的名称</w:t>
            </w:r>
          </w:p>
        </w:tc>
        <w:tc>
          <w:tcPr>
            <w:tcW w:w="650" w:type="dxa"/>
            <w:vAlign w:val="center"/>
          </w:tcPr>
          <w:p w14:paraId="336DC0F9">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单位</w:t>
            </w:r>
          </w:p>
        </w:tc>
        <w:tc>
          <w:tcPr>
            <w:tcW w:w="701" w:type="dxa"/>
            <w:vAlign w:val="center"/>
          </w:tcPr>
          <w:p w14:paraId="0D3E51E9">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数量</w:t>
            </w:r>
          </w:p>
        </w:tc>
        <w:tc>
          <w:tcPr>
            <w:tcW w:w="1235" w:type="dxa"/>
            <w:vAlign w:val="center"/>
          </w:tcPr>
          <w:p w14:paraId="1C438250">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分项预算单价（元）</w:t>
            </w:r>
          </w:p>
        </w:tc>
        <w:tc>
          <w:tcPr>
            <w:tcW w:w="1235" w:type="dxa"/>
            <w:vAlign w:val="center"/>
          </w:tcPr>
          <w:p w14:paraId="62D0DB57">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分项预算总价（元）</w:t>
            </w:r>
          </w:p>
        </w:tc>
        <w:tc>
          <w:tcPr>
            <w:tcW w:w="893" w:type="dxa"/>
            <w:vAlign w:val="center"/>
          </w:tcPr>
          <w:p w14:paraId="7E0E4530">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所属行业</w:t>
            </w:r>
          </w:p>
        </w:tc>
        <w:tc>
          <w:tcPr>
            <w:tcW w:w="1123" w:type="dxa"/>
            <w:vAlign w:val="center"/>
          </w:tcPr>
          <w:p w14:paraId="4E9DCFBD">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技术要求</w:t>
            </w:r>
          </w:p>
        </w:tc>
      </w:tr>
      <w:tr w14:paraId="7FF72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5" w:hRule="atLeast"/>
        </w:trPr>
        <w:tc>
          <w:tcPr>
            <w:tcW w:w="891" w:type="dxa"/>
            <w:vAlign w:val="center"/>
          </w:tcPr>
          <w:p w14:paraId="3644D7C6">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313" w:type="dxa"/>
            <w:vAlign w:val="center"/>
          </w:tcPr>
          <w:p w14:paraId="2696A083">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其他服务</w:t>
            </w:r>
          </w:p>
        </w:tc>
        <w:tc>
          <w:tcPr>
            <w:tcW w:w="1626" w:type="dxa"/>
            <w:vAlign w:val="center"/>
          </w:tcPr>
          <w:p w14:paraId="16FD66A8">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佛山市高明区人民法院执行案件集约化送达服务项目</w:t>
            </w:r>
          </w:p>
        </w:tc>
        <w:tc>
          <w:tcPr>
            <w:tcW w:w="650" w:type="dxa"/>
            <w:vAlign w:val="center"/>
          </w:tcPr>
          <w:p w14:paraId="5C5BF14A">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项</w:t>
            </w:r>
          </w:p>
        </w:tc>
        <w:tc>
          <w:tcPr>
            <w:tcW w:w="701" w:type="dxa"/>
            <w:vAlign w:val="center"/>
          </w:tcPr>
          <w:p w14:paraId="5261EA26">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1</w:t>
            </w:r>
          </w:p>
        </w:tc>
        <w:tc>
          <w:tcPr>
            <w:tcW w:w="1235" w:type="dxa"/>
            <w:vAlign w:val="center"/>
          </w:tcPr>
          <w:p w14:paraId="6B4E20AF">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585,000.00</w:t>
            </w:r>
          </w:p>
        </w:tc>
        <w:tc>
          <w:tcPr>
            <w:tcW w:w="1235" w:type="dxa"/>
            <w:vAlign w:val="center"/>
          </w:tcPr>
          <w:p w14:paraId="15FE19CC">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585,000.00</w:t>
            </w:r>
          </w:p>
        </w:tc>
        <w:tc>
          <w:tcPr>
            <w:tcW w:w="893" w:type="dxa"/>
            <w:vAlign w:val="center"/>
          </w:tcPr>
          <w:p w14:paraId="53FEB693">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其他未列明行业</w:t>
            </w:r>
          </w:p>
        </w:tc>
        <w:tc>
          <w:tcPr>
            <w:tcW w:w="1123" w:type="dxa"/>
            <w:vAlign w:val="center"/>
          </w:tcPr>
          <w:p w14:paraId="59BFFFA7">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详见附表一</w:t>
            </w:r>
          </w:p>
        </w:tc>
      </w:tr>
    </w:tbl>
    <w:p w14:paraId="2BC6FFD3">
      <w:pPr>
        <w:keepLines w:val="0"/>
        <w:kinsoku/>
        <w:wordWrap/>
        <w:overflowPunct/>
        <w:topLinePunct w:val="0"/>
        <w:bidi w:val="0"/>
        <w:spacing w:beforeAutospacing="0" w:afterAutospacing="0" w:line="360" w:lineRule="atLeast"/>
        <w:ind w:left="0" w:leftChars="0" w:right="0" w:rightChars="0"/>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br w:type="page"/>
      </w:r>
    </w:p>
    <w:p w14:paraId="74F8B79C">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b/>
          <w:color w:val="auto"/>
          <w:sz w:val="21"/>
          <w:szCs w:val="21"/>
          <w:highlight w:val="none"/>
        </w:rPr>
        <w:t>附表一：</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3"/>
        <w:gridCol w:w="500"/>
        <w:gridCol w:w="8237"/>
      </w:tblGrid>
      <w:tr w14:paraId="162AA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3" w:type="dxa"/>
            <w:vAlign w:val="center"/>
          </w:tcPr>
          <w:p w14:paraId="75D6264A">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参数性质</w:t>
            </w:r>
          </w:p>
        </w:tc>
        <w:tc>
          <w:tcPr>
            <w:tcW w:w="500" w:type="dxa"/>
            <w:vAlign w:val="center"/>
          </w:tcPr>
          <w:p w14:paraId="107018FB">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8237" w:type="dxa"/>
            <w:vAlign w:val="center"/>
          </w:tcPr>
          <w:p w14:paraId="5744F3DF">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具体技术(参数)要求</w:t>
            </w:r>
          </w:p>
        </w:tc>
      </w:tr>
      <w:tr w14:paraId="190CE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3" w:type="dxa"/>
          </w:tcPr>
          <w:p w14:paraId="2995BA0D">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p>
        </w:tc>
        <w:tc>
          <w:tcPr>
            <w:tcW w:w="500" w:type="dxa"/>
          </w:tcPr>
          <w:p w14:paraId="7A0553AB">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8237" w:type="dxa"/>
          </w:tcPr>
          <w:p w14:paraId="786B35C2">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服务内容</w:t>
            </w:r>
          </w:p>
          <w:p w14:paraId="0F02F844">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lef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提供集电话送达，电子送达，EMS邮寄送达等为一体的多元化“综合送达平台”系统服务，打造高明法院送达特色应用</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提供</w:t>
            </w:r>
            <w:r>
              <w:rPr>
                <w:rFonts w:hint="eastAsia" w:ascii="Times New Roman" w:hAnsi="Times New Roman" w:cs="Times New Roman"/>
                <w:color w:val="auto"/>
                <w:sz w:val="21"/>
                <w:szCs w:val="21"/>
                <w:highlight w:val="none"/>
                <w:lang w:val="en-US" w:eastAsia="zh-CN"/>
              </w:rPr>
              <w:t>不少于3</w:t>
            </w:r>
            <w:r>
              <w:rPr>
                <w:rFonts w:hint="default" w:ascii="Times New Roman" w:hAnsi="Times New Roman" w:cs="Times New Roman"/>
                <w:color w:val="auto"/>
                <w:sz w:val="21"/>
                <w:szCs w:val="21"/>
                <w:highlight w:val="none"/>
                <w:lang w:val="en-US" w:eastAsia="zh-CN"/>
              </w:rPr>
              <w:t>名驻场服务人员，为高明区人民法院提供集约化送达服务：</w:t>
            </w:r>
          </w:p>
          <w:tbl>
            <w:tblPr>
              <w:tblStyle w:val="19"/>
              <w:tblW w:w="7971"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4291"/>
              <w:gridCol w:w="2376"/>
            </w:tblGrid>
            <w:tr w14:paraId="015A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04" w:type="dxa"/>
                  <w:vAlign w:val="center"/>
                </w:tcPr>
                <w:p w14:paraId="62E32C9D">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类别</w:t>
                  </w:r>
                </w:p>
              </w:tc>
              <w:tc>
                <w:tcPr>
                  <w:tcW w:w="4291" w:type="dxa"/>
                  <w:vAlign w:val="center"/>
                </w:tcPr>
                <w:p w14:paraId="67DA9D7B">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工作内容及职责</w:t>
                  </w:r>
                </w:p>
              </w:tc>
              <w:tc>
                <w:tcPr>
                  <w:tcW w:w="2376" w:type="dxa"/>
                  <w:vAlign w:val="center"/>
                </w:tcPr>
                <w:p w14:paraId="748B4B8E">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服务质量/标准</w:t>
                  </w:r>
                </w:p>
              </w:tc>
            </w:tr>
            <w:tr w14:paraId="081A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04" w:type="dxa"/>
                  <w:vAlign w:val="center"/>
                </w:tcPr>
                <w:p w14:paraId="6B2FD7C3">
                  <w:pPr>
                    <w:keepNext w:val="0"/>
                    <w:keepLines w:val="0"/>
                    <w:pageBreakBefore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电子（话） </w:t>
                  </w:r>
                </w:p>
                <w:p w14:paraId="761FCEFA">
                  <w:pPr>
                    <w:keepNext w:val="0"/>
                    <w:keepLines w:val="0"/>
                    <w:pageBreakBefore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送达、短信送达</w:t>
                  </w:r>
                </w:p>
              </w:tc>
              <w:tc>
                <w:tcPr>
                  <w:tcW w:w="4291" w:type="dxa"/>
                  <w:vAlign w:val="top"/>
                </w:tcPr>
                <w:p w14:paraId="42D58924">
                  <w:pPr>
                    <w:keepNext w:val="0"/>
                    <w:keepLines w:val="0"/>
                    <w:pageBreakBefore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助理、书记员在送达平台上对有联系方式（特指从运营商平台查询得到的实名制号码）的受送达人，勾选/制作需要送达的文书后，发起集约送达订单，集约送达中心系统接收订单并电话联系引导其及时查看文书，当事人在指定时限内（48小时内打6次，24小时内分三个时段各打1次）未接听电话，将向其发送短信，当事人经电话联系后仍不查阅文件，24小时后需要流转邮寄送达。</w:t>
                  </w:r>
                </w:p>
              </w:tc>
              <w:tc>
                <w:tcPr>
                  <w:tcW w:w="2376" w:type="dxa"/>
                  <w:vAlign w:val="top"/>
                </w:tcPr>
                <w:p w14:paraId="43D34438">
                  <w:pPr>
                    <w:keepNext w:val="0"/>
                    <w:keepLines w:val="0"/>
                    <w:pageBreakBefore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b/>
                      <w:bCs/>
                      <w:color w:val="auto"/>
                      <w:sz w:val="21"/>
                      <w:szCs w:val="21"/>
                      <w:highlight w:val="none"/>
                      <w:lang w:bidi="ar"/>
                    </w:rPr>
                    <w:t>时限：</w:t>
                  </w:r>
                  <w:r>
                    <w:rPr>
                      <w:rFonts w:hint="eastAsia" w:ascii="宋体" w:hAnsi="宋体" w:eastAsia="宋体" w:cs="宋体"/>
                      <w:color w:val="auto"/>
                      <w:sz w:val="21"/>
                      <w:szCs w:val="21"/>
                      <w:highlight w:val="none"/>
                      <w:lang w:bidi="ar"/>
                    </w:rPr>
                    <w:t>系统实时接单，每天16:00前创建的任务，当天17:30前处理并反馈结果；16:00后建立的工单，第二天上午11:00前处理并反馈结果</w:t>
                  </w:r>
                  <w:r>
                    <w:rPr>
                      <w:rFonts w:hint="eastAsia" w:ascii="宋体" w:hAnsi="宋体" w:eastAsia="宋体" w:cs="宋体"/>
                      <w:color w:val="auto"/>
                      <w:sz w:val="21"/>
                      <w:szCs w:val="21"/>
                      <w:highlight w:val="none"/>
                      <w:lang w:eastAsia="zh-CN" w:bidi="ar"/>
                    </w:rPr>
                    <w:t>。</w:t>
                  </w:r>
                </w:p>
                <w:p w14:paraId="48A6D7D6">
                  <w:pPr>
                    <w:keepNext w:val="0"/>
                    <w:keepLines w:val="0"/>
                    <w:pageBreakBefore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成功率：</w:t>
                  </w:r>
                </w:p>
                <w:p w14:paraId="3613BAFF">
                  <w:pPr>
                    <w:keepNext w:val="0"/>
                    <w:keepLines w:val="0"/>
                    <w:pageBreakBefore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第一年：申请执行人不低于95%；被执行人不低于55%</w:t>
                  </w:r>
                </w:p>
                <w:p w14:paraId="13A7D377">
                  <w:pPr>
                    <w:keepNext w:val="0"/>
                    <w:keepLines w:val="0"/>
                    <w:pageBreakBefore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第二年：申请执行人不低于96%；被执行人不低于60%</w:t>
                  </w:r>
                  <w:r>
                    <w:rPr>
                      <w:rFonts w:hint="eastAsia" w:ascii="宋体" w:hAnsi="宋体" w:eastAsia="宋体" w:cs="宋体"/>
                      <w:color w:val="auto"/>
                      <w:sz w:val="21"/>
                      <w:szCs w:val="21"/>
                      <w:highlight w:val="none"/>
                      <w:lang w:eastAsia="zh-CN" w:bidi="ar"/>
                    </w:rPr>
                    <w:t>。</w:t>
                  </w:r>
                </w:p>
              </w:tc>
            </w:tr>
            <w:tr w14:paraId="0ADA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04" w:type="dxa"/>
                  <w:vAlign w:val="center"/>
                </w:tcPr>
                <w:p w14:paraId="6C916E3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邮寄送达</w:t>
                  </w:r>
                </w:p>
              </w:tc>
              <w:tc>
                <w:tcPr>
                  <w:tcW w:w="4291" w:type="dxa"/>
                  <w:vAlign w:val="top"/>
                </w:tcPr>
                <w:p w14:paraId="5FA106E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集约送达中心针对电子送达不成功流转至邮寄送达的订单在第一时间进行文书打印、审核、封装、邮寄；签收回执/退件返回集约送达中心后拍照上传至送达平台，实物根据业务庭、寄件人分类、登记返回法院。</w:t>
                  </w:r>
                </w:p>
                <w:p w14:paraId="6624020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b/>
                      <w:bCs/>
                      <w:color w:val="auto"/>
                      <w:sz w:val="21"/>
                      <w:szCs w:val="21"/>
                      <w:highlight w:val="none"/>
                      <w:lang w:bidi="ar"/>
                    </w:rPr>
                    <w:t>线上邮寄：</w:t>
                  </w:r>
                  <w:r>
                    <w:rPr>
                      <w:rFonts w:hint="eastAsia" w:ascii="宋体" w:hAnsi="宋体" w:eastAsia="宋体" w:cs="宋体"/>
                      <w:color w:val="auto"/>
                      <w:sz w:val="21"/>
                      <w:szCs w:val="21"/>
                      <w:highlight w:val="none"/>
                      <w:lang w:bidi="ar"/>
                    </w:rPr>
                    <w:t>在系统里创建任务，上传文书（判决书、裁判文书等有电子版的文书）、录入收件地址信息，发起邮寄送达。</w:t>
                  </w:r>
                </w:p>
                <w:p w14:paraId="1BA0AFD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bidi="ar"/>
                    </w:rPr>
                    <w:t>线下邮寄：</w:t>
                  </w:r>
                  <w:r>
                    <w:rPr>
                      <w:rFonts w:hint="eastAsia" w:ascii="宋体" w:hAnsi="宋体" w:eastAsia="宋体" w:cs="宋体"/>
                      <w:color w:val="auto"/>
                      <w:sz w:val="21"/>
                      <w:szCs w:val="21"/>
                      <w:highlight w:val="none"/>
                      <w:lang w:bidi="ar"/>
                    </w:rPr>
                    <w:t>应诉资料类的文书进行封装文书（结案裁判文书使用A3纸打印并配封面）、打印详情单形成邮件交于揽收员进行邮件揽收寄出。</w:t>
                  </w:r>
                </w:p>
              </w:tc>
              <w:tc>
                <w:tcPr>
                  <w:tcW w:w="2376" w:type="dxa"/>
                  <w:vAlign w:val="top"/>
                </w:tcPr>
                <w:p w14:paraId="21BE8EF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b/>
                      <w:bCs/>
                      <w:color w:val="auto"/>
                      <w:sz w:val="21"/>
                      <w:szCs w:val="21"/>
                      <w:highlight w:val="none"/>
                      <w:lang w:bidi="ar"/>
                    </w:rPr>
                    <w:t>时限：</w:t>
                  </w:r>
                  <w:r>
                    <w:rPr>
                      <w:rFonts w:hint="eastAsia" w:ascii="宋体" w:hAnsi="宋体" w:eastAsia="宋体" w:cs="宋体"/>
                      <w:color w:val="auto"/>
                      <w:sz w:val="21"/>
                      <w:szCs w:val="21"/>
                      <w:highlight w:val="none"/>
                      <w:lang w:bidi="ar"/>
                    </w:rPr>
                    <w:t>按照法院与供应商签订的邮寄服务合同为准</w:t>
                  </w:r>
                  <w:r>
                    <w:rPr>
                      <w:rFonts w:hint="eastAsia" w:ascii="宋体" w:hAnsi="宋体" w:eastAsia="宋体" w:cs="宋体"/>
                      <w:color w:val="auto"/>
                      <w:sz w:val="21"/>
                      <w:szCs w:val="21"/>
                      <w:highlight w:val="none"/>
                      <w:lang w:eastAsia="zh-CN" w:bidi="ar"/>
                    </w:rPr>
                    <w:t>。</w:t>
                  </w:r>
                </w:p>
                <w:p w14:paraId="1B26CCD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妥投率：不低于60%</w:t>
                  </w:r>
                  <w:r>
                    <w:rPr>
                      <w:rFonts w:hint="eastAsia" w:ascii="宋体" w:hAnsi="宋体" w:eastAsia="宋体" w:cs="宋体"/>
                      <w:color w:val="auto"/>
                      <w:sz w:val="21"/>
                      <w:szCs w:val="21"/>
                      <w:highlight w:val="none"/>
                      <w:lang w:eastAsia="zh-CN" w:bidi="ar"/>
                    </w:rPr>
                    <w:t>。</w:t>
                  </w:r>
                </w:p>
              </w:tc>
            </w:tr>
            <w:tr w14:paraId="40A7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304" w:type="dxa"/>
                </w:tcPr>
                <w:p w14:paraId="7952C24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bidi="ar"/>
                    </w:rPr>
                  </w:pPr>
                </w:p>
                <w:p w14:paraId="604C808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公告送达</w:t>
                  </w:r>
                </w:p>
              </w:tc>
              <w:tc>
                <w:tcPr>
                  <w:tcW w:w="4291" w:type="dxa"/>
                </w:tcPr>
                <w:p w14:paraId="6158734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负责邮寄送达、直接送达、委托送达不成功的，重新排期后的挂网公告送达及张贴公告文书工作。</w:t>
                  </w:r>
                </w:p>
              </w:tc>
              <w:tc>
                <w:tcPr>
                  <w:tcW w:w="2376" w:type="dxa"/>
                </w:tcPr>
                <w:p w14:paraId="7C4FC25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实时接单</w:t>
                  </w:r>
                </w:p>
                <w:p w14:paraId="3125A92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实时挂网送达</w:t>
                  </w:r>
                </w:p>
              </w:tc>
            </w:tr>
          </w:tbl>
          <w:p w14:paraId="40E17D0C">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jc w:val="both"/>
              <w:textAlignment w:val="auto"/>
              <w:rPr>
                <w:rFonts w:hint="default" w:ascii="Times New Roman" w:hAnsi="Times New Roman" w:cs="Times New Roman" w:eastAsiaTheme="minorEastAsia"/>
                <w:color w:val="auto"/>
                <w:sz w:val="21"/>
                <w:szCs w:val="21"/>
                <w:highlight w:val="none"/>
              </w:rPr>
            </w:pPr>
          </w:p>
        </w:tc>
      </w:tr>
      <w:tr w14:paraId="408CD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3" w:type="dxa"/>
          </w:tcPr>
          <w:p w14:paraId="1B34087C">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p>
        </w:tc>
        <w:tc>
          <w:tcPr>
            <w:tcW w:w="500" w:type="dxa"/>
          </w:tcPr>
          <w:p w14:paraId="12CBC4E8">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8237" w:type="dxa"/>
          </w:tcPr>
          <w:p w14:paraId="11379208">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服务技术需求</w:t>
            </w:r>
          </w:p>
          <w:p w14:paraId="15BB5A5B">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建设集约式送达服务中心,通过社会化服务，运用信息化的手段，建设统一的送达平台,对佛山市高明区人民法院的13000件执行案件,囊括各种送达方式、集成各类送达渠道，实现文书送达信息化，保障送达程序合规化，实现送达全流程管理、证据链保全、送达成本可控、送达时效最优，兼顾公平与效率，从根本上解决 “送达难”。</w:t>
            </w:r>
          </w:p>
          <w:p w14:paraId="16584BF2">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1、送达系统功能要求</w:t>
            </w:r>
          </w:p>
          <w:p w14:paraId="61D3AC14">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1.1送达发起</w:t>
            </w:r>
          </w:p>
          <w:p w14:paraId="2834323B">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法官或书记员送达发起登记，包括案件、受送达人（当事人或代理人、辩护人等），送达材料电子选择或上传，清单及二维码打印，附加工作登记，送达机构及送达人确定等。</w:t>
            </w:r>
          </w:p>
          <w:p w14:paraId="62534F09">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1.2送达分派</w:t>
            </w:r>
          </w:p>
          <w:p w14:paraId="16F198B1">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针对未指定送达人的送达任务，为集中送达内勤或领导提供送达分派功能，支持批量分派。</w:t>
            </w:r>
          </w:p>
          <w:p w14:paraId="21DC866C">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1.3送达办理</w:t>
            </w:r>
          </w:p>
          <w:p w14:paraId="070E6DE4">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提供给送达人操作功能模块，提供送达办理功能。</w:t>
            </w:r>
          </w:p>
          <w:p w14:paraId="1172B198">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按送达条件分类（新分派、送达中、办结、终止）。</w:t>
            </w:r>
          </w:p>
          <w:p w14:paraId="511E18CF">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办理送达任务包含送达方式（电子送达、电话送达、短信送达、邮寄送达、窗口领取、外出送达、公告送达）。</w:t>
            </w:r>
          </w:p>
          <w:p w14:paraId="5A22923C">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系统需要做到可以登记并办理，也可选择派发到专职岗位。如：邮寄送达可集中将邮寄打单任务派发到邮寄集中处理岗位统一打印面单，也可以自行打印面单。</w:t>
            </w:r>
          </w:p>
          <w:p w14:paraId="55929E2C">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1.4送达跟踪</w:t>
            </w:r>
          </w:p>
          <w:p w14:paraId="6C362F6B">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支持记录送达过程和结果，可上传回执附件，对送达过程全程留痕。送达记录以案件为单位，按当事人分组，显示全过程的送达记录。对送达完成记录重点标注。</w:t>
            </w:r>
          </w:p>
          <w:p w14:paraId="73409C07">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2、送达服务要求</w:t>
            </w:r>
          </w:p>
          <w:p w14:paraId="6899402A">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2.1电子送达</w:t>
            </w:r>
          </w:p>
          <w:p w14:paraId="2D945BD1">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电话送达</w:t>
            </w:r>
          </w:p>
          <w:p w14:paraId="4F9B0619">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送达专员通过电话联系当事人，可在送达系统中登记电话通知的主叫、被叫号码、通知时间、结果等信息。</w:t>
            </w:r>
          </w:p>
          <w:p w14:paraId="7569ABE8">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当事人接通电话同意电子送达后，可以生成送达回证，并支持送达回证的入卷功能。</w:t>
            </w:r>
          </w:p>
          <w:p w14:paraId="6E130BAC">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短信送达</w:t>
            </w:r>
          </w:p>
          <w:p w14:paraId="58CBB8E0">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提供短信送达的发送编辑功能，根据短信模板自动翻译生成短信内容，短信内容附带短连接，并通过法院短信平台发送短信。当事人点击短信，系统需自动生成短信送达凭证并入卷，并支持上传到电子卷宗的对应目录下。</w:t>
            </w:r>
          </w:p>
          <w:p w14:paraId="0821FC38">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2.2来院领取</w:t>
            </w:r>
          </w:p>
          <w:p w14:paraId="6665FCC3">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送达专员或书记员通过该功能派发工单至诉讼服务中心窗口岗位，同时电子文书在系统中流转至领取文书岗位。当事人来院后，凭二代证办理领取文书、打印文书，采集当事人的送达回证电子签名等功能。</w:t>
            </w:r>
          </w:p>
          <w:p w14:paraId="1C682515">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当事人领取送达文书后，系统自动生成送达回证，并进行入卷。</w:t>
            </w:r>
          </w:p>
          <w:p w14:paraId="2B5E4283">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2.3邮寄送达</w:t>
            </w:r>
          </w:p>
          <w:p w14:paraId="446C3C0A">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对于格式化文书，支持直接提交发送送达，电子材料经集中文印岗位文印后流转至邮寄送达岗位；对于裁判文书，打印装订好后，支持提交纸质送达，纸质材料直接流转到邮寄送达岗位。</w:t>
            </w:r>
          </w:p>
          <w:p w14:paraId="2E807781">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支持合并邮寄功能：对于同案件下同收件人同收件地址的情况下，合并邮寄成一个邮单。</w:t>
            </w:r>
          </w:p>
          <w:p w14:paraId="7E29757E">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支持EMS物流信息：系统可自动获取EMS的物流详情。</w:t>
            </w:r>
          </w:p>
          <w:p w14:paraId="0977899E">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支持邮件退件登记功能：对于退件的邮件，由EMS岗位人员，集中利用高拍仪扫描寄件联照片，扫条形码定位送达记录，登记邮寄结果。</w:t>
            </w:r>
          </w:p>
          <w:p w14:paraId="17F9B922">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系统支持从扫描的EMS回执联图片中直接识别出快递号，避免手工录入。</w:t>
            </w:r>
          </w:p>
          <w:p w14:paraId="18B1350F">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EMS回执联图片可直接入卷，并上传到电子卷宗的对应目录下面。</w:t>
            </w:r>
          </w:p>
          <w:p w14:paraId="44CAE06B">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2.4案件管理</w:t>
            </w:r>
          </w:p>
          <w:p w14:paraId="31E78E6C">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 xml:space="preserve">可以查询到每个案号对应的文书，每份文书对应的签收记录；送达记录，查看每份文书，发送记录及签收情况，方便查阅；（需提供软件功能截图页面） </w:t>
            </w:r>
          </w:p>
          <w:p w14:paraId="3B48AD68">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2.5案件关联功能</w:t>
            </w:r>
          </w:p>
          <w:p w14:paraId="46D258DD">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可关联同一当事人的所有案件信息（包括民事、刑事、执行案件的关联）。</w:t>
            </w:r>
          </w:p>
          <w:p w14:paraId="0F27C048">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3、送达地址库维护服务</w:t>
            </w:r>
          </w:p>
          <w:p w14:paraId="48F5C3AE">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针对受送达人提供智能送达地址管理。</w:t>
            </w:r>
          </w:p>
          <w:p w14:paraId="33ADD770">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受送达人地址库建设：针对身份证号建立每个诉讼参与人的送达地址库；</w:t>
            </w:r>
          </w:p>
          <w:p w14:paraId="6583635C">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4、送达可视化服务</w:t>
            </w:r>
          </w:p>
          <w:p w14:paraId="6C1A91CE">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系统提供对送达数据（送达次数、送达方式等）进行统计分析的功能，提供送达可视化系统。</w:t>
            </w:r>
          </w:p>
          <w:p w14:paraId="5C0DDAAC">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5、系统对接服务</w:t>
            </w:r>
          </w:p>
          <w:p w14:paraId="6FE53367">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送达系统支持与如下系统实现对接：</w:t>
            </w:r>
          </w:p>
          <w:p w14:paraId="7275BFFC">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（1）与执行系统对接</w:t>
            </w:r>
          </w:p>
          <w:p w14:paraId="144C98E7">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支持与执行系统无缝对接，并皆部署于法院内网。通过与执行系统的对接，可以直接在执行系统界面发起送达。</w:t>
            </w:r>
          </w:p>
          <w:p w14:paraId="2784CCEA">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（2）与智能卷宗管理系统对接</w:t>
            </w:r>
          </w:p>
          <w:p w14:paraId="083A0814">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支持与智能卷宗系统无缝对接。并皆部署于法院内网。通过与智能卷宗系统的对接，可以在智能卷宗系统中提取受送达人的地址、电话等相关信息。</w:t>
            </w:r>
          </w:p>
          <w:p w14:paraId="6EA7F789">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（3）与电话语音管理系统对接</w:t>
            </w:r>
          </w:p>
          <w:p w14:paraId="11A2FB15">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支持与电话语音管理系统无缝对接。电话语音管理系统部署于外网，通过光闸与综合送达管理系统进行数据交互。送达专员在综合送达管理系统中一键拨打电话，通话完成后自动获取通话信息及录音。</w:t>
            </w:r>
          </w:p>
          <w:p w14:paraId="2BF14D2A">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（4）与短信管理系统对接</w:t>
            </w:r>
          </w:p>
          <w:p w14:paraId="258559BB">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支持与短信管理系统无缝对接，短信管理系统部署于外网，通过光闸与内网的综合送达管理系统进行数据交互。送达专员可以一键发送送达短信，系统自动生成送达报告保存到送达回执材料中。</w:t>
            </w:r>
          </w:p>
          <w:p w14:paraId="25C6A6D3">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（5）与送达网站发布系统对接</w:t>
            </w:r>
          </w:p>
          <w:p w14:paraId="4DFBF628">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支持与司法送达网无缝对接，司法送达网部署于外网，通过光闸与内网的综合送达管理系统进行数据交互。送达专员可以发起公告，公告内容通过公告模板一键生成，并同步至外网司法送达网。</w:t>
            </w:r>
          </w:p>
          <w:p w14:paraId="2D558AA2">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（6）与自助打印管理系统对接</w:t>
            </w:r>
          </w:p>
          <w:p w14:paraId="3F1BABC0">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支持与自助打印系统对接，并皆部署于法院内网。当事人可通过自助打印管理系统打印电子文书、送达清单、送达凭证。智能生成清晰可视送达报告，方便法官团队查阅：自动生成文书，并实现电子签章，实现在线自动加盖电子签章。送达报告书中包含本次送达任务电话通知记录、短信发送记录、当事人同意电子送达、与当事人约定送达地址、邮寄送达的投递记录、邮寄状态、签收状态等。</w:t>
            </w:r>
          </w:p>
          <w:p w14:paraId="4C03A587">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（7）与物流管理系统对接</w:t>
            </w:r>
          </w:p>
          <w:p w14:paraId="12D52053">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支持与物流管理系统对接，物流管理系统部署于外网，通过光闸与内网的综合送达管理系统进行数据交互。邮寄送达时，可通过物流管理系统跟踪查看物流详情。</w:t>
            </w:r>
          </w:p>
          <w:p w14:paraId="49C16F71">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 xml:space="preserve">（8）增设身份确认、地址确认、电话数据采集等服务，提高结案效率。 </w:t>
            </w:r>
          </w:p>
          <w:p w14:paraId="545F693A">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6、项目组织</w:t>
            </w:r>
          </w:p>
          <w:p w14:paraId="1559F855">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为顺利完成项目的需求分析、送达服务流程设计和部署实施等工作，必须加强项目的组织和管理。供应商必须组织稳定的、经验丰富的项目团队来完成项目的设计和实施工作。要求供应商要制订本项目的项目实施的人力安排和组织保证。</w:t>
            </w:r>
          </w:p>
          <w:p w14:paraId="4FA95353">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项目组成员必须包括项目经理岗、送达任务分派岗、电子送达岗、材料文印岗、面单套打岗、领取文书岗等岗位，驻场服务人员不少于3人，项目人员服从法院管理。若供应商无法达到各环节规定的时限要求，应当增加现场人员和设备以保证服务效果。</w:t>
            </w:r>
          </w:p>
          <w:p w14:paraId="2761B50B">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本项目的项目经理应具有丰富的集约送达服务管理经验，胜任工作分派、进度掌控及质量监管等管理工作，按要求向法院提供数据报表并分析数据能力。如项目实施过程中法院发现项目经理不能胜任相应工作，有权要求更换，供应商应按法院要求及时更换项目经理且资质不得低于原要求。</w:t>
            </w:r>
          </w:p>
          <w:p w14:paraId="4CDF620B">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（3）本项目的项目团队中至少需包含一名线上技术运维工程师。线上技术运维工程师在采购人建立的微信群等沟通工具中实时进行答疑和相关故障排除。</w:t>
            </w:r>
          </w:p>
          <w:p w14:paraId="0E92BD41">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（4）本项目拟派团队人员在上岗前须具备专业技能培训经历；至少具备大专以上学历，服务态度端正、作风优良，熟悉法院中需要服务岗位的业务流程，熟练掌握电脑等办公设备，遵守法院的规章制度。</w:t>
            </w:r>
          </w:p>
          <w:p w14:paraId="1DCA3412">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（5）采购人提供相应的办公设备和耗材，以实际满足服务需求为准。</w:t>
            </w:r>
          </w:p>
          <w:p w14:paraId="2704BAAF">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7、时间进度要求</w:t>
            </w:r>
          </w:p>
          <w:p w14:paraId="0DB6F38B">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本项目要求供应商于合同签订后10个工作日内完成相关软、硬件配备、送达业务流程梳理及全面开展服务。</w:t>
            </w:r>
          </w:p>
          <w:p w14:paraId="074B6E53">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8、安全保密要求</w:t>
            </w:r>
          </w:p>
          <w:p w14:paraId="0931DB4A">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8.1保密要求</w:t>
            </w:r>
          </w:p>
          <w:p w14:paraId="34778E77">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（1）供应商应严格遵守国家相关的保密法律规定，无条件遵守《保密协议》（由采购人提供，双方另行签订）和法院的有关规定。</w:t>
            </w:r>
          </w:p>
          <w:p w14:paraId="022176F0">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（2）服务工作必须在法院指定的场所内进行，确保场所正常秩序和安全。不得遗失、损坏卷宗，如有违法行为或违反相关规定，将依法或依据约定追究相应的责任。</w:t>
            </w:r>
          </w:p>
          <w:p w14:paraId="40298794">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3）供应商的所有工作人员必须通过采购人的审核，并登记备案。供应商必须向采购人提供以下资料：《工作人员登记表》（每人一式一份），工作人员身份证复印件（每人一式一份），工作人员档案岗位资格证书复印件（每人一式一份），《保密协议》（每人一式一份）。</w:t>
            </w:r>
          </w:p>
          <w:p w14:paraId="7B02D0D6">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4）项目实施过程中，供应商如需更换、增加工作人员，必须提前一周向法院提供拟加入人员的资料，取得法院签字同意后方可更换或者增加人手。对离开本项目实施岗位的人员，供应商需在人员离岗后一周内，在法院保存的相关工作人员的备案表格中标注离岗日期。</w:t>
            </w:r>
          </w:p>
          <w:p w14:paraId="3B84E6B4">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（5）供应商参的工作人员必须接受档案保密安全教育，并自觉学习保密知识，严格遵守《档案法》、《保密法》及其他有关法规，严防泄密现象发生。</w:t>
            </w:r>
          </w:p>
          <w:p w14:paraId="23ACBB2E">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6）除钥匙及眼镜等外，供应商工作人员未经法院同意，不得将手袋、提包、钱包、磁盘（含U盘、软盘、硬盘等）、刻录光盘、手机、MP3、MP4、报刊、纸张及其他随身物品带入工作室，也不得将工作室的物品擅自带出工作室外。</w:t>
            </w:r>
          </w:p>
          <w:p w14:paraId="5BB8E1A3">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（7）未经法院批准，供应商不得以任何形式复制离线的卷宗图像和卷宗目录数据。</w:t>
            </w:r>
          </w:p>
          <w:p w14:paraId="249A870C">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（8）供应商工作人员剔除同一案卷内的重复文件必须经法院有关人员审核同意方可实施。</w:t>
            </w:r>
          </w:p>
          <w:p w14:paraId="5C3600E8">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9）工作室内的废纸、没有送达的纸质材料（起诉状副本、证据复印件等）必须集中放置定期清理，清理时要有专人对纸张进行仔细检查，确保其中没有夹带任何档案文件后才能清出工作室，运送至法院指定位置进行销毁。</w:t>
            </w:r>
          </w:p>
          <w:p w14:paraId="25423BA9">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（10）供应商工作人员不得以任何方式非法向外人泄露档案所涉及的审判秘密、工作秘密及其他不宜公开的信息，否则按国家有关规定处理，情节严重的要承担相应的刑事责任。</w:t>
            </w:r>
          </w:p>
          <w:p w14:paraId="167C50B3">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（11）供应商应对本项目所有产生的电子化数据的完整性和安全性负责，全面做好电子化数据的本地备份（至少有一份以上的电子化数据备份），确保数据的安全。</w:t>
            </w:r>
          </w:p>
          <w:p w14:paraId="55282681">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（12）供应商购置的全部电脑硬盘等存储介质所有权归采购人所有。项目结束，供应商离场前需将电脑硬盘等全部存储介质交给采购人，由采购人进行处理。</w:t>
            </w:r>
          </w:p>
          <w:p w14:paraId="78F6C492">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9、其他要求</w:t>
            </w:r>
          </w:p>
          <w:p w14:paraId="133B25A6">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（1）供应商需及时将项目实施情况汇报给采购人，及时告知项目实施过程中存在的各种风险及防范措施，每周向采购人提交项目实施报告，每月定期提交工作进度报告。</w:t>
            </w:r>
          </w:p>
          <w:p w14:paraId="07C92AE5">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（2）未尽事项。本文件未尽之处按照最高院、省法院、佛山中院有关规定执行。</w:t>
            </w:r>
          </w:p>
        </w:tc>
      </w:tr>
      <w:tr w14:paraId="2AD59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3" w:type="dxa"/>
          </w:tcPr>
          <w:p w14:paraId="68B22185">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p>
        </w:tc>
        <w:tc>
          <w:tcPr>
            <w:tcW w:w="500" w:type="dxa"/>
          </w:tcPr>
          <w:p w14:paraId="0EF34F8B">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p>
        </w:tc>
        <w:tc>
          <w:tcPr>
            <w:tcW w:w="8237" w:type="dxa"/>
          </w:tcPr>
          <w:p w14:paraId="6DAD4B10">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right="0" w:rightChars="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技术服务、培训等</w:t>
            </w:r>
          </w:p>
          <w:p w14:paraId="00EA2F96">
            <w:pPr>
              <w:pStyle w:val="21"/>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tLeast"/>
              <w:ind w:left="0" w:leftChars="0" w:right="0" w:rightChars="0" w:firstLine="422" w:firstLineChars="20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工作时间</w:t>
            </w:r>
          </w:p>
          <w:p w14:paraId="620454DE">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tLeast"/>
              <w:ind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国家法定工作日和法院统一要求加班的节假日，上午8:00-12：00，下午：13:30-17:30。供应商应严格执行考勤制度，做好考勤登记，确保员工准时上班。</w:t>
            </w:r>
          </w:p>
          <w:p w14:paraId="31999E5C">
            <w:pPr>
              <w:pStyle w:val="21"/>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tLeast"/>
              <w:ind w:left="0" w:leftChars="0" w:right="0" w:rightChars="0" w:firstLine="422" w:firstLineChars="20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技术服务</w:t>
            </w:r>
          </w:p>
          <w:p w14:paraId="2D509E52">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tLeast"/>
              <w:ind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工作时间供应商须提供运维工程师现场或远程解答采购人关于送达系统的技术问题。</w:t>
            </w:r>
          </w:p>
          <w:p w14:paraId="5AB7FBFE">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2" w:firstLineChars="20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3、售后服务</w:t>
            </w:r>
          </w:p>
          <w:p w14:paraId="39F96193">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提供每天24小时的不间断技术支持服务，为采购人提供电话、传真、视频、现场等多种方式技术支持服务，全方位响应需求；确有必要需在2小时内到达现场，并最迟在第2个工作日内排除错误，2个工作日内不能解决的，必须采取临时应急等措施，以保证采购人的正常使用。</w:t>
            </w:r>
          </w:p>
          <w:p w14:paraId="33EE442F">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供应商须提供从项目整体验收合格之日起，提供一年的免费质保期服务；质保期满后，提供的技术支持和维护，只收取技术服务成本价。无论在质保期内还是质保期满后，供应商负责对其实施的项目提供24小时不间断技术支持服务，全方位技术响应。</w:t>
            </w:r>
          </w:p>
          <w:p w14:paraId="2DC2C40E">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2" w:firstLineChars="20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4、培训</w:t>
            </w:r>
          </w:p>
          <w:p w14:paraId="77B7C69F">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供应商需对其所有工作人员定期进行岗位培训，每季度至少培训一次，培训内容包括但不限于技术、保密等相关内容，保证项目的安全、进度和质量。</w:t>
            </w:r>
          </w:p>
          <w:p w14:paraId="3C01B776">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2" w:firstLineChars="200"/>
              <w:jc w:val="both"/>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5、人员调整</w:t>
            </w:r>
          </w:p>
          <w:p w14:paraId="5F9D8F3F">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供应商须按其投标文件中承诺提供的项目组人员按要求投入到本项目中，在合同期内不得擅自更换，并向采购人报备投入本项目人员信息。供应商如因工作安排或其他原因，需要更换项目组人员时，应事前向采购人书面提出申请，未经采购人同意，不得更换人员。</w:t>
            </w:r>
          </w:p>
          <w:p w14:paraId="218A52FA">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采购人有权以书面形式要求供应商更换不能按规定履行合同或工作质量出现问题的工作人员，同时并收回相关出入采购人场所证件，替代人员的资质仍应得到采购人的认可，且其资历和经验均不低于被更换人员，由此而产生的费用由供应商承担。</w:t>
            </w:r>
          </w:p>
          <w:p w14:paraId="4FCD82D8">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3）供应商未经采购人书面同意擅自更换项目组人员，采购人有权扣除供应商一定的违约金；发生本条上述情况累计达4次后，采购人有权终止合同，由此引致的经济损失，供应商须全额赔偿，采购人保留追究供应商相关责任的权利。</w:t>
            </w:r>
          </w:p>
          <w:p w14:paraId="25A51FE7">
            <w:pPr>
              <w:pStyle w:val="21"/>
              <w:keepNext w:val="0"/>
              <w:keepLines w:val="0"/>
              <w:pageBreakBefore w:val="0"/>
              <w:widowControl/>
              <w:kinsoku/>
              <w:wordWrap/>
              <w:overflowPunct/>
              <w:topLinePunct w:val="0"/>
              <w:autoSpaceDE/>
              <w:autoSpaceDN/>
              <w:bidi w:val="0"/>
              <w:adjustRightInd/>
              <w:snapToGrid/>
              <w:spacing w:beforeAutospacing="0" w:afterAutospacing="0" w:line="360" w:lineRule="atLeast"/>
              <w:ind w:left="0" w:leftChars="0" w:right="0" w:rightChars="0" w:firstLine="420" w:firstLineChars="200"/>
              <w:jc w:val="both"/>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（4）供应商对其项目人员的人身安全负全部责任。</w:t>
            </w:r>
          </w:p>
        </w:tc>
      </w:tr>
      <w:tr w14:paraId="0403E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3" w:type="dxa"/>
          </w:tcPr>
          <w:p w14:paraId="5437E3BF">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说明</w:t>
            </w:r>
          </w:p>
        </w:tc>
        <w:tc>
          <w:tcPr>
            <w:tcW w:w="8737" w:type="dxa"/>
            <w:gridSpan w:val="2"/>
          </w:tcPr>
          <w:p w14:paraId="206DAE69">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 xml:space="preserve">打“★”号条款为实质性条款，若有任何一条负偏离或不满足则导致投标无效。 </w:t>
            </w:r>
          </w:p>
          <w:p w14:paraId="1919A382">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打“▲”号条款为重要技术参数，若有部分“▲”条款未响应或不满足，将导致其响应性评审加重扣分，但不作为无效投标条款。</w:t>
            </w:r>
          </w:p>
        </w:tc>
      </w:tr>
    </w:tbl>
    <w:p w14:paraId="35E4B5DC">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36"/>
          <w:highlight w:val="none"/>
        </w:rPr>
      </w:pPr>
      <w:r>
        <w:rPr>
          <w:rFonts w:hint="default" w:ascii="Times New Roman" w:hAnsi="Times New Roman" w:cs="Times New Roman" w:eastAsiaTheme="minorEastAsia"/>
          <w:b/>
          <w:color w:val="auto"/>
          <w:sz w:val="36"/>
          <w:highlight w:val="none"/>
        </w:rPr>
        <w:br w:type="page"/>
      </w:r>
    </w:p>
    <w:p w14:paraId="359EBDFE">
      <w:pPr>
        <w:pStyle w:val="21"/>
        <w:keepLines w:val="0"/>
        <w:kinsoku/>
        <w:wordWrap/>
        <w:overflowPunct/>
        <w:topLinePunct w:val="0"/>
        <w:bidi w:val="0"/>
        <w:spacing w:beforeAutospacing="0" w:afterAutospacing="0" w:line="440" w:lineRule="atLeast"/>
        <w:ind w:left="0" w:leftChars="0" w:right="0" w:rightChars="0"/>
        <w:jc w:val="center"/>
        <w:outlineLvl w:val="0"/>
        <w:rPr>
          <w:rFonts w:hint="default" w:ascii="Times New Roman" w:hAnsi="Times New Roman" w:cs="Times New Roman" w:eastAsiaTheme="minorEastAsia"/>
          <w:color w:val="auto"/>
          <w:sz w:val="28"/>
          <w:szCs w:val="28"/>
          <w:highlight w:val="none"/>
        </w:rPr>
      </w:pPr>
      <w:bookmarkStart w:id="16" w:name="_Toc24412"/>
      <w:r>
        <w:rPr>
          <w:rFonts w:hint="default" w:ascii="Times New Roman" w:hAnsi="Times New Roman" w:cs="Times New Roman" w:eastAsiaTheme="minorEastAsia"/>
          <w:b/>
          <w:color w:val="auto"/>
          <w:sz w:val="28"/>
          <w:szCs w:val="28"/>
          <w:highlight w:val="none"/>
        </w:rPr>
        <w:t>第三</w:t>
      </w:r>
      <w:r>
        <w:rPr>
          <w:rFonts w:hint="default" w:ascii="Times New Roman" w:hAnsi="Times New Roman" w:cs="Times New Roman" w:eastAsiaTheme="minorEastAsia"/>
          <w:b/>
          <w:color w:val="auto"/>
          <w:sz w:val="28"/>
          <w:szCs w:val="28"/>
          <w:highlight w:val="none"/>
          <w:lang w:eastAsia="zh-CN"/>
        </w:rPr>
        <w:t>部分</w:t>
      </w:r>
      <w:r>
        <w:rPr>
          <w:rFonts w:hint="default" w:ascii="Times New Roman" w:hAnsi="Times New Roman" w:cs="Times New Roman" w:eastAsiaTheme="minorEastAsia"/>
          <w:b/>
          <w:color w:val="auto"/>
          <w:sz w:val="28"/>
          <w:szCs w:val="28"/>
          <w:highlight w:val="none"/>
        </w:rPr>
        <w:t xml:space="preserve"> 供应商须知</w:t>
      </w:r>
      <w:bookmarkEnd w:id="16"/>
    </w:p>
    <w:p w14:paraId="4A444592">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197D22C2">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请注意：供应商需在响应文件截止时间前，将响应文件</w:t>
      </w:r>
      <w:r>
        <w:rPr>
          <w:rFonts w:hint="eastAsia" w:ascii="Times New Roman" w:hAnsi="Times New Roman" w:cs="Times New Roman"/>
          <w:color w:val="auto"/>
          <w:sz w:val="21"/>
          <w:szCs w:val="21"/>
          <w:highlight w:val="none"/>
          <w:lang w:eastAsia="zh-CN"/>
        </w:rPr>
        <w:t>投递到采购公告中规定地点处</w:t>
      </w:r>
      <w:r>
        <w:rPr>
          <w:rFonts w:hint="default" w:ascii="Times New Roman" w:hAnsi="Times New Roman" w:cs="Times New Roman" w:eastAsiaTheme="minorEastAsia"/>
          <w:color w:val="auto"/>
          <w:sz w:val="21"/>
          <w:szCs w:val="21"/>
          <w:highlight w:val="none"/>
        </w:rPr>
        <w:t>，逾期投递送达将导致响应无效。</w:t>
      </w:r>
    </w:p>
    <w:p w14:paraId="60EC1424">
      <w:pPr>
        <w:pStyle w:val="21"/>
        <w:keepLines w:val="0"/>
        <w:kinsoku/>
        <w:wordWrap/>
        <w:overflowPunct/>
        <w:topLinePunct w:val="0"/>
        <w:bidi w:val="0"/>
        <w:spacing w:beforeAutospacing="0" w:afterAutospacing="0" w:line="440" w:lineRule="atLeast"/>
        <w:ind w:left="0" w:leftChars="0" w:right="0" w:rightChars="0"/>
        <w:outlineLvl w:val="1"/>
        <w:rPr>
          <w:rFonts w:hint="default" w:ascii="Times New Roman" w:hAnsi="Times New Roman" w:cs="Times New Roman" w:eastAsiaTheme="minorEastAsia"/>
          <w:color w:val="auto"/>
          <w:sz w:val="24"/>
          <w:szCs w:val="24"/>
          <w:highlight w:val="none"/>
        </w:rPr>
      </w:pPr>
      <w:bookmarkStart w:id="17" w:name="_Toc23160"/>
      <w:r>
        <w:rPr>
          <w:rFonts w:hint="default" w:ascii="Times New Roman" w:hAnsi="Times New Roman" w:cs="Times New Roman" w:eastAsiaTheme="minorEastAsia"/>
          <w:b/>
          <w:color w:val="auto"/>
          <w:sz w:val="24"/>
          <w:szCs w:val="24"/>
          <w:highlight w:val="none"/>
        </w:rPr>
        <w:t>一、名词解释</w:t>
      </w:r>
      <w:bookmarkEnd w:id="17"/>
    </w:p>
    <w:p w14:paraId="7585AD5B">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1.采购代理机构：本项目是指</w:t>
      </w:r>
      <w:r>
        <w:rPr>
          <w:rFonts w:hint="default" w:ascii="Times New Roman" w:hAnsi="Times New Roman" w:cs="Times New Roman" w:eastAsiaTheme="minorEastAsia"/>
          <w:color w:val="auto"/>
          <w:sz w:val="21"/>
          <w:szCs w:val="21"/>
          <w:highlight w:val="none"/>
          <w:lang w:eastAsia="zh-CN"/>
        </w:rPr>
        <w:t>广东远东招标代理有限公司</w:t>
      </w:r>
      <w:r>
        <w:rPr>
          <w:rFonts w:hint="default" w:ascii="Times New Roman" w:hAnsi="Times New Roman" w:cs="Times New Roman" w:eastAsiaTheme="minorEastAsia"/>
          <w:color w:val="auto"/>
          <w:sz w:val="21"/>
          <w:szCs w:val="21"/>
          <w:highlight w:val="none"/>
        </w:rPr>
        <w:t>，负责整个采购活动的组织，依法负责编制和发布磋商文件，对磋商文件拥有最终的解释权，不以任何身份出任磋商小组成员。</w:t>
      </w:r>
    </w:p>
    <w:p w14:paraId="7AFE001C">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2.采购人：本项目是指</w:t>
      </w:r>
      <w:r>
        <w:rPr>
          <w:rFonts w:hint="eastAsia" w:ascii="Times New Roman" w:hAnsi="Times New Roman" w:cs="Times New Roman"/>
          <w:color w:val="auto"/>
          <w:sz w:val="21"/>
          <w:szCs w:val="21"/>
          <w:highlight w:val="none"/>
          <w:lang w:eastAsia="zh-CN"/>
        </w:rPr>
        <w:t>佛山市高明区人民法院</w:t>
      </w:r>
      <w:r>
        <w:rPr>
          <w:rFonts w:hint="default" w:ascii="Times New Roman" w:hAnsi="Times New Roman" w:cs="Times New Roman" w:eastAsiaTheme="minorEastAsia"/>
          <w:color w:val="auto"/>
          <w:sz w:val="21"/>
          <w:szCs w:val="21"/>
          <w:highlight w:val="none"/>
        </w:rPr>
        <w:t>，是采购活动当事人之一，负责项目的整体规划、技术方案可行性设计论证与实施，作为合同</w:t>
      </w:r>
      <w:r>
        <w:rPr>
          <w:rFonts w:hint="eastAsia" w:ascii="Times New Roman" w:hAnsi="Times New Roman" w:cs="Times New Roman"/>
          <w:color w:val="auto"/>
          <w:sz w:val="21"/>
          <w:szCs w:val="21"/>
          <w:highlight w:val="none"/>
          <w:lang w:eastAsia="zh-CN"/>
        </w:rPr>
        <w:t>采购人</w:t>
      </w:r>
      <w:r>
        <w:rPr>
          <w:rFonts w:hint="default" w:ascii="Times New Roman" w:hAnsi="Times New Roman" w:cs="Times New Roman" w:eastAsiaTheme="minorEastAsia"/>
          <w:color w:val="auto"/>
          <w:sz w:val="21"/>
          <w:szCs w:val="21"/>
          <w:highlight w:val="none"/>
        </w:rPr>
        <w:t>（用户）的主体承担质疑回复、履行合同、验收与评价等义务。</w:t>
      </w:r>
    </w:p>
    <w:p w14:paraId="7CF2C98B">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3.供应商：是指完成本项目响应登记并提交电子响应文件的供应商。</w:t>
      </w:r>
    </w:p>
    <w:p w14:paraId="3DD4F159">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4.“磋商小组”是指根据《中华人民共和国政府采购法》等法律法规规定，由采购人代表和有关专家组成以确定成交供应商或者推荐成交候选供应商的临时组织。</w:t>
      </w:r>
    </w:p>
    <w:p w14:paraId="5BEC8D02">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5.“成交供应商”是指经磋商小组评审确定的对磋商文件做出实质性响应，经采购人按照规定在磋商小组推荐的成交候选供应商中确定的或磋商小组受采购人委托直接确认的供应商。</w:t>
      </w:r>
    </w:p>
    <w:p w14:paraId="661C29E5">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6.磋商文件：是指包括磋商公告和磋商文件及其补充、变更和澄清等一系列文件。</w:t>
      </w:r>
    </w:p>
    <w:p w14:paraId="494BD3B1">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7</w:t>
      </w:r>
      <w:r>
        <w:rPr>
          <w:rFonts w:hint="default" w:ascii="Times New Roman" w:hAnsi="Times New Roman" w:cs="Times New Roman" w:eastAsiaTheme="minorEastAsia"/>
          <w:color w:val="auto"/>
          <w:sz w:val="21"/>
          <w:szCs w:val="21"/>
          <w:highlight w:val="none"/>
        </w:rPr>
        <w:t>.“投标人代表签字”及“授权代表”：在投标（响应）文件及相关的其他资料中，涉及“投标人代表签字”或“授权代表”应在纸质投标（响应）文件上进行手写签名。</w:t>
      </w:r>
    </w:p>
    <w:p w14:paraId="7126B973">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8</w:t>
      </w:r>
      <w:r>
        <w:rPr>
          <w:rFonts w:hint="default" w:ascii="Times New Roman" w:hAnsi="Times New Roman" w:cs="Times New Roman" w:eastAsiaTheme="minorEastAsia"/>
          <w:color w:val="auto"/>
          <w:sz w:val="21"/>
          <w:szCs w:val="21"/>
          <w:highlight w:val="none"/>
        </w:rPr>
        <w:t>.“法定代表人”：在投标（响应）文件及相关的其他资料中，涉及“法定代表人”应在纸质投标（响应）文件上进行手写签名。</w:t>
      </w:r>
    </w:p>
    <w:p w14:paraId="690D8E03">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9</w:t>
      </w:r>
      <w:r>
        <w:rPr>
          <w:rFonts w:hint="default" w:ascii="Times New Roman" w:hAnsi="Times New Roman" w:cs="Times New Roman" w:eastAsiaTheme="minorEastAsia"/>
          <w:color w:val="auto"/>
          <w:sz w:val="21"/>
          <w:szCs w:val="21"/>
          <w:highlight w:val="none"/>
        </w:rPr>
        <w:t>.日期、天数、时间：未有特别说明时，均为公历日（天）及北京时间。</w:t>
      </w:r>
    </w:p>
    <w:p w14:paraId="5F1122C7">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br w:type="page"/>
      </w:r>
    </w:p>
    <w:p w14:paraId="7401D4E4">
      <w:pPr>
        <w:pStyle w:val="21"/>
        <w:keepLines w:val="0"/>
        <w:kinsoku/>
        <w:wordWrap/>
        <w:overflowPunct/>
        <w:topLinePunct w:val="0"/>
        <w:bidi w:val="0"/>
        <w:spacing w:beforeAutospacing="0" w:afterAutospacing="0" w:line="440" w:lineRule="atLeast"/>
        <w:ind w:left="0" w:leftChars="0" w:right="0" w:rightChars="0"/>
        <w:outlineLvl w:val="1"/>
        <w:rPr>
          <w:rFonts w:hint="default" w:ascii="Times New Roman" w:hAnsi="Times New Roman" w:cs="Times New Roman" w:eastAsiaTheme="minorEastAsia"/>
          <w:color w:val="auto"/>
          <w:sz w:val="24"/>
          <w:szCs w:val="24"/>
          <w:highlight w:val="none"/>
        </w:rPr>
      </w:pPr>
      <w:bookmarkStart w:id="18" w:name="_Toc15214"/>
      <w:r>
        <w:rPr>
          <w:rFonts w:hint="default" w:ascii="Times New Roman" w:hAnsi="Times New Roman" w:cs="Times New Roman" w:eastAsiaTheme="minorEastAsia"/>
          <w:b/>
          <w:color w:val="auto"/>
          <w:sz w:val="24"/>
          <w:szCs w:val="24"/>
          <w:highlight w:val="none"/>
        </w:rPr>
        <w:t>二、须知前附表</w:t>
      </w:r>
      <w:bookmarkEnd w:id="18"/>
    </w:p>
    <w:tbl>
      <w:tblPr>
        <w:tblStyle w:val="18"/>
        <w:tblW w:w="920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2529"/>
        <w:gridCol w:w="5951"/>
      </w:tblGrid>
      <w:tr w14:paraId="0C2DD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05" w:type="dxa"/>
            <w:gridSpan w:val="3"/>
          </w:tcPr>
          <w:p w14:paraId="5D4AE99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本表与磋商文件对应章节的内容若不一致，以本表为准。</w:t>
            </w:r>
          </w:p>
        </w:tc>
      </w:tr>
      <w:tr w14:paraId="289B0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vAlign w:val="center"/>
          </w:tcPr>
          <w:p w14:paraId="0A6C5E5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529" w:type="dxa"/>
            <w:vAlign w:val="center"/>
          </w:tcPr>
          <w:p w14:paraId="1ECE7A6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条款名称</w:t>
            </w:r>
          </w:p>
        </w:tc>
        <w:tc>
          <w:tcPr>
            <w:tcW w:w="5951" w:type="dxa"/>
            <w:vAlign w:val="center"/>
          </w:tcPr>
          <w:p w14:paraId="2271130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内容及要求</w:t>
            </w:r>
          </w:p>
        </w:tc>
      </w:tr>
      <w:tr w14:paraId="1924D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081278D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529" w:type="dxa"/>
          </w:tcPr>
          <w:p w14:paraId="54346B3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采购包情况</w:t>
            </w:r>
          </w:p>
        </w:tc>
        <w:tc>
          <w:tcPr>
            <w:tcW w:w="5951" w:type="dxa"/>
          </w:tcPr>
          <w:p w14:paraId="1B8101E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本项目共1个采购包</w:t>
            </w:r>
          </w:p>
        </w:tc>
      </w:tr>
      <w:tr w14:paraId="7E1A3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75A228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w:t>
            </w:r>
          </w:p>
        </w:tc>
        <w:tc>
          <w:tcPr>
            <w:tcW w:w="2529" w:type="dxa"/>
          </w:tcPr>
          <w:p w14:paraId="3076BDB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开启方式</w:t>
            </w:r>
          </w:p>
        </w:tc>
        <w:tc>
          <w:tcPr>
            <w:tcW w:w="5951" w:type="dxa"/>
          </w:tcPr>
          <w:p w14:paraId="50CEB43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开标现场</w:t>
            </w:r>
            <w:r>
              <w:rPr>
                <w:rFonts w:hint="default" w:ascii="Times New Roman" w:hAnsi="Times New Roman" w:cs="Times New Roman" w:eastAsiaTheme="minorEastAsia"/>
                <w:color w:val="auto"/>
                <w:sz w:val="21"/>
                <w:szCs w:val="21"/>
                <w:highlight w:val="none"/>
                <w:lang w:eastAsia="zh-CN"/>
              </w:rPr>
              <w:t>开启</w:t>
            </w:r>
          </w:p>
        </w:tc>
      </w:tr>
      <w:tr w14:paraId="18555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25B6E24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w:t>
            </w:r>
          </w:p>
        </w:tc>
        <w:tc>
          <w:tcPr>
            <w:tcW w:w="2529" w:type="dxa"/>
          </w:tcPr>
          <w:p w14:paraId="1F0536A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评审方式</w:t>
            </w:r>
          </w:p>
        </w:tc>
        <w:tc>
          <w:tcPr>
            <w:tcW w:w="5951" w:type="dxa"/>
          </w:tcPr>
          <w:p w14:paraId="05FB294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现场</w:t>
            </w:r>
            <w:r>
              <w:rPr>
                <w:rFonts w:hint="default" w:ascii="Times New Roman" w:hAnsi="Times New Roman" w:cs="Times New Roman" w:eastAsiaTheme="minorEastAsia"/>
                <w:color w:val="auto"/>
                <w:sz w:val="21"/>
                <w:szCs w:val="21"/>
                <w:highlight w:val="none"/>
                <w:lang w:eastAsia="zh-CN"/>
              </w:rPr>
              <w:t>评审</w:t>
            </w:r>
          </w:p>
        </w:tc>
      </w:tr>
      <w:tr w14:paraId="6E4BC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273B46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w:t>
            </w:r>
          </w:p>
        </w:tc>
        <w:tc>
          <w:tcPr>
            <w:tcW w:w="2529" w:type="dxa"/>
          </w:tcPr>
          <w:p w14:paraId="0E9CBDD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评审办法</w:t>
            </w:r>
          </w:p>
        </w:tc>
        <w:tc>
          <w:tcPr>
            <w:tcW w:w="5951" w:type="dxa"/>
          </w:tcPr>
          <w:p w14:paraId="0DA7834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综合评分法</w:t>
            </w:r>
          </w:p>
        </w:tc>
      </w:tr>
      <w:tr w14:paraId="680F3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538E36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5</w:t>
            </w:r>
          </w:p>
        </w:tc>
        <w:tc>
          <w:tcPr>
            <w:tcW w:w="2529" w:type="dxa"/>
          </w:tcPr>
          <w:p w14:paraId="619D2D9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报价形式</w:t>
            </w:r>
          </w:p>
        </w:tc>
        <w:tc>
          <w:tcPr>
            <w:tcW w:w="5951" w:type="dxa"/>
          </w:tcPr>
          <w:p w14:paraId="6C1B528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总价</w:t>
            </w:r>
          </w:p>
        </w:tc>
      </w:tr>
      <w:tr w14:paraId="3F758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4F31AF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6</w:t>
            </w:r>
          </w:p>
        </w:tc>
        <w:tc>
          <w:tcPr>
            <w:tcW w:w="2529" w:type="dxa"/>
          </w:tcPr>
          <w:p w14:paraId="0A2A9C3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报价要求</w:t>
            </w:r>
          </w:p>
        </w:tc>
        <w:tc>
          <w:tcPr>
            <w:tcW w:w="5951" w:type="dxa"/>
          </w:tcPr>
          <w:p w14:paraId="2DBD7C7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color w:val="auto"/>
                <w:sz w:val="21"/>
                <w:szCs w:val="21"/>
                <w:highlight w:val="none"/>
                <w:lang w:eastAsia="zh-CN"/>
              </w:rPr>
              <w:t>报价不得高于本项目</w:t>
            </w:r>
            <w:r>
              <w:rPr>
                <w:rFonts w:hint="eastAsia" w:ascii="Times New Roman" w:hAnsi="Times New Roman" w:cs="Times New Roman"/>
                <w:color w:val="auto"/>
                <w:sz w:val="21"/>
                <w:szCs w:val="21"/>
                <w:highlight w:val="none"/>
                <w:lang w:eastAsia="zh-CN"/>
              </w:rPr>
              <w:t>的总价最高限价及单价最高限价</w:t>
            </w:r>
          </w:p>
        </w:tc>
      </w:tr>
      <w:tr w14:paraId="37341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346852C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7</w:t>
            </w:r>
          </w:p>
        </w:tc>
        <w:tc>
          <w:tcPr>
            <w:tcW w:w="2529" w:type="dxa"/>
          </w:tcPr>
          <w:p w14:paraId="002E45A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现场踏勘</w:t>
            </w:r>
          </w:p>
        </w:tc>
        <w:tc>
          <w:tcPr>
            <w:tcW w:w="5951" w:type="dxa"/>
          </w:tcPr>
          <w:p w14:paraId="620DA7B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否</w:t>
            </w:r>
          </w:p>
        </w:tc>
      </w:tr>
      <w:tr w14:paraId="3E89D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5BF38B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8</w:t>
            </w:r>
          </w:p>
        </w:tc>
        <w:tc>
          <w:tcPr>
            <w:tcW w:w="2529" w:type="dxa"/>
          </w:tcPr>
          <w:p w14:paraId="7984B67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响应有效期</w:t>
            </w:r>
          </w:p>
        </w:tc>
        <w:tc>
          <w:tcPr>
            <w:tcW w:w="5951" w:type="dxa"/>
          </w:tcPr>
          <w:p w14:paraId="0A82B66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从提交投标（响应）文件的截止之日起90日历天</w:t>
            </w:r>
          </w:p>
        </w:tc>
      </w:tr>
      <w:tr w14:paraId="4E199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0B6499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9</w:t>
            </w:r>
          </w:p>
        </w:tc>
        <w:tc>
          <w:tcPr>
            <w:tcW w:w="2529" w:type="dxa"/>
          </w:tcPr>
          <w:p w14:paraId="590606C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响应保证金</w:t>
            </w:r>
          </w:p>
        </w:tc>
        <w:tc>
          <w:tcPr>
            <w:tcW w:w="5951" w:type="dxa"/>
          </w:tcPr>
          <w:p w14:paraId="23C0180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无要求</w:t>
            </w:r>
          </w:p>
        </w:tc>
      </w:tr>
      <w:tr w14:paraId="5F04D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0DEAF0A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10</w:t>
            </w:r>
          </w:p>
        </w:tc>
        <w:tc>
          <w:tcPr>
            <w:tcW w:w="2529" w:type="dxa"/>
          </w:tcPr>
          <w:p w14:paraId="5AFF5F3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成交候选供应商推荐家数</w:t>
            </w:r>
          </w:p>
        </w:tc>
        <w:tc>
          <w:tcPr>
            <w:tcW w:w="5951" w:type="dxa"/>
          </w:tcPr>
          <w:p w14:paraId="09C6B2A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3家</w:t>
            </w:r>
          </w:p>
        </w:tc>
      </w:tr>
      <w:tr w14:paraId="6724A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3FB1A6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w:t>
            </w:r>
          </w:p>
        </w:tc>
        <w:tc>
          <w:tcPr>
            <w:tcW w:w="2529" w:type="dxa"/>
          </w:tcPr>
          <w:p w14:paraId="52FE6F1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成交供应商家数</w:t>
            </w:r>
          </w:p>
        </w:tc>
        <w:tc>
          <w:tcPr>
            <w:tcW w:w="5951" w:type="dxa"/>
          </w:tcPr>
          <w:p w14:paraId="5199B3D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1家</w:t>
            </w:r>
          </w:p>
        </w:tc>
      </w:tr>
      <w:tr w14:paraId="1832E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FCB117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w:t>
            </w:r>
          </w:p>
        </w:tc>
        <w:tc>
          <w:tcPr>
            <w:tcW w:w="2529" w:type="dxa"/>
          </w:tcPr>
          <w:p w14:paraId="46FF386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有效供应商家数</w:t>
            </w:r>
          </w:p>
        </w:tc>
        <w:tc>
          <w:tcPr>
            <w:tcW w:w="5951" w:type="dxa"/>
          </w:tcPr>
          <w:p w14:paraId="65F6176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3家</w:t>
            </w:r>
          </w:p>
          <w:p w14:paraId="7757923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此人数约定了开启与评审过程中的最低有效供应商家数，当家数不足时项目将不得开启、不得评审或直接终止采购。</w:t>
            </w:r>
          </w:p>
        </w:tc>
      </w:tr>
      <w:tr w14:paraId="1F0AC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723A41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13</w:t>
            </w:r>
          </w:p>
        </w:tc>
        <w:tc>
          <w:tcPr>
            <w:tcW w:w="2529" w:type="dxa"/>
          </w:tcPr>
          <w:p w14:paraId="1B459E1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项目兼投兼中（兼投不兼中）规则</w:t>
            </w:r>
          </w:p>
        </w:tc>
        <w:tc>
          <w:tcPr>
            <w:tcW w:w="5951" w:type="dxa"/>
          </w:tcPr>
          <w:p w14:paraId="7BF7165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无：-</w:t>
            </w:r>
          </w:p>
        </w:tc>
      </w:tr>
      <w:tr w14:paraId="7B7D2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08CA393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14</w:t>
            </w:r>
          </w:p>
        </w:tc>
        <w:tc>
          <w:tcPr>
            <w:tcW w:w="2529" w:type="dxa"/>
          </w:tcPr>
          <w:p w14:paraId="6D1243E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成交供应商确定方式</w:t>
            </w:r>
          </w:p>
        </w:tc>
        <w:tc>
          <w:tcPr>
            <w:tcW w:w="5951" w:type="dxa"/>
          </w:tcPr>
          <w:p w14:paraId="0DE39BFB">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采购人按照评审报告中推荐的成交候选人确定成交</w:t>
            </w:r>
            <w:r>
              <w:rPr>
                <w:rFonts w:hint="default" w:ascii="Times New Roman" w:hAnsi="Times New Roman" w:cs="Times New Roman" w:eastAsiaTheme="minorEastAsia"/>
                <w:color w:val="auto"/>
                <w:sz w:val="21"/>
                <w:szCs w:val="21"/>
                <w:highlight w:val="none"/>
                <w:lang w:eastAsia="zh-CN"/>
              </w:rPr>
              <w:t>供应商</w:t>
            </w:r>
            <w:r>
              <w:rPr>
                <w:rFonts w:hint="default" w:ascii="Times New Roman" w:hAnsi="Times New Roman" w:cs="Times New Roman" w:eastAsiaTheme="minorEastAsia"/>
                <w:color w:val="auto"/>
                <w:sz w:val="21"/>
                <w:szCs w:val="21"/>
                <w:highlight w:val="none"/>
              </w:rPr>
              <w:t>。</w:t>
            </w:r>
          </w:p>
        </w:tc>
      </w:tr>
      <w:tr w14:paraId="71854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B1124E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15</w:t>
            </w:r>
          </w:p>
        </w:tc>
        <w:tc>
          <w:tcPr>
            <w:tcW w:w="2529" w:type="dxa"/>
          </w:tcPr>
          <w:p w14:paraId="001B3AB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代理服务费</w:t>
            </w:r>
          </w:p>
        </w:tc>
        <w:tc>
          <w:tcPr>
            <w:tcW w:w="5951" w:type="dxa"/>
          </w:tcPr>
          <w:p w14:paraId="025C629B">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收取。</w:t>
            </w:r>
          </w:p>
          <w:p w14:paraId="496B24C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采购机构代理服务收费标准：以成交金额作为代理服务费的计算基数。代理服务费收费采用差额定率累进法计算方式。参照国家计委文件“计价格[2002]1980号文”中服务类代理服务费收费标准执行。</w:t>
            </w:r>
          </w:p>
        </w:tc>
      </w:tr>
      <w:tr w14:paraId="5B8F1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824EB8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16</w:t>
            </w:r>
          </w:p>
        </w:tc>
        <w:tc>
          <w:tcPr>
            <w:tcW w:w="2529" w:type="dxa"/>
          </w:tcPr>
          <w:p w14:paraId="6E08F94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代理服务费收取方式</w:t>
            </w:r>
          </w:p>
        </w:tc>
        <w:tc>
          <w:tcPr>
            <w:tcW w:w="5951" w:type="dxa"/>
          </w:tcPr>
          <w:p w14:paraId="6116DDB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向成交供应商收取</w:t>
            </w:r>
            <w:r>
              <w:rPr>
                <w:rFonts w:hint="eastAsia" w:ascii="Times New Roman" w:hAnsi="Times New Roman" w:cs="Times New Roman"/>
                <w:color w:val="auto"/>
                <w:sz w:val="21"/>
                <w:szCs w:val="21"/>
                <w:highlight w:val="none"/>
                <w:lang w:eastAsia="zh-CN"/>
              </w:rPr>
              <w:t>。</w:t>
            </w:r>
          </w:p>
        </w:tc>
      </w:tr>
      <w:tr w14:paraId="07015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A9DB1F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17</w:t>
            </w:r>
          </w:p>
        </w:tc>
        <w:tc>
          <w:tcPr>
            <w:tcW w:w="2529" w:type="dxa"/>
          </w:tcPr>
          <w:p w14:paraId="36DD957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响应文件要求</w:t>
            </w:r>
          </w:p>
        </w:tc>
        <w:tc>
          <w:tcPr>
            <w:tcW w:w="5951" w:type="dxa"/>
          </w:tcPr>
          <w:p w14:paraId="056D128E">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bCs/>
                <w:color w:val="auto"/>
                <w:sz w:val="21"/>
                <w:szCs w:val="21"/>
                <w:highlight w:val="none"/>
                <w:lang w:eastAsia="zh-CN"/>
              </w:rPr>
            </w:pPr>
            <w:r>
              <w:rPr>
                <w:rFonts w:hint="default" w:ascii="Times New Roman" w:hAnsi="Times New Roman" w:cs="Times New Roman" w:eastAsiaTheme="minorEastAsia"/>
                <w:b/>
                <w:bCs/>
                <w:color w:val="auto"/>
                <w:sz w:val="21"/>
                <w:szCs w:val="21"/>
                <w:highlight w:val="none"/>
                <w:lang w:val="en-US" w:eastAsia="zh-CN"/>
              </w:rPr>
              <w:t>一、</w:t>
            </w:r>
            <w:r>
              <w:rPr>
                <w:rFonts w:hint="default" w:ascii="Times New Roman" w:hAnsi="Times New Roman" w:cs="Times New Roman" w:eastAsiaTheme="minorEastAsia"/>
                <w:b/>
                <w:bCs/>
                <w:color w:val="auto"/>
                <w:sz w:val="21"/>
                <w:szCs w:val="21"/>
                <w:highlight w:val="none"/>
                <w:lang w:eastAsia="zh-CN"/>
              </w:rPr>
              <w:t>响应文件的递交</w:t>
            </w:r>
          </w:p>
          <w:p w14:paraId="2EADCB6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rPr>
              <w:t>供应商应凭以下资料递交响应文件（加盖供应商公章），否则，采购代理机构将有权拒收：</w:t>
            </w:r>
          </w:p>
          <w:p w14:paraId="4CCA5B9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eastAsia="zh-CN"/>
              </w:rPr>
              <w:t>1）</w:t>
            </w:r>
            <w:r>
              <w:rPr>
                <w:rFonts w:hint="default" w:ascii="Times New Roman" w:hAnsi="Times New Roman" w:cs="Times New Roman" w:eastAsiaTheme="minorEastAsia"/>
                <w:color w:val="auto"/>
                <w:sz w:val="21"/>
                <w:szCs w:val="21"/>
                <w:highlight w:val="none"/>
                <w:lang w:val="zh-CN"/>
              </w:rPr>
              <w:t>法定代表人/负责人资格证明书 原件；</w:t>
            </w:r>
          </w:p>
          <w:p w14:paraId="2B170C4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eastAsia="zh-CN"/>
              </w:rPr>
              <w:t>2）</w:t>
            </w:r>
            <w:r>
              <w:rPr>
                <w:rFonts w:hint="default" w:ascii="Times New Roman" w:hAnsi="Times New Roman" w:cs="Times New Roman" w:eastAsiaTheme="minorEastAsia"/>
                <w:color w:val="auto"/>
                <w:sz w:val="21"/>
                <w:szCs w:val="21"/>
                <w:highlight w:val="none"/>
                <w:lang w:val="zh-CN"/>
              </w:rPr>
              <w:t>法定代表人授权书 原件【若法定代表人亲临现场参与投标的，则不需提供】；</w:t>
            </w:r>
          </w:p>
          <w:p w14:paraId="251CF23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eastAsia="zh-CN"/>
              </w:rPr>
              <w:t>3)</w:t>
            </w:r>
            <w:r>
              <w:rPr>
                <w:rFonts w:hint="default" w:ascii="Times New Roman" w:hAnsi="Times New Roman" w:cs="Times New Roman" w:eastAsiaTheme="minorEastAsia"/>
                <w:color w:val="auto"/>
                <w:sz w:val="21"/>
                <w:szCs w:val="21"/>
                <w:highlight w:val="none"/>
                <w:lang w:val="zh-CN"/>
              </w:rPr>
              <w:t>法定代表人或授权代表本人身份证 原件。</w:t>
            </w:r>
          </w:p>
          <w:p w14:paraId="3A5CCFFB">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bCs/>
                <w:color w:val="auto"/>
                <w:sz w:val="21"/>
                <w:szCs w:val="21"/>
                <w:highlight w:val="none"/>
                <w:lang w:val="zh-CN" w:eastAsia="zh-CN"/>
              </w:rPr>
            </w:pPr>
            <w:r>
              <w:rPr>
                <w:rFonts w:hint="default" w:ascii="Times New Roman" w:hAnsi="Times New Roman" w:cs="Times New Roman" w:eastAsiaTheme="minorEastAsia"/>
                <w:b/>
                <w:bCs/>
                <w:color w:val="auto"/>
                <w:sz w:val="21"/>
                <w:szCs w:val="21"/>
                <w:highlight w:val="none"/>
                <w:lang w:val="zh-CN" w:eastAsia="zh-CN"/>
              </w:rPr>
              <w:t>二、响应文件递交数量</w:t>
            </w:r>
          </w:p>
          <w:p w14:paraId="02D33F7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eastAsia="zh-CN"/>
              </w:rPr>
              <w:t>1）</w:t>
            </w:r>
            <w:r>
              <w:rPr>
                <w:rFonts w:hint="default" w:ascii="Times New Roman" w:hAnsi="Times New Roman" w:cs="Times New Roman" w:eastAsiaTheme="minorEastAsia"/>
                <w:b/>
                <w:bCs/>
                <w:color w:val="auto"/>
                <w:sz w:val="21"/>
                <w:szCs w:val="21"/>
                <w:highlight w:val="none"/>
                <w:lang w:val="en-GB"/>
              </w:rPr>
              <w:t>《响应文件》</w:t>
            </w:r>
            <w:r>
              <w:rPr>
                <w:rFonts w:hint="default" w:ascii="Times New Roman" w:hAnsi="Times New Roman" w:cs="Times New Roman" w:eastAsiaTheme="minorEastAsia"/>
                <w:color w:val="auto"/>
                <w:sz w:val="21"/>
                <w:szCs w:val="21"/>
                <w:highlight w:val="none"/>
                <w:lang w:val="en-GB"/>
              </w:rPr>
              <w:t>密封包：一份【内含《响应文件》1份正本和</w:t>
            </w:r>
            <w:r>
              <w:rPr>
                <w:rFonts w:hint="default" w:ascii="Times New Roman" w:hAnsi="Times New Roman" w:cs="Times New Roman" w:eastAsiaTheme="minorEastAsia"/>
                <w:color w:val="auto"/>
                <w:sz w:val="21"/>
                <w:szCs w:val="21"/>
                <w:highlight w:val="none"/>
                <w:lang w:val="zh-CN"/>
              </w:rPr>
              <w:t>2</w:t>
            </w:r>
            <w:r>
              <w:rPr>
                <w:rFonts w:hint="default" w:ascii="Times New Roman" w:hAnsi="Times New Roman" w:cs="Times New Roman" w:eastAsiaTheme="minorEastAsia"/>
                <w:color w:val="auto"/>
                <w:sz w:val="21"/>
                <w:szCs w:val="21"/>
                <w:highlight w:val="none"/>
                <w:lang w:val="en-GB"/>
              </w:rPr>
              <w:t>份副本】；</w:t>
            </w:r>
          </w:p>
          <w:p w14:paraId="123ADD9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eastAsia="zh-CN"/>
              </w:rPr>
              <w:t>2）</w:t>
            </w:r>
            <w:r>
              <w:rPr>
                <w:rFonts w:hint="default" w:ascii="Times New Roman" w:hAnsi="Times New Roman" w:cs="Times New Roman" w:eastAsiaTheme="minorEastAsia"/>
                <w:b/>
                <w:bCs/>
                <w:color w:val="auto"/>
                <w:sz w:val="21"/>
                <w:szCs w:val="21"/>
                <w:highlight w:val="none"/>
                <w:lang w:val="en-GB"/>
              </w:rPr>
              <w:t>唱标信封</w:t>
            </w:r>
            <w:r>
              <w:rPr>
                <w:rFonts w:hint="default" w:ascii="Times New Roman" w:hAnsi="Times New Roman" w:cs="Times New Roman" w:eastAsiaTheme="minorEastAsia"/>
                <w:color w:val="auto"/>
                <w:sz w:val="21"/>
                <w:szCs w:val="21"/>
                <w:highlight w:val="none"/>
                <w:lang w:val="en-GB"/>
              </w:rPr>
              <w:t>密封包：一份【内含《报价汇总表》原件1份，响应文件电子光盘</w:t>
            </w:r>
            <w:r>
              <w:rPr>
                <w:rFonts w:hint="default" w:ascii="Times New Roman" w:hAnsi="Times New Roman" w:cs="Times New Roman" w:eastAsiaTheme="minorEastAsia"/>
                <w:color w:val="auto"/>
                <w:sz w:val="21"/>
                <w:szCs w:val="21"/>
                <w:highlight w:val="none"/>
                <w:lang w:val="zh-CN"/>
              </w:rPr>
              <w:t>/U盘</w:t>
            </w:r>
            <w:r>
              <w:rPr>
                <w:rFonts w:hint="default" w:ascii="Times New Roman" w:hAnsi="Times New Roman" w:cs="Times New Roman" w:eastAsiaTheme="minorEastAsia"/>
                <w:color w:val="auto"/>
                <w:sz w:val="21"/>
                <w:szCs w:val="21"/>
                <w:highlight w:val="none"/>
                <w:lang w:val="en-GB"/>
              </w:rPr>
              <w:t>1份】。</w:t>
            </w:r>
          </w:p>
          <w:p w14:paraId="6C7381D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bCs/>
                <w:color w:val="auto"/>
                <w:sz w:val="21"/>
                <w:szCs w:val="21"/>
                <w:highlight w:val="none"/>
                <w:lang w:val="en-GB" w:eastAsia="zh-CN"/>
              </w:rPr>
            </w:pPr>
            <w:r>
              <w:rPr>
                <w:rFonts w:hint="default" w:ascii="Times New Roman" w:hAnsi="Times New Roman" w:cs="Times New Roman" w:eastAsiaTheme="minorEastAsia"/>
                <w:b/>
                <w:bCs/>
                <w:color w:val="auto"/>
                <w:sz w:val="21"/>
                <w:szCs w:val="21"/>
                <w:highlight w:val="none"/>
                <w:lang w:val="en-GB" w:eastAsia="zh-CN"/>
              </w:rPr>
              <w:t>三、响应文件的制作要求及密封要求</w:t>
            </w:r>
          </w:p>
          <w:p w14:paraId="22E21A6B">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eastAsia="zh-CN"/>
              </w:rPr>
              <w:t>1）</w:t>
            </w:r>
            <w:r>
              <w:rPr>
                <w:rFonts w:hint="default" w:ascii="Times New Roman" w:hAnsi="Times New Roman" w:cs="Times New Roman" w:eastAsiaTheme="minorEastAsia"/>
                <w:color w:val="auto"/>
                <w:sz w:val="21"/>
                <w:szCs w:val="21"/>
                <w:highlight w:val="none"/>
                <w:lang w:val="en-GB"/>
              </w:rPr>
              <w:t>《响应文件》由资格性文件、评审内容索引、商务部分、技术部分、价格部分及其他文件共六部分组成。</w:t>
            </w:r>
          </w:p>
          <w:p w14:paraId="4CED787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eastAsia="zh-CN"/>
              </w:rPr>
              <w:t>2）</w:t>
            </w:r>
            <w:r>
              <w:rPr>
                <w:rFonts w:hint="default" w:ascii="Times New Roman" w:hAnsi="Times New Roman" w:cs="Times New Roman" w:eastAsiaTheme="minorEastAsia"/>
                <w:color w:val="auto"/>
                <w:sz w:val="21"/>
                <w:szCs w:val="21"/>
                <w:highlight w:val="none"/>
                <w:lang w:val="en-GB"/>
              </w:rPr>
              <w:t>《响应文件》的【正本】及所有【副本】的封面及骑缝均须加盖投标人公章。</w:t>
            </w:r>
          </w:p>
          <w:p w14:paraId="104D775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eastAsia="zh-CN"/>
              </w:rPr>
              <w:t>3）</w:t>
            </w:r>
            <w:r>
              <w:rPr>
                <w:rFonts w:hint="default" w:ascii="Times New Roman" w:hAnsi="Times New Roman" w:cs="Times New Roman" w:eastAsiaTheme="minorEastAsia"/>
                <w:b/>
                <w:bCs/>
                <w:color w:val="auto"/>
                <w:sz w:val="21"/>
                <w:szCs w:val="21"/>
                <w:highlight w:val="none"/>
                <w:lang w:val="en-GB"/>
              </w:rPr>
              <w:t>唱标信封必须与响应文件【正、副本】分开单独密封，并应在规定时间内同时递交，每份密封文件应在封口处加盖投标人公章。“电子文档”（光盘</w:t>
            </w:r>
            <w:r>
              <w:rPr>
                <w:rFonts w:hint="default" w:ascii="Times New Roman" w:hAnsi="Times New Roman" w:cs="Times New Roman" w:eastAsiaTheme="minorEastAsia"/>
                <w:b/>
                <w:bCs/>
                <w:color w:val="auto"/>
                <w:sz w:val="21"/>
                <w:szCs w:val="21"/>
                <w:highlight w:val="none"/>
                <w:lang w:val="zh-CN"/>
              </w:rPr>
              <w:t>/U盘</w:t>
            </w:r>
            <w:r>
              <w:rPr>
                <w:rFonts w:hint="default" w:ascii="Times New Roman" w:hAnsi="Times New Roman" w:cs="Times New Roman" w:eastAsiaTheme="minorEastAsia"/>
                <w:b/>
                <w:bCs/>
                <w:color w:val="auto"/>
                <w:sz w:val="21"/>
                <w:szCs w:val="21"/>
                <w:highlight w:val="none"/>
                <w:lang w:val="en-GB"/>
              </w:rPr>
              <w:t>）表面须标明投标人名称，密封于唱标信封之内。</w:t>
            </w:r>
          </w:p>
          <w:p w14:paraId="1CAD399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bCs/>
                <w:color w:val="auto"/>
                <w:sz w:val="21"/>
                <w:szCs w:val="21"/>
                <w:highlight w:val="none"/>
                <w:lang w:val="zh-CN" w:eastAsia="zh-CN"/>
              </w:rPr>
            </w:pPr>
            <w:r>
              <w:rPr>
                <w:rFonts w:hint="default" w:ascii="Times New Roman" w:hAnsi="Times New Roman" w:cs="Times New Roman" w:eastAsiaTheme="minorEastAsia"/>
                <w:color w:val="auto"/>
                <w:sz w:val="21"/>
                <w:szCs w:val="21"/>
                <w:highlight w:val="none"/>
                <w:lang w:val="en-GB" w:eastAsia="zh-CN"/>
              </w:rPr>
              <w:t>4）</w:t>
            </w:r>
            <w:r>
              <w:rPr>
                <w:rFonts w:hint="default" w:ascii="Times New Roman" w:hAnsi="Times New Roman" w:cs="Times New Roman" w:eastAsiaTheme="minorEastAsia"/>
                <w:color w:val="auto"/>
                <w:sz w:val="21"/>
                <w:szCs w:val="21"/>
                <w:highlight w:val="none"/>
                <w:lang w:val="en-GB"/>
              </w:rPr>
              <w:t>所有密封文件封套正面统一按“文件包装袋封面”格式填写标贴。</w:t>
            </w:r>
          </w:p>
        </w:tc>
      </w:tr>
      <w:tr w14:paraId="1D0AD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2F716D3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18</w:t>
            </w:r>
          </w:p>
        </w:tc>
        <w:tc>
          <w:tcPr>
            <w:tcW w:w="2529" w:type="dxa"/>
          </w:tcPr>
          <w:p w14:paraId="0BC5B03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其他</w:t>
            </w:r>
          </w:p>
        </w:tc>
        <w:tc>
          <w:tcPr>
            <w:tcW w:w="5951" w:type="dxa"/>
          </w:tcPr>
          <w:p w14:paraId="58CC1F5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w:t>
            </w:r>
            <w:r>
              <w:rPr>
                <w:rFonts w:hint="default" w:ascii="Times New Roman" w:hAnsi="Times New Roman" w:cs="Times New Roman" w:eastAsiaTheme="minorEastAsia"/>
                <w:color w:val="auto"/>
                <w:sz w:val="21"/>
                <w:szCs w:val="21"/>
                <w:highlight w:val="none"/>
              </w:rPr>
              <w:t>。</w:t>
            </w:r>
          </w:p>
        </w:tc>
      </w:tr>
      <w:tr w14:paraId="173FB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3417911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19</w:t>
            </w:r>
          </w:p>
        </w:tc>
        <w:tc>
          <w:tcPr>
            <w:tcW w:w="2529" w:type="dxa"/>
          </w:tcPr>
          <w:p w14:paraId="4165747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专门面向中小企业采购</w:t>
            </w:r>
          </w:p>
        </w:tc>
        <w:tc>
          <w:tcPr>
            <w:tcW w:w="5951" w:type="dxa"/>
          </w:tcPr>
          <w:p w14:paraId="0E76355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面向中小企业，采购包专门预留</w:t>
            </w:r>
          </w:p>
        </w:tc>
      </w:tr>
    </w:tbl>
    <w:p w14:paraId="61957654">
      <w:pPr>
        <w:pStyle w:val="21"/>
        <w:keepLines w:val="0"/>
        <w:kinsoku/>
        <w:wordWrap/>
        <w:overflowPunct/>
        <w:topLinePunct w:val="0"/>
        <w:bidi w:val="0"/>
        <w:spacing w:beforeAutospacing="0" w:afterAutospacing="0" w:line="440" w:lineRule="atLeast"/>
        <w:ind w:left="0" w:leftChars="0" w:right="0" w:rightChars="0"/>
        <w:outlineLvl w:val="1"/>
        <w:rPr>
          <w:rFonts w:hint="default" w:ascii="Times New Roman" w:hAnsi="Times New Roman" w:cs="Times New Roman" w:eastAsiaTheme="minorEastAsia"/>
          <w:b/>
          <w:color w:val="auto"/>
          <w:sz w:val="24"/>
          <w:szCs w:val="24"/>
          <w:highlight w:val="none"/>
        </w:rPr>
      </w:pPr>
      <w:bookmarkStart w:id="19" w:name="_Toc30236"/>
    </w:p>
    <w:p w14:paraId="4EBCA1A9">
      <w:pPr>
        <w:pStyle w:val="21"/>
        <w:keepLines w:val="0"/>
        <w:kinsoku/>
        <w:wordWrap/>
        <w:overflowPunct/>
        <w:topLinePunct w:val="0"/>
        <w:bidi w:val="0"/>
        <w:spacing w:beforeAutospacing="0" w:afterAutospacing="0" w:line="440" w:lineRule="atLeast"/>
        <w:ind w:left="0" w:leftChars="0" w:right="0" w:rightChars="0"/>
        <w:outlineLvl w:val="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4"/>
          <w:szCs w:val="24"/>
          <w:highlight w:val="none"/>
        </w:rPr>
        <w:t>三、说明</w:t>
      </w:r>
      <w:bookmarkEnd w:id="19"/>
    </w:p>
    <w:p w14:paraId="100DAB5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1.总则</w:t>
      </w:r>
    </w:p>
    <w:p w14:paraId="1B4A628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本磋商文件依据《中华人民共和国政府采购法》、《中华人民共和国政府采购法实施条例》（国务院令第658号）和《政府采购竞争性磋商</w:t>
      </w:r>
      <w:r>
        <w:rPr>
          <w:rFonts w:hint="eastAsia" w:ascii="Times New Roman" w:hAnsi="Times New Roman" w:cs="Times New Roman"/>
          <w:color w:val="auto"/>
          <w:sz w:val="21"/>
          <w:szCs w:val="21"/>
          <w:highlight w:val="none"/>
          <w:lang w:eastAsia="zh-CN"/>
        </w:rPr>
        <w:t>采购人</w:t>
      </w:r>
      <w:r>
        <w:rPr>
          <w:rFonts w:hint="default" w:ascii="Times New Roman" w:hAnsi="Times New Roman" w:cs="Times New Roman" w:eastAsiaTheme="minorEastAsia"/>
          <w:color w:val="auto"/>
          <w:sz w:val="21"/>
          <w:szCs w:val="21"/>
          <w:highlight w:val="none"/>
        </w:rPr>
        <w:t>式管理暂行办法》（财库〔2014〕214号）及国家和广东省有关法律、法规、规章制度编制。</w:t>
      </w:r>
    </w:p>
    <w:p w14:paraId="57CF4F0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供应商应仔细阅读本项目信息公告及磋商文件的所有内容（包括变更、补充、澄清以及修改等，且均为磋商文件的组成部分），按照磋商文件要求以及格式编制响应文件，并保证其真实性，否则一切后果自负。</w:t>
      </w:r>
    </w:p>
    <w:p w14:paraId="227243F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本次竞争性磋商项目，是以磋商公告的方式邀请非特定的供应商参加磋商。</w:t>
      </w:r>
    </w:p>
    <w:p w14:paraId="38EFF5E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2.适用范围</w:t>
      </w:r>
    </w:p>
    <w:p w14:paraId="27F9A2D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本磋商文件仅适用于本次磋商公告中所涉及的项目和内容。</w:t>
      </w:r>
    </w:p>
    <w:p w14:paraId="55D14F1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3.进口产品</w:t>
      </w:r>
    </w:p>
    <w:p w14:paraId="184E1E9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若本项目允许采购进口产品，供应商应保证所投产品可履行合法报通关手续进入中国关境内。</w:t>
      </w:r>
    </w:p>
    <w:p w14:paraId="50CACDA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若本项目不允许采购进口产品，如供应商所投产品为进口产品，其响应将被认定为响应无效。</w:t>
      </w:r>
    </w:p>
    <w:p w14:paraId="5C17E57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4.磋商费用</w:t>
      </w:r>
    </w:p>
    <w:p w14:paraId="2888C3F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不论磋商结果如何，供应商应承担所有与准备和参加磋商有关的费用。采购代理机构和采购人均无义务和责任承担相关费用。</w:t>
      </w:r>
    </w:p>
    <w:p w14:paraId="7E92F53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5.关联企业响应说明</w:t>
      </w:r>
    </w:p>
    <w:p w14:paraId="390BE76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5</w:t>
      </w:r>
      <w:r>
        <w:rPr>
          <w:rFonts w:hint="default" w:ascii="Times New Roman" w:hAnsi="Times New Roman" w:cs="Times New Roman" w:eastAsiaTheme="minorEastAsia"/>
          <w:color w:val="auto"/>
          <w:sz w:val="21"/>
          <w:szCs w:val="21"/>
          <w:highlight w:val="none"/>
        </w:rPr>
        <w:t>.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3B9B560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5</w:t>
      </w:r>
      <w:r>
        <w:rPr>
          <w:rFonts w:hint="default" w:ascii="Times New Roman" w:hAnsi="Times New Roman" w:cs="Times New Roman" w:eastAsiaTheme="minorEastAsia"/>
          <w:color w:val="auto"/>
          <w:sz w:val="21"/>
          <w:szCs w:val="21"/>
          <w:highlight w:val="none"/>
        </w:rPr>
        <w:t>.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41FD2B9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lang w:val="en-US" w:eastAsia="zh-CN"/>
        </w:rPr>
        <w:t>6</w:t>
      </w:r>
      <w:r>
        <w:rPr>
          <w:rFonts w:hint="default" w:ascii="Times New Roman" w:hAnsi="Times New Roman" w:cs="Times New Roman" w:eastAsiaTheme="minorEastAsia"/>
          <w:b/>
          <w:color w:val="auto"/>
          <w:sz w:val="21"/>
          <w:szCs w:val="21"/>
          <w:highlight w:val="none"/>
        </w:rPr>
        <w:t>.关于中小微企业响应</w:t>
      </w:r>
    </w:p>
    <w:p w14:paraId="5E280FA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DCED6B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23E2E4F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02A6C08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lang w:val="en-US" w:eastAsia="zh-CN"/>
        </w:rPr>
        <w:t>7</w:t>
      </w:r>
      <w:r>
        <w:rPr>
          <w:rFonts w:hint="default" w:ascii="Times New Roman" w:hAnsi="Times New Roman" w:cs="Times New Roman" w:eastAsiaTheme="minorEastAsia"/>
          <w:b/>
          <w:color w:val="auto"/>
          <w:sz w:val="21"/>
          <w:szCs w:val="21"/>
          <w:highlight w:val="none"/>
        </w:rPr>
        <w:t>.纪律与保密事项</w:t>
      </w:r>
    </w:p>
    <w:p w14:paraId="5FA7455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7</w:t>
      </w:r>
      <w:r>
        <w:rPr>
          <w:rFonts w:hint="default" w:ascii="Times New Roman" w:hAnsi="Times New Roman" w:cs="Times New Roman" w:eastAsiaTheme="minorEastAsia"/>
          <w:color w:val="auto"/>
          <w:sz w:val="21"/>
          <w:szCs w:val="21"/>
          <w:highlight w:val="none"/>
        </w:rPr>
        <w:t>.1供应商不得相互串通磋商报价，不得妨碍其他供应商的公平竞争，不得损害采购人或其他供应商的合法权益，供应商不得以向采购人、磋商小组成员行贿或者采取其他不正当手段谋取成交。</w:t>
      </w:r>
    </w:p>
    <w:p w14:paraId="7D174EA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7</w:t>
      </w:r>
      <w:r>
        <w:rPr>
          <w:rFonts w:hint="default" w:ascii="Times New Roman" w:hAnsi="Times New Roman" w:cs="Times New Roman" w:eastAsiaTheme="minorEastAsia"/>
          <w:color w:val="auto"/>
          <w:sz w:val="21"/>
          <w:szCs w:val="21"/>
          <w:highlight w:val="none"/>
        </w:rPr>
        <w:t>.2供应商不得与采购人就响应价格、响应方案等实质性内容进行磋商，也不得私下接触磋商小组成员。</w:t>
      </w:r>
    </w:p>
    <w:p w14:paraId="1A598DA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7</w:t>
      </w:r>
      <w:r>
        <w:rPr>
          <w:rFonts w:hint="default" w:ascii="Times New Roman" w:hAnsi="Times New Roman" w:cs="Times New Roman" w:eastAsiaTheme="minorEastAsia"/>
          <w:color w:val="auto"/>
          <w:sz w:val="21"/>
          <w:szCs w:val="21"/>
          <w:highlight w:val="none"/>
        </w:rPr>
        <w:t>.3在确定成交供应商之前，供应商试图在响应文件审查、澄清、比较和评价时对磋商小组、采购人和采购代理机构施加任何影响都可能导致其响应无效。</w:t>
      </w:r>
    </w:p>
    <w:p w14:paraId="548E398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7</w:t>
      </w:r>
      <w:r>
        <w:rPr>
          <w:rFonts w:hint="default" w:ascii="Times New Roman" w:hAnsi="Times New Roman" w:cs="Times New Roman" w:eastAsiaTheme="minorEastAsia"/>
          <w:color w:val="auto"/>
          <w:sz w:val="21"/>
          <w:szCs w:val="21"/>
          <w:highlight w:val="none"/>
        </w:rPr>
        <w:t>.4获得本磋商文件者，须履行本磋商项目下保密义务，不得将因本次磋商获得的信息向第三人外传，不得将磋商文件用作本次响应以外的任何用途。</w:t>
      </w:r>
    </w:p>
    <w:p w14:paraId="50E0140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7</w:t>
      </w:r>
      <w:r>
        <w:rPr>
          <w:rFonts w:hint="default" w:ascii="Times New Roman" w:hAnsi="Times New Roman" w:cs="Times New Roman" w:eastAsiaTheme="minorEastAsia"/>
          <w:color w:val="auto"/>
          <w:sz w:val="21"/>
          <w:szCs w:val="21"/>
          <w:highlight w:val="none"/>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3BDF3F5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7</w:t>
      </w:r>
      <w:r>
        <w:rPr>
          <w:rFonts w:hint="default" w:ascii="Times New Roman" w:hAnsi="Times New Roman" w:cs="Times New Roman" w:eastAsiaTheme="minorEastAsia"/>
          <w:color w:val="auto"/>
          <w:sz w:val="21"/>
          <w:szCs w:val="21"/>
          <w:highlight w:val="none"/>
        </w:rPr>
        <w:t>.6采购人或采购代理机构有权将供应商提供的所有资料向有关政府部门或询价小组披露。</w:t>
      </w:r>
    </w:p>
    <w:p w14:paraId="75830C0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7</w:t>
      </w:r>
      <w:r>
        <w:rPr>
          <w:rFonts w:hint="default" w:ascii="Times New Roman" w:hAnsi="Times New Roman" w:cs="Times New Roman" w:eastAsiaTheme="minorEastAsia"/>
          <w:color w:val="auto"/>
          <w:sz w:val="21"/>
          <w:szCs w:val="21"/>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A5DFB4B">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lang w:val="en-US" w:eastAsia="zh-CN"/>
        </w:rPr>
        <w:t>8</w:t>
      </w:r>
      <w:r>
        <w:rPr>
          <w:rFonts w:hint="default" w:ascii="Times New Roman" w:hAnsi="Times New Roman" w:cs="Times New Roman" w:eastAsiaTheme="minorEastAsia"/>
          <w:b/>
          <w:color w:val="auto"/>
          <w:sz w:val="21"/>
          <w:szCs w:val="21"/>
          <w:highlight w:val="none"/>
        </w:rPr>
        <w:t>.语言文字以及度量衡单位</w:t>
      </w:r>
    </w:p>
    <w:p w14:paraId="514B02E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8</w:t>
      </w:r>
      <w:r>
        <w:rPr>
          <w:rFonts w:hint="default" w:ascii="Times New Roman" w:hAnsi="Times New Roman" w:cs="Times New Roman" w:eastAsiaTheme="minorEastAsia"/>
          <w:color w:val="auto"/>
          <w:sz w:val="21"/>
          <w:szCs w:val="21"/>
          <w:highlight w:val="none"/>
        </w:rPr>
        <w:t>.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44B86D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8</w:t>
      </w:r>
      <w:r>
        <w:rPr>
          <w:rFonts w:hint="default" w:ascii="Times New Roman" w:hAnsi="Times New Roman" w:cs="Times New Roman" w:eastAsiaTheme="minorEastAsia"/>
          <w:color w:val="auto"/>
          <w:sz w:val="21"/>
          <w:szCs w:val="21"/>
          <w:highlight w:val="none"/>
        </w:rPr>
        <w:t>.2除非磋商文件的技术规格中另有规定，供应商在响应文件中及其与采购人和采购代理机构的所有往来文件中的计量单位均应采用中华人民共和国法定计量单位。</w:t>
      </w:r>
    </w:p>
    <w:p w14:paraId="5E9B8E1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8</w:t>
      </w:r>
      <w:r>
        <w:rPr>
          <w:rFonts w:hint="default" w:ascii="Times New Roman" w:hAnsi="Times New Roman" w:cs="Times New Roman" w:eastAsiaTheme="minorEastAsia"/>
          <w:color w:val="auto"/>
          <w:sz w:val="21"/>
          <w:szCs w:val="21"/>
          <w:highlight w:val="none"/>
        </w:rPr>
        <w:t>.3供应商所提供的货物和服务均应以人民币报价，货币单位：元。</w:t>
      </w:r>
    </w:p>
    <w:p w14:paraId="46435D4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lang w:val="en-US" w:eastAsia="zh-CN"/>
        </w:rPr>
        <w:t>9</w:t>
      </w:r>
      <w:r>
        <w:rPr>
          <w:rFonts w:hint="default" w:ascii="Times New Roman" w:hAnsi="Times New Roman" w:cs="Times New Roman" w:eastAsiaTheme="minorEastAsia"/>
          <w:b/>
          <w:color w:val="auto"/>
          <w:sz w:val="21"/>
          <w:szCs w:val="21"/>
          <w:highlight w:val="none"/>
        </w:rPr>
        <w:t>. 现场踏勘（如有）</w:t>
      </w:r>
    </w:p>
    <w:p w14:paraId="6CC6B6C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9</w:t>
      </w:r>
      <w:r>
        <w:rPr>
          <w:rFonts w:hint="default" w:ascii="Times New Roman" w:hAnsi="Times New Roman" w:cs="Times New Roman" w:eastAsiaTheme="minorEastAsia"/>
          <w:color w:val="auto"/>
          <w:sz w:val="21"/>
          <w:szCs w:val="21"/>
          <w:highlight w:val="none"/>
        </w:rPr>
        <w:t>.1磋商文件规定组织踏勘现场的，采购人按磋商文件规定的时间、地点组织供应商踏勘项目现场。</w:t>
      </w:r>
    </w:p>
    <w:p w14:paraId="47D3D2E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9</w:t>
      </w:r>
      <w:r>
        <w:rPr>
          <w:rFonts w:hint="default" w:ascii="Times New Roman" w:hAnsi="Times New Roman" w:cs="Times New Roman" w:eastAsiaTheme="minorEastAsia"/>
          <w:color w:val="auto"/>
          <w:sz w:val="21"/>
          <w:szCs w:val="21"/>
          <w:highlight w:val="none"/>
        </w:rPr>
        <w:t>.2供应商自行承担踏勘现场发生的责任、风险和自身费用。</w:t>
      </w:r>
    </w:p>
    <w:p w14:paraId="04D6B23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9</w:t>
      </w:r>
      <w:r>
        <w:rPr>
          <w:rFonts w:hint="default" w:ascii="Times New Roman" w:hAnsi="Times New Roman" w:cs="Times New Roman" w:eastAsiaTheme="minorEastAsia"/>
          <w:color w:val="auto"/>
          <w:sz w:val="21"/>
          <w:szCs w:val="21"/>
          <w:highlight w:val="none"/>
        </w:rPr>
        <w:t>.3采购人在踏勘现场中介绍的资料和数据等，不构成对磋商文件的修改或不作为供应商编制响应文件的依据。</w:t>
      </w:r>
    </w:p>
    <w:p w14:paraId="5F11CC8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p>
    <w:p w14:paraId="721E428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1"/>
        <w:rPr>
          <w:rFonts w:hint="default" w:ascii="Times New Roman" w:hAnsi="Times New Roman" w:cs="Times New Roman" w:eastAsiaTheme="minorEastAsia"/>
          <w:color w:val="auto"/>
          <w:sz w:val="24"/>
          <w:szCs w:val="24"/>
          <w:highlight w:val="none"/>
        </w:rPr>
      </w:pPr>
      <w:bookmarkStart w:id="20" w:name="_Toc28688"/>
      <w:r>
        <w:rPr>
          <w:rFonts w:hint="default" w:ascii="Times New Roman" w:hAnsi="Times New Roman" w:cs="Times New Roman" w:eastAsiaTheme="minorEastAsia"/>
          <w:b/>
          <w:color w:val="auto"/>
          <w:sz w:val="24"/>
          <w:szCs w:val="24"/>
          <w:highlight w:val="none"/>
        </w:rPr>
        <w:t>四、磋商文件的澄清和修改</w:t>
      </w:r>
      <w:bookmarkEnd w:id="20"/>
    </w:p>
    <w:p w14:paraId="4F98E01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3A134DE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0EC0C0A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3.供应商在规定的时间内未对磋商文件提出疑问、质疑或要求澄清的，将视其为无异议。对磋商文件中描述有歧义或前后不一致的地方，磋商小组有权进行评判，但对同一条款的评判应适用于每个供应商。</w:t>
      </w:r>
    </w:p>
    <w:p w14:paraId="77D7DB2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p>
    <w:p w14:paraId="7BDBF55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1"/>
        <w:rPr>
          <w:rFonts w:hint="default" w:ascii="Times New Roman" w:hAnsi="Times New Roman" w:cs="Times New Roman" w:eastAsiaTheme="minorEastAsia"/>
          <w:color w:val="auto"/>
          <w:sz w:val="24"/>
          <w:szCs w:val="24"/>
          <w:highlight w:val="none"/>
        </w:rPr>
      </w:pPr>
      <w:bookmarkStart w:id="21" w:name="_Toc31787"/>
      <w:r>
        <w:rPr>
          <w:rFonts w:hint="default" w:ascii="Times New Roman" w:hAnsi="Times New Roman" w:cs="Times New Roman" w:eastAsiaTheme="minorEastAsia"/>
          <w:b/>
          <w:color w:val="auto"/>
          <w:sz w:val="24"/>
          <w:szCs w:val="24"/>
          <w:highlight w:val="none"/>
        </w:rPr>
        <w:t>五、响应要求</w:t>
      </w:r>
      <w:bookmarkEnd w:id="21"/>
    </w:p>
    <w:p w14:paraId="2CE6320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1.响应登记</w:t>
      </w:r>
    </w:p>
    <w:p w14:paraId="5C61162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供应商应</w:t>
      </w:r>
      <w:r>
        <w:rPr>
          <w:rFonts w:hint="default" w:ascii="Times New Roman" w:hAnsi="Times New Roman" w:cs="Times New Roman" w:eastAsiaTheme="minorEastAsia"/>
          <w:color w:val="auto"/>
          <w:sz w:val="21"/>
          <w:szCs w:val="21"/>
          <w:highlight w:val="none"/>
          <w:lang w:eastAsia="zh-CN"/>
        </w:rPr>
        <w:t>按“获取磋商文件”流程</w:t>
      </w:r>
      <w:r>
        <w:rPr>
          <w:rFonts w:hint="default" w:ascii="Times New Roman" w:hAnsi="Times New Roman" w:cs="Times New Roman" w:eastAsiaTheme="minorEastAsia"/>
          <w:color w:val="auto"/>
          <w:sz w:val="21"/>
          <w:szCs w:val="21"/>
          <w:highlight w:val="none"/>
        </w:rPr>
        <w:t>获取磋商文件（未按上述方式获取磋商文件的供应商，其响应资格将被视为无效）。</w:t>
      </w:r>
    </w:p>
    <w:p w14:paraId="5979C4A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2.响应文件的制作</w:t>
      </w:r>
    </w:p>
    <w:p w14:paraId="3963BFB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2.1响应文件由资格性文件、评审内容索引、商务部分、技术部分、价格部分、其他文件共六部分组成，具体按采购文件中第五部分“响应文件格式”的要求以A4版面统一编制。</w:t>
      </w:r>
    </w:p>
    <w:p w14:paraId="74FFA46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2.2响应文件的制作、不同文字文本的释义均以简体中文文本为准，重要的外文资料须附有中文译注。</w:t>
      </w:r>
    </w:p>
    <w:p w14:paraId="7FE3C46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2.3响应文件所使用的公章必须为机构公章，且与参与磋商与报价的供应商名称一致，不能以其它业务章或附属机构章代替。需签名之处必须由当事人亲笔签署。</w:t>
      </w:r>
    </w:p>
    <w:p w14:paraId="01040B3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响应承诺函》、《法定代表人/法定负责人证明书》、《法定代表人/法定负责人授权书》、《具有履行合同所必需的设备和专业技术能力的承诺》、《参与采购活动前三年内在经营活动中没有重大违法记录的书面声明函》的格式内容不允许擅自删改。</w:t>
      </w:r>
    </w:p>
    <w:p w14:paraId="265234A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2.5响应文件自制部分必须打印，每份内页须按序加注页码，整册装订牢固可靠且不能轻易脱落。如因装订问题而出现漏页或缺页，由此产生的一切后果由供应商自行承担。</w:t>
      </w:r>
    </w:p>
    <w:p w14:paraId="3DCAD6E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w:t>
      </w:r>
      <w:r>
        <w:rPr>
          <w:rFonts w:hint="default" w:ascii="Times New Roman" w:hAnsi="Times New Roman" w:cs="Times New Roman" w:eastAsiaTheme="minorEastAsia"/>
          <w:color w:val="auto"/>
          <w:sz w:val="21"/>
          <w:szCs w:val="21"/>
          <w:highlight w:val="none"/>
          <w:lang w:val="en-US" w:eastAsia="zh-CN"/>
        </w:rPr>
        <w:t>6</w:t>
      </w:r>
      <w:r>
        <w:rPr>
          <w:rFonts w:hint="default" w:ascii="Times New Roman" w:hAnsi="Times New Roman" w:cs="Times New Roman" w:eastAsiaTheme="minorEastAsia"/>
          <w:color w:val="auto"/>
          <w:sz w:val="21"/>
          <w:szCs w:val="21"/>
          <w:highlight w:val="none"/>
        </w:rPr>
        <w:t>任何行间插字、涂改和增删，必须由供应商授权代表在旁边签字或加盖供应商公章后方为有效。</w:t>
      </w:r>
    </w:p>
    <w:p w14:paraId="18C44EB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2.7响应文件应包含正本、副本。唱标报价信封须和正本、副本分开单独密封并同时递交。包装文件的封口处须加盖供应商公章或授权代表签名，每一份响应文件上应明确注明“正本”或“副本”字样。</w:t>
      </w:r>
    </w:p>
    <w:p w14:paraId="4B1D6CC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2.8所有密封文件封套正面统一按“响应文件包装袋封面”格式填写标贴。</w:t>
      </w:r>
    </w:p>
    <w:p w14:paraId="642310E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2.9采购机构有权拒绝接受报价的情形：以电报、电话传真形式响应；密封、数量、规格、册装不合要求或逾期提交的响应文件；不按要求提供重要物证资料；不按时交纳足额磋商保证金。</w:t>
      </w:r>
    </w:p>
    <w:p w14:paraId="2C20E70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3.响应报价</w:t>
      </w:r>
    </w:p>
    <w:p w14:paraId="7890920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3.1任何报价是以参与磋商与报价的供应商可独立履行项目合同义务，通过合理预测与准确核算后，可达到预期设计功能和常规使用效果，满足约定的验收标准和符合自身合法利益的前提下所作出的综合性合理报价，对在响应文件和合同书中未有明确列述、响应方案设计遗漏失误、市场剧变因素、应预见和不可预见的费用等均视为已完全考虑到并包括在报价总价之内。</w:t>
      </w:r>
    </w:p>
    <w:p w14:paraId="39795DE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3.2对超出常规、具有特别意义的报价，或报价明显低于成本价或高于同业同期市场平均价时须作出重点说明，详述其理由和依据。</w:t>
      </w:r>
    </w:p>
    <w:p w14:paraId="4B141F6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3.3在提交首次响应文件时间截止后至响应有效期截止前的任何报价为固定不变价，此报价将作为评审的重要依据之一，但并不是确定成交人的唯一依据。</w:t>
      </w:r>
    </w:p>
    <w:p w14:paraId="43EB671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3.4响应报价提出有折扣优惠者，以折扣后的最终优惠价为准。</w:t>
      </w:r>
    </w:p>
    <w:p w14:paraId="30583E2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t>4.响应文件差异修正准则</w:t>
      </w:r>
    </w:p>
    <w:p w14:paraId="70F48E5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outlineLvl w:val="9"/>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val="0"/>
          <w:bCs/>
          <w:color w:val="auto"/>
          <w:sz w:val="21"/>
          <w:szCs w:val="21"/>
          <w:highlight w:val="none"/>
        </w:rPr>
        <w:t>响应文件出现差异时，修正原则如下：</w:t>
      </w:r>
    </w:p>
    <w:p w14:paraId="2A2E7A2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4.1公开唱读内容与响应文件对应内容不一致，均以公开唱读内容为准。正本和副本之间内容有差异，以正本为准；</w:t>
      </w:r>
    </w:p>
    <w:p w14:paraId="388247E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4.2响应文件描述内容与原始材料引述内容不一致时，以原始材料内容为准；</w:t>
      </w:r>
    </w:p>
    <w:p w14:paraId="14D271C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4.3对出现以上情况或因明显笔误而需修正任何内容时，均以磋商小组审定通过方为有效；</w:t>
      </w:r>
    </w:p>
    <w:p w14:paraId="10BA6EB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4.4磋商小组认定为表述不清晰或无法确定的报价均不予修正。</w:t>
      </w:r>
    </w:p>
    <w:p w14:paraId="7061505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5.磋商保证金（本项目不适用）</w:t>
      </w:r>
    </w:p>
    <w:p w14:paraId="08B81FE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lang w:val="en-US" w:eastAsia="zh-CN"/>
        </w:rPr>
        <w:t>6</w:t>
      </w:r>
      <w:r>
        <w:rPr>
          <w:rFonts w:hint="default" w:ascii="Times New Roman" w:hAnsi="Times New Roman" w:cs="Times New Roman" w:eastAsiaTheme="minorEastAsia"/>
          <w:b/>
          <w:color w:val="auto"/>
          <w:sz w:val="21"/>
          <w:szCs w:val="21"/>
          <w:highlight w:val="none"/>
        </w:rPr>
        <w:t>.响应有效期</w:t>
      </w:r>
    </w:p>
    <w:p w14:paraId="5367C3B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6</w:t>
      </w:r>
      <w:r>
        <w:rPr>
          <w:rFonts w:hint="default" w:ascii="Times New Roman" w:hAnsi="Times New Roman" w:cs="Times New Roman" w:eastAsiaTheme="minorEastAsia"/>
          <w:color w:val="auto"/>
          <w:sz w:val="21"/>
          <w:szCs w:val="21"/>
          <w:highlight w:val="none"/>
        </w:rPr>
        <w:t>.1响应有效期内供应商撤销响应文件的，采购人或者采购代理机构可以不退还响应保证金（如有）。采用响应保函方式替代保证金的，采购人或者采购代理机构可以向担保机构索赔保证金。</w:t>
      </w:r>
    </w:p>
    <w:p w14:paraId="3D3A72F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6</w:t>
      </w:r>
      <w:r>
        <w:rPr>
          <w:rFonts w:hint="default" w:ascii="Times New Roman" w:hAnsi="Times New Roman" w:cs="Times New Roman" w:eastAsiaTheme="minorEastAsia"/>
          <w:color w:val="auto"/>
          <w:sz w:val="21"/>
          <w:szCs w:val="21"/>
          <w:highlight w:val="none"/>
        </w:rPr>
        <w:t>.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3657B96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8.样品（演示）</w:t>
      </w:r>
    </w:p>
    <w:p w14:paraId="5491F49B">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8.1磋商文件规定供应商提交样品的，样品属于响应文件的组成部分。样品的生产、运输、安装、保全等一切费用由供应商自理。</w:t>
      </w:r>
    </w:p>
    <w:p w14:paraId="092CDA0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8.2递交响应文件截止时间前，供应商应将样品送达至指定地点。若需要现场演示的，供应商应提前做好演示准备（包括演示设备）。</w:t>
      </w:r>
    </w:p>
    <w:p w14:paraId="08AEA53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0944671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9.除磋商文件另有规定外，有下列情形之一的，响应无效：</w:t>
      </w:r>
    </w:p>
    <w:p w14:paraId="109C3A1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9.1响应文件未按照磋商文件要求签署、盖章；</w:t>
      </w:r>
    </w:p>
    <w:p w14:paraId="1319F65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9.2不符合磋商文件中规定的资格要求；</w:t>
      </w:r>
    </w:p>
    <w:p w14:paraId="4295928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9.3磋商报价超过磋商文件中规定的预算金额或最高限价；</w:t>
      </w:r>
    </w:p>
    <w:p w14:paraId="3C8AE04B">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9.4响应文件含有采购人不能接受的附加条件；</w:t>
      </w:r>
    </w:p>
    <w:p w14:paraId="2A166E8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9.5有关法律、法规和规章及磋商文件规定的其他无效情形。</w:t>
      </w:r>
    </w:p>
    <w:p w14:paraId="09DFDFD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1"/>
        <w:rPr>
          <w:rFonts w:hint="default" w:ascii="Times New Roman" w:hAnsi="Times New Roman" w:cs="Times New Roman" w:eastAsiaTheme="minorEastAsia"/>
          <w:color w:val="auto"/>
          <w:sz w:val="24"/>
          <w:szCs w:val="24"/>
          <w:highlight w:val="none"/>
        </w:rPr>
      </w:pPr>
      <w:bookmarkStart w:id="22" w:name="_Toc16931"/>
      <w:r>
        <w:rPr>
          <w:rFonts w:hint="default" w:ascii="Times New Roman" w:hAnsi="Times New Roman" w:cs="Times New Roman" w:eastAsiaTheme="minorEastAsia"/>
          <w:b/>
          <w:color w:val="auto"/>
          <w:sz w:val="24"/>
          <w:szCs w:val="24"/>
          <w:highlight w:val="none"/>
        </w:rPr>
        <w:t>六、磋商、评审和结果确定</w:t>
      </w:r>
      <w:bookmarkEnd w:id="22"/>
    </w:p>
    <w:p w14:paraId="5F98CE4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1.响应文件的开启</w:t>
      </w:r>
    </w:p>
    <w:p w14:paraId="64B471B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1.1异议</w:t>
      </w:r>
    </w:p>
    <w:p w14:paraId="6CEE7E2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供应商代表对开启过程和开启记录有疑义，以及认为采购人、采购代理机构相关工作人员有需要回避的情形的，应当场提出询问或者回避申请。供应商未参加开启的，视同认可开启结果。</w:t>
      </w:r>
    </w:p>
    <w:p w14:paraId="558E539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2.评审（详见第四章）</w:t>
      </w:r>
    </w:p>
    <w:p w14:paraId="634DA85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3.成交</w:t>
      </w:r>
    </w:p>
    <w:p w14:paraId="7442900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成交结果公告：</w:t>
      </w:r>
    </w:p>
    <w:p w14:paraId="79C7C7D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成交供应商确定之日起2个工作日内，采购人或采购代理机构将在</w:t>
      </w:r>
      <w:r>
        <w:rPr>
          <w:rFonts w:hint="default" w:ascii="Times New Roman" w:hAnsi="Times New Roman" w:cs="Times New Roman" w:eastAsiaTheme="minorEastAsia"/>
          <w:color w:val="auto"/>
          <w:sz w:val="21"/>
          <w:szCs w:val="21"/>
          <w:highlight w:val="none"/>
          <w:lang w:eastAsia="zh-CN"/>
        </w:rPr>
        <w:t>相关网站</w:t>
      </w:r>
      <w:r>
        <w:rPr>
          <w:rFonts w:hint="default" w:ascii="Times New Roman" w:hAnsi="Times New Roman" w:cs="Times New Roman" w:eastAsiaTheme="minorEastAsia"/>
          <w:color w:val="auto"/>
          <w:sz w:val="21"/>
          <w:szCs w:val="21"/>
          <w:highlight w:val="none"/>
        </w:rPr>
        <w:t>以公告的形式发布成交结果，结果公告的公告期限为 1 个工作日。结果公告同时作为采购代理机构通知除成交供应商外的其他供应商没有成交的书面形式，采购代理机构不再以其它方式另行通知。</w:t>
      </w:r>
    </w:p>
    <w:p w14:paraId="0B4881B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1"/>
        <w:rPr>
          <w:rFonts w:hint="default" w:ascii="Times New Roman" w:hAnsi="Times New Roman" w:cs="Times New Roman" w:eastAsiaTheme="minorEastAsia"/>
          <w:color w:val="auto"/>
          <w:sz w:val="21"/>
          <w:szCs w:val="21"/>
          <w:highlight w:val="none"/>
        </w:rPr>
      </w:pPr>
      <w:bookmarkStart w:id="23" w:name="_Toc26837"/>
      <w:r>
        <w:rPr>
          <w:rFonts w:hint="default" w:ascii="Times New Roman" w:hAnsi="Times New Roman" w:cs="Times New Roman" w:eastAsiaTheme="minorEastAsia"/>
          <w:b/>
          <w:color w:val="auto"/>
          <w:sz w:val="21"/>
          <w:szCs w:val="21"/>
          <w:highlight w:val="none"/>
        </w:rPr>
        <w:t>七、询问、质疑与投诉</w:t>
      </w:r>
      <w:bookmarkEnd w:id="23"/>
    </w:p>
    <w:p w14:paraId="1405B2B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1.询问</w:t>
      </w:r>
    </w:p>
    <w:p w14:paraId="0445D2FB">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2C036A6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2.质疑</w:t>
      </w:r>
    </w:p>
    <w:p w14:paraId="5F154A6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4AF1FCD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（1）对磋商文件提出质疑的，为获取磋商文件之日或者磋商文件公告期限届满之日；</w:t>
      </w:r>
    </w:p>
    <w:p w14:paraId="3676737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（2）对采购过程提出质疑的，为各采购程序环节结束之日；</w:t>
      </w:r>
    </w:p>
    <w:p w14:paraId="685499B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（3）对成交结果提出质疑的，为成交结果公告期限届满之日。</w:t>
      </w:r>
    </w:p>
    <w:p w14:paraId="4493B27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2.2质疑函应当包括下列主要内容：</w:t>
      </w:r>
    </w:p>
    <w:p w14:paraId="032C155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（1）质疑供应商和相关供应商的名称、地址、邮编、联系人及联系电话等；</w:t>
      </w:r>
    </w:p>
    <w:p w14:paraId="66719F3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（2）质疑项目名称及编号、具体明确的质疑事项和与质疑事项相关的请求；</w:t>
      </w:r>
    </w:p>
    <w:p w14:paraId="23C64B9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（3）认为磋商文件、采购过程和成交结果使自己的合法权益受到损害的法律依据、事实依据、相关证明材料及证据来源；</w:t>
      </w:r>
    </w:p>
    <w:p w14:paraId="022A2E7B">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（4）提出质疑的日期。</w:t>
      </w:r>
    </w:p>
    <w:p w14:paraId="4C7B68E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2.3质疑函应当署名。质疑供应商为自然人的，应当由本人签字；质疑供应商为法人或者其他组织的，应当由法定代表人、主要负责人，或者其授权代表签字或者盖章，并加盖公章。</w:t>
      </w:r>
    </w:p>
    <w:p w14:paraId="262CACD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2.4以联合体形式参加政府采购活动的，其质疑应当由联合体成员委托主体提出。</w:t>
      </w:r>
    </w:p>
    <w:p w14:paraId="2D29585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F07404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2.6质疑联系方式如下：</w:t>
      </w:r>
    </w:p>
    <w:p w14:paraId="08F1053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质疑联系人：</w:t>
      </w:r>
      <w:r>
        <w:rPr>
          <w:rFonts w:hint="eastAsia" w:ascii="Times New Roman" w:hAnsi="Times New Roman" w:cs="Times New Roman"/>
          <w:color w:val="auto"/>
          <w:sz w:val="21"/>
          <w:szCs w:val="21"/>
          <w:highlight w:val="none"/>
          <w:lang w:eastAsia="zh-CN"/>
        </w:rPr>
        <w:t>李</w:t>
      </w:r>
      <w:r>
        <w:rPr>
          <w:rFonts w:hint="default" w:ascii="Times New Roman" w:hAnsi="Times New Roman" w:cs="Times New Roman" w:eastAsiaTheme="minorEastAsia"/>
          <w:color w:val="auto"/>
          <w:sz w:val="21"/>
          <w:szCs w:val="21"/>
          <w:highlight w:val="none"/>
        </w:rPr>
        <w:t>先生</w:t>
      </w:r>
    </w:p>
    <w:p w14:paraId="266D08C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电话：0757-83332518</w:t>
      </w:r>
    </w:p>
    <w:p w14:paraId="11CA565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传真：0757-83332578</w:t>
      </w:r>
    </w:p>
    <w:p w14:paraId="10A913D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邮箱：zgydfs@126.com</w:t>
      </w:r>
    </w:p>
    <w:p w14:paraId="6EEED60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地址：佛山市禅城区季华五路10号金融广场17楼A区之一</w:t>
      </w:r>
    </w:p>
    <w:p w14:paraId="0BC9DBD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邮编：528000</w:t>
      </w:r>
    </w:p>
    <w:p w14:paraId="1C6D2F7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p>
    <w:p w14:paraId="50114CC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1"/>
        <w:rPr>
          <w:rFonts w:hint="default" w:ascii="Times New Roman" w:hAnsi="Times New Roman" w:cs="Times New Roman" w:eastAsiaTheme="minorEastAsia"/>
          <w:color w:val="auto"/>
          <w:sz w:val="24"/>
          <w:szCs w:val="24"/>
          <w:highlight w:val="none"/>
        </w:rPr>
      </w:pPr>
      <w:bookmarkStart w:id="24" w:name="_Toc9375"/>
      <w:r>
        <w:rPr>
          <w:rFonts w:hint="default" w:ascii="Times New Roman" w:hAnsi="Times New Roman" w:cs="Times New Roman" w:eastAsiaTheme="minorEastAsia"/>
          <w:b/>
          <w:color w:val="auto"/>
          <w:sz w:val="24"/>
          <w:szCs w:val="24"/>
          <w:highlight w:val="none"/>
        </w:rPr>
        <w:t>八、合同签订和履行</w:t>
      </w:r>
      <w:bookmarkEnd w:id="24"/>
    </w:p>
    <w:p w14:paraId="71BA47E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1.合同签订</w:t>
      </w:r>
    </w:p>
    <w:p w14:paraId="3697807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1.1采购人应当自《成交通知书》发出之日起三十日内，按照磋商文件和成交供应商响应文件的约定，与成交供应商签订合同。所签订的合同不得对磋商文件和成交供应商响应文件作实质性修改。</w:t>
      </w:r>
    </w:p>
    <w:p w14:paraId="6E06C64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1.2采购人不得提出试用合格等任何不合理的要求作为签订合同的条件，且不得与成交供应商私下订立背离合同实质性内容的协议。</w:t>
      </w:r>
    </w:p>
    <w:p w14:paraId="5BEDC13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1.3合同条款中应规定，乙方完全遵守《中华人民共和国劳动合同法》有关规定和《中华人民共和国妇女权益保障法》中关于“劳动和社会保障权益”的有关要求。</w:t>
      </w:r>
    </w:p>
    <w:p w14:paraId="4A2A761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2.合同的履行</w:t>
      </w:r>
    </w:p>
    <w:p w14:paraId="1CBAEDF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2.1采购合同订立后，合同各方不得擅自变更、中止或者终止合同。采购合同需要变更的，采购人应签订</w:t>
      </w:r>
      <w:r>
        <w:rPr>
          <w:rFonts w:hint="default" w:ascii="Times New Roman" w:hAnsi="Times New Roman" w:cs="Times New Roman" w:eastAsiaTheme="minorEastAsia"/>
          <w:color w:val="auto"/>
          <w:sz w:val="21"/>
          <w:szCs w:val="21"/>
          <w:highlight w:val="none"/>
          <w:lang w:eastAsia="zh-CN"/>
        </w:rPr>
        <w:t>补充合同</w:t>
      </w:r>
      <w:r>
        <w:rPr>
          <w:rFonts w:hint="default" w:ascii="Times New Roman" w:hAnsi="Times New Roman" w:cs="Times New Roman" w:eastAsiaTheme="minorEastAsia"/>
          <w:color w:val="auto"/>
          <w:sz w:val="21"/>
          <w:szCs w:val="21"/>
          <w:highlight w:val="none"/>
        </w:rPr>
        <w:t>。</w:t>
      </w:r>
    </w:p>
    <w:p w14:paraId="7D5CB37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2.2采购合同履行中，采购人需追加与合同标的相同的货物、工程或者服务的，在不改变合同其他条款的前提下，可以与成交供应商签订补充合同，但所补充合同的采购金额不得超过原采购金额的10%。</w:t>
      </w:r>
    </w:p>
    <w:p w14:paraId="5AFC1861">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br w:type="page"/>
      </w:r>
    </w:p>
    <w:p w14:paraId="6B09B13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outlineLvl w:val="0"/>
        <w:rPr>
          <w:rFonts w:hint="default" w:ascii="Times New Roman" w:hAnsi="Times New Roman" w:cs="Times New Roman" w:eastAsiaTheme="minorEastAsia"/>
          <w:color w:val="auto"/>
          <w:sz w:val="28"/>
          <w:szCs w:val="28"/>
          <w:highlight w:val="none"/>
        </w:rPr>
      </w:pPr>
      <w:bookmarkStart w:id="25" w:name="_Toc21650"/>
      <w:r>
        <w:rPr>
          <w:rFonts w:hint="default" w:ascii="Times New Roman" w:hAnsi="Times New Roman" w:cs="Times New Roman" w:eastAsiaTheme="minorEastAsia"/>
          <w:b/>
          <w:color w:val="auto"/>
          <w:sz w:val="28"/>
          <w:szCs w:val="28"/>
          <w:highlight w:val="none"/>
        </w:rPr>
        <w:t>第四</w:t>
      </w:r>
      <w:r>
        <w:rPr>
          <w:rFonts w:hint="default" w:ascii="Times New Roman" w:hAnsi="Times New Roman" w:cs="Times New Roman" w:eastAsiaTheme="minorEastAsia"/>
          <w:b/>
          <w:color w:val="auto"/>
          <w:sz w:val="28"/>
          <w:szCs w:val="28"/>
          <w:highlight w:val="none"/>
          <w:lang w:eastAsia="zh-CN"/>
        </w:rPr>
        <w:t>部分</w:t>
      </w:r>
      <w:r>
        <w:rPr>
          <w:rFonts w:hint="default" w:ascii="Times New Roman" w:hAnsi="Times New Roman" w:cs="Times New Roman" w:eastAsiaTheme="minorEastAsia"/>
          <w:b/>
          <w:color w:val="auto"/>
          <w:sz w:val="28"/>
          <w:szCs w:val="28"/>
          <w:highlight w:val="none"/>
        </w:rPr>
        <w:t xml:space="preserve"> 评审</w:t>
      </w:r>
      <w:bookmarkEnd w:id="25"/>
    </w:p>
    <w:p w14:paraId="53FCF92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1"/>
        <w:rPr>
          <w:rFonts w:hint="default" w:ascii="Times New Roman" w:hAnsi="Times New Roman" w:cs="Times New Roman" w:eastAsiaTheme="minorEastAsia"/>
          <w:color w:val="auto"/>
          <w:sz w:val="24"/>
          <w:szCs w:val="24"/>
          <w:highlight w:val="none"/>
        </w:rPr>
      </w:pPr>
      <w:bookmarkStart w:id="26" w:name="_Toc504"/>
      <w:r>
        <w:rPr>
          <w:rFonts w:hint="default" w:ascii="Times New Roman" w:hAnsi="Times New Roman" w:cs="Times New Roman" w:eastAsiaTheme="minorEastAsia"/>
          <w:b/>
          <w:color w:val="auto"/>
          <w:sz w:val="24"/>
          <w:szCs w:val="24"/>
          <w:highlight w:val="none"/>
        </w:rPr>
        <w:t>一、评审要求</w:t>
      </w:r>
      <w:bookmarkEnd w:id="26"/>
    </w:p>
    <w:p w14:paraId="64BF099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1.评审方法</w:t>
      </w:r>
    </w:p>
    <w:p w14:paraId="1B5C770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t>综合评分法,是指响应文件满足磋商文件全部实质性要求，且按照评审因素的量化指标评审得分最高的投标人为成交候选人的评标方法。（最低报价不是成交的唯一依据。）</w:t>
      </w:r>
    </w:p>
    <w:p w14:paraId="6A1B742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2.评审原则</w:t>
      </w:r>
    </w:p>
    <w:p w14:paraId="6BD3C62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2.1评审活动遵循公平、公正、科学和择优的原则，以磋商文件和响应文件为评审的基本依据，并按照磋商文件规定的评审方法和评审标准进行评审。</w:t>
      </w:r>
    </w:p>
    <w:p w14:paraId="5AE942C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6087ECB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3.磋商小组</w:t>
      </w:r>
    </w:p>
    <w:p w14:paraId="79C5B8E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3.1磋商小组由采购人代表和评审专家组成，成员人数应当为3人及以上单数，其中技术、经济等方面的评审专家不得少于成员总数的三分之二。</w:t>
      </w:r>
    </w:p>
    <w:p w14:paraId="4B4C259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3.2评审应遵守下列评审纪律：</w:t>
      </w:r>
    </w:p>
    <w:p w14:paraId="3BD254D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（1）评审情况不得私自外泄，有关信息由</w:t>
      </w:r>
      <w:r>
        <w:rPr>
          <w:rFonts w:hint="default" w:ascii="Times New Roman" w:hAnsi="Times New Roman" w:cs="Times New Roman" w:eastAsiaTheme="minorEastAsia"/>
          <w:color w:val="auto"/>
          <w:sz w:val="21"/>
          <w:szCs w:val="21"/>
          <w:highlight w:val="none"/>
          <w:lang w:eastAsia="zh-CN"/>
        </w:rPr>
        <w:t>广东远东招标代理有限公司</w:t>
      </w:r>
      <w:r>
        <w:rPr>
          <w:rFonts w:hint="default" w:ascii="Times New Roman" w:hAnsi="Times New Roman" w:cs="Times New Roman" w:eastAsiaTheme="minorEastAsia"/>
          <w:color w:val="auto"/>
          <w:sz w:val="21"/>
          <w:szCs w:val="21"/>
          <w:highlight w:val="none"/>
        </w:rPr>
        <w:t>统一对外发布。</w:t>
      </w:r>
    </w:p>
    <w:p w14:paraId="6C28FEA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（2）对</w:t>
      </w:r>
      <w:r>
        <w:rPr>
          <w:rFonts w:hint="default" w:ascii="Times New Roman" w:hAnsi="Times New Roman" w:cs="Times New Roman" w:eastAsiaTheme="minorEastAsia"/>
          <w:color w:val="auto"/>
          <w:sz w:val="21"/>
          <w:szCs w:val="21"/>
          <w:highlight w:val="none"/>
          <w:lang w:eastAsia="zh-CN"/>
        </w:rPr>
        <w:t>广东远东招标代理有限公司</w:t>
      </w:r>
      <w:r>
        <w:rPr>
          <w:rFonts w:hint="default" w:ascii="Times New Roman" w:hAnsi="Times New Roman" w:cs="Times New Roman" w:eastAsiaTheme="minorEastAsia"/>
          <w:color w:val="auto"/>
          <w:sz w:val="21"/>
          <w:szCs w:val="21"/>
          <w:highlight w:val="none"/>
        </w:rPr>
        <w:t>或供应商提供的要求保密的资料，不得摘记翻印和外传。</w:t>
      </w:r>
    </w:p>
    <w:p w14:paraId="69D5B41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（3）不得收受响应供应商或有关人员的任何礼物，不得串联鼓动其他人袒护某供应商。若与供应商存在利害关系，则应主动声明并回避。</w:t>
      </w:r>
    </w:p>
    <w:p w14:paraId="080B6A2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（4）全体评委应按照磋商文件规定进行评审，一切认定事项应查有实据且不得弄虚作假。</w:t>
      </w:r>
    </w:p>
    <w:p w14:paraId="1F96D70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（5）磋商小组各成员应当独立对每个响应供应商的响应文件进行评价，并对评价意见承担个人责任。评审过程中，不得发表倾向性言论。</w:t>
      </w:r>
    </w:p>
    <w:p w14:paraId="710A028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※对违反评审纪律的评委，将取消其评委资格，对评审工作造成严重损失者将予以通报批评乃至追究法律责任。</w:t>
      </w:r>
    </w:p>
    <w:p w14:paraId="36B3044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4.有下列情形之一的，视为供应商串通响应，其响应无效</w:t>
      </w:r>
    </w:p>
    <w:p w14:paraId="77316F0B">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4.1不同供应商的响应文件由同一单位或者个人编制；</w:t>
      </w:r>
    </w:p>
    <w:p w14:paraId="7079E2E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4.2不同供应商委托同一单位或者个人办理响应事宜；</w:t>
      </w:r>
    </w:p>
    <w:p w14:paraId="70475BB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4.3不同供应商的响应文件载明的项目管理成员或者联系人员为同一人；</w:t>
      </w:r>
    </w:p>
    <w:p w14:paraId="5F17B3C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4.4不同供应商的响应文件异常一致或者响应报价呈规律性差异；</w:t>
      </w:r>
    </w:p>
    <w:p w14:paraId="4DD7D8F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4.5不同供应商的响应文件相互混装；</w:t>
      </w:r>
    </w:p>
    <w:p w14:paraId="155F59B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4.6不同供应商的响应保证金或购买电子保函支付款为从同一单位或个人的账户转出。</w:t>
      </w:r>
    </w:p>
    <w:p w14:paraId="4E0A655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 xml:space="preserve"> 说明：在评审过程中发现供应商有上述情形的，磋商小组应当认定其响应无效。同时，项目评审时被认定为串通响应的供应商不得参加该合同项下的采购活动。</w:t>
      </w:r>
    </w:p>
    <w:p w14:paraId="7F54A36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5.有下列情形之一的，属于恶意串通响应：</w:t>
      </w:r>
    </w:p>
    <w:p w14:paraId="6339F20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（1）供应商直接或者间接从采购人或者采购代理机构处获得其他供应商的相关情况并修改其响应文件；</w:t>
      </w:r>
    </w:p>
    <w:p w14:paraId="062BB73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（2）供应商按照采购人或者采购代理机构的授意撤换、修改响应文件；</w:t>
      </w:r>
    </w:p>
    <w:p w14:paraId="0F23EFE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（3）供应商之间协商报价、技术方案等响应文件的实质性内容；</w:t>
      </w:r>
    </w:p>
    <w:p w14:paraId="5FF5367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（4）属于同一集团、协会、商会等组织成员的供应商按照该组织要求协同参加政府采购活动；</w:t>
      </w:r>
    </w:p>
    <w:p w14:paraId="4EEEA16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（5）供应商之间事先约定由某一特定供应商成交；</w:t>
      </w:r>
    </w:p>
    <w:p w14:paraId="02A8EDA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（6）供应商之间商定部分供应商放弃参加政府采购活动或者放弃成交；</w:t>
      </w:r>
    </w:p>
    <w:p w14:paraId="0151A50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（7）供应商与采购人或者采购代理机构之间、供应商相互之间，为谋求特定供应商成交或者排斥其他供应商的其他串通行为。</w:t>
      </w:r>
    </w:p>
    <w:p w14:paraId="2BEFA2B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6.其他响应无效的情形</w:t>
      </w:r>
    </w:p>
    <w:p w14:paraId="7A47BCA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详见资格性审查、符合性审查和磋商文件其他响应无效条款。</w:t>
      </w:r>
    </w:p>
    <w:p w14:paraId="4197DFF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7.终止竞争性磋商采购活动的情形</w:t>
      </w:r>
    </w:p>
    <w:p w14:paraId="5706D15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出现下列情形之一的，采购人或者采购代理机构应当终止竞争性磋商采购活动，发布项目终止公告并说明原因，重新开展采购活动：</w:t>
      </w:r>
    </w:p>
    <w:p w14:paraId="101535F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（1）因情况变化，不再符合规定的竞争性磋商</w:t>
      </w:r>
      <w:r>
        <w:rPr>
          <w:rFonts w:hint="eastAsia" w:ascii="Times New Roman" w:hAnsi="Times New Roman" w:cs="Times New Roman"/>
          <w:color w:val="auto"/>
          <w:sz w:val="21"/>
          <w:szCs w:val="21"/>
          <w:highlight w:val="none"/>
          <w:lang w:eastAsia="zh-CN"/>
        </w:rPr>
        <w:t>采购人</w:t>
      </w:r>
      <w:r>
        <w:rPr>
          <w:rFonts w:hint="default" w:ascii="Times New Roman" w:hAnsi="Times New Roman" w:cs="Times New Roman" w:eastAsiaTheme="minorEastAsia"/>
          <w:color w:val="auto"/>
          <w:sz w:val="21"/>
          <w:szCs w:val="21"/>
          <w:highlight w:val="none"/>
        </w:rPr>
        <w:t>式适用情形的；</w:t>
      </w:r>
    </w:p>
    <w:p w14:paraId="43B3183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（2）出现影响采购公正的违法、违规行为的；</w:t>
      </w:r>
    </w:p>
    <w:p w14:paraId="1CDAB6E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（3）除《政府采购竞争性磋商</w:t>
      </w:r>
      <w:r>
        <w:rPr>
          <w:rFonts w:hint="eastAsia" w:ascii="Times New Roman" w:hAnsi="Times New Roman" w:cs="Times New Roman"/>
          <w:color w:val="auto"/>
          <w:sz w:val="21"/>
          <w:szCs w:val="21"/>
          <w:highlight w:val="none"/>
          <w:lang w:eastAsia="zh-CN"/>
        </w:rPr>
        <w:t>采购人</w:t>
      </w:r>
      <w:r>
        <w:rPr>
          <w:rFonts w:hint="default" w:ascii="Times New Roman" w:hAnsi="Times New Roman" w:cs="Times New Roman" w:eastAsiaTheme="minorEastAsia"/>
          <w:color w:val="auto"/>
          <w:sz w:val="21"/>
          <w:szCs w:val="21"/>
          <w:highlight w:val="none"/>
        </w:rPr>
        <w:t>式暂行办法》第二十一条第三款，《财政部关于政府采购竞争性磋商</w:t>
      </w:r>
      <w:r>
        <w:rPr>
          <w:rFonts w:hint="eastAsia" w:ascii="Times New Roman" w:hAnsi="Times New Roman" w:cs="Times New Roman"/>
          <w:color w:val="auto"/>
          <w:sz w:val="21"/>
          <w:szCs w:val="21"/>
          <w:highlight w:val="none"/>
          <w:lang w:eastAsia="zh-CN"/>
        </w:rPr>
        <w:t>采购人</w:t>
      </w:r>
      <w:r>
        <w:rPr>
          <w:rFonts w:hint="default" w:ascii="Times New Roman" w:hAnsi="Times New Roman" w:cs="Times New Roman" w:eastAsiaTheme="minorEastAsia"/>
          <w:color w:val="auto"/>
          <w:sz w:val="21"/>
          <w:szCs w:val="21"/>
          <w:highlight w:val="none"/>
        </w:rPr>
        <w:t>式管理暂行办法有关问题的补充通知》（财库〔2015〕124号）规定的情形外，在采购过程中符合要求的供应商或者报价未超过采购预算的供应商不足3家的；</w:t>
      </w:r>
    </w:p>
    <w:p w14:paraId="250D969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（4）法律、法规以及磋商文件规定其他情形。</w:t>
      </w:r>
    </w:p>
    <w:p w14:paraId="62BF32D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8.确定成交供应商</w:t>
      </w:r>
    </w:p>
    <w:p w14:paraId="7757B00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磋商小组按照磋商文件确定的评审方法、步骤、标准，对响应文件进行评审。评审结束后，对供应商的评审名次进行排序，确定成交供应商或者推荐成交候选供应商。</w:t>
      </w:r>
    </w:p>
    <w:p w14:paraId="072A74D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9.价格修正</w:t>
      </w:r>
    </w:p>
    <w:p w14:paraId="0D2D0AB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对报价的计算错误按以下原则修正：</w:t>
      </w:r>
    </w:p>
    <w:p w14:paraId="7D6E356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（1）响应文件中首轮报价表（报价表）内容与响应文件中相应内容不一致的，以首轮报价表（报价表）为准；</w:t>
      </w:r>
    </w:p>
    <w:p w14:paraId="301B903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（2）大写金额和小写金额不一致的，以大写金额为准；</w:t>
      </w:r>
    </w:p>
    <w:p w14:paraId="3308219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（3）单价金额小数点或者百分比有明显错位的，以首轮报价表的总价为准，并修改单价；</w:t>
      </w:r>
    </w:p>
    <w:p w14:paraId="1926C3D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（4）总价金额与按单价汇总金额不一致的，以单价金额计算结果为准。但是单价金额计算结果超过预算价的，对其按无效响应处理；</w:t>
      </w:r>
    </w:p>
    <w:p w14:paraId="23FFC61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注：同时出现两种以上不一致的，按照前款规定的顺序进行价格澄清。供应商澄清后的价格加</w:t>
      </w:r>
      <w:r>
        <w:rPr>
          <w:rFonts w:hint="default" w:ascii="Times New Roman" w:hAnsi="Times New Roman" w:cs="Times New Roman" w:eastAsiaTheme="minorEastAsia"/>
          <w:color w:val="auto"/>
          <w:sz w:val="21"/>
          <w:szCs w:val="21"/>
          <w:highlight w:val="none"/>
          <w:lang w:eastAsia="zh-CN"/>
        </w:rPr>
        <w:t>盖公章</w:t>
      </w:r>
      <w:r>
        <w:rPr>
          <w:rFonts w:hint="default" w:ascii="Times New Roman" w:hAnsi="Times New Roman" w:cs="Times New Roman" w:eastAsiaTheme="minorEastAsia"/>
          <w:color w:val="auto"/>
          <w:sz w:val="21"/>
          <w:szCs w:val="21"/>
          <w:highlight w:val="none"/>
        </w:rPr>
        <w:t>确认后产生约束力，但不得超出响应文件的范围或者改变响应文件的实质性内容，供应商不确认的，其响应无效。</w:t>
      </w:r>
    </w:p>
    <w:p w14:paraId="66E52A4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p>
    <w:p w14:paraId="5E5889D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1"/>
        <w:rPr>
          <w:rFonts w:hint="default" w:ascii="Times New Roman" w:hAnsi="Times New Roman" w:cs="Times New Roman" w:eastAsiaTheme="minorEastAsia"/>
          <w:color w:val="auto"/>
          <w:sz w:val="24"/>
          <w:szCs w:val="24"/>
          <w:highlight w:val="none"/>
        </w:rPr>
      </w:pPr>
      <w:bookmarkStart w:id="27" w:name="_Toc19574"/>
      <w:r>
        <w:rPr>
          <w:rFonts w:hint="default" w:ascii="Times New Roman" w:hAnsi="Times New Roman" w:cs="Times New Roman" w:eastAsiaTheme="minorEastAsia"/>
          <w:b/>
          <w:color w:val="auto"/>
          <w:sz w:val="24"/>
          <w:szCs w:val="24"/>
          <w:highlight w:val="none"/>
        </w:rPr>
        <w:t>二</w:t>
      </w:r>
      <w:r>
        <w:rPr>
          <w:rFonts w:hint="default" w:ascii="Times New Roman" w:hAnsi="Times New Roman" w:cs="Times New Roman" w:eastAsiaTheme="minorEastAsia"/>
          <w:b/>
          <w:color w:val="auto"/>
          <w:sz w:val="24"/>
          <w:szCs w:val="24"/>
          <w:highlight w:val="none"/>
          <w:lang w:eastAsia="zh-CN"/>
        </w:rPr>
        <w:t>、</w:t>
      </w:r>
      <w:r>
        <w:rPr>
          <w:rFonts w:hint="default" w:ascii="Times New Roman" w:hAnsi="Times New Roman" w:cs="Times New Roman" w:eastAsiaTheme="minorEastAsia"/>
          <w:b/>
          <w:color w:val="auto"/>
          <w:sz w:val="24"/>
          <w:szCs w:val="24"/>
          <w:highlight w:val="none"/>
        </w:rPr>
        <w:t>政府采购政策落实</w:t>
      </w:r>
      <w:bookmarkEnd w:id="27"/>
    </w:p>
    <w:p w14:paraId="059148B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1.节能、环保要求</w:t>
      </w:r>
    </w:p>
    <w:p w14:paraId="4BA5ACF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7A0B35C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相关认证机构和获证产品信息以市场监管总局组织建立的节能产品、环境标志产品认证结果信息发布平台公布为准。</w:t>
      </w:r>
    </w:p>
    <w:p w14:paraId="41CA28A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2.对小型、微型企业、监狱企业或残疾人福利性单位给予价格扣除</w:t>
      </w:r>
    </w:p>
    <w:p w14:paraId="34D259B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2A87CFFB">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3.价格扣除相关要求</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2413"/>
        <w:gridCol w:w="2110"/>
        <w:gridCol w:w="1694"/>
        <w:gridCol w:w="2413"/>
      </w:tblGrid>
      <w:tr w14:paraId="6AA97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649" w:type="dxa"/>
            <w:vAlign w:val="center"/>
          </w:tcPr>
          <w:p w14:paraId="5B38748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413" w:type="dxa"/>
            <w:vAlign w:val="center"/>
          </w:tcPr>
          <w:p w14:paraId="0D58B11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情形</w:t>
            </w:r>
          </w:p>
        </w:tc>
        <w:tc>
          <w:tcPr>
            <w:tcW w:w="2110" w:type="dxa"/>
            <w:vAlign w:val="center"/>
          </w:tcPr>
          <w:p w14:paraId="6281F1A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适用对象</w:t>
            </w:r>
          </w:p>
        </w:tc>
        <w:tc>
          <w:tcPr>
            <w:tcW w:w="1694" w:type="dxa"/>
            <w:vAlign w:val="center"/>
          </w:tcPr>
          <w:p w14:paraId="15C8AE3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价格扣除比例</w:t>
            </w:r>
          </w:p>
        </w:tc>
        <w:tc>
          <w:tcPr>
            <w:tcW w:w="2413" w:type="dxa"/>
            <w:vAlign w:val="center"/>
          </w:tcPr>
          <w:p w14:paraId="31A6362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计算公式</w:t>
            </w:r>
          </w:p>
        </w:tc>
      </w:tr>
      <w:tr w14:paraId="6E40D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4" w:hRule="atLeast"/>
        </w:trPr>
        <w:tc>
          <w:tcPr>
            <w:tcW w:w="9279" w:type="dxa"/>
            <w:gridSpan w:val="5"/>
          </w:tcPr>
          <w:p w14:paraId="14A12B7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注：（1）上述评标价仅用于计算价格分，成交金额以实际投标价为准。</w:t>
            </w:r>
          </w:p>
          <w:p w14:paraId="581C3DE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（2）组成联合体的大中型企业和其他自然人、法人或者其他组织、与小型、微型企业之间不得存在投资关系。</w:t>
            </w:r>
          </w:p>
        </w:tc>
      </w:tr>
    </w:tbl>
    <w:p w14:paraId="015A816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（1）所称小型和微型企业应当符合以下条件：</w:t>
      </w:r>
    </w:p>
    <w:p w14:paraId="275094D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51D14DB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符合中小企业划分标准的个体工商户，在政府采购活动中视同中小企业。</w:t>
      </w:r>
    </w:p>
    <w:p w14:paraId="47EDB6B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提供本企业（属于小微企业）制造的货物或者提供其他小型或微型企业制造的货物/提供本企业（属于小微企业）承接的服务。</w:t>
      </w:r>
    </w:p>
    <w:p w14:paraId="2281F61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758C4EB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说明：供应商应当对其出具的《中小企业声明函》真实性负责，供应商出具的《中小企业声明函》内容不实的，属于提供虚假材料谋取成交。</w:t>
      </w:r>
    </w:p>
    <w:p w14:paraId="5670415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4FAFB94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p>
    <w:p w14:paraId="361782F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1"/>
        <w:rPr>
          <w:rFonts w:hint="default" w:ascii="Times New Roman" w:hAnsi="Times New Roman" w:cs="Times New Roman" w:eastAsiaTheme="minorEastAsia"/>
          <w:color w:val="auto"/>
          <w:sz w:val="24"/>
          <w:szCs w:val="24"/>
          <w:highlight w:val="none"/>
        </w:rPr>
      </w:pPr>
      <w:bookmarkStart w:id="28" w:name="_Toc5531"/>
      <w:r>
        <w:rPr>
          <w:rFonts w:hint="default" w:ascii="Times New Roman" w:hAnsi="Times New Roman" w:cs="Times New Roman" w:eastAsiaTheme="minorEastAsia"/>
          <w:b/>
          <w:color w:val="auto"/>
          <w:sz w:val="24"/>
          <w:szCs w:val="24"/>
          <w:highlight w:val="none"/>
        </w:rPr>
        <w:t>三、评审程序</w:t>
      </w:r>
      <w:bookmarkEnd w:id="28"/>
    </w:p>
    <w:p w14:paraId="29F4753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1.资格性审查和符合性审查</w:t>
      </w:r>
    </w:p>
    <w:p w14:paraId="54641FE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49ACB66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磋商小组对各磋商供应商进行资格性和符合性审查过程中，对初步被认定为初审不合格或无效响应者应实行及时告知，由磋商小组组长或采购人代表将集体意见及时告知报价当事人。</w:t>
      </w:r>
    </w:p>
    <w:p w14:paraId="64E2E6D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表一资格性审查表：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9"/>
        <w:gridCol w:w="2050"/>
        <w:gridCol w:w="6418"/>
      </w:tblGrid>
      <w:tr w14:paraId="01974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vAlign w:val="center"/>
          </w:tcPr>
          <w:p w14:paraId="1913205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8468" w:type="dxa"/>
            <w:gridSpan w:val="2"/>
            <w:vAlign w:val="center"/>
          </w:tcPr>
          <w:p w14:paraId="1629688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资格审查内容</w:t>
            </w:r>
          </w:p>
        </w:tc>
      </w:tr>
      <w:tr w14:paraId="13A1D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3397591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050" w:type="dxa"/>
          </w:tcPr>
          <w:p w14:paraId="2112B8F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具有独立承担民事责任的能力</w:t>
            </w:r>
          </w:p>
        </w:tc>
        <w:tc>
          <w:tcPr>
            <w:tcW w:w="6418" w:type="dxa"/>
          </w:tcPr>
          <w:p w14:paraId="7148210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在中华人民共和国境内注册的法人或其他组织或自然人，投标（响应）时提交有效的营业执照（或事业法人登记证或身份证等相关证明）副本复印件。</w:t>
            </w:r>
          </w:p>
        </w:tc>
      </w:tr>
      <w:tr w14:paraId="62D40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2918DA5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w:t>
            </w:r>
          </w:p>
        </w:tc>
        <w:tc>
          <w:tcPr>
            <w:tcW w:w="2050" w:type="dxa"/>
          </w:tcPr>
          <w:p w14:paraId="5D06AF6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有依法缴纳税收和社会保障资金的良好记录</w:t>
            </w:r>
          </w:p>
        </w:tc>
        <w:tc>
          <w:tcPr>
            <w:tcW w:w="6418" w:type="dxa"/>
          </w:tcPr>
          <w:p w14:paraId="41C29BB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提供以下两种证明材料之一：1.提供《政府采购供应商资格信用承诺函》，具体要求详见投标文件格式；2.提供投标截止日前6个月内任意1个月依法缴纳税收和社会保障资金的相关材料。如依法免税或不需要缴纳社会保障资金的，提供相应证明材料。</w:t>
            </w:r>
          </w:p>
        </w:tc>
      </w:tr>
      <w:tr w14:paraId="6130D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2EA4185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w:t>
            </w:r>
          </w:p>
        </w:tc>
        <w:tc>
          <w:tcPr>
            <w:tcW w:w="2050" w:type="dxa"/>
          </w:tcPr>
          <w:p w14:paraId="0B858A4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具有良好的商业信誉和健全的财务会计制度</w:t>
            </w:r>
          </w:p>
        </w:tc>
        <w:tc>
          <w:tcPr>
            <w:tcW w:w="6418" w:type="dxa"/>
          </w:tcPr>
          <w:p w14:paraId="671A2635">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提供以下三种证明材料之一：1.提供《政府采购供应商资格信用承诺函》，具体要求详见投标文件格式；2.提供2022或2023年度财务状况报告，财务状况报告须由第三方会计师事务所出具，能清晰显示第三方会计师事务所的印章，并能反映审计结论；3.提供投标截止日前6个月内基本开户银行出具的资信证明，并同时提交开户（基本户）许可证扫描件，开户（基本户）许可证已取消的，应提供能体现基本开户银行的“基本存款账户编号”的相关证明。</w:t>
            </w:r>
          </w:p>
        </w:tc>
      </w:tr>
      <w:tr w14:paraId="4A7AD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57C5897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w:t>
            </w:r>
          </w:p>
        </w:tc>
        <w:tc>
          <w:tcPr>
            <w:tcW w:w="2050" w:type="dxa"/>
          </w:tcPr>
          <w:p w14:paraId="0C05D7D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履行合同所必需的设备和专业技术能力</w:t>
            </w:r>
          </w:p>
        </w:tc>
        <w:tc>
          <w:tcPr>
            <w:tcW w:w="6418" w:type="dxa"/>
          </w:tcPr>
          <w:p w14:paraId="76FBAED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按投标（响应）文件格式填写《具有履行合同所必需的设备和专业技术能力的承诺函》。</w:t>
            </w:r>
          </w:p>
        </w:tc>
      </w:tr>
      <w:tr w14:paraId="090F9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3C396C2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5</w:t>
            </w:r>
          </w:p>
        </w:tc>
        <w:tc>
          <w:tcPr>
            <w:tcW w:w="2050" w:type="dxa"/>
          </w:tcPr>
          <w:p w14:paraId="31EE4DB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参加采购活动前3年内，在经营活动中没有重大违法记录</w:t>
            </w:r>
          </w:p>
        </w:tc>
        <w:tc>
          <w:tcPr>
            <w:tcW w:w="6418" w:type="dxa"/>
          </w:tcPr>
          <w:p w14:paraId="67053A5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6FF12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091B3ED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6</w:t>
            </w:r>
          </w:p>
        </w:tc>
        <w:tc>
          <w:tcPr>
            <w:tcW w:w="2050" w:type="dxa"/>
          </w:tcPr>
          <w:p w14:paraId="644E980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信用记录</w:t>
            </w:r>
          </w:p>
        </w:tc>
        <w:tc>
          <w:tcPr>
            <w:tcW w:w="6418" w:type="dxa"/>
          </w:tcPr>
          <w:p w14:paraId="3101518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tc>
      </w:tr>
      <w:tr w14:paraId="12D48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7852D28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7</w:t>
            </w:r>
          </w:p>
        </w:tc>
        <w:tc>
          <w:tcPr>
            <w:tcW w:w="2050" w:type="dxa"/>
          </w:tcPr>
          <w:p w14:paraId="138A4C12">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供应商必须符合法律、行政法规规定的其他条件</w:t>
            </w:r>
          </w:p>
        </w:tc>
        <w:tc>
          <w:tcPr>
            <w:tcW w:w="6418" w:type="dxa"/>
          </w:tcPr>
          <w:p w14:paraId="63AD19C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单位负责人为同一人或者存在直接控股、管理关系的不同供应商，不得同时参加本采购项目投标（响应）。投标（报价）函相关承诺要求内容。</w:t>
            </w:r>
          </w:p>
        </w:tc>
      </w:tr>
      <w:tr w14:paraId="4325A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000C330D">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8</w:t>
            </w:r>
          </w:p>
        </w:tc>
        <w:tc>
          <w:tcPr>
            <w:tcW w:w="2050" w:type="dxa"/>
          </w:tcPr>
          <w:p w14:paraId="15F1271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本</w:t>
            </w:r>
            <w:r>
              <w:rPr>
                <w:rFonts w:hint="eastAsia" w:ascii="Times New Roman" w:hAnsi="Times New Roman" w:cs="Times New Roman"/>
                <w:color w:val="auto"/>
                <w:sz w:val="21"/>
                <w:szCs w:val="21"/>
                <w:highlight w:val="none"/>
                <w:lang w:eastAsia="zh-CN"/>
              </w:rPr>
              <w:t>项目</w:t>
            </w:r>
            <w:r>
              <w:rPr>
                <w:rFonts w:hint="default" w:ascii="Times New Roman" w:hAnsi="Times New Roman" w:cs="Times New Roman" w:eastAsiaTheme="minorEastAsia"/>
                <w:color w:val="auto"/>
                <w:sz w:val="21"/>
                <w:szCs w:val="21"/>
                <w:highlight w:val="none"/>
              </w:rPr>
              <w:t>专门面向中小企业采购</w:t>
            </w:r>
          </w:p>
        </w:tc>
        <w:tc>
          <w:tcPr>
            <w:tcW w:w="6418" w:type="dxa"/>
          </w:tcPr>
          <w:p w14:paraId="08DED383">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本项目</w:t>
            </w:r>
            <w:r>
              <w:rPr>
                <w:rFonts w:hint="default" w:ascii="Times New Roman" w:hAnsi="Times New Roman" w:cs="Times New Roman" w:eastAsiaTheme="minorEastAsia"/>
                <w:color w:val="auto"/>
                <w:sz w:val="21"/>
                <w:szCs w:val="21"/>
                <w:highlight w:val="none"/>
              </w:rPr>
              <w:t>整体专门面向中小企业采购，监狱企业、残疾人福利性单位视同小型、微型企业。</w:t>
            </w:r>
          </w:p>
          <w:p w14:paraId="66F06E8D">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（1）中小企业评审及《中小企业声明函》填写要求：</w:t>
            </w:r>
          </w:p>
          <w:p w14:paraId="6B9A2CE4">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① 本项目为服务类项目，供应商须根据本项目采购类别选择对应的《中小企业声明函》填写。</w:t>
            </w:r>
          </w:p>
          <w:p w14:paraId="4EADFEF5">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② 本项目采购标的对应的中小企业划分标准所属行业</w:t>
            </w:r>
            <w:r>
              <w:rPr>
                <w:rFonts w:hint="eastAsia" w:ascii="Times New Roman" w:hAnsi="Times New Roman" w:cs="Times New Roman"/>
                <w:color w:val="auto"/>
                <w:sz w:val="21"/>
                <w:szCs w:val="21"/>
                <w:highlight w:val="none"/>
                <w:lang w:eastAsia="zh-CN"/>
              </w:rPr>
              <w:t>为租赁和商务服务业</w:t>
            </w:r>
            <w:r>
              <w:rPr>
                <w:rFonts w:hint="default" w:ascii="Times New Roman" w:hAnsi="Times New Roman" w:cs="Times New Roman" w:eastAsiaTheme="minorEastAsia"/>
                <w:color w:val="auto"/>
                <w:sz w:val="21"/>
                <w:szCs w:val="21"/>
                <w:highlight w:val="none"/>
              </w:rPr>
              <w:t>。</w:t>
            </w:r>
          </w:p>
          <w:p w14:paraId="1E0009F0">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③ 供应商提交的《中小企业声明函》应按要求完整填报所有信息。</w:t>
            </w:r>
          </w:p>
          <w:p w14:paraId="6AE54A38">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④涉及多个采购标的且由不同制造商制造或者由不同供应商承建（承接）的，应当逐一填报每个采购标的的制造商或者承建（承接）供应商信息。</w:t>
            </w:r>
          </w:p>
          <w:p w14:paraId="79DA6C64">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（2）监狱企业评审要求：提供由省级以上监狱管理局、戒毒管理局（含新疆生产建设兵团）出具的属于监狱企业的证明文件。</w:t>
            </w:r>
          </w:p>
          <w:p w14:paraId="0F499872">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（3）残疾人福利性单位评审要求：提供《残疾人福利性单位声明函》。</w:t>
            </w:r>
          </w:p>
          <w:p w14:paraId="600CE99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（4）中小企业划型标准详见《关于印发中小企业划型标准规定的通知》（工信部联企业〔2011〕300号）（http://www.gov.cn/zwgk/2011-07/04/content_1898747.htm）</w:t>
            </w:r>
            <w:r>
              <w:rPr>
                <w:rFonts w:hint="default" w:ascii="Times New Roman" w:hAnsi="Times New Roman" w:cs="Times New Roman" w:eastAsiaTheme="minorEastAsia"/>
                <w:color w:val="auto"/>
                <w:sz w:val="21"/>
                <w:szCs w:val="21"/>
                <w:highlight w:val="none"/>
                <w:lang w:eastAsia="zh-CN"/>
              </w:rPr>
              <w:t>。</w:t>
            </w:r>
          </w:p>
        </w:tc>
      </w:tr>
    </w:tbl>
    <w:p w14:paraId="7A6309E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表二符合性审查表：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3550"/>
        <w:gridCol w:w="4734"/>
      </w:tblGrid>
      <w:tr w14:paraId="183F9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trPr>
        <w:tc>
          <w:tcPr>
            <w:tcW w:w="994" w:type="dxa"/>
            <w:vAlign w:val="center"/>
          </w:tcPr>
          <w:p w14:paraId="4CFF1DB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3550" w:type="dxa"/>
            <w:vAlign w:val="center"/>
          </w:tcPr>
          <w:p w14:paraId="3663EAE0">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评审点要求概况</w:t>
            </w:r>
          </w:p>
        </w:tc>
        <w:tc>
          <w:tcPr>
            <w:tcW w:w="4734" w:type="dxa"/>
            <w:vAlign w:val="center"/>
          </w:tcPr>
          <w:p w14:paraId="368397A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评审点具体描述</w:t>
            </w:r>
          </w:p>
        </w:tc>
      </w:tr>
      <w:tr w14:paraId="67E63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2" w:hRule="atLeast"/>
        </w:trPr>
        <w:tc>
          <w:tcPr>
            <w:tcW w:w="994" w:type="dxa"/>
            <w:vAlign w:val="center"/>
          </w:tcPr>
          <w:p w14:paraId="60D0E04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3550" w:type="dxa"/>
            <w:vAlign w:val="center"/>
          </w:tcPr>
          <w:p w14:paraId="2A96B418">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投标文件有效性</w:t>
            </w:r>
          </w:p>
        </w:tc>
        <w:tc>
          <w:tcPr>
            <w:tcW w:w="4734" w:type="dxa"/>
          </w:tcPr>
          <w:p w14:paraId="6FD48A0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按照采购文件规定要求签署、盖章且投标文件有法定代表人签字或盖章，或签字人有法定代表人有效授权书的。</w:t>
            </w:r>
          </w:p>
        </w:tc>
      </w:tr>
      <w:tr w14:paraId="57D3B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trPr>
        <w:tc>
          <w:tcPr>
            <w:tcW w:w="994" w:type="dxa"/>
            <w:vAlign w:val="center"/>
          </w:tcPr>
          <w:p w14:paraId="1F4E7AC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w:t>
            </w:r>
          </w:p>
        </w:tc>
        <w:tc>
          <w:tcPr>
            <w:tcW w:w="3550" w:type="dxa"/>
            <w:vAlign w:val="center"/>
          </w:tcPr>
          <w:p w14:paraId="4FD4804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响应承诺函</w:t>
            </w:r>
          </w:p>
        </w:tc>
        <w:tc>
          <w:tcPr>
            <w:tcW w:w="4734" w:type="dxa"/>
          </w:tcPr>
          <w:p w14:paraId="5E3956D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响应承诺函已提交并符合采购文件要求的。</w:t>
            </w:r>
          </w:p>
        </w:tc>
      </w:tr>
      <w:tr w14:paraId="09E5E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994" w:type="dxa"/>
            <w:vAlign w:val="center"/>
          </w:tcPr>
          <w:p w14:paraId="302D0006">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w:t>
            </w:r>
          </w:p>
        </w:tc>
        <w:tc>
          <w:tcPr>
            <w:tcW w:w="3550" w:type="dxa"/>
            <w:vAlign w:val="center"/>
          </w:tcPr>
          <w:p w14:paraId="0C7CA8EE">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实质性响应条款（即标注★号条款）</w:t>
            </w:r>
          </w:p>
        </w:tc>
        <w:tc>
          <w:tcPr>
            <w:tcW w:w="4734" w:type="dxa"/>
          </w:tcPr>
          <w:p w14:paraId="07FDD1B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满足招标文件中要求的实质性响应条款的（即标注★号条款）。</w:t>
            </w:r>
          </w:p>
        </w:tc>
      </w:tr>
      <w:tr w14:paraId="30839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994" w:type="dxa"/>
            <w:vAlign w:val="center"/>
          </w:tcPr>
          <w:p w14:paraId="38E8871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w:t>
            </w:r>
          </w:p>
        </w:tc>
        <w:tc>
          <w:tcPr>
            <w:tcW w:w="3550" w:type="dxa"/>
            <w:vAlign w:val="center"/>
          </w:tcPr>
          <w:p w14:paraId="1C2766B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报价要求</w:t>
            </w:r>
          </w:p>
        </w:tc>
        <w:tc>
          <w:tcPr>
            <w:tcW w:w="4734" w:type="dxa"/>
          </w:tcPr>
          <w:p w14:paraId="4E585E1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投标报价方案是唯一的，符合招标文件的其他投标报价相关要求。</w:t>
            </w:r>
          </w:p>
        </w:tc>
      </w:tr>
      <w:tr w14:paraId="3EF1F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6" w:hRule="atLeast"/>
        </w:trPr>
        <w:tc>
          <w:tcPr>
            <w:tcW w:w="994" w:type="dxa"/>
            <w:vAlign w:val="center"/>
          </w:tcPr>
          <w:p w14:paraId="0D8BB3C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5</w:t>
            </w:r>
          </w:p>
        </w:tc>
        <w:tc>
          <w:tcPr>
            <w:tcW w:w="3550" w:type="dxa"/>
            <w:vAlign w:val="center"/>
          </w:tcPr>
          <w:p w14:paraId="736564D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其它</w:t>
            </w:r>
          </w:p>
        </w:tc>
        <w:tc>
          <w:tcPr>
            <w:tcW w:w="4734" w:type="dxa"/>
          </w:tcPr>
          <w:p w14:paraId="798B743B">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没有违反有关法律、法规、规章要求，没有采购文件中规定的其它无效投标条款的。</w:t>
            </w:r>
          </w:p>
        </w:tc>
      </w:tr>
    </w:tbl>
    <w:p w14:paraId="4F389859">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2.响应文件澄清</w:t>
      </w:r>
    </w:p>
    <w:p w14:paraId="0FDECAD3">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2.1对于响应文件中含义不明确、同类问题表述不一致或者有明显文字和计算错误的内容，磋商小组应当在评审过程中发起澄清，要求供应商针对价格或内容做出必要的澄清、说明或补正。代理机构可根据开启环节记录的</w:t>
      </w:r>
      <w:r>
        <w:rPr>
          <w:rFonts w:hint="default" w:ascii="Times New Roman" w:hAnsi="Times New Roman" w:cs="Times New Roman" w:eastAsiaTheme="minorEastAsia"/>
          <w:b/>
          <w:color w:val="auto"/>
          <w:sz w:val="21"/>
          <w:szCs w:val="21"/>
          <w:highlight w:val="none"/>
        </w:rPr>
        <w:t>授权代表人联系方式</w:t>
      </w:r>
      <w:r>
        <w:rPr>
          <w:rFonts w:hint="default" w:ascii="Times New Roman" w:hAnsi="Times New Roman" w:cs="Times New Roman" w:eastAsiaTheme="minorEastAsia"/>
          <w:color w:val="auto"/>
          <w:sz w:val="21"/>
          <w:szCs w:val="21"/>
          <w:highlight w:val="none"/>
        </w:rPr>
        <w:t>发送短信提醒或电话告知。</w:t>
      </w:r>
    </w:p>
    <w:p w14:paraId="6DE6796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若因供应商联系方式错误未接收短信、未接听电话或超时未进行澄清（响应）造成的不利后果由供应商自行承担。供应商的澄清、说明或者补正不得超出响应文件的范围或者改变响应文件的实质性内容。</w:t>
      </w:r>
    </w:p>
    <w:p w14:paraId="7E25023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2.2磋商小组不接受供应商主动提出的澄清、说明或补正。</w:t>
      </w:r>
    </w:p>
    <w:p w14:paraId="6B075DB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2.3磋商小组对供应商提交的澄清、说明或补正有疑问的，可以要求供应商进一步澄清、说明或补正。</w:t>
      </w:r>
    </w:p>
    <w:p w14:paraId="2CC81594">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3.磋商</w:t>
      </w:r>
    </w:p>
    <w:p w14:paraId="3D59ACEA">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3.1磋商小组所有成员应当集中与单一供应商分别进行磋商，并给予所有参加磋商的供应商平等的磋商机会。</w:t>
      </w:r>
    </w:p>
    <w:p w14:paraId="1829215C">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w:t>
      </w:r>
    </w:p>
    <w:p w14:paraId="7DD27D4B">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3.3对磋商文件作出的实质性变动是磋商文件的有效组成部分，磋商小组应当及时、同时通知所有参加磋商的供应商。</w:t>
      </w:r>
    </w:p>
    <w:p w14:paraId="0FEAFC3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37A6E49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4.最后报价</w:t>
      </w:r>
    </w:p>
    <w:p w14:paraId="01A81DA7">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4.1磋商结束后，磋商小组应当要求所有实质性响应的供应商在规定时间内提交最后报价。最后报价是供应商响应文件的有效组成部分。</w:t>
      </w:r>
    </w:p>
    <w:p w14:paraId="3E008621">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4.2已提交响应文件的供应商，在提交最后报价之前，可以根据磋商情况退出磋商。</w:t>
      </w:r>
    </w:p>
    <w:p w14:paraId="6BF9BCAF">
      <w:pPr>
        <w:pStyle w:val="21"/>
        <w:keepNext w:val="0"/>
        <w:keepLines w:val="0"/>
        <w:pageBreakBefore w:val="0"/>
        <w:widowControl/>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4.3除法规规定的特殊性情形外，提交最后报价的供应商不得少于3家。</w:t>
      </w:r>
    </w:p>
    <w:p w14:paraId="227F89DF">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br w:type="page"/>
      </w:r>
    </w:p>
    <w:p w14:paraId="504BAD02">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5.详细评审</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580"/>
        <w:gridCol w:w="7030"/>
      </w:tblGrid>
      <w:tr w14:paraId="1C4EF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0FF2C73C">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评审因素</w:t>
            </w:r>
          </w:p>
        </w:tc>
        <w:tc>
          <w:tcPr>
            <w:tcW w:w="8610" w:type="dxa"/>
            <w:gridSpan w:val="2"/>
            <w:vAlign w:val="center"/>
          </w:tcPr>
          <w:p w14:paraId="76DF4777">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评审标准</w:t>
            </w:r>
          </w:p>
        </w:tc>
      </w:tr>
      <w:tr w14:paraId="027A0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116DE253">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分值构成</w:t>
            </w:r>
          </w:p>
        </w:tc>
        <w:tc>
          <w:tcPr>
            <w:tcW w:w="8610" w:type="dxa"/>
            <w:gridSpan w:val="2"/>
          </w:tcPr>
          <w:p w14:paraId="152784D7">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商务部分</w:t>
            </w: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eastAsiaTheme="minorEastAsia"/>
                <w:color w:val="auto"/>
                <w:sz w:val="21"/>
                <w:szCs w:val="21"/>
                <w:highlight w:val="none"/>
                <w:lang w:val="en-US" w:eastAsia="zh-CN"/>
              </w:rPr>
              <w:t>0</w:t>
            </w:r>
            <w:r>
              <w:rPr>
                <w:rFonts w:hint="default" w:ascii="Times New Roman" w:hAnsi="Times New Roman" w:cs="Times New Roman" w:eastAsiaTheme="minorEastAsia"/>
                <w:color w:val="auto"/>
                <w:sz w:val="21"/>
                <w:szCs w:val="21"/>
                <w:highlight w:val="none"/>
              </w:rPr>
              <w:t>.0分</w:t>
            </w:r>
          </w:p>
          <w:p w14:paraId="2BD75399">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技术部分</w:t>
            </w: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eastAsiaTheme="minorEastAsia"/>
                <w:color w:val="auto"/>
                <w:sz w:val="21"/>
                <w:szCs w:val="21"/>
                <w:highlight w:val="none"/>
                <w:lang w:val="en-US" w:eastAsia="zh-CN"/>
              </w:rPr>
              <w:t>0</w:t>
            </w:r>
            <w:r>
              <w:rPr>
                <w:rFonts w:hint="default" w:ascii="Times New Roman" w:hAnsi="Times New Roman" w:cs="Times New Roman" w:eastAsiaTheme="minorEastAsia"/>
                <w:color w:val="auto"/>
                <w:sz w:val="21"/>
                <w:szCs w:val="21"/>
                <w:highlight w:val="none"/>
              </w:rPr>
              <w:t>.0分</w:t>
            </w:r>
          </w:p>
          <w:p w14:paraId="42840412">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报价得分10.0分</w:t>
            </w:r>
          </w:p>
        </w:tc>
      </w:tr>
      <w:tr w14:paraId="300B6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restart"/>
          </w:tcPr>
          <w:p w14:paraId="50806B1C">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技术部分</w:t>
            </w:r>
          </w:p>
        </w:tc>
        <w:tc>
          <w:tcPr>
            <w:tcW w:w="1580" w:type="dxa"/>
            <w:vAlign w:val="center"/>
          </w:tcPr>
          <w:p w14:paraId="0CB1756D">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对项目的理解</w:t>
            </w:r>
          </w:p>
          <w:p w14:paraId="10F49EC3">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3分</w:t>
            </w:r>
            <w:r>
              <w:rPr>
                <w:rFonts w:hint="eastAsia" w:ascii="Times New Roman" w:hAnsi="Times New Roman" w:cs="Times New Roman"/>
                <w:color w:val="auto"/>
                <w:sz w:val="21"/>
                <w:szCs w:val="21"/>
                <w:highlight w:val="none"/>
                <w:lang w:eastAsia="zh-CN"/>
              </w:rPr>
              <w:t>）</w:t>
            </w:r>
          </w:p>
        </w:tc>
        <w:tc>
          <w:tcPr>
            <w:tcW w:w="7030" w:type="dxa"/>
          </w:tcPr>
          <w:p w14:paraId="506F16B4">
            <w:pPr>
              <w:keepNext w:val="0"/>
              <w:keepLines w:val="0"/>
              <w:pageBreakBefore w:val="0"/>
              <w:kinsoku/>
              <w:wordWrap/>
              <w:overflowPunct/>
              <w:topLinePunct w:val="0"/>
              <w:autoSpaceDE/>
              <w:autoSpaceDN/>
              <w:bidi w:val="0"/>
              <w:adjustRightInd/>
              <w:snapToGrid/>
              <w:spacing w:line="360" w:lineRule="atLeast"/>
              <w:ind w:left="0" w:leftChars="0"/>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根据供应商</w:t>
            </w:r>
            <w:r>
              <w:rPr>
                <w:rFonts w:hint="eastAsia" w:ascii="宋体" w:hAnsi="宋体" w:eastAsia="宋体" w:cs="宋体"/>
                <w:color w:val="auto"/>
                <w:sz w:val="21"/>
                <w:szCs w:val="21"/>
                <w:highlight w:val="none"/>
                <w:lang w:val="en-US" w:eastAsia="zh-CN"/>
              </w:rPr>
              <w:t>提供的</w:t>
            </w:r>
            <w:r>
              <w:rPr>
                <w:rFonts w:hint="eastAsia" w:ascii="宋体" w:hAnsi="宋体" w:eastAsia="宋体" w:cs="宋体"/>
                <w:color w:val="auto"/>
                <w:sz w:val="21"/>
                <w:szCs w:val="21"/>
                <w:highlight w:val="none"/>
                <w:lang w:val="zh-CN"/>
              </w:rPr>
              <w:t>对本项目的理解</w:t>
            </w:r>
            <w:r>
              <w:rPr>
                <w:rFonts w:hint="eastAsia" w:ascii="宋体" w:hAnsi="宋体" w:eastAsia="宋体" w:cs="宋体"/>
                <w:color w:val="auto"/>
                <w:sz w:val="21"/>
                <w:szCs w:val="21"/>
                <w:highlight w:val="none"/>
                <w:lang w:val="zh-CN" w:eastAsia="zh-CN"/>
              </w:rPr>
              <w:t>情况进行评审：</w:t>
            </w:r>
          </w:p>
          <w:p w14:paraId="36F4291E">
            <w:pPr>
              <w:keepNext w:val="0"/>
              <w:keepLines w:val="0"/>
              <w:pageBreakBefore w:val="0"/>
              <w:kinsoku/>
              <w:wordWrap/>
              <w:overflowPunct/>
              <w:topLinePunct w:val="0"/>
              <w:autoSpaceDE/>
              <w:autoSpaceDN/>
              <w:bidi w:val="0"/>
              <w:adjustRightInd/>
              <w:snapToGrid/>
              <w:spacing w:line="360" w:lineRule="atLeast"/>
              <w:ind w:left="0" w:leftChars="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供应商</w:t>
            </w:r>
            <w:r>
              <w:rPr>
                <w:rFonts w:hint="eastAsia" w:ascii="宋体" w:hAnsi="宋体" w:eastAsia="宋体" w:cs="宋体"/>
                <w:color w:val="auto"/>
                <w:sz w:val="21"/>
                <w:szCs w:val="21"/>
                <w:highlight w:val="none"/>
                <w:lang w:val="en-US" w:eastAsia="zh-CN"/>
              </w:rPr>
              <w:t>能</w:t>
            </w:r>
            <w:r>
              <w:rPr>
                <w:rFonts w:hint="default" w:ascii="Times New Roman" w:hAnsi="Times New Roman" w:cs="Times New Roman" w:eastAsiaTheme="minorEastAsia"/>
                <w:color w:val="auto"/>
                <w:sz w:val="21"/>
                <w:szCs w:val="21"/>
                <w:highlight w:val="none"/>
              </w:rPr>
              <w:t>准确理解本项目的建设背景和目标，对用户需求的分析，技术方案思路清晰、结构完整、设计合理、满足用户要求</w:t>
            </w:r>
            <w:r>
              <w:rPr>
                <w:rFonts w:hint="eastAsia" w:ascii="Times New Roman" w:hAnsi="Times New Roman" w:cs="Times New Roman"/>
                <w:color w:val="auto"/>
                <w:sz w:val="21"/>
                <w:szCs w:val="21"/>
                <w:highlight w:val="none"/>
                <w:lang w:eastAsia="zh-CN"/>
              </w:rPr>
              <w:t>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w:t>
            </w:r>
          </w:p>
          <w:p w14:paraId="557E3444">
            <w:pPr>
              <w:keepNext w:val="0"/>
              <w:keepLines w:val="0"/>
              <w:pageBreakBefore w:val="0"/>
              <w:kinsoku/>
              <w:wordWrap/>
              <w:overflowPunct/>
              <w:topLinePunct w:val="0"/>
              <w:autoSpaceDE/>
              <w:autoSpaceDN/>
              <w:bidi w:val="0"/>
              <w:adjustRightInd/>
              <w:snapToGrid/>
              <w:spacing w:line="360" w:lineRule="atLeast"/>
              <w:ind w:left="0" w:leftChars="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供应商</w:t>
            </w:r>
            <w:r>
              <w:rPr>
                <w:rFonts w:hint="eastAsia" w:ascii="宋体" w:hAnsi="宋体" w:eastAsia="宋体" w:cs="宋体"/>
                <w:color w:val="auto"/>
                <w:sz w:val="21"/>
                <w:szCs w:val="21"/>
                <w:highlight w:val="none"/>
                <w:lang w:val="en-US" w:eastAsia="zh-CN"/>
              </w:rPr>
              <w:t>能</w:t>
            </w:r>
            <w:r>
              <w:rPr>
                <w:rFonts w:hint="default" w:ascii="Times New Roman" w:hAnsi="Times New Roman" w:cs="Times New Roman" w:eastAsiaTheme="minorEastAsia"/>
                <w:color w:val="auto"/>
                <w:sz w:val="21"/>
                <w:szCs w:val="21"/>
                <w:highlight w:val="none"/>
              </w:rPr>
              <w:t>理解本项目的建设背景和目标，对用户需求的分析</w:t>
            </w:r>
            <w:r>
              <w:rPr>
                <w:rFonts w:hint="eastAsia" w:ascii="Times New Roman" w:hAnsi="Times New Roman" w:cs="Times New Roman"/>
                <w:color w:val="auto"/>
                <w:sz w:val="21"/>
                <w:szCs w:val="21"/>
                <w:highlight w:val="none"/>
                <w:lang w:eastAsia="zh-CN"/>
              </w:rPr>
              <w:t>较好</w:t>
            </w:r>
            <w:r>
              <w:rPr>
                <w:rFonts w:hint="default" w:ascii="Times New Roman" w:hAnsi="Times New Roman" w:cs="Times New Roman" w:eastAsiaTheme="minorEastAsia"/>
                <w:color w:val="auto"/>
                <w:sz w:val="21"/>
                <w:szCs w:val="21"/>
                <w:highlight w:val="none"/>
              </w:rPr>
              <w:t>，技术方案思路</w:t>
            </w:r>
            <w:r>
              <w:rPr>
                <w:rFonts w:hint="eastAsia" w:ascii="Times New Roman" w:hAnsi="Times New Roman" w:cs="Times New Roman"/>
                <w:color w:val="auto"/>
                <w:sz w:val="21"/>
                <w:szCs w:val="21"/>
                <w:highlight w:val="none"/>
                <w:lang w:eastAsia="zh-CN"/>
              </w:rPr>
              <w:t>较好</w:t>
            </w:r>
            <w:r>
              <w:rPr>
                <w:rFonts w:hint="default" w:ascii="Times New Roman" w:hAnsi="Times New Roman" w:cs="Times New Roman" w:eastAsiaTheme="minorEastAsia"/>
                <w:color w:val="auto"/>
                <w:sz w:val="21"/>
                <w:szCs w:val="21"/>
                <w:highlight w:val="none"/>
              </w:rPr>
              <w:t>、结构</w:t>
            </w:r>
            <w:r>
              <w:rPr>
                <w:rFonts w:hint="eastAsia" w:ascii="Times New Roman" w:hAnsi="Times New Roman" w:cs="Times New Roman"/>
                <w:color w:val="auto"/>
                <w:sz w:val="21"/>
                <w:szCs w:val="21"/>
                <w:highlight w:val="none"/>
                <w:lang w:eastAsia="zh-CN"/>
              </w:rPr>
              <w:t>较好</w:t>
            </w:r>
            <w:r>
              <w:rPr>
                <w:rFonts w:hint="default" w:ascii="Times New Roman" w:hAnsi="Times New Roman" w:cs="Times New Roman" w:eastAsiaTheme="minorEastAsia"/>
                <w:color w:val="auto"/>
                <w:sz w:val="21"/>
                <w:szCs w:val="21"/>
                <w:highlight w:val="none"/>
              </w:rPr>
              <w:t>、设计</w:t>
            </w:r>
            <w:r>
              <w:rPr>
                <w:rFonts w:hint="eastAsia" w:ascii="Times New Roman" w:hAnsi="Times New Roman" w:cs="Times New Roman"/>
                <w:color w:val="auto"/>
                <w:sz w:val="21"/>
                <w:szCs w:val="21"/>
                <w:highlight w:val="none"/>
                <w:lang w:eastAsia="zh-CN"/>
              </w:rPr>
              <w:t>较好</w:t>
            </w:r>
            <w:r>
              <w:rPr>
                <w:rFonts w:hint="default" w:ascii="Times New Roman" w:hAnsi="Times New Roman" w:cs="Times New Roman" w:eastAsiaTheme="minorEastAsia"/>
                <w:color w:val="auto"/>
                <w:sz w:val="21"/>
                <w:szCs w:val="21"/>
                <w:highlight w:val="none"/>
              </w:rPr>
              <w:t>、</w:t>
            </w:r>
            <w:r>
              <w:rPr>
                <w:rFonts w:hint="eastAsia" w:ascii="Times New Roman" w:hAnsi="Times New Roman" w:cs="Times New Roman"/>
                <w:color w:val="auto"/>
                <w:sz w:val="21"/>
                <w:szCs w:val="21"/>
                <w:highlight w:val="none"/>
                <w:lang w:eastAsia="zh-CN"/>
              </w:rPr>
              <w:t>稍微</w:t>
            </w:r>
            <w:r>
              <w:rPr>
                <w:rFonts w:hint="default" w:ascii="Times New Roman" w:hAnsi="Times New Roman" w:cs="Times New Roman" w:eastAsiaTheme="minorEastAsia"/>
                <w:color w:val="auto"/>
                <w:sz w:val="21"/>
                <w:szCs w:val="21"/>
                <w:highlight w:val="none"/>
              </w:rPr>
              <w:t>满足用户要求</w:t>
            </w:r>
            <w:r>
              <w:rPr>
                <w:rFonts w:hint="eastAsia" w:ascii="Times New Roman" w:hAnsi="Times New Roman" w:cs="Times New Roman"/>
                <w:color w:val="auto"/>
                <w:sz w:val="21"/>
                <w:szCs w:val="21"/>
                <w:highlight w:val="none"/>
                <w:lang w:eastAsia="zh-CN"/>
              </w:rPr>
              <w:t>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14:paraId="4012F7D4">
            <w:pPr>
              <w:keepNext w:val="0"/>
              <w:keepLines w:val="0"/>
              <w:pageBreakBefore w:val="0"/>
              <w:kinsoku/>
              <w:wordWrap/>
              <w:overflowPunct/>
              <w:topLinePunct w:val="0"/>
              <w:autoSpaceDE/>
              <w:autoSpaceDN/>
              <w:bidi w:val="0"/>
              <w:adjustRightInd/>
              <w:snapToGrid/>
              <w:spacing w:line="360" w:lineRule="atLeast"/>
              <w:ind w:left="0" w:leftChars="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供应商</w:t>
            </w:r>
            <w:r>
              <w:rPr>
                <w:rFonts w:hint="eastAsia" w:ascii="宋体" w:hAnsi="宋体" w:eastAsia="宋体" w:cs="宋体"/>
                <w:color w:val="auto"/>
                <w:sz w:val="21"/>
                <w:szCs w:val="21"/>
                <w:highlight w:val="none"/>
                <w:lang w:val="en-US" w:eastAsia="zh-CN"/>
              </w:rPr>
              <w:t>能</w:t>
            </w:r>
            <w:r>
              <w:rPr>
                <w:rFonts w:hint="default" w:ascii="Times New Roman" w:hAnsi="Times New Roman" w:cs="Times New Roman" w:eastAsiaTheme="minorEastAsia"/>
                <w:color w:val="auto"/>
                <w:sz w:val="21"/>
                <w:szCs w:val="21"/>
                <w:highlight w:val="none"/>
              </w:rPr>
              <w:t>理解本项目的建设背景和目标，对用户需求的分析</w:t>
            </w:r>
            <w:r>
              <w:rPr>
                <w:rFonts w:hint="eastAsia" w:ascii="Times New Roman" w:hAnsi="Times New Roman" w:cs="Times New Roman"/>
                <w:color w:val="auto"/>
                <w:sz w:val="21"/>
                <w:szCs w:val="21"/>
                <w:highlight w:val="none"/>
                <w:lang w:eastAsia="zh-CN"/>
              </w:rPr>
              <w:t>一般</w:t>
            </w:r>
            <w:r>
              <w:rPr>
                <w:rFonts w:hint="default" w:ascii="Times New Roman" w:hAnsi="Times New Roman" w:cs="Times New Roman" w:eastAsiaTheme="minorEastAsia"/>
                <w:color w:val="auto"/>
                <w:sz w:val="21"/>
                <w:szCs w:val="21"/>
                <w:highlight w:val="none"/>
              </w:rPr>
              <w:t>，技术方案思路</w:t>
            </w:r>
            <w:r>
              <w:rPr>
                <w:rFonts w:hint="eastAsia" w:ascii="Times New Roman" w:hAnsi="Times New Roman" w:cs="Times New Roman"/>
                <w:color w:val="auto"/>
                <w:sz w:val="21"/>
                <w:szCs w:val="21"/>
                <w:highlight w:val="none"/>
                <w:lang w:eastAsia="zh-CN"/>
              </w:rPr>
              <w:t>一般</w:t>
            </w:r>
            <w:r>
              <w:rPr>
                <w:rFonts w:hint="default" w:ascii="Times New Roman" w:hAnsi="Times New Roman" w:cs="Times New Roman" w:eastAsiaTheme="minorEastAsia"/>
                <w:color w:val="auto"/>
                <w:sz w:val="21"/>
                <w:szCs w:val="21"/>
                <w:highlight w:val="none"/>
              </w:rPr>
              <w:t>、结构</w:t>
            </w:r>
            <w:r>
              <w:rPr>
                <w:rFonts w:hint="eastAsia" w:ascii="Times New Roman" w:hAnsi="Times New Roman" w:cs="Times New Roman"/>
                <w:color w:val="auto"/>
                <w:sz w:val="21"/>
                <w:szCs w:val="21"/>
                <w:highlight w:val="none"/>
                <w:lang w:eastAsia="zh-CN"/>
              </w:rPr>
              <w:t>一般</w:t>
            </w:r>
            <w:r>
              <w:rPr>
                <w:rFonts w:hint="default" w:ascii="Times New Roman" w:hAnsi="Times New Roman" w:cs="Times New Roman" w:eastAsiaTheme="minorEastAsia"/>
                <w:color w:val="auto"/>
                <w:sz w:val="21"/>
                <w:szCs w:val="21"/>
                <w:highlight w:val="none"/>
              </w:rPr>
              <w:t>、设计</w:t>
            </w:r>
            <w:r>
              <w:rPr>
                <w:rFonts w:hint="eastAsia" w:ascii="Times New Roman" w:hAnsi="Times New Roman" w:cs="Times New Roman"/>
                <w:color w:val="auto"/>
                <w:sz w:val="21"/>
                <w:szCs w:val="21"/>
                <w:highlight w:val="none"/>
                <w:lang w:eastAsia="zh-CN"/>
              </w:rPr>
              <w:t>一般</w:t>
            </w:r>
            <w:r>
              <w:rPr>
                <w:rFonts w:hint="default" w:ascii="Times New Roman" w:hAnsi="Times New Roman" w:cs="Times New Roman" w:eastAsiaTheme="minorEastAsia"/>
                <w:color w:val="auto"/>
                <w:sz w:val="21"/>
                <w:szCs w:val="21"/>
                <w:highlight w:val="none"/>
              </w:rPr>
              <w:t>、</w:t>
            </w:r>
            <w:r>
              <w:rPr>
                <w:rFonts w:hint="eastAsia" w:ascii="Times New Roman" w:hAnsi="Times New Roman" w:cs="Times New Roman"/>
                <w:color w:val="auto"/>
                <w:sz w:val="21"/>
                <w:szCs w:val="21"/>
                <w:highlight w:val="none"/>
                <w:lang w:eastAsia="zh-CN"/>
              </w:rPr>
              <w:t>不</w:t>
            </w:r>
            <w:r>
              <w:rPr>
                <w:rFonts w:hint="default" w:ascii="Times New Roman" w:hAnsi="Times New Roman" w:cs="Times New Roman" w:eastAsiaTheme="minorEastAsia"/>
                <w:color w:val="auto"/>
                <w:sz w:val="21"/>
                <w:szCs w:val="21"/>
                <w:highlight w:val="none"/>
              </w:rPr>
              <w:t>满足用户要求</w:t>
            </w:r>
            <w:r>
              <w:rPr>
                <w:rFonts w:hint="eastAsia" w:ascii="Times New Roman" w:hAnsi="Times New Roman" w:cs="Times New Roman"/>
                <w:color w:val="auto"/>
                <w:sz w:val="21"/>
                <w:szCs w:val="21"/>
                <w:highlight w:val="none"/>
                <w:lang w:eastAsia="zh-CN"/>
              </w:rPr>
              <w:t>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14:paraId="30B0D48A">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宋体" w:hAnsi="宋体" w:eastAsia="宋体" w:cs="宋体"/>
                <w:color w:val="auto"/>
                <w:sz w:val="21"/>
                <w:szCs w:val="21"/>
                <w:highlight w:val="none"/>
                <w:lang w:val="en-US" w:eastAsia="zh-CN"/>
              </w:rPr>
              <w:t>4、不</w:t>
            </w:r>
            <w:r>
              <w:rPr>
                <w:rFonts w:hint="eastAsia" w:ascii="宋体" w:hAnsi="宋体" w:eastAsia="宋体" w:cs="宋体"/>
                <w:color w:val="auto"/>
                <w:sz w:val="21"/>
                <w:szCs w:val="21"/>
                <w:highlight w:val="none"/>
                <w:lang w:val="en-GB"/>
              </w:rPr>
              <w:t>提供对本项目的理解</w:t>
            </w:r>
            <w:r>
              <w:rPr>
                <w:rFonts w:hint="eastAsia" w:ascii="宋体" w:hAnsi="宋体" w:eastAsia="宋体" w:cs="宋体"/>
                <w:color w:val="auto"/>
                <w:sz w:val="21"/>
                <w:szCs w:val="21"/>
                <w:highlight w:val="none"/>
                <w:lang w:val="en-GB" w:eastAsia="zh-CN"/>
              </w:rPr>
              <w:t>内容的或提供的方案差的</w:t>
            </w:r>
            <w:r>
              <w:rPr>
                <w:rFonts w:hint="eastAsia" w:ascii="宋体" w:hAnsi="宋体" w:eastAsia="宋体" w:cs="宋体"/>
                <w:color w:val="auto"/>
                <w:sz w:val="21"/>
                <w:szCs w:val="21"/>
                <w:highlight w:val="none"/>
                <w:lang w:val="en-GB"/>
              </w:rPr>
              <w:t>，不得分。</w:t>
            </w:r>
          </w:p>
        </w:tc>
      </w:tr>
      <w:tr w14:paraId="0B201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4ED0DE9A">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Align w:val="center"/>
          </w:tcPr>
          <w:p w14:paraId="2DE60102">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总体设计</w:t>
            </w:r>
          </w:p>
          <w:p w14:paraId="552FBF29">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rPr>
              <w:t>分</w:t>
            </w:r>
            <w:r>
              <w:rPr>
                <w:rFonts w:hint="eastAsia" w:ascii="Times New Roman" w:hAnsi="Times New Roman" w:cs="Times New Roman"/>
                <w:color w:val="auto"/>
                <w:sz w:val="21"/>
                <w:szCs w:val="21"/>
                <w:highlight w:val="none"/>
                <w:lang w:eastAsia="zh-CN"/>
              </w:rPr>
              <w:t>）</w:t>
            </w:r>
          </w:p>
        </w:tc>
        <w:tc>
          <w:tcPr>
            <w:tcW w:w="7030" w:type="dxa"/>
          </w:tcPr>
          <w:p w14:paraId="60D7979C">
            <w:pPr>
              <w:keepNext w:val="0"/>
              <w:keepLines w:val="0"/>
              <w:pageBreakBefore w:val="0"/>
              <w:kinsoku/>
              <w:wordWrap/>
              <w:overflowPunct/>
              <w:topLinePunct w:val="0"/>
              <w:autoSpaceDE/>
              <w:autoSpaceDN/>
              <w:bidi w:val="0"/>
              <w:adjustRightInd/>
              <w:snapToGrid/>
              <w:spacing w:line="360" w:lineRule="atLeast"/>
              <w:ind w:left="0" w:leftChars="0"/>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根据供应商</w:t>
            </w:r>
            <w:r>
              <w:rPr>
                <w:rFonts w:hint="eastAsia" w:ascii="宋体" w:hAnsi="宋体" w:eastAsia="宋体" w:cs="宋体"/>
                <w:color w:val="auto"/>
                <w:sz w:val="21"/>
                <w:szCs w:val="21"/>
                <w:highlight w:val="none"/>
                <w:lang w:val="en-US" w:eastAsia="zh-CN"/>
              </w:rPr>
              <w:t>提供的</w:t>
            </w:r>
            <w:r>
              <w:rPr>
                <w:rFonts w:hint="default" w:ascii="Times New Roman" w:hAnsi="Times New Roman" w:cs="Times New Roman" w:eastAsiaTheme="minorEastAsia"/>
                <w:color w:val="auto"/>
                <w:sz w:val="21"/>
                <w:szCs w:val="21"/>
                <w:highlight w:val="none"/>
              </w:rPr>
              <w:t>总体设计</w:t>
            </w:r>
            <w:r>
              <w:rPr>
                <w:rFonts w:hint="eastAsia" w:ascii="Times New Roman" w:hAnsi="Times New Roman" w:cs="Times New Roman"/>
                <w:color w:val="auto"/>
                <w:sz w:val="21"/>
                <w:szCs w:val="21"/>
                <w:highlight w:val="none"/>
                <w:lang w:eastAsia="zh-CN"/>
              </w:rPr>
              <w:t>（包括</w:t>
            </w:r>
            <w:r>
              <w:rPr>
                <w:rFonts w:hint="eastAsia" w:ascii="Times New Roman" w:hAnsi="Times New Roman" w:cs="Times New Roman"/>
                <w:color w:val="auto"/>
                <w:szCs w:val="21"/>
                <w:highlight w:val="none"/>
              </w:rPr>
              <w:t>集约送达业务模型、送达业务流程（</w:t>
            </w:r>
            <w:r>
              <w:rPr>
                <w:rFonts w:hint="eastAsia" w:ascii="Times New Roman" w:hAnsi="Times New Roman" w:cs="Times New Roman"/>
                <w:color w:val="auto"/>
                <w:szCs w:val="21"/>
                <w:highlight w:val="none"/>
                <w:lang w:eastAsia="zh-CN"/>
              </w:rPr>
              <w:t>含</w:t>
            </w:r>
            <w:r>
              <w:rPr>
                <w:rFonts w:hint="eastAsia" w:ascii="Times New Roman" w:hAnsi="Times New Roman" w:cs="Times New Roman"/>
                <w:color w:val="auto"/>
                <w:szCs w:val="21"/>
                <w:highlight w:val="none"/>
              </w:rPr>
              <w:t>电子送达流程、来院领取流程和邮寄送达流程）设计等方案的先进性、合理性、完整性等以及符合国家相关标准和规范，满足用户要求方面</w:t>
            </w:r>
            <w:r>
              <w:rPr>
                <w:rFonts w:hint="eastAsia" w:ascii="Times New Roman" w:hAnsi="Times New Roman" w:cs="Times New Roman"/>
                <w:color w:val="auto"/>
                <w:sz w:val="21"/>
                <w:szCs w:val="21"/>
                <w:highlight w:val="none"/>
                <w:lang w:eastAsia="zh-CN"/>
              </w:rPr>
              <w:t>）</w:t>
            </w:r>
            <w:r>
              <w:rPr>
                <w:rFonts w:hint="eastAsia" w:ascii="宋体" w:hAnsi="宋体" w:eastAsia="宋体" w:cs="宋体"/>
                <w:color w:val="auto"/>
                <w:sz w:val="21"/>
                <w:szCs w:val="21"/>
                <w:highlight w:val="none"/>
                <w:lang w:val="zh-CN" w:eastAsia="zh-CN"/>
              </w:rPr>
              <w:t>情况进行评审：</w:t>
            </w:r>
          </w:p>
          <w:p w14:paraId="20FD6AC2">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集约送达业务模型、送达业务流程（</w:t>
            </w:r>
            <w:r>
              <w:rPr>
                <w:rFonts w:hint="eastAsia" w:ascii="Times New Roman" w:hAnsi="Times New Roman" w:cs="Times New Roman"/>
                <w:color w:val="auto"/>
                <w:sz w:val="21"/>
                <w:szCs w:val="21"/>
                <w:highlight w:val="none"/>
                <w:lang w:eastAsia="zh-CN"/>
              </w:rPr>
              <w:t>含</w:t>
            </w:r>
            <w:r>
              <w:rPr>
                <w:rFonts w:hint="default" w:ascii="Times New Roman" w:hAnsi="Times New Roman" w:cs="Times New Roman" w:eastAsiaTheme="minorEastAsia"/>
                <w:color w:val="auto"/>
                <w:sz w:val="21"/>
                <w:szCs w:val="21"/>
                <w:highlight w:val="none"/>
              </w:rPr>
              <w:t>电子送达流程、来院领取流程和邮寄送达流程）设计等方案先进、合理、完整</w:t>
            </w:r>
            <w:r>
              <w:rPr>
                <w:rFonts w:hint="eastAsia" w:ascii="Times New Roman" w:hAnsi="Times New Roman" w:cs="Times New Roman"/>
                <w:color w:val="auto"/>
                <w:sz w:val="21"/>
                <w:szCs w:val="21"/>
                <w:highlight w:val="none"/>
                <w:lang w:eastAsia="zh-CN"/>
              </w:rPr>
              <w:t>、完全</w:t>
            </w:r>
            <w:r>
              <w:rPr>
                <w:rFonts w:hint="default" w:ascii="Times New Roman" w:hAnsi="Times New Roman" w:cs="Times New Roman" w:eastAsiaTheme="minorEastAsia"/>
                <w:color w:val="auto"/>
                <w:sz w:val="21"/>
                <w:szCs w:val="21"/>
                <w:highlight w:val="none"/>
              </w:rPr>
              <w:t>符合国家相关标准和规范，满足用户要求</w:t>
            </w:r>
            <w:r>
              <w:rPr>
                <w:rFonts w:hint="eastAsia" w:ascii="Times New Roman" w:hAnsi="Times New Roman" w:cs="Times New Roman"/>
                <w:color w:val="auto"/>
                <w:sz w:val="21"/>
                <w:szCs w:val="21"/>
                <w:highlight w:val="none"/>
                <w:lang w:eastAsia="zh-CN"/>
              </w:rPr>
              <w:t>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w:t>
            </w:r>
            <w:r>
              <w:rPr>
                <w:rFonts w:hint="default" w:ascii="Times New Roman" w:hAnsi="Times New Roman" w:cs="Times New Roman" w:eastAsiaTheme="minorEastAsia"/>
                <w:color w:val="auto"/>
                <w:sz w:val="21"/>
                <w:szCs w:val="21"/>
                <w:highlight w:val="none"/>
              </w:rPr>
              <w:t>；</w:t>
            </w:r>
          </w:p>
          <w:p w14:paraId="642E8A2B">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集约送达业务模型、送达业务流程（</w:t>
            </w:r>
            <w:r>
              <w:rPr>
                <w:rFonts w:hint="eastAsia" w:ascii="Times New Roman" w:hAnsi="Times New Roman" w:cs="Times New Roman"/>
                <w:color w:val="auto"/>
                <w:sz w:val="21"/>
                <w:szCs w:val="21"/>
                <w:highlight w:val="none"/>
                <w:lang w:eastAsia="zh-CN"/>
              </w:rPr>
              <w:t>含</w:t>
            </w:r>
            <w:r>
              <w:rPr>
                <w:rFonts w:hint="default" w:ascii="Times New Roman" w:hAnsi="Times New Roman" w:cs="Times New Roman" w:eastAsiaTheme="minorEastAsia"/>
                <w:color w:val="auto"/>
                <w:sz w:val="21"/>
                <w:szCs w:val="21"/>
                <w:highlight w:val="none"/>
              </w:rPr>
              <w:t>电子送达流程、来院领取流程和邮寄送达流程）设计等方案</w:t>
            </w:r>
            <w:r>
              <w:rPr>
                <w:rFonts w:hint="eastAsia" w:ascii="Times New Roman" w:hAnsi="Times New Roman" w:cs="Times New Roman"/>
                <w:color w:val="auto"/>
                <w:sz w:val="21"/>
                <w:szCs w:val="21"/>
                <w:highlight w:val="none"/>
                <w:lang w:eastAsia="zh-CN"/>
              </w:rPr>
              <w:t>较</w:t>
            </w:r>
            <w:r>
              <w:rPr>
                <w:rFonts w:hint="default" w:ascii="Times New Roman" w:hAnsi="Times New Roman" w:cs="Times New Roman" w:eastAsiaTheme="minorEastAsia"/>
                <w:color w:val="auto"/>
                <w:sz w:val="21"/>
                <w:szCs w:val="21"/>
                <w:highlight w:val="none"/>
              </w:rPr>
              <w:t>先进、</w:t>
            </w:r>
            <w:r>
              <w:rPr>
                <w:rFonts w:hint="eastAsia" w:ascii="Times New Roman" w:hAnsi="Times New Roman" w:cs="Times New Roman"/>
                <w:color w:val="auto"/>
                <w:sz w:val="21"/>
                <w:szCs w:val="21"/>
                <w:highlight w:val="none"/>
                <w:lang w:eastAsia="zh-CN"/>
              </w:rPr>
              <w:t>较</w:t>
            </w:r>
            <w:r>
              <w:rPr>
                <w:rFonts w:hint="default" w:ascii="Times New Roman" w:hAnsi="Times New Roman" w:cs="Times New Roman" w:eastAsiaTheme="minorEastAsia"/>
                <w:color w:val="auto"/>
                <w:sz w:val="21"/>
                <w:szCs w:val="21"/>
                <w:highlight w:val="none"/>
              </w:rPr>
              <w:t>合理、</w:t>
            </w:r>
            <w:r>
              <w:rPr>
                <w:rFonts w:hint="eastAsia" w:ascii="Times New Roman" w:hAnsi="Times New Roman" w:cs="Times New Roman"/>
                <w:color w:val="auto"/>
                <w:sz w:val="21"/>
                <w:szCs w:val="21"/>
                <w:highlight w:val="none"/>
                <w:lang w:eastAsia="zh-CN"/>
              </w:rPr>
              <w:t>较</w:t>
            </w:r>
            <w:r>
              <w:rPr>
                <w:rFonts w:hint="default" w:ascii="Times New Roman" w:hAnsi="Times New Roman" w:cs="Times New Roman" w:eastAsiaTheme="minorEastAsia"/>
                <w:color w:val="auto"/>
                <w:sz w:val="21"/>
                <w:szCs w:val="21"/>
                <w:highlight w:val="none"/>
              </w:rPr>
              <w:t>完整</w:t>
            </w:r>
            <w:r>
              <w:rPr>
                <w:rFonts w:hint="eastAsia" w:ascii="Times New Roman" w:hAnsi="Times New Roman" w:cs="Times New Roman"/>
                <w:color w:val="auto"/>
                <w:sz w:val="21"/>
                <w:szCs w:val="21"/>
                <w:highlight w:val="none"/>
                <w:lang w:eastAsia="zh-CN"/>
              </w:rPr>
              <w:t>、基本</w:t>
            </w:r>
            <w:r>
              <w:rPr>
                <w:rFonts w:hint="default" w:ascii="Times New Roman" w:hAnsi="Times New Roman" w:cs="Times New Roman" w:eastAsiaTheme="minorEastAsia"/>
                <w:color w:val="auto"/>
                <w:sz w:val="21"/>
                <w:szCs w:val="21"/>
                <w:highlight w:val="none"/>
              </w:rPr>
              <w:t>符合国家相关标准和规范，</w:t>
            </w:r>
            <w:r>
              <w:rPr>
                <w:rFonts w:hint="eastAsia" w:ascii="Times New Roman" w:hAnsi="Times New Roman" w:cs="Times New Roman"/>
                <w:color w:val="auto"/>
                <w:sz w:val="21"/>
                <w:szCs w:val="21"/>
                <w:highlight w:val="none"/>
                <w:lang w:eastAsia="zh-CN"/>
              </w:rPr>
              <w:t>基本</w:t>
            </w:r>
            <w:r>
              <w:rPr>
                <w:rFonts w:hint="default" w:ascii="Times New Roman" w:hAnsi="Times New Roman" w:cs="Times New Roman" w:eastAsiaTheme="minorEastAsia"/>
                <w:color w:val="auto"/>
                <w:sz w:val="21"/>
                <w:szCs w:val="21"/>
                <w:highlight w:val="none"/>
              </w:rPr>
              <w:t>满足用户要求</w:t>
            </w:r>
            <w:r>
              <w:rPr>
                <w:rFonts w:hint="eastAsia" w:ascii="Times New Roman" w:hAnsi="Times New Roman" w:cs="Times New Roman"/>
                <w:color w:val="auto"/>
                <w:sz w:val="21"/>
                <w:szCs w:val="21"/>
                <w:highlight w:val="none"/>
                <w:lang w:eastAsia="zh-CN"/>
              </w:rPr>
              <w:t>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r>
              <w:rPr>
                <w:rFonts w:hint="default" w:ascii="Times New Roman" w:hAnsi="Times New Roman" w:cs="Times New Roman" w:eastAsiaTheme="minorEastAsia"/>
                <w:color w:val="auto"/>
                <w:sz w:val="21"/>
                <w:szCs w:val="21"/>
                <w:highlight w:val="none"/>
              </w:rPr>
              <w:t>；</w:t>
            </w:r>
          </w:p>
          <w:p w14:paraId="5D2A7881">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rPr>
              <w:t>集约送达业务模型、送达业务流程（</w:t>
            </w:r>
            <w:r>
              <w:rPr>
                <w:rFonts w:hint="eastAsia" w:ascii="Times New Roman" w:hAnsi="Times New Roman" w:cs="Times New Roman"/>
                <w:color w:val="auto"/>
                <w:sz w:val="21"/>
                <w:szCs w:val="21"/>
                <w:highlight w:val="none"/>
                <w:lang w:eastAsia="zh-CN"/>
              </w:rPr>
              <w:t>含</w:t>
            </w:r>
            <w:r>
              <w:rPr>
                <w:rFonts w:hint="default" w:ascii="Times New Roman" w:hAnsi="Times New Roman" w:cs="Times New Roman" w:eastAsiaTheme="minorEastAsia"/>
                <w:color w:val="auto"/>
                <w:sz w:val="21"/>
                <w:szCs w:val="21"/>
                <w:highlight w:val="none"/>
              </w:rPr>
              <w:t>电子送达流程、来院领取流程和邮寄送达流程）设计等方案先进性</w:t>
            </w:r>
            <w:r>
              <w:rPr>
                <w:rFonts w:hint="eastAsia" w:ascii="Times New Roman" w:hAnsi="Times New Roman" w:cs="Times New Roman"/>
                <w:color w:val="auto"/>
                <w:sz w:val="21"/>
                <w:szCs w:val="21"/>
                <w:highlight w:val="none"/>
                <w:lang w:eastAsia="zh-CN"/>
              </w:rPr>
              <w:t>差</w:t>
            </w:r>
            <w:r>
              <w:rPr>
                <w:rFonts w:hint="default" w:ascii="Times New Roman" w:hAnsi="Times New Roman" w:cs="Times New Roman" w:eastAsiaTheme="minorEastAsia"/>
                <w:color w:val="auto"/>
                <w:sz w:val="21"/>
                <w:szCs w:val="21"/>
                <w:highlight w:val="none"/>
              </w:rPr>
              <w:t>、合理性</w:t>
            </w:r>
            <w:r>
              <w:rPr>
                <w:rFonts w:hint="eastAsia" w:ascii="Times New Roman" w:hAnsi="Times New Roman" w:cs="Times New Roman"/>
                <w:color w:val="auto"/>
                <w:sz w:val="21"/>
                <w:szCs w:val="21"/>
                <w:highlight w:val="none"/>
                <w:lang w:eastAsia="zh-CN"/>
              </w:rPr>
              <w:t>差</w:t>
            </w:r>
            <w:r>
              <w:rPr>
                <w:rFonts w:hint="default" w:ascii="Times New Roman" w:hAnsi="Times New Roman" w:cs="Times New Roman" w:eastAsiaTheme="minorEastAsia"/>
                <w:color w:val="auto"/>
                <w:sz w:val="21"/>
                <w:szCs w:val="21"/>
                <w:highlight w:val="none"/>
              </w:rPr>
              <w:t>、完整性</w:t>
            </w:r>
            <w:r>
              <w:rPr>
                <w:rFonts w:hint="eastAsia" w:ascii="Times New Roman" w:hAnsi="Times New Roman" w:cs="Times New Roman"/>
                <w:color w:val="auto"/>
                <w:sz w:val="21"/>
                <w:szCs w:val="21"/>
                <w:highlight w:val="none"/>
                <w:lang w:eastAsia="zh-CN"/>
              </w:rPr>
              <w:t>差、不</w:t>
            </w:r>
            <w:r>
              <w:rPr>
                <w:rFonts w:hint="default" w:ascii="Times New Roman" w:hAnsi="Times New Roman" w:cs="Times New Roman" w:eastAsiaTheme="minorEastAsia"/>
                <w:color w:val="auto"/>
                <w:sz w:val="21"/>
                <w:szCs w:val="21"/>
                <w:highlight w:val="none"/>
              </w:rPr>
              <w:t>符合国家相关标准和规范，</w:t>
            </w:r>
            <w:r>
              <w:rPr>
                <w:rFonts w:hint="eastAsia" w:ascii="Times New Roman" w:hAnsi="Times New Roman" w:cs="Times New Roman"/>
                <w:color w:val="auto"/>
                <w:sz w:val="21"/>
                <w:szCs w:val="21"/>
                <w:highlight w:val="none"/>
                <w:lang w:eastAsia="zh-CN"/>
              </w:rPr>
              <w:t>不</w:t>
            </w:r>
            <w:r>
              <w:rPr>
                <w:rFonts w:hint="default" w:ascii="Times New Roman" w:hAnsi="Times New Roman" w:cs="Times New Roman" w:eastAsiaTheme="minorEastAsia"/>
                <w:color w:val="auto"/>
                <w:sz w:val="21"/>
                <w:szCs w:val="21"/>
                <w:highlight w:val="none"/>
              </w:rPr>
              <w:t>满足用户要求</w:t>
            </w:r>
            <w:r>
              <w:rPr>
                <w:rFonts w:hint="eastAsia" w:ascii="Times New Roman" w:hAnsi="Times New Roman" w:cs="Times New Roman"/>
                <w:color w:val="auto"/>
                <w:sz w:val="21"/>
                <w:szCs w:val="21"/>
                <w:highlight w:val="none"/>
                <w:lang w:eastAsia="zh-CN"/>
              </w:rPr>
              <w:t>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r>
              <w:rPr>
                <w:rFonts w:hint="default" w:ascii="Times New Roman" w:hAnsi="Times New Roman" w:cs="Times New Roman" w:eastAsiaTheme="minorEastAsia"/>
                <w:color w:val="auto"/>
                <w:sz w:val="21"/>
                <w:szCs w:val="21"/>
                <w:highlight w:val="none"/>
              </w:rPr>
              <w:t>；</w:t>
            </w:r>
          </w:p>
          <w:p w14:paraId="4BECE81C">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宋体" w:hAnsi="宋体" w:eastAsia="宋体" w:cs="宋体"/>
                <w:color w:val="auto"/>
                <w:sz w:val="21"/>
                <w:szCs w:val="21"/>
                <w:highlight w:val="none"/>
                <w:lang w:val="en-US" w:eastAsia="zh-CN"/>
              </w:rPr>
              <w:t>4、不</w:t>
            </w:r>
            <w:r>
              <w:rPr>
                <w:rFonts w:hint="eastAsia" w:ascii="宋体" w:hAnsi="宋体" w:eastAsia="宋体" w:cs="宋体"/>
                <w:color w:val="auto"/>
                <w:sz w:val="21"/>
                <w:szCs w:val="21"/>
                <w:highlight w:val="none"/>
                <w:lang w:val="en-GB"/>
              </w:rPr>
              <w:t>提供不得分。</w:t>
            </w:r>
          </w:p>
        </w:tc>
      </w:tr>
      <w:tr w14:paraId="7F8A5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6A501677">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Align w:val="center"/>
          </w:tcPr>
          <w:p w14:paraId="274F1ABE">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综合送达管理平台解决方案</w:t>
            </w:r>
          </w:p>
          <w:p w14:paraId="2C159F41">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8</w:t>
            </w:r>
            <w:r>
              <w:rPr>
                <w:rFonts w:hint="default" w:ascii="Times New Roman" w:hAnsi="Times New Roman" w:cs="Times New Roman" w:eastAsiaTheme="minorEastAsia"/>
                <w:color w:val="auto"/>
                <w:sz w:val="21"/>
                <w:szCs w:val="21"/>
                <w:highlight w:val="none"/>
              </w:rPr>
              <w:t>分</w:t>
            </w:r>
            <w:r>
              <w:rPr>
                <w:rFonts w:hint="eastAsia" w:ascii="Times New Roman" w:hAnsi="Times New Roman" w:cs="Times New Roman"/>
                <w:color w:val="auto"/>
                <w:sz w:val="21"/>
                <w:szCs w:val="21"/>
                <w:highlight w:val="none"/>
                <w:lang w:eastAsia="zh-CN"/>
              </w:rPr>
              <w:t>）</w:t>
            </w:r>
          </w:p>
        </w:tc>
        <w:tc>
          <w:tcPr>
            <w:tcW w:w="7030" w:type="dxa"/>
          </w:tcPr>
          <w:p w14:paraId="0FBFB5D2">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eastAsia="zh-CN"/>
              </w:rPr>
            </w:pPr>
            <w:r>
              <w:rPr>
                <w:rFonts w:hint="default" w:ascii="Times New Roman" w:hAnsi="Times New Roman" w:cs="Times New Roman" w:eastAsiaTheme="minorEastAsia"/>
                <w:color w:val="auto"/>
                <w:sz w:val="21"/>
                <w:szCs w:val="21"/>
                <w:highlight w:val="none"/>
              </w:rPr>
              <w:t>根据供应商提供的综合送达管理平台解决方案设计，包括</w:t>
            </w:r>
            <w:r>
              <w:rPr>
                <w:rFonts w:hint="eastAsia" w:ascii="Times New Roman" w:hAnsi="Times New Roman" w:cs="Times New Roman"/>
                <w:color w:val="auto"/>
                <w:sz w:val="21"/>
                <w:szCs w:val="21"/>
                <w:highlight w:val="none"/>
                <w:lang w:eastAsia="zh-CN"/>
              </w:rPr>
              <w:t>（发起送达、送达管理、送达办理、送达跟踪）等功能设计</w:t>
            </w:r>
            <w:r>
              <w:rPr>
                <w:rFonts w:hint="default" w:ascii="Times New Roman" w:hAnsi="Times New Roman" w:cs="Times New Roman" w:eastAsiaTheme="minorEastAsia"/>
                <w:color w:val="auto"/>
                <w:sz w:val="21"/>
                <w:szCs w:val="21"/>
                <w:highlight w:val="none"/>
              </w:rPr>
              <w:t>进行评审</w:t>
            </w:r>
            <w:r>
              <w:rPr>
                <w:rFonts w:hint="eastAsia" w:ascii="Times New Roman" w:hAnsi="Times New Roman" w:cs="Times New Roman"/>
                <w:color w:val="auto"/>
                <w:sz w:val="21"/>
                <w:szCs w:val="21"/>
                <w:highlight w:val="none"/>
                <w:lang w:eastAsia="zh-CN"/>
              </w:rPr>
              <w:t>：</w:t>
            </w:r>
          </w:p>
          <w:p w14:paraId="29D02615">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发起送达</w:t>
            </w:r>
            <w:r>
              <w:rPr>
                <w:rFonts w:hint="eastAsia" w:ascii="Times New Roman" w:hAnsi="Times New Roman" w:cs="Times New Roman"/>
                <w:color w:val="auto"/>
                <w:sz w:val="21"/>
                <w:szCs w:val="21"/>
                <w:highlight w:val="none"/>
                <w:lang w:eastAsia="zh-CN"/>
              </w:rPr>
              <w:t>方案合理的得</w:t>
            </w:r>
            <w:r>
              <w:rPr>
                <w:rFonts w:hint="eastAsia" w:ascii="Times New Roman" w:hAnsi="Times New Roman" w:cs="Times New Roman"/>
                <w:color w:val="auto"/>
                <w:sz w:val="21"/>
                <w:szCs w:val="21"/>
                <w:highlight w:val="none"/>
                <w:lang w:val="en-US" w:eastAsia="zh-CN"/>
              </w:rPr>
              <w:t>2分，方案一般的得1分，</w:t>
            </w:r>
            <w:r>
              <w:rPr>
                <w:rFonts w:hint="eastAsia" w:ascii="Times New Roman" w:hAnsi="Times New Roman" w:cs="Times New Roman"/>
                <w:color w:val="auto"/>
                <w:sz w:val="21"/>
                <w:szCs w:val="21"/>
                <w:highlight w:val="none"/>
                <w:lang w:eastAsia="zh-CN"/>
              </w:rPr>
              <w:t>方案</w:t>
            </w:r>
            <w:r>
              <w:rPr>
                <w:rFonts w:hint="eastAsia" w:ascii="Times New Roman" w:hAnsi="Times New Roman" w:cs="Times New Roman"/>
                <w:color w:val="auto"/>
                <w:sz w:val="21"/>
                <w:szCs w:val="21"/>
                <w:highlight w:val="none"/>
                <w:lang w:val="en-US" w:eastAsia="zh-CN"/>
              </w:rPr>
              <w:t>不合理的不得分，本小项最高得2分；</w:t>
            </w:r>
          </w:p>
          <w:p w14:paraId="1676DC56">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送达管理</w:t>
            </w:r>
            <w:r>
              <w:rPr>
                <w:rFonts w:hint="eastAsia" w:ascii="Times New Roman" w:hAnsi="Times New Roman" w:cs="Times New Roman"/>
                <w:color w:val="auto"/>
                <w:sz w:val="21"/>
                <w:szCs w:val="21"/>
                <w:highlight w:val="none"/>
                <w:lang w:eastAsia="zh-CN"/>
              </w:rPr>
              <w:t>方案合理的得</w:t>
            </w:r>
            <w:r>
              <w:rPr>
                <w:rFonts w:hint="eastAsia" w:ascii="Times New Roman" w:hAnsi="Times New Roman" w:cs="Times New Roman"/>
                <w:color w:val="auto"/>
                <w:sz w:val="21"/>
                <w:szCs w:val="21"/>
                <w:highlight w:val="none"/>
                <w:lang w:val="en-US" w:eastAsia="zh-CN"/>
              </w:rPr>
              <w:t>2分，方案一般的得1分，</w:t>
            </w:r>
            <w:r>
              <w:rPr>
                <w:rFonts w:hint="eastAsia" w:ascii="Times New Roman" w:hAnsi="Times New Roman" w:cs="Times New Roman"/>
                <w:color w:val="auto"/>
                <w:sz w:val="21"/>
                <w:szCs w:val="21"/>
                <w:highlight w:val="none"/>
                <w:lang w:eastAsia="zh-CN"/>
              </w:rPr>
              <w:t>方案</w:t>
            </w:r>
            <w:r>
              <w:rPr>
                <w:rFonts w:hint="eastAsia" w:ascii="Times New Roman" w:hAnsi="Times New Roman" w:cs="Times New Roman"/>
                <w:color w:val="auto"/>
                <w:sz w:val="21"/>
                <w:szCs w:val="21"/>
                <w:highlight w:val="none"/>
                <w:lang w:val="en-US" w:eastAsia="zh-CN"/>
              </w:rPr>
              <w:t>不合理的不得分，本小项最高得2分；</w:t>
            </w:r>
          </w:p>
          <w:p w14:paraId="6DA87FD7">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rPr>
              <w:t>送达办理</w:t>
            </w:r>
            <w:r>
              <w:rPr>
                <w:rFonts w:hint="eastAsia" w:ascii="Times New Roman" w:hAnsi="Times New Roman" w:cs="Times New Roman"/>
                <w:color w:val="auto"/>
                <w:sz w:val="21"/>
                <w:szCs w:val="21"/>
                <w:highlight w:val="none"/>
                <w:lang w:eastAsia="zh-CN"/>
              </w:rPr>
              <w:t>方案合理的得</w:t>
            </w:r>
            <w:r>
              <w:rPr>
                <w:rFonts w:hint="eastAsia" w:ascii="Times New Roman" w:hAnsi="Times New Roman" w:cs="Times New Roman"/>
                <w:color w:val="auto"/>
                <w:sz w:val="21"/>
                <w:szCs w:val="21"/>
                <w:highlight w:val="none"/>
                <w:lang w:val="en-US" w:eastAsia="zh-CN"/>
              </w:rPr>
              <w:t>2分，方案一般的得1分，</w:t>
            </w:r>
            <w:r>
              <w:rPr>
                <w:rFonts w:hint="eastAsia" w:ascii="Times New Roman" w:hAnsi="Times New Roman" w:cs="Times New Roman"/>
                <w:color w:val="auto"/>
                <w:sz w:val="21"/>
                <w:szCs w:val="21"/>
                <w:highlight w:val="none"/>
                <w:lang w:eastAsia="zh-CN"/>
              </w:rPr>
              <w:t>方案</w:t>
            </w:r>
            <w:r>
              <w:rPr>
                <w:rFonts w:hint="eastAsia" w:ascii="Times New Roman" w:hAnsi="Times New Roman" w:cs="Times New Roman"/>
                <w:color w:val="auto"/>
                <w:sz w:val="21"/>
                <w:szCs w:val="21"/>
                <w:highlight w:val="none"/>
                <w:lang w:val="en-US" w:eastAsia="zh-CN"/>
              </w:rPr>
              <w:t>不合理的不得分，本小项最高得2分；</w:t>
            </w:r>
          </w:p>
          <w:p w14:paraId="239F3347">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eastAsiaTheme="minorEastAsia"/>
                <w:color w:val="auto"/>
                <w:sz w:val="21"/>
                <w:szCs w:val="21"/>
                <w:highlight w:val="none"/>
              </w:rPr>
              <w:t>送达跟踪</w:t>
            </w:r>
            <w:r>
              <w:rPr>
                <w:rFonts w:hint="eastAsia" w:ascii="Times New Roman" w:hAnsi="Times New Roman" w:cs="Times New Roman"/>
                <w:color w:val="auto"/>
                <w:sz w:val="21"/>
                <w:szCs w:val="21"/>
                <w:highlight w:val="none"/>
                <w:lang w:eastAsia="zh-CN"/>
              </w:rPr>
              <w:t>方案合理的得</w:t>
            </w:r>
            <w:r>
              <w:rPr>
                <w:rFonts w:hint="eastAsia" w:ascii="Times New Roman" w:hAnsi="Times New Roman" w:cs="Times New Roman"/>
                <w:color w:val="auto"/>
                <w:sz w:val="21"/>
                <w:szCs w:val="21"/>
                <w:highlight w:val="none"/>
                <w:lang w:val="en-US" w:eastAsia="zh-CN"/>
              </w:rPr>
              <w:t>2分，方案一般的得1分，</w:t>
            </w:r>
            <w:r>
              <w:rPr>
                <w:rFonts w:hint="eastAsia" w:ascii="Times New Roman" w:hAnsi="Times New Roman" w:cs="Times New Roman"/>
                <w:color w:val="auto"/>
                <w:sz w:val="21"/>
                <w:szCs w:val="21"/>
                <w:highlight w:val="none"/>
                <w:lang w:eastAsia="zh-CN"/>
              </w:rPr>
              <w:t>方案</w:t>
            </w:r>
            <w:r>
              <w:rPr>
                <w:rFonts w:hint="eastAsia" w:ascii="Times New Roman" w:hAnsi="Times New Roman" w:cs="Times New Roman"/>
                <w:color w:val="auto"/>
                <w:sz w:val="21"/>
                <w:szCs w:val="21"/>
                <w:highlight w:val="none"/>
                <w:lang w:val="en-US" w:eastAsia="zh-CN"/>
              </w:rPr>
              <w:t>不合理的不得分，本小项最高得2分；</w:t>
            </w:r>
          </w:p>
          <w:p w14:paraId="697147A2">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注：本项最高得8分。</w:t>
            </w:r>
          </w:p>
        </w:tc>
      </w:tr>
      <w:tr w14:paraId="137C1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3D68E2DF">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Align w:val="center"/>
          </w:tcPr>
          <w:p w14:paraId="5EDDDCAF">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集约送达服务方案</w:t>
            </w:r>
          </w:p>
          <w:p w14:paraId="2D653DF5">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8</w:t>
            </w:r>
            <w:r>
              <w:rPr>
                <w:rFonts w:hint="default" w:ascii="Times New Roman" w:hAnsi="Times New Roman" w:cs="Times New Roman" w:eastAsiaTheme="minorEastAsia"/>
                <w:color w:val="auto"/>
                <w:sz w:val="21"/>
                <w:szCs w:val="21"/>
                <w:highlight w:val="none"/>
              </w:rPr>
              <w:t>分</w:t>
            </w:r>
            <w:r>
              <w:rPr>
                <w:rFonts w:hint="eastAsia" w:ascii="Times New Roman" w:hAnsi="Times New Roman" w:cs="Times New Roman"/>
                <w:color w:val="auto"/>
                <w:sz w:val="21"/>
                <w:szCs w:val="21"/>
                <w:highlight w:val="none"/>
                <w:lang w:eastAsia="zh-CN"/>
              </w:rPr>
              <w:t>）</w:t>
            </w:r>
          </w:p>
        </w:tc>
        <w:tc>
          <w:tcPr>
            <w:tcW w:w="7030" w:type="dxa"/>
            <w:vAlign w:val="top"/>
          </w:tcPr>
          <w:p w14:paraId="381C9BC4">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eastAsia="zh-CN"/>
              </w:rPr>
            </w:pPr>
            <w:r>
              <w:rPr>
                <w:rFonts w:hint="default" w:ascii="Times New Roman" w:hAnsi="Times New Roman" w:cs="Times New Roman" w:eastAsiaTheme="minorEastAsia"/>
                <w:color w:val="auto"/>
                <w:sz w:val="21"/>
                <w:szCs w:val="21"/>
                <w:highlight w:val="none"/>
              </w:rPr>
              <w:t>根据供应商提供</w:t>
            </w:r>
            <w:r>
              <w:rPr>
                <w:rFonts w:hint="default" w:ascii="Times New Roman" w:hAnsi="Times New Roman" w:cs="Times New Roman" w:eastAsiaTheme="minorEastAsia"/>
                <w:color w:val="auto"/>
                <w:kern w:val="0"/>
                <w:sz w:val="21"/>
                <w:szCs w:val="21"/>
                <w:highlight w:val="none"/>
              </w:rPr>
              <w:t>针对线上线下两种送达服务分别描述集约送达服务方案</w:t>
            </w:r>
            <w:r>
              <w:rPr>
                <w:rFonts w:hint="default" w:ascii="Times New Roman" w:hAnsi="Times New Roman" w:cs="Times New Roman" w:eastAsiaTheme="minorEastAsia"/>
                <w:color w:val="auto"/>
                <w:sz w:val="21"/>
                <w:szCs w:val="21"/>
                <w:highlight w:val="none"/>
              </w:rPr>
              <w:t>进行评审</w:t>
            </w:r>
            <w:r>
              <w:rPr>
                <w:rFonts w:hint="default" w:ascii="Times New Roman" w:hAnsi="Times New Roman" w:cs="Times New Roman"/>
                <w:color w:val="auto"/>
                <w:sz w:val="21"/>
                <w:szCs w:val="21"/>
                <w:highlight w:val="none"/>
                <w:lang w:eastAsia="zh-CN"/>
              </w:rPr>
              <w:t>：</w:t>
            </w:r>
          </w:p>
          <w:p w14:paraId="1A418C55">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线上电子送达服务方案：</w:t>
            </w:r>
          </w:p>
          <w:p w14:paraId="3434A442">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）电话送达方案合理的得</w:t>
            </w:r>
            <w:r>
              <w:rPr>
                <w:rFonts w:hint="eastAsia" w:ascii="Times New Roman" w:hAnsi="Times New Roman" w:cs="Times New Roman"/>
                <w:color w:val="auto"/>
                <w:sz w:val="21"/>
                <w:szCs w:val="21"/>
                <w:highlight w:val="none"/>
                <w:lang w:val="en-US" w:eastAsia="zh-CN"/>
              </w:rPr>
              <w:t>2分，方案一般的得1分，</w:t>
            </w:r>
            <w:r>
              <w:rPr>
                <w:rFonts w:hint="eastAsia" w:ascii="Times New Roman" w:hAnsi="Times New Roman" w:cs="Times New Roman"/>
                <w:color w:val="auto"/>
                <w:sz w:val="21"/>
                <w:szCs w:val="21"/>
                <w:highlight w:val="none"/>
                <w:lang w:eastAsia="zh-CN"/>
              </w:rPr>
              <w:t>方案</w:t>
            </w:r>
            <w:r>
              <w:rPr>
                <w:rFonts w:hint="eastAsia" w:ascii="Times New Roman" w:hAnsi="Times New Roman" w:cs="Times New Roman"/>
                <w:color w:val="auto"/>
                <w:sz w:val="21"/>
                <w:szCs w:val="21"/>
                <w:highlight w:val="none"/>
                <w:lang w:val="en-US" w:eastAsia="zh-CN"/>
              </w:rPr>
              <w:t>不合理的不得分，本小项最高得2分；</w:t>
            </w:r>
          </w:p>
          <w:p w14:paraId="1B343841">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eastAsia="zh-CN"/>
              </w:rPr>
              <w:t>）短信送达方案合理的得</w:t>
            </w:r>
            <w:r>
              <w:rPr>
                <w:rFonts w:hint="eastAsia" w:ascii="Times New Roman" w:hAnsi="Times New Roman" w:cs="Times New Roman"/>
                <w:color w:val="auto"/>
                <w:sz w:val="21"/>
                <w:szCs w:val="21"/>
                <w:highlight w:val="none"/>
                <w:lang w:val="en-US" w:eastAsia="zh-CN"/>
              </w:rPr>
              <w:t>2分，方案一般的得1分，</w:t>
            </w:r>
            <w:r>
              <w:rPr>
                <w:rFonts w:hint="eastAsia" w:ascii="Times New Roman" w:hAnsi="Times New Roman" w:cs="Times New Roman"/>
                <w:color w:val="auto"/>
                <w:sz w:val="21"/>
                <w:szCs w:val="21"/>
                <w:highlight w:val="none"/>
                <w:lang w:eastAsia="zh-CN"/>
              </w:rPr>
              <w:t>方案</w:t>
            </w:r>
            <w:r>
              <w:rPr>
                <w:rFonts w:hint="eastAsia" w:ascii="Times New Roman" w:hAnsi="Times New Roman" w:cs="Times New Roman"/>
                <w:color w:val="auto"/>
                <w:sz w:val="21"/>
                <w:szCs w:val="21"/>
                <w:highlight w:val="none"/>
                <w:lang w:val="en-US" w:eastAsia="zh-CN"/>
              </w:rPr>
              <w:t>不合理的不得分，本小项最高得2分。</w:t>
            </w:r>
          </w:p>
          <w:p w14:paraId="1CFE921F">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eastAsia="zh-CN"/>
              </w:rPr>
              <w:t>线下送达服务方案：</w:t>
            </w:r>
          </w:p>
          <w:p w14:paraId="73452B43">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）来院领取方案合理的得</w:t>
            </w:r>
            <w:r>
              <w:rPr>
                <w:rFonts w:hint="eastAsia" w:ascii="Times New Roman" w:hAnsi="Times New Roman" w:cs="Times New Roman"/>
                <w:color w:val="auto"/>
                <w:sz w:val="21"/>
                <w:szCs w:val="21"/>
                <w:highlight w:val="none"/>
                <w:lang w:val="en-US" w:eastAsia="zh-CN"/>
              </w:rPr>
              <w:t>2分，方案一般的得1分，</w:t>
            </w:r>
            <w:r>
              <w:rPr>
                <w:rFonts w:hint="eastAsia" w:ascii="Times New Roman" w:hAnsi="Times New Roman" w:cs="Times New Roman"/>
                <w:color w:val="auto"/>
                <w:sz w:val="21"/>
                <w:szCs w:val="21"/>
                <w:highlight w:val="none"/>
                <w:lang w:eastAsia="zh-CN"/>
              </w:rPr>
              <w:t>方案</w:t>
            </w:r>
            <w:r>
              <w:rPr>
                <w:rFonts w:hint="eastAsia" w:ascii="Times New Roman" w:hAnsi="Times New Roman" w:cs="Times New Roman"/>
                <w:color w:val="auto"/>
                <w:sz w:val="21"/>
                <w:szCs w:val="21"/>
                <w:highlight w:val="none"/>
                <w:lang w:val="en-US" w:eastAsia="zh-CN"/>
              </w:rPr>
              <w:t>不合理的不得分，本小项最高得2分；</w:t>
            </w:r>
          </w:p>
          <w:p w14:paraId="3FAE6E05">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eastAsia="zh-CN"/>
              </w:rPr>
              <w:t>）邮寄送达方案合理的得</w:t>
            </w:r>
            <w:r>
              <w:rPr>
                <w:rFonts w:hint="eastAsia" w:ascii="Times New Roman" w:hAnsi="Times New Roman" w:cs="Times New Roman"/>
                <w:color w:val="auto"/>
                <w:sz w:val="21"/>
                <w:szCs w:val="21"/>
                <w:highlight w:val="none"/>
                <w:lang w:val="en-US" w:eastAsia="zh-CN"/>
              </w:rPr>
              <w:t>2分，方案一般的得1分，</w:t>
            </w:r>
            <w:r>
              <w:rPr>
                <w:rFonts w:hint="eastAsia" w:ascii="Times New Roman" w:hAnsi="Times New Roman" w:cs="Times New Roman"/>
                <w:color w:val="auto"/>
                <w:sz w:val="21"/>
                <w:szCs w:val="21"/>
                <w:highlight w:val="none"/>
                <w:lang w:eastAsia="zh-CN"/>
              </w:rPr>
              <w:t>方案</w:t>
            </w:r>
            <w:r>
              <w:rPr>
                <w:rFonts w:hint="eastAsia" w:ascii="Times New Roman" w:hAnsi="Times New Roman" w:cs="Times New Roman"/>
                <w:color w:val="auto"/>
                <w:sz w:val="21"/>
                <w:szCs w:val="21"/>
                <w:highlight w:val="none"/>
                <w:lang w:val="en-US" w:eastAsia="zh-CN"/>
              </w:rPr>
              <w:t>不合理的不得分，本小项最高得2分。</w:t>
            </w:r>
          </w:p>
          <w:p w14:paraId="24FA7605">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注：本项最高得8分。</w:t>
            </w:r>
          </w:p>
        </w:tc>
      </w:tr>
      <w:tr w14:paraId="74838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3A0C4F89">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Align w:val="center"/>
          </w:tcPr>
          <w:p w14:paraId="3EF9AD87">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送达地址库管理服务</w:t>
            </w:r>
          </w:p>
          <w:p w14:paraId="5410DD60">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（6分）</w:t>
            </w:r>
          </w:p>
        </w:tc>
        <w:tc>
          <w:tcPr>
            <w:tcW w:w="7030" w:type="dxa"/>
          </w:tcPr>
          <w:p w14:paraId="6E0B3C8A">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eastAsia="zh-CN"/>
              </w:rPr>
            </w:pPr>
            <w:r>
              <w:rPr>
                <w:rFonts w:hint="default" w:ascii="Times New Roman" w:hAnsi="Times New Roman" w:cs="Times New Roman" w:eastAsiaTheme="minorEastAsia"/>
                <w:color w:val="auto"/>
                <w:sz w:val="21"/>
                <w:szCs w:val="21"/>
                <w:highlight w:val="none"/>
              </w:rPr>
              <w:t>根据供应商提供的送达地址管理提供服务方案</w:t>
            </w:r>
            <w:r>
              <w:rPr>
                <w:rFonts w:hint="eastAsia" w:ascii="Times New Roman" w:hAnsi="Times New Roman" w:cs="Times New Roman"/>
                <w:color w:val="auto"/>
                <w:sz w:val="21"/>
                <w:szCs w:val="21"/>
                <w:highlight w:val="none"/>
                <w:lang w:eastAsia="zh-CN"/>
              </w:rPr>
              <w:t>，包括（地址分类管理服务、建立地址库规范化服务、地址信息采集服务等）</w:t>
            </w:r>
            <w:r>
              <w:rPr>
                <w:rFonts w:hint="default" w:ascii="Times New Roman" w:hAnsi="Times New Roman" w:cs="Times New Roman" w:eastAsiaTheme="minorEastAsia"/>
                <w:color w:val="auto"/>
                <w:sz w:val="21"/>
                <w:szCs w:val="21"/>
                <w:highlight w:val="none"/>
              </w:rPr>
              <w:t>进行评审</w:t>
            </w:r>
            <w:r>
              <w:rPr>
                <w:rFonts w:hint="eastAsia" w:ascii="Times New Roman" w:hAnsi="Times New Roman" w:cs="Times New Roman"/>
                <w:color w:val="auto"/>
                <w:sz w:val="21"/>
                <w:szCs w:val="21"/>
                <w:highlight w:val="none"/>
                <w:lang w:eastAsia="zh-CN"/>
              </w:rPr>
              <w:t>：</w:t>
            </w:r>
          </w:p>
          <w:p w14:paraId="67FFE53E">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地址分类管理服务方案合理的得</w:t>
            </w:r>
            <w:r>
              <w:rPr>
                <w:rFonts w:hint="eastAsia" w:ascii="Times New Roman" w:hAnsi="Times New Roman" w:cs="Times New Roman"/>
                <w:color w:val="auto"/>
                <w:sz w:val="21"/>
                <w:szCs w:val="21"/>
                <w:highlight w:val="none"/>
                <w:lang w:val="en-US" w:eastAsia="zh-CN"/>
              </w:rPr>
              <w:t>2分，方案一般的得1分，</w:t>
            </w:r>
            <w:r>
              <w:rPr>
                <w:rFonts w:hint="eastAsia" w:ascii="Times New Roman" w:hAnsi="Times New Roman" w:cs="Times New Roman"/>
                <w:color w:val="auto"/>
                <w:sz w:val="21"/>
                <w:szCs w:val="21"/>
                <w:highlight w:val="none"/>
                <w:lang w:eastAsia="zh-CN"/>
              </w:rPr>
              <w:t>方案</w:t>
            </w:r>
            <w:r>
              <w:rPr>
                <w:rFonts w:hint="eastAsia" w:ascii="Times New Roman" w:hAnsi="Times New Roman" w:cs="Times New Roman"/>
                <w:color w:val="auto"/>
                <w:sz w:val="21"/>
                <w:szCs w:val="21"/>
                <w:highlight w:val="none"/>
                <w:lang w:val="en-US" w:eastAsia="zh-CN"/>
              </w:rPr>
              <w:t>不合理的不得分，本小项最高得2分；</w:t>
            </w:r>
          </w:p>
          <w:p w14:paraId="5886C576">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eastAsia="zh-CN"/>
              </w:rPr>
              <w:t>建立地址库规范化服务方案合理的得</w:t>
            </w:r>
            <w:r>
              <w:rPr>
                <w:rFonts w:hint="eastAsia" w:ascii="Times New Roman" w:hAnsi="Times New Roman" w:cs="Times New Roman"/>
                <w:color w:val="auto"/>
                <w:sz w:val="21"/>
                <w:szCs w:val="21"/>
                <w:highlight w:val="none"/>
                <w:lang w:val="en-US" w:eastAsia="zh-CN"/>
              </w:rPr>
              <w:t>2分，方案一般的得1分，</w:t>
            </w:r>
            <w:r>
              <w:rPr>
                <w:rFonts w:hint="eastAsia" w:ascii="Times New Roman" w:hAnsi="Times New Roman" w:cs="Times New Roman"/>
                <w:color w:val="auto"/>
                <w:sz w:val="21"/>
                <w:szCs w:val="21"/>
                <w:highlight w:val="none"/>
                <w:lang w:eastAsia="zh-CN"/>
              </w:rPr>
              <w:t>方案</w:t>
            </w:r>
            <w:r>
              <w:rPr>
                <w:rFonts w:hint="eastAsia" w:ascii="Times New Roman" w:hAnsi="Times New Roman" w:cs="Times New Roman"/>
                <w:color w:val="auto"/>
                <w:sz w:val="21"/>
                <w:szCs w:val="21"/>
                <w:highlight w:val="none"/>
                <w:lang w:val="en-US" w:eastAsia="zh-CN"/>
              </w:rPr>
              <w:t>不合理的不得分，本小项最高得2分；</w:t>
            </w:r>
          </w:p>
          <w:p w14:paraId="6E99A0B0">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eastAsia="zh-CN"/>
              </w:rPr>
              <w:t>地址信息采集服务方案合理的得</w:t>
            </w:r>
            <w:r>
              <w:rPr>
                <w:rFonts w:hint="eastAsia" w:ascii="Times New Roman" w:hAnsi="Times New Roman" w:cs="Times New Roman"/>
                <w:color w:val="auto"/>
                <w:sz w:val="21"/>
                <w:szCs w:val="21"/>
                <w:highlight w:val="none"/>
                <w:lang w:val="en-US" w:eastAsia="zh-CN"/>
              </w:rPr>
              <w:t>2分，方案一般的得1分，</w:t>
            </w:r>
            <w:r>
              <w:rPr>
                <w:rFonts w:hint="eastAsia" w:ascii="Times New Roman" w:hAnsi="Times New Roman" w:cs="Times New Roman"/>
                <w:color w:val="auto"/>
                <w:sz w:val="21"/>
                <w:szCs w:val="21"/>
                <w:highlight w:val="none"/>
                <w:lang w:eastAsia="zh-CN"/>
              </w:rPr>
              <w:t>方案</w:t>
            </w:r>
            <w:r>
              <w:rPr>
                <w:rFonts w:hint="eastAsia" w:ascii="Times New Roman" w:hAnsi="Times New Roman" w:cs="Times New Roman"/>
                <w:color w:val="auto"/>
                <w:sz w:val="21"/>
                <w:szCs w:val="21"/>
                <w:highlight w:val="none"/>
                <w:lang w:val="en-US" w:eastAsia="zh-CN"/>
              </w:rPr>
              <w:t>不合理的不得分，本小项最高得2分。</w:t>
            </w:r>
          </w:p>
          <w:p w14:paraId="67054578">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注：本项最高得6分。</w:t>
            </w:r>
          </w:p>
        </w:tc>
      </w:tr>
      <w:tr w14:paraId="1C87A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6B223525">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Align w:val="center"/>
          </w:tcPr>
          <w:p w14:paraId="3DA3450C">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项目管理及组织措施方案</w:t>
            </w:r>
          </w:p>
          <w:p w14:paraId="3C6098F0">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rPr>
              <w:t>分</w:t>
            </w:r>
            <w:r>
              <w:rPr>
                <w:rFonts w:hint="eastAsia" w:ascii="Times New Roman" w:hAnsi="Times New Roman" w:cs="Times New Roman"/>
                <w:color w:val="auto"/>
                <w:sz w:val="21"/>
                <w:szCs w:val="21"/>
                <w:highlight w:val="none"/>
                <w:lang w:eastAsia="zh-CN"/>
              </w:rPr>
              <w:t>）</w:t>
            </w:r>
          </w:p>
        </w:tc>
        <w:tc>
          <w:tcPr>
            <w:tcW w:w="7030" w:type="dxa"/>
          </w:tcPr>
          <w:p w14:paraId="4A85CE2D">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根据供应商提供的项目管理及组织措施方案进行评审：包含但不限于①项目进度计划②内部管理架构③管理规章制度；每项1分，共计3分，每有一项缺项的扣1分，每有一项内容不完整或有缺陷的扣0.5分，扣完为止，未提供不得分。</w:t>
            </w:r>
          </w:p>
          <w:p w14:paraId="60ED58C6">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注：内容不完整或有缺陷是指：非专门针对本项目或不适用本项目需求的情形、套用其他项目方案、内容前后矛盾、涉及的规范及标准错误等及其他情形。</w:t>
            </w:r>
          </w:p>
        </w:tc>
      </w:tr>
      <w:tr w14:paraId="7E3B6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2AA346A2">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Align w:val="center"/>
          </w:tcPr>
          <w:p w14:paraId="026BF67A">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培训方案</w:t>
            </w:r>
          </w:p>
          <w:p w14:paraId="3A162A57">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rPr>
              <w:t>分</w:t>
            </w:r>
            <w:r>
              <w:rPr>
                <w:rFonts w:hint="eastAsia" w:ascii="Times New Roman" w:hAnsi="Times New Roman" w:cs="Times New Roman"/>
                <w:color w:val="auto"/>
                <w:sz w:val="21"/>
                <w:szCs w:val="21"/>
                <w:highlight w:val="none"/>
                <w:lang w:eastAsia="zh-CN"/>
              </w:rPr>
              <w:t>）</w:t>
            </w:r>
          </w:p>
        </w:tc>
        <w:tc>
          <w:tcPr>
            <w:tcW w:w="7030" w:type="dxa"/>
          </w:tcPr>
          <w:p w14:paraId="1CE29BB6">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根据供应商提供的培训方案进行评审：包含但不限于①内部培训②法院端培训③员工培训管理制度；上述方案进行综合评议，每项1分，共计3分，每有一项缺项的扣1分，每有一项内容不完整或有缺陷的扣0.5分，最低得</w:t>
            </w:r>
            <w:r>
              <w:rPr>
                <w:rFonts w:hint="eastAsia" w:ascii="Times New Roman" w:hAnsi="Times New Roman" w:cs="Times New Roman"/>
                <w:color w:val="auto"/>
                <w:sz w:val="21"/>
                <w:szCs w:val="21"/>
                <w:highlight w:val="none"/>
                <w:lang w:val="en-US" w:eastAsia="zh-CN"/>
              </w:rPr>
              <w:t>0分</w:t>
            </w:r>
            <w:r>
              <w:rPr>
                <w:rFonts w:hint="eastAsia" w:ascii="Times New Roman" w:hAnsi="Times New Roman" w:cs="Times New Roman"/>
                <w:color w:val="auto"/>
                <w:sz w:val="21"/>
                <w:szCs w:val="21"/>
                <w:highlight w:val="none"/>
                <w:lang w:eastAsia="zh-CN"/>
              </w:rPr>
              <w:t>，未提供不得分。</w:t>
            </w:r>
          </w:p>
          <w:p w14:paraId="0F542E5D">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注：内容不完整或有缺陷是指：非专门针对本项目或不适用本项目需求的情形、套用其他项目方案、内容前后矛盾、涉及的规范及标准错误等及其他情形。</w:t>
            </w:r>
          </w:p>
        </w:tc>
      </w:tr>
      <w:tr w14:paraId="0C713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14B02411">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Align w:val="center"/>
          </w:tcPr>
          <w:p w14:paraId="63A19DDF">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项目安全保密措施</w:t>
            </w:r>
          </w:p>
          <w:p w14:paraId="1953463D">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rPr>
              <w:t>分</w:t>
            </w:r>
            <w:r>
              <w:rPr>
                <w:rFonts w:hint="eastAsia" w:ascii="Times New Roman" w:hAnsi="Times New Roman" w:cs="Times New Roman"/>
                <w:color w:val="auto"/>
                <w:sz w:val="21"/>
                <w:szCs w:val="21"/>
                <w:highlight w:val="none"/>
                <w:lang w:eastAsia="zh-CN"/>
              </w:rPr>
              <w:t>）</w:t>
            </w:r>
          </w:p>
        </w:tc>
        <w:tc>
          <w:tcPr>
            <w:tcW w:w="7030" w:type="dxa"/>
          </w:tcPr>
          <w:p w14:paraId="714C46A0">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根据供应商提供的安全保密方案进行评审：包含但不限于①保密安全管理制度②保密安全管理规范③保密安全管理措施④保密安全承诺；上述方案进行综合评议，每项1分，共计3分，每有一项缺项的扣1分，每有一项内容不完整或有缺陷的扣0.5分，最低得</w:t>
            </w:r>
            <w:r>
              <w:rPr>
                <w:rFonts w:hint="eastAsia" w:ascii="Times New Roman" w:hAnsi="Times New Roman" w:cs="Times New Roman"/>
                <w:color w:val="auto"/>
                <w:sz w:val="21"/>
                <w:szCs w:val="21"/>
                <w:highlight w:val="none"/>
                <w:lang w:val="en-US" w:eastAsia="zh-CN"/>
              </w:rPr>
              <w:t>0分</w:t>
            </w:r>
            <w:r>
              <w:rPr>
                <w:rFonts w:hint="eastAsia" w:ascii="Times New Roman" w:hAnsi="Times New Roman" w:cs="Times New Roman"/>
                <w:color w:val="auto"/>
                <w:sz w:val="21"/>
                <w:szCs w:val="21"/>
                <w:highlight w:val="none"/>
                <w:lang w:eastAsia="zh-CN"/>
              </w:rPr>
              <w:t>，未提供不得分。</w:t>
            </w:r>
          </w:p>
          <w:p w14:paraId="026B2BFD">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注：内容不完整或有缺陷是指：非专门针对本项目或不适用本项目需求的情形、套用其他项目方案、内容前后矛盾、涉及的规范及标准错误等及其他情形。</w:t>
            </w:r>
          </w:p>
        </w:tc>
      </w:tr>
      <w:tr w14:paraId="2CFA3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36B78EA0">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Align w:val="center"/>
          </w:tcPr>
          <w:p w14:paraId="31355033">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人力资源保障措施</w:t>
            </w:r>
          </w:p>
          <w:p w14:paraId="5188190A">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eastAsiaTheme="minorEastAsia"/>
                <w:color w:val="auto"/>
                <w:sz w:val="21"/>
                <w:szCs w:val="21"/>
                <w:highlight w:val="none"/>
              </w:rPr>
              <w:t>分</w:t>
            </w:r>
            <w:r>
              <w:rPr>
                <w:rFonts w:hint="eastAsia" w:ascii="Times New Roman" w:hAnsi="Times New Roman" w:cs="Times New Roman"/>
                <w:color w:val="auto"/>
                <w:sz w:val="21"/>
                <w:szCs w:val="21"/>
                <w:highlight w:val="none"/>
                <w:lang w:eastAsia="zh-CN"/>
              </w:rPr>
              <w:t>）</w:t>
            </w:r>
          </w:p>
        </w:tc>
        <w:tc>
          <w:tcPr>
            <w:tcW w:w="7030" w:type="dxa"/>
            <w:vAlign w:val="top"/>
          </w:tcPr>
          <w:p w14:paraId="1E4B8A10">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根据供应商提供的人力资源保障措施方案进行评审：包含但不限于①员工入离职管理制度②薪酬制度规范③员工晋升机制④员工奖惩制度⑤绩效管理办法；每项1分，共计5分，每有一项缺项的扣1分，每有一项内容不完整或有缺陷的扣0.5分，扣完为止，未提供不得分。</w:t>
            </w:r>
          </w:p>
          <w:p w14:paraId="48857F0C">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注：内容不完整或有缺陷是指：非专门针对本项目或不适用本项目需求的情形、套用其他项目方案、内容前后矛盾、涉及的规范及标准错误等及其他情形。</w:t>
            </w:r>
          </w:p>
        </w:tc>
      </w:tr>
      <w:tr w14:paraId="6C553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121E59B2">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Align w:val="center"/>
          </w:tcPr>
          <w:p w14:paraId="5DA497A9">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应急情况处理方案</w:t>
            </w:r>
          </w:p>
          <w:p w14:paraId="61E06D5C">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eastAsiaTheme="minorEastAsia"/>
                <w:color w:val="auto"/>
                <w:sz w:val="21"/>
                <w:szCs w:val="21"/>
                <w:highlight w:val="none"/>
              </w:rPr>
              <w:t>分</w:t>
            </w:r>
            <w:r>
              <w:rPr>
                <w:rFonts w:hint="eastAsia" w:ascii="Times New Roman" w:hAnsi="Times New Roman" w:cs="Times New Roman"/>
                <w:color w:val="auto"/>
                <w:sz w:val="21"/>
                <w:szCs w:val="21"/>
                <w:highlight w:val="none"/>
                <w:lang w:eastAsia="zh-CN"/>
              </w:rPr>
              <w:t>）</w:t>
            </w:r>
          </w:p>
        </w:tc>
        <w:tc>
          <w:tcPr>
            <w:tcW w:w="7030" w:type="dxa"/>
          </w:tcPr>
          <w:p w14:paraId="1306DA74">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根据供应商提供的应急情况处理方案进行评审：包含但不限于①应急事项的处理流程和处理方法②日常预防机制；每项2分，共计4分，每有一项缺项的扣2分，每有一项内容不完整或有缺陷的扣1分，最低得</w:t>
            </w:r>
            <w:r>
              <w:rPr>
                <w:rFonts w:hint="eastAsia" w:ascii="Times New Roman" w:hAnsi="Times New Roman" w:cs="Times New Roman"/>
                <w:color w:val="auto"/>
                <w:sz w:val="21"/>
                <w:szCs w:val="21"/>
                <w:highlight w:val="none"/>
                <w:lang w:val="en-US" w:eastAsia="zh-CN"/>
              </w:rPr>
              <w:t>0分</w:t>
            </w:r>
            <w:r>
              <w:rPr>
                <w:rFonts w:hint="eastAsia" w:ascii="Times New Roman" w:hAnsi="Times New Roman" w:cs="Times New Roman"/>
                <w:color w:val="auto"/>
                <w:sz w:val="21"/>
                <w:szCs w:val="21"/>
                <w:highlight w:val="none"/>
                <w:lang w:eastAsia="zh-CN"/>
              </w:rPr>
              <w:t>，未提供不得分。</w:t>
            </w:r>
          </w:p>
          <w:p w14:paraId="26218431">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注：内容不完整或有缺陷是指：非专门针对本项目或不适用本项目需求的情形、套用其他项目方案、内容前后矛盾、涉及的规范及标准错误等及其他情形。</w:t>
            </w:r>
          </w:p>
        </w:tc>
      </w:tr>
      <w:tr w14:paraId="7D16D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1BAECC64">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Align w:val="center"/>
          </w:tcPr>
          <w:p w14:paraId="0878DB48">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系统优化承诺</w:t>
            </w:r>
          </w:p>
          <w:p w14:paraId="32FD3EE7">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eastAsiaTheme="minorEastAsia"/>
                <w:color w:val="auto"/>
                <w:sz w:val="21"/>
                <w:szCs w:val="21"/>
                <w:highlight w:val="none"/>
              </w:rPr>
              <w:t>分</w:t>
            </w:r>
            <w:r>
              <w:rPr>
                <w:rFonts w:hint="eastAsia" w:ascii="Times New Roman" w:hAnsi="Times New Roman" w:cs="Times New Roman"/>
                <w:color w:val="auto"/>
                <w:sz w:val="21"/>
                <w:szCs w:val="21"/>
                <w:highlight w:val="none"/>
                <w:lang w:eastAsia="zh-CN"/>
              </w:rPr>
              <w:t>）</w:t>
            </w:r>
          </w:p>
        </w:tc>
        <w:tc>
          <w:tcPr>
            <w:tcW w:w="7030" w:type="dxa"/>
          </w:tcPr>
          <w:p w14:paraId="57641AC9">
            <w:pPr>
              <w:keepNext w:val="0"/>
              <w:keepLines w:val="0"/>
              <w:pageBreakBefore w:val="0"/>
              <w:kinsoku/>
              <w:wordWrap/>
              <w:overflowPunct/>
              <w:topLinePunct w:val="0"/>
              <w:autoSpaceDE/>
              <w:autoSpaceDN/>
              <w:bidi w:val="0"/>
              <w:adjustRightInd/>
              <w:snapToGrid/>
              <w:spacing w:line="360" w:lineRule="atLeast"/>
              <w:ind w:left="0" w:leftChars="0"/>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根据供应商</w:t>
            </w:r>
            <w:r>
              <w:rPr>
                <w:rFonts w:hint="eastAsia" w:ascii="宋体" w:hAnsi="宋体" w:eastAsia="宋体" w:cs="宋体"/>
                <w:color w:val="auto"/>
                <w:sz w:val="21"/>
                <w:szCs w:val="21"/>
                <w:highlight w:val="none"/>
                <w:lang w:val="en-US" w:eastAsia="zh-CN"/>
              </w:rPr>
              <w:t>提供的系统优化承诺，包括</w:t>
            </w:r>
            <w:r>
              <w:rPr>
                <w:rFonts w:hint="eastAsia" w:ascii="Times New Roman" w:hAnsi="Times New Roman" w:cs="Times New Roman"/>
                <w:color w:val="auto"/>
                <w:sz w:val="21"/>
                <w:szCs w:val="21"/>
                <w:highlight w:val="none"/>
                <w:lang w:val="en-US" w:eastAsia="zh-CN"/>
              </w:rPr>
              <w:t>送达平台应具备修改、优化的功能，能根据采购人需求，并配合采购人无纸化改革、收集相关主体确认送达地址信息的要求，提供优化系统操作（譬如优化发起界面、简化流转环节、优化一键发起、信息回填、信息回传等功能）、创建可共享送达信息库的服务，同时可协调审判、执行系统同步优化等承诺</w:t>
            </w:r>
            <w:r>
              <w:rPr>
                <w:rFonts w:hint="eastAsia" w:ascii="宋体" w:hAnsi="宋体" w:eastAsia="宋体" w:cs="宋体"/>
                <w:color w:val="auto"/>
                <w:sz w:val="21"/>
                <w:szCs w:val="21"/>
                <w:highlight w:val="none"/>
                <w:lang w:val="zh-CN" w:eastAsia="zh-CN"/>
              </w:rPr>
              <w:t>进行评审：</w:t>
            </w:r>
          </w:p>
          <w:p w14:paraId="22BB2E9A">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1、承诺内容完整、可行性高、</w:t>
            </w:r>
            <w:r>
              <w:rPr>
                <w:rFonts w:hint="eastAsia" w:ascii="宋体" w:hAnsi="宋体" w:eastAsia="宋体" w:cs="宋体"/>
                <w:color w:val="auto"/>
                <w:sz w:val="21"/>
                <w:szCs w:val="21"/>
                <w:highlight w:val="none"/>
                <w:lang w:val="zh-CN"/>
              </w:rPr>
              <w:t>满足要求的，得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r>
              <w:rPr>
                <w:rFonts w:hint="default" w:ascii="Times New Roman" w:hAnsi="Times New Roman" w:cs="Times New Roman" w:eastAsiaTheme="minorEastAsia"/>
                <w:color w:val="auto"/>
                <w:sz w:val="21"/>
                <w:szCs w:val="21"/>
                <w:highlight w:val="none"/>
              </w:rPr>
              <w:t>；</w:t>
            </w:r>
          </w:p>
          <w:p w14:paraId="68B3E08C">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eastAsia="zh-CN"/>
              </w:rPr>
              <w:t>承诺内容较完整、可行性较高、基本满足要求的，得</w:t>
            </w:r>
            <w:r>
              <w:rPr>
                <w:rFonts w:hint="eastAsia" w:ascii="Times New Roman" w:hAnsi="Times New Roman"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eastAsia="zh-CN"/>
              </w:rPr>
              <w:t>分；</w:t>
            </w:r>
          </w:p>
          <w:p w14:paraId="334EE2CB">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eastAsia="zh-CN"/>
              </w:rPr>
              <w:t>承诺内容完整性一般、可行性一般、不满足要求的，得2分</w:t>
            </w:r>
            <w:r>
              <w:rPr>
                <w:rFonts w:hint="default" w:ascii="Times New Roman" w:hAnsi="Times New Roman" w:cs="Times New Roman" w:eastAsiaTheme="minorEastAsia"/>
                <w:color w:val="auto"/>
                <w:sz w:val="21"/>
                <w:szCs w:val="21"/>
                <w:highlight w:val="none"/>
              </w:rPr>
              <w:t>；</w:t>
            </w:r>
          </w:p>
          <w:p w14:paraId="79170DF1">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w:t>
            </w:r>
            <w:r>
              <w:rPr>
                <w:rFonts w:hint="eastAsia" w:ascii="Times New Roman" w:hAnsi="Times New Roman" w:cs="Times New Roman"/>
                <w:color w:val="auto"/>
                <w:sz w:val="21"/>
                <w:szCs w:val="21"/>
                <w:highlight w:val="none"/>
                <w:lang w:eastAsia="zh-CN"/>
              </w:rPr>
              <w:t>承诺内容不完整、可行性差的、不满足要求的，得1分</w:t>
            </w:r>
            <w:r>
              <w:rPr>
                <w:rFonts w:hint="default" w:ascii="Times New Roman" w:hAnsi="Times New Roman" w:cs="Times New Roman"/>
                <w:color w:val="auto"/>
                <w:sz w:val="21"/>
                <w:szCs w:val="21"/>
                <w:highlight w:val="none"/>
                <w:lang w:val="en-US" w:eastAsia="zh-CN"/>
              </w:rPr>
              <w:t>；</w:t>
            </w:r>
          </w:p>
          <w:p w14:paraId="7EAFB2D6">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5、不</w:t>
            </w:r>
            <w:r>
              <w:rPr>
                <w:rFonts w:hint="eastAsia" w:ascii="Times New Roman" w:hAnsi="Times New Roman" w:cs="Times New Roman"/>
                <w:color w:val="auto"/>
                <w:sz w:val="21"/>
                <w:szCs w:val="21"/>
                <w:highlight w:val="none"/>
                <w:lang w:val="en-GB" w:eastAsia="zh-CN"/>
              </w:rPr>
              <w:t>提供不得分。</w:t>
            </w:r>
          </w:p>
        </w:tc>
      </w:tr>
      <w:tr w14:paraId="6744E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restart"/>
          </w:tcPr>
          <w:p w14:paraId="1DCCF52B">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商务部分</w:t>
            </w:r>
          </w:p>
        </w:tc>
        <w:tc>
          <w:tcPr>
            <w:tcW w:w="1580" w:type="dxa"/>
            <w:vAlign w:val="center"/>
          </w:tcPr>
          <w:p w14:paraId="646F1280">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管理体系认证（</w:t>
            </w:r>
            <w:r>
              <w:rPr>
                <w:rFonts w:hint="eastAsia" w:ascii="Times New Roman" w:hAnsi="Times New Roman" w:cs="Times New Roman"/>
                <w:color w:val="auto"/>
                <w:sz w:val="21"/>
                <w:szCs w:val="21"/>
                <w:highlight w:val="none"/>
                <w:lang w:val="en-US" w:eastAsia="zh-CN"/>
              </w:rPr>
              <w:t>4分</w:t>
            </w:r>
            <w:r>
              <w:rPr>
                <w:rFonts w:hint="eastAsia" w:ascii="Times New Roman" w:hAnsi="Times New Roman" w:cs="Times New Roman"/>
                <w:color w:val="auto"/>
                <w:sz w:val="21"/>
                <w:szCs w:val="21"/>
                <w:highlight w:val="none"/>
                <w:lang w:eastAsia="zh-CN"/>
              </w:rPr>
              <w:t>）</w:t>
            </w:r>
          </w:p>
        </w:tc>
        <w:tc>
          <w:tcPr>
            <w:tcW w:w="7030" w:type="dxa"/>
          </w:tcPr>
          <w:p w14:paraId="2FA9F37D">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color w:val="auto"/>
                <w:sz w:val="21"/>
                <w:szCs w:val="21"/>
                <w:highlight w:val="none"/>
                <w:lang w:eastAsia="zh-CN"/>
              </w:rPr>
              <w:t>根据</w:t>
            </w:r>
            <w:r>
              <w:rPr>
                <w:rFonts w:hint="default" w:ascii="Times New Roman" w:hAnsi="Times New Roman" w:cs="Times New Roman" w:eastAsiaTheme="minorEastAsia"/>
                <w:color w:val="auto"/>
                <w:sz w:val="21"/>
                <w:szCs w:val="21"/>
                <w:highlight w:val="none"/>
              </w:rPr>
              <w:t>供应商</w:t>
            </w:r>
            <w:r>
              <w:rPr>
                <w:rFonts w:hint="eastAsia" w:ascii="Times New Roman" w:hAnsi="Times New Roman" w:cs="Times New Roman"/>
                <w:color w:val="auto"/>
                <w:sz w:val="21"/>
                <w:szCs w:val="21"/>
                <w:highlight w:val="none"/>
                <w:lang w:eastAsia="zh-CN"/>
              </w:rPr>
              <w:t>提供的管理体系认证证书进行评审</w:t>
            </w:r>
            <w:r>
              <w:rPr>
                <w:rFonts w:hint="default" w:ascii="Times New Roman" w:hAnsi="Times New Roman" w:cs="Times New Roman" w:eastAsiaTheme="minorEastAsia"/>
                <w:color w:val="auto"/>
                <w:sz w:val="21"/>
                <w:szCs w:val="21"/>
                <w:highlight w:val="none"/>
              </w:rPr>
              <w:t>：</w:t>
            </w:r>
          </w:p>
          <w:p w14:paraId="5C00510F">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信息技术服务管理体系认证证书</w:t>
            </w:r>
            <w:r>
              <w:rPr>
                <w:rFonts w:hint="eastAsia" w:ascii="Times New Roman" w:hAnsi="Times New Roman" w:cs="Times New Roman"/>
                <w:color w:val="auto"/>
                <w:sz w:val="21"/>
                <w:szCs w:val="21"/>
                <w:highlight w:val="none"/>
                <w:lang w:eastAsia="zh-CN"/>
              </w:rPr>
              <w:t>；</w:t>
            </w:r>
          </w:p>
          <w:p w14:paraId="422305E5">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信息安全管理体系认证证书</w:t>
            </w:r>
            <w:r>
              <w:rPr>
                <w:rFonts w:hint="eastAsia" w:ascii="Times New Roman" w:hAnsi="Times New Roman" w:cs="Times New Roman"/>
                <w:color w:val="auto"/>
                <w:sz w:val="21"/>
                <w:szCs w:val="21"/>
                <w:highlight w:val="none"/>
                <w:lang w:eastAsia="zh-CN"/>
              </w:rPr>
              <w:t>；</w:t>
            </w:r>
          </w:p>
          <w:p w14:paraId="146BED7F">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rPr>
              <w:t>服务质量评价体系认证证书</w:t>
            </w:r>
            <w:r>
              <w:rPr>
                <w:rFonts w:hint="eastAsia" w:ascii="Times New Roman" w:hAnsi="Times New Roman" w:cs="Times New Roman"/>
                <w:color w:val="auto"/>
                <w:sz w:val="21"/>
                <w:szCs w:val="21"/>
                <w:highlight w:val="none"/>
                <w:lang w:eastAsia="zh-CN"/>
              </w:rPr>
              <w:t>；</w:t>
            </w:r>
          </w:p>
          <w:p w14:paraId="01AF4CA6">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eastAsiaTheme="minorEastAsia"/>
                <w:color w:val="auto"/>
                <w:sz w:val="21"/>
                <w:szCs w:val="21"/>
                <w:highlight w:val="none"/>
              </w:rPr>
              <w:t>企业社会责任管理体系认证证书</w:t>
            </w:r>
            <w:r>
              <w:rPr>
                <w:rFonts w:hint="eastAsia" w:ascii="Times New Roman" w:hAnsi="Times New Roman" w:cs="Times New Roman"/>
                <w:color w:val="auto"/>
                <w:sz w:val="21"/>
                <w:szCs w:val="21"/>
                <w:highlight w:val="none"/>
                <w:lang w:eastAsia="zh-CN"/>
              </w:rPr>
              <w:t>；</w:t>
            </w:r>
          </w:p>
          <w:p w14:paraId="5DD4AFB6">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每提供1项得1分，未提供不得分。</w:t>
            </w:r>
          </w:p>
          <w:p w14:paraId="17C3CFBC">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注：须提供有效的证书复印件作为证明材料，并加盖供应商公章。</w:t>
            </w:r>
          </w:p>
        </w:tc>
      </w:tr>
      <w:tr w14:paraId="7949F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1" w:hRule="atLeast"/>
        </w:trPr>
        <w:tc>
          <w:tcPr>
            <w:tcW w:w="684" w:type="dxa"/>
            <w:vMerge w:val="continue"/>
          </w:tcPr>
          <w:p w14:paraId="7318E39B">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Merge w:val="restart"/>
            <w:vAlign w:val="center"/>
          </w:tcPr>
          <w:p w14:paraId="592AE2F1">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拟派的项目经理和人员证书情况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11分</w:t>
            </w:r>
            <w:r>
              <w:rPr>
                <w:rFonts w:hint="eastAsia" w:ascii="宋体" w:hAnsi="宋体" w:eastAsia="宋体" w:cs="宋体"/>
                <w:color w:val="auto"/>
                <w:sz w:val="21"/>
                <w:szCs w:val="21"/>
                <w:highlight w:val="none"/>
                <w:lang w:eastAsia="zh-CN"/>
              </w:rPr>
              <w:t>）</w:t>
            </w:r>
          </w:p>
        </w:tc>
        <w:tc>
          <w:tcPr>
            <w:tcW w:w="7030" w:type="dxa"/>
            <w:vAlign w:val="center"/>
          </w:tcPr>
          <w:p w14:paraId="622A8AA1">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eastAsia="zh-CN" w:bidi="ar"/>
              </w:rPr>
              <w:t>根据供应商</w:t>
            </w:r>
            <w:r>
              <w:rPr>
                <w:rFonts w:hint="eastAsia" w:ascii="宋体" w:hAnsi="宋体" w:eastAsia="宋体" w:cs="宋体"/>
                <w:color w:val="auto"/>
                <w:sz w:val="21"/>
                <w:szCs w:val="21"/>
                <w:highlight w:val="none"/>
                <w:lang w:bidi="ar"/>
              </w:rPr>
              <w:t>拟投入</w:t>
            </w:r>
            <w:r>
              <w:rPr>
                <w:rFonts w:hint="eastAsia" w:ascii="宋体" w:hAnsi="宋体" w:eastAsia="宋体" w:cs="宋体"/>
                <w:color w:val="auto"/>
                <w:sz w:val="21"/>
                <w:szCs w:val="21"/>
                <w:highlight w:val="none"/>
                <w:lang w:eastAsia="zh-CN" w:bidi="ar"/>
              </w:rPr>
              <w:t>到</w:t>
            </w:r>
            <w:r>
              <w:rPr>
                <w:rFonts w:hint="eastAsia" w:ascii="宋体" w:hAnsi="宋体" w:eastAsia="宋体" w:cs="宋体"/>
                <w:color w:val="auto"/>
                <w:sz w:val="21"/>
                <w:szCs w:val="21"/>
                <w:highlight w:val="none"/>
                <w:lang w:bidi="ar"/>
              </w:rPr>
              <w:t>本项目</w:t>
            </w:r>
            <w:r>
              <w:rPr>
                <w:rFonts w:hint="eastAsia" w:ascii="宋体" w:hAnsi="宋体" w:eastAsia="宋体" w:cs="宋体"/>
                <w:color w:val="auto"/>
                <w:sz w:val="21"/>
                <w:szCs w:val="21"/>
                <w:highlight w:val="none"/>
                <w:lang w:eastAsia="zh-CN" w:bidi="ar"/>
              </w:rPr>
              <w:t>中</w:t>
            </w:r>
            <w:r>
              <w:rPr>
                <w:rFonts w:hint="eastAsia" w:ascii="宋体" w:hAnsi="宋体" w:eastAsia="宋体" w:cs="宋体"/>
                <w:color w:val="auto"/>
                <w:sz w:val="21"/>
                <w:szCs w:val="21"/>
                <w:highlight w:val="none"/>
                <w:lang w:bidi="ar"/>
              </w:rPr>
              <w:t>的项目经理（仅限一人）</w:t>
            </w:r>
            <w:r>
              <w:rPr>
                <w:rFonts w:hint="eastAsia" w:ascii="宋体" w:hAnsi="宋体" w:eastAsia="宋体" w:cs="宋体"/>
                <w:color w:val="auto"/>
                <w:sz w:val="21"/>
                <w:szCs w:val="21"/>
                <w:highlight w:val="none"/>
                <w:lang w:eastAsia="zh-CN" w:bidi="ar"/>
              </w:rPr>
              <w:t>进行评审</w:t>
            </w:r>
            <w:r>
              <w:rPr>
                <w:rFonts w:hint="eastAsia" w:ascii="宋体" w:hAnsi="宋体" w:eastAsia="宋体" w:cs="宋体"/>
                <w:color w:val="auto"/>
                <w:sz w:val="21"/>
                <w:szCs w:val="21"/>
                <w:highlight w:val="none"/>
                <w:lang w:bidi="ar"/>
              </w:rPr>
              <w:t>：</w:t>
            </w:r>
          </w:p>
          <w:p w14:paraId="674B1BF7">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具有项目管理专业人士</w:t>
            </w:r>
            <w:r>
              <w:rPr>
                <w:rFonts w:hint="eastAsia" w:ascii="宋体" w:hAnsi="宋体" w:eastAsia="宋体" w:cs="宋体"/>
                <w:color w:val="auto"/>
                <w:sz w:val="21"/>
                <w:szCs w:val="21"/>
                <w:highlight w:val="none"/>
                <w:lang w:eastAsia="zh-CN" w:bidi="ar"/>
              </w:rPr>
              <w:t>类</w:t>
            </w:r>
            <w:r>
              <w:rPr>
                <w:rFonts w:hint="eastAsia" w:ascii="宋体" w:hAnsi="宋体" w:eastAsia="宋体" w:cs="宋体"/>
                <w:color w:val="auto"/>
                <w:sz w:val="21"/>
                <w:szCs w:val="21"/>
                <w:highlight w:val="none"/>
                <w:lang w:bidi="ar"/>
              </w:rPr>
              <w:t>资格认证证书，得2分；</w:t>
            </w:r>
          </w:p>
          <w:p w14:paraId="614E4DD1">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具有安全保密管理员证书</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bidi="ar"/>
              </w:rPr>
              <w:t>，得1分；</w:t>
            </w:r>
          </w:p>
          <w:p w14:paraId="315FCDB7">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具有国家信息安全水平认证证书</w:t>
            </w:r>
            <w:r>
              <w:rPr>
                <w:rFonts w:hint="eastAsia" w:ascii="宋体" w:hAnsi="宋体" w:eastAsia="宋体" w:cs="宋体"/>
                <w:color w:val="auto"/>
                <w:sz w:val="21"/>
                <w:szCs w:val="21"/>
                <w:highlight w:val="none"/>
                <w:lang w:eastAsia="zh-CN" w:bidi="ar"/>
              </w:rPr>
              <w:t>（三级或以上）</w:t>
            </w:r>
            <w:r>
              <w:rPr>
                <w:rFonts w:hint="eastAsia" w:ascii="宋体" w:hAnsi="宋体" w:eastAsia="宋体" w:cs="宋体"/>
                <w:color w:val="auto"/>
                <w:sz w:val="21"/>
                <w:szCs w:val="21"/>
                <w:highlight w:val="none"/>
                <w:lang w:bidi="ar"/>
              </w:rPr>
              <w:t>，得1分；</w:t>
            </w:r>
          </w:p>
          <w:p w14:paraId="52632E19">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注：本项最高得4分，提供不全或未提供不得分。项目经理需提供相关证件证明材料复印件并提供人员在投标单位服务近半年</w:t>
            </w:r>
            <w:r>
              <w:rPr>
                <w:rFonts w:hint="eastAsia" w:ascii="宋体" w:hAnsi="宋体" w:eastAsia="宋体" w:cs="宋体"/>
                <w:color w:val="auto"/>
                <w:sz w:val="21"/>
                <w:szCs w:val="21"/>
                <w:highlight w:val="none"/>
                <w:lang w:eastAsia="zh-CN" w:bidi="ar"/>
              </w:rPr>
              <w:t>（即</w:t>
            </w:r>
            <w:r>
              <w:rPr>
                <w:rFonts w:hint="eastAsia" w:ascii="宋体" w:hAnsi="宋体" w:eastAsia="宋体" w:cs="宋体"/>
                <w:color w:val="auto"/>
                <w:sz w:val="21"/>
                <w:szCs w:val="21"/>
                <w:highlight w:val="none"/>
                <w:lang w:val="en-US" w:eastAsia="zh-CN" w:bidi="ar"/>
              </w:rPr>
              <w:t>2024年1月至2024年6月</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任意一个月</w:t>
            </w:r>
            <w:r>
              <w:rPr>
                <w:rFonts w:hint="eastAsia" w:ascii="宋体" w:hAnsi="宋体" w:eastAsia="宋体" w:cs="宋体"/>
                <w:color w:val="auto"/>
                <w:sz w:val="21"/>
                <w:szCs w:val="21"/>
                <w:highlight w:val="none"/>
                <w:lang w:eastAsia="zh-CN" w:bidi="ar"/>
              </w:rPr>
              <w:t>的</w:t>
            </w:r>
            <w:r>
              <w:rPr>
                <w:rFonts w:hint="eastAsia" w:ascii="宋体" w:hAnsi="宋体" w:eastAsia="宋体" w:cs="宋体"/>
                <w:color w:val="auto"/>
                <w:sz w:val="21"/>
                <w:szCs w:val="21"/>
                <w:highlight w:val="none"/>
                <w:lang w:bidi="ar"/>
              </w:rPr>
              <w:t>社保证明</w:t>
            </w:r>
            <w:r>
              <w:rPr>
                <w:rFonts w:hint="eastAsia" w:ascii="宋体" w:hAnsi="宋体" w:eastAsia="宋体" w:cs="宋体"/>
                <w:color w:val="auto"/>
                <w:sz w:val="21"/>
                <w:szCs w:val="21"/>
                <w:highlight w:val="none"/>
                <w:lang w:eastAsia="zh-CN" w:bidi="ar"/>
              </w:rPr>
              <w:t>，加盖供应商公章</w:t>
            </w:r>
            <w:r>
              <w:rPr>
                <w:rFonts w:hint="eastAsia" w:ascii="宋体" w:hAnsi="宋体" w:eastAsia="宋体" w:cs="宋体"/>
                <w:color w:val="auto"/>
                <w:sz w:val="21"/>
                <w:szCs w:val="21"/>
                <w:highlight w:val="none"/>
                <w:lang w:bidi="ar"/>
              </w:rPr>
              <w:t>，不提供不得分。</w:t>
            </w:r>
          </w:p>
        </w:tc>
      </w:tr>
      <w:tr w14:paraId="280DF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1" w:hRule="atLeast"/>
        </w:trPr>
        <w:tc>
          <w:tcPr>
            <w:tcW w:w="684" w:type="dxa"/>
            <w:vMerge w:val="continue"/>
          </w:tcPr>
          <w:p w14:paraId="4B22BBE0">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color w:val="auto"/>
                <w:highlight w:val="none"/>
              </w:rPr>
            </w:pPr>
          </w:p>
        </w:tc>
        <w:tc>
          <w:tcPr>
            <w:tcW w:w="1580" w:type="dxa"/>
            <w:vMerge w:val="continue"/>
            <w:vAlign w:val="center"/>
          </w:tcPr>
          <w:p w14:paraId="33555B7A">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宋体" w:hAnsi="宋体" w:eastAsia="宋体" w:cs="宋体"/>
                <w:color w:val="auto"/>
                <w:sz w:val="21"/>
                <w:szCs w:val="21"/>
                <w:highlight w:val="none"/>
              </w:rPr>
            </w:pPr>
          </w:p>
        </w:tc>
        <w:tc>
          <w:tcPr>
            <w:tcW w:w="7030" w:type="dxa"/>
            <w:vAlign w:val="center"/>
          </w:tcPr>
          <w:p w14:paraId="32815681">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eastAsia="zh-CN" w:bidi="ar"/>
              </w:rPr>
              <w:t>根据供应商</w:t>
            </w:r>
            <w:r>
              <w:rPr>
                <w:rFonts w:hint="eastAsia" w:ascii="宋体" w:hAnsi="宋体" w:eastAsia="宋体" w:cs="宋体"/>
                <w:color w:val="auto"/>
                <w:sz w:val="21"/>
                <w:szCs w:val="21"/>
                <w:highlight w:val="none"/>
                <w:lang w:bidi="ar"/>
              </w:rPr>
              <w:t>拟投入</w:t>
            </w:r>
            <w:r>
              <w:rPr>
                <w:rFonts w:hint="eastAsia" w:ascii="宋体" w:hAnsi="宋体" w:eastAsia="宋体" w:cs="宋体"/>
                <w:color w:val="auto"/>
                <w:sz w:val="21"/>
                <w:szCs w:val="21"/>
                <w:highlight w:val="none"/>
                <w:lang w:eastAsia="zh-CN" w:bidi="ar"/>
              </w:rPr>
              <w:t>到</w:t>
            </w:r>
            <w:r>
              <w:rPr>
                <w:rFonts w:hint="eastAsia" w:ascii="宋体" w:hAnsi="宋体" w:eastAsia="宋体" w:cs="宋体"/>
                <w:color w:val="auto"/>
                <w:sz w:val="21"/>
                <w:szCs w:val="21"/>
                <w:highlight w:val="none"/>
                <w:lang w:bidi="ar"/>
              </w:rPr>
              <w:t>本项目</w:t>
            </w:r>
            <w:r>
              <w:rPr>
                <w:rFonts w:hint="eastAsia" w:ascii="宋体" w:hAnsi="宋体" w:eastAsia="宋体" w:cs="宋体"/>
                <w:color w:val="auto"/>
                <w:sz w:val="21"/>
                <w:szCs w:val="21"/>
                <w:highlight w:val="none"/>
                <w:lang w:eastAsia="zh-CN" w:bidi="ar"/>
              </w:rPr>
              <w:t>中</w:t>
            </w:r>
            <w:r>
              <w:rPr>
                <w:rFonts w:hint="eastAsia" w:ascii="宋体" w:hAnsi="宋体" w:eastAsia="宋体" w:cs="宋体"/>
                <w:color w:val="auto"/>
                <w:sz w:val="21"/>
                <w:szCs w:val="21"/>
                <w:highlight w:val="none"/>
                <w:lang w:bidi="ar"/>
              </w:rPr>
              <w:t>的驻场服务主管（仅限一人）</w:t>
            </w:r>
            <w:r>
              <w:rPr>
                <w:rFonts w:hint="eastAsia" w:ascii="宋体" w:hAnsi="宋体" w:eastAsia="宋体" w:cs="宋体"/>
                <w:color w:val="auto"/>
                <w:sz w:val="21"/>
                <w:szCs w:val="21"/>
                <w:highlight w:val="none"/>
                <w:lang w:eastAsia="zh-CN" w:bidi="ar"/>
              </w:rPr>
              <w:t>进行评审</w:t>
            </w:r>
            <w:r>
              <w:rPr>
                <w:rFonts w:hint="eastAsia" w:ascii="宋体" w:hAnsi="宋体" w:eastAsia="宋体" w:cs="宋体"/>
                <w:color w:val="auto"/>
                <w:sz w:val="21"/>
                <w:szCs w:val="21"/>
                <w:highlight w:val="none"/>
                <w:lang w:bidi="ar"/>
              </w:rPr>
              <w:t>：</w:t>
            </w:r>
          </w:p>
          <w:p w14:paraId="1EC7AA64">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（1）具有法学、计算机或人力资源专业本科及以上学历得1分，未提供不得分；</w:t>
            </w:r>
          </w:p>
          <w:p w14:paraId="6BCA1E41">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（2）具有法律职业资格证书（A）证的，得2分；未提供不得分。（提供通过证书编号在司法部政务服务平台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"http://www.moj.gov.cn/"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bidi="ar"/>
              </w:rPr>
              <w:t>http://www.moj.gov.cn/</w:t>
            </w:r>
            <w:r>
              <w:rPr>
                <w:rFonts w:hint="eastAsia" w:ascii="宋体" w:hAnsi="宋体" w:eastAsia="宋体" w:cs="宋体"/>
                <w:color w:val="auto"/>
                <w:sz w:val="21"/>
                <w:szCs w:val="21"/>
                <w:highlight w:val="none"/>
                <w:lang w:bidi="ar"/>
              </w:rPr>
              <w:fldChar w:fldCharType="end"/>
            </w:r>
            <w:r>
              <w:rPr>
                <w:rFonts w:hint="eastAsia" w:ascii="宋体" w:hAnsi="宋体" w:eastAsia="宋体" w:cs="宋体"/>
                <w:color w:val="auto"/>
                <w:sz w:val="21"/>
                <w:szCs w:val="21"/>
                <w:highlight w:val="none"/>
                <w:lang w:bidi="ar"/>
              </w:rPr>
              <w:t xml:space="preserve"> 法律职业资格信息查询的截图）</w:t>
            </w:r>
            <w:r>
              <w:rPr>
                <w:rFonts w:hint="eastAsia" w:ascii="宋体" w:hAnsi="宋体" w:eastAsia="宋体" w:cs="宋体"/>
                <w:color w:val="auto"/>
                <w:sz w:val="21"/>
                <w:szCs w:val="21"/>
                <w:highlight w:val="none"/>
                <w:lang w:eastAsia="zh-CN" w:bidi="ar"/>
              </w:rPr>
              <w:t>；</w:t>
            </w:r>
          </w:p>
          <w:p w14:paraId="378DE74D">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（3）具有保密教育培训证书的，得1分</w:t>
            </w:r>
            <w:r>
              <w:rPr>
                <w:rFonts w:hint="eastAsia" w:ascii="宋体" w:hAnsi="宋体" w:eastAsia="宋体" w:cs="宋体"/>
                <w:color w:val="auto"/>
                <w:sz w:val="21"/>
                <w:szCs w:val="21"/>
                <w:highlight w:val="none"/>
                <w:lang w:eastAsia="zh-CN" w:bidi="ar"/>
              </w:rPr>
              <w:t>。</w:t>
            </w:r>
          </w:p>
          <w:p w14:paraId="0379F922">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注：本项最高得</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分，驻场服务主管需提供相关证件证明材料复印件并提供人员在投标单位服务近半年</w:t>
            </w:r>
            <w:r>
              <w:rPr>
                <w:rFonts w:hint="eastAsia" w:ascii="宋体" w:hAnsi="宋体" w:eastAsia="宋体" w:cs="宋体"/>
                <w:color w:val="auto"/>
                <w:sz w:val="21"/>
                <w:szCs w:val="21"/>
                <w:highlight w:val="none"/>
                <w:lang w:eastAsia="zh-CN" w:bidi="ar"/>
              </w:rPr>
              <w:t>（即</w:t>
            </w:r>
            <w:r>
              <w:rPr>
                <w:rFonts w:hint="eastAsia" w:ascii="宋体" w:hAnsi="宋体" w:eastAsia="宋体" w:cs="宋体"/>
                <w:color w:val="auto"/>
                <w:sz w:val="21"/>
                <w:szCs w:val="21"/>
                <w:highlight w:val="none"/>
                <w:lang w:val="en-US" w:eastAsia="zh-CN" w:bidi="ar"/>
              </w:rPr>
              <w:t>2024年1月至2024年6月</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任意一个月</w:t>
            </w:r>
            <w:r>
              <w:rPr>
                <w:rFonts w:hint="eastAsia" w:ascii="宋体" w:hAnsi="宋体" w:eastAsia="宋体" w:cs="宋体"/>
                <w:color w:val="auto"/>
                <w:sz w:val="21"/>
                <w:szCs w:val="21"/>
                <w:highlight w:val="none"/>
                <w:lang w:eastAsia="zh-CN" w:bidi="ar"/>
              </w:rPr>
              <w:t>的</w:t>
            </w:r>
            <w:r>
              <w:rPr>
                <w:rFonts w:hint="eastAsia" w:ascii="宋体" w:hAnsi="宋体" w:eastAsia="宋体" w:cs="宋体"/>
                <w:color w:val="auto"/>
                <w:sz w:val="21"/>
                <w:szCs w:val="21"/>
                <w:highlight w:val="none"/>
                <w:lang w:bidi="ar"/>
              </w:rPr>
              <w:t>社保证明</w:t>
            </w:r>
            <w:r>
              <w:rPr>
                <w:rFonts w:hint="eastAsia" w:ascii="宋体" w:hAnsi="宋体" w:eastAsia="宋体" w:cs="宋体"/>
                <w:color w:val="auto"/>
                <w:sz w:val="21"/>
                <w:szCs w:val="21"/>
                <w:highlight w:val="none"/>
                <w:lang w:eastAsia="zh-CN" w:bidi="ar"/>
              </w:rPr>
              <w:t>，加盖供应商公章</w:t>
            </w:r>
            <w:r>
              <w:rPr>
                <w:rFonts w:hint="eastAsia" w:ascii="宋体" w:hAnsi="宋体" w:eastAsia="宋体" w:cs="宋体"/>
                <w:color w:val="auto"/>
                <w:sz w:val="21"/>
                <w:szCs w:val="21"/>
                <w:highlight w:val="none"/>
                <w:lang w:bidi="ar"/>
              </w:rPr>
              <w:t>，不提供者不得分。</w:t>
            </w:r>
          </w:p>
        </w:tc>
      </w:tr>
      <w:tr w14:paraId="0415D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1" w:hRule="atLeast"/>
        </w:trPr>
        <w:tc>
          <w:tcPr>
            <w:tcW w:w="684" w:type="dxa"/>
            <w:vMerge w:val="continue"/>
          </w:tcPr>
          <w:p w14:paraId="371AA076">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p>
        </w:tc>
        <w:tc>
          <w:tcPr>
            <w:tcW w:w="1580" w:type="dxa"/>
            <w:vMerge w:val="continue"/>
            <w:vAlign w:val="center"/>
          </w:tcPr>
          <w:p w14:paraId="5E830700">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eastAsia" w:ascii="宋体" w:hAnsi="宋体" w:eastAsia="宋体" w:cs="宋体"/>
                <w:color w:val="auto"/>
                <w:sz w:val="21"/>
                <w:szCs w:val="21"/>
                <w:highlight w:val="none"/>
              </w:rPr>
            </w:pPr>
          </w:p>
        </w:tc>
        <w:tc>
          <w:tcPr>
            <w:tcW w:w="7030" w:type="dxa"/>
            <w:vAlign w:val="center"/>
          </w:tcPr>
          <w:p w14:paraId="312B6628">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根据供应商</w:t>
            </w:r>
            <w:r>
              <w:rPr>
                <w:rFonts w:hint="eastAsia" w:ascii="宋体" w:hAnsi="宋体" w:eastAsia="宋体" w:cs="宋体"/>
                <w:color w:val="auto"/>
                <w:sz w:val="21"/>
                <w:szCs w:val="21"/>
                <w:highlight w:val="none"/>
              </w:rPr>
              <w:t>拟投入</w:t>
            </w:r>
            <w:r>
              <w:rPr>
                <w:rFonts w:hint="eastAsia" w:ascii="宋体" w:hAnsi="宋体" w:eastAsia="宋体" w:cs="宋体"/>
                <w:color w:val="auto"/>
                <w:sz w:val="21"/>
                <w:szCs w:val="21"/>
                <w:highlight w:val="none"/>
                <w:lang w:eastAsia="zh-CN"/>
              </w:rPr>
              <w:t>到</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的驻场服务人员</w:t>
            </w:r>
            <w:r>
              <w:rPr>
                <w:rFonts w:hint="eastAsia" w:ascii="宋体" w:hAnsi="宋体" w:eastAsia="宋体" w:cs="宋体"/>
                <w:color w:val="auto"/>
                <w:sz w:val="21"/>
                <w:szCs w:val="21"/>
                <w:highlight w:val="none"/>
                <w:lang w:eastAsia="zh-CN"/>
              </w:rPr>
              <w:t>进行评审</w:t>
            </w:r>
            <w:r>
              <w:rPr>
                <w:rFonts w:hint="eastAsia" w:ascii="宋体" w:hAnsi="宋体" w:eastAsia="宋体" w:cs="宋体"/>
                <w:color w:val="auto"/>
                <w:sz w:val="21"/>
                <w:szCs w:val="21"/>
                <w:highlight w:val="none"/>
              </w:rPr>
              <w:t>：</w:t>
            </w:r>
          </w:p>
          <w:p w14:paraId="59D975BE">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同时具有全日制本科及以上学历证书和保密教育培训证书的，每提供一名得1分，最高3分，未提供不得分；</w:t>
            </w:r>
          </w:p>
          <w:p w14:paraId="79DD5763">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说明：本项最高得3分，驻场服务人员需提供相关证件证明材料复印件并提供人员在投标单位服务的在职证明</w:t>
            </w:r>
            <w:r>
              <w:rPr>
                <w:rFonts w:hint="eastAsia" w:ascii="宋体" w:hAnsi="宋体" w:eastAsia="宋体" w:cs="宋体"/>
                <w:color w:val="auto"/>
                <w:sz w:val="21"/>
                <w:szCs w:val="21"/>
                <w:highlight w:val="none"/>
                <w:lang w:bidi="ar"/>
              </w:rPr>
              <w:t>（近半年</w:t>
            </w:r>
            <w:r>
              <w:rPr>
                <w:rFonts w:hint="eastAsia" w:ascii="宋体" w:hAnsi="宋体" w:eastAsia="宋体" w:cs="宋体"/>
                <w:color w:val="auto"/>
                <w:sz w:val="21"/>
                <w:szCs w:val="21"/>
                <w:highlight w:val="none"/>
                <w:lang w:eastAsia="zh-CN" w:bidi="ar"/>
              </w:rPr>
              <w:t>（即</w:t>
            </w:r>
            <w:r>
              <w:rPr>
                <w:rFonts w:hint="eastAsia" w:ascii="宋体" w:hAnsi="宋体" w:eastAsia="宋体" w:cs="宋体"/>
                <w:color w:val="auto"/>
                <w:sz w:val="21"/>
                <w:szCs w:val="21"/>
                <w:highlight w:val="none"/>
                <w:lang w:val="en-US" w:eastAsia="zh-CN" w:bidi="ar"/>
              </w:rPr>
              <w:t>2024年1月至2024年6月</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任意一个月社保证明）</w:t>
            </w:r>
            <w:r>
              <w:rPr>
                <w:rFonts w:hint="eastAsia" w:ascii="宋体" w:hAnsi="宋体" w:eastAsia="宋体" w:cs="宋体"/>
                <w:color w:val="auto"/>
                <w:sz w:val="21"/>
                <w:szCs w:val="21"/>
                <w:highlight w:val="none"/>
                <w:lang w:eastAsia="zh-CN" w:bidi="ar"/>
              </w:rPr>
              <w:t>加盖供应商公章</w:t>
            </w:r>
            <w:r>
              <w:rPr>
                <w:rFonts w:hint="eastAsia" w:ascii="宋体" w:hAnsi="宋体" w:eastAsia="宋体" w:cs="宋体"/>
                <w:color w:val="auto"/>
                <w:sz w:val="21"/>
                <w:szCs w:val="21"/>
                <w:highlight w:val="none"/>
                <w:lang w:bidi="ar"/>
              </w:rPr>
              <w:t>，不提供者不得分。</w:t>
            </w:r>
          </w:p>
        </w:tc>
      </w:tr>
      <w:tr w14:paraId="6D149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6FC73D6E">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Align w:val="center"/>
          </w:tcPr>
          <w:p w14:paraId="5B1BAF5A">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信息安全保障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7030" w:type="dxa"/>
            <w:vAlign w:val="center"/>
          </w:tcPr>
          <w:p w14:paraId="12CE754E">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保密行政管理部门颁发的乙级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国家秘密载体印制资质的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得3分，不提供者不得分。</w:t>
            </w:r>
          </w:p>
          <w:p w14:paraId="45891E0E">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注：提供相关证书复印件并加盖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公章，不提供或提供的认证证书不符合要求的不得分。</w:t>
            </w:r>
          </w:p>
        </w:tc>
      </w:tr>
      <w:tr w14:paraId="4F692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2AE9A74A">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Align w:val="center"/>
          </w:tcPr>
          <w:p w14:paraId="78849A11">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技术实施能力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7030" w:type="dxa"/>
            <w:vAlign w:val="top"/>
          </w:tcPr>
          <w:p w14:paraId="4FB76D0B">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服务自带软件著作权证书情况进行评审：</w:t>
            </w:r>
          </w:p>
          <w:p w14:paraId="0F5A8171">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综合送达管理系统类似系统软件</w:t>
            </w:r>
            <w:r>
              <w:rPr>
                <w:rFonts w:hint="eastAsia" w:ascii="宋体" w:hAnsi="宋体" w:eastAsia="宋体" w:cs="宋体"/>
                <w:color w:val="auto"/>
                <w:sz w:val="21"/>
                <w:szCs w:val="21"/>
                <w:highlight w:val="none"/>
                <w:lang w:eastAsia="zh-CN"/>
              </w:rPr>
              <w:t>；</w:t>
            </w:r>
          </w:p>
          <w:p w14:paraId="2FF670DC">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智慧送达服务终端类似系统软件</w:t>
            </w:r>
            <w:r>
              <w:rPr>
                <w:rFonts w:hint="eastAsia" w:ascii="宋体" w:hAnsi="宋体" w:eastAsia="宋体" w:cs="宋体"/>
                <w:color w:val="auto"/>
                <w:sz w:val="21"/>
                <w:szCs w:val="21"/>
                <w:highlight w:val="none"/>
                <w:lang w:eastAsia="zh-CN"/>
              </w:rPr>
              <w:t>；</w:t>
            </w:r>
          </w:p>
          <w:p w14:paraId="00AE68A2">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外出送达统一调度平台类似系统软件</w:t>
            </w:r>
            <w:r>
              <w:rPr>
                <w:rFonts w:hint="eastAsia" w:ascii="宋体" w:hAnsi="宋体" w:eastAsia="宋体" w:cs="宋体"/>
                <w:color w:val="auto"/>
                <w:sz w:val="21"/>
                <w:szCs w:val="21"/>
                <w:highlight w:val="none"/>
                <w:lang w:eastAsia="zh-CN"/>
              </w:rPr>
              <w:t>；</w:t>
            </w:r>
          </w:p>
          <w:p w14:paraId="09204269">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司法辅助事务集约化管理类似系统</w:t>
            </w:r>
            <w:r>
              <w:rPr>
                <w:rFonts w:hint="eastAsia" w:ascii="宋体" w:hAnsi="宋体" w:eastAsia="宋体" w:cs="宋体"/>
                <w:color w:val="auto"/>
                <w:sz w:val="21"/>
                <w:szCs w:val="21"/>
                <w:highlight w:val="none"/>
                <w:lang w:eastAsia="zh-CN"/>
              </w:rPr>
              <w:t>；</w:t>
            </w:r>
          </w:p>
          <w:p w14:paraId="29970CC5">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司法辅助事务数据可视化展示平台类似系统；</w:t>
            </w:r>
          </w:p>
          <w:p w14:paraId="118098CF">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每提供1个类似软件著作权证书得1分，最高得5分；</w:t>
            </w:r>
          </w:p>
          <w:p w14:paraId="617EBDF8">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p>
          <w:p w14:paraId="4F51CE29">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1、属于供应商自有的：需提供①计算机软件著作权登记证书复印件，证书著作权人名称须与投标供应商名称一致； </w:t>
            </w:r>
          </w:p>
          <w:p w14:paraId="18AB01D0">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2、属于供应商购买的，需提供①计算机软件著作权登记证书复印件；②购买合同复印件； </w:t>
            </w:r>
          </w:p>
          <w:p w14:paraId="4DC8E188">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3、属于供应商取得授权使用许可的，需提供①计算机软件著作权登记证书复印件；②授权许可使用合同复印件；</w:t>
            </w:r>
          </w:p>
          <w:p w14:paraId="7CB1E501">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4、提供以上相关证明材料复印件并加盖投标人公章，未按要求提供或提供不齐全不得分。</w:t>
            </w:r>
          </w:p>
          <w:p w14:paraId="10C27156">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5、多个计算机软件著作权登记证书包含内容重复的，只计算一次分值。</w:t>
            </w:r>
          </w:p>
        </w:tc>
      </w:tr>
      <w:tr w14:paraId="7C937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7" w:hRule="atLeast"/>
        </w:trPr>
        <w:tc>
          <w:tcPr>
            <w:tcW w:w="684" w:type="dxa"/>
            <w:vMerge w:val="continue"/>
          </w:tcPr>
          <w:p w14:paraId="52A96AFC">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Merge w:val="restart"/>
            <w:vAlign w:val="center"/>
          </w:tcPr>
          <w:p w14:paraId="2050E12F">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配套服务软件能力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8分</w:t>
            </w:r>
            <w:r>
              <w:rPr>
                <w:rFonts w:hint="eastAsia" w:ascii="宋体" w:hAnsi="宋体" w:eastAsia="宋体" w:cs="宋体"/>
                <w:color w:val="auto"/>
                <w:sz w:val="21"/>
                <w:szCs w:val="21"/>
                <w:highlight w:val="none"/>
                <w:lang w:eastAsia="zh-CN"/>
              </w:rPr>
              <w:t>）</w:t>
            </w:r>
          </w:p>
        </w:tc>
        <w:tc>
          <w:tcPr>
            <w:tcW w:w="7030" w:type="dxa"/>
            <w:vAlign w:val="center"/>
          </w:tcPr>
          <w:p w14:paraId="45A71C84">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根据供应商拟投入</w:t>
            </w:r>
            <w:r>
              <w:rPr>
                <w:rFonts w:hint="eastAsia" w:ascii="宋体" w:hAnsi="宋体" w:eastAsia="宋体" w:cs="宋体"/>
                <w:color w:val="auto"/>
                <w:sz w:val="21"/>
                <w:szCs w:val="21"/>
                <w:highlight w:val="none"/>
                <w:lang w:eastAsia="zh-CN"/>
              </w:rPr>
              <w:t>到</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中的</w:t>
            </w:r>
            <w:r>
              <w:rPr>
                <w:rFonts w:hint="eastAsia" w:ascii="宋体" w:hAnsi="宋体" w:eastAsia="宋体" w:cs="宋体"/>
                <w:color w:val="auto"/>
                <w:sz w:val="21"/>
                <w:szCs w:val="21"/>
                <w:highlight w:val="none"/>
              </w:rPr>
              <w:t>配套服务软件系统</w:t>
            </w:r>
            <w:r>
              <w:rPr>
                <w:rFonts w:hint="eastAsia" w:ascii="宋体" w:hAnsi="宋体" w:eastAsia="宋体" w:cs="宋体"/>
                <w:color w:val="auto"/>
                <w:sz w:val="21"/>
                <w:szCs w:val="21"/>
                <w:highlight w:val="none"/>
                <w:lang w:eastAsia="zh-CN"/>
              </w:rPr>
              <w:t>功能进行</w:t>
            </w:r>
            <w:r>
              <w:rPr>
                <w:rFonts w:hint="eastAsia" w:ascii="宋体" w:hAnsi="宋体" w:eastAsia="宋体" w:cs="宋体"/>
                <w:color w:val="auto"/>
                <w:sz w:val="21"/>
                <w:szCs w:val="21"/>
                <w:highlight w:val="none"/>
              </w:rPr>
              <w:t>评审：</w:t>
            </w:r>
          </w:p>
          <w:p w14:paraId="4A3E6DA9">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1、具有</w:t>
            </w:r>
            <w:r>
              <w:rPr>
                <w:rFonts w:hint="eastAsia" w:ascii="宋体" w:hAnsi="宋体" w:eastAsia="宋体" w:cs="宋体"/>
                <w:color w:val="auto"/>
                <w:sz w:val="21"/>
                <w:szCs w:val="21"/>
                <w:highlight w:val="none"/>
                <w:lang w:eastAsia="zh-CN"/>
              </w:rPr>
              <w:t>可查看</w:t>
            </w:r>
            <w:r>
              <w:rPr>
                <w:rFonts w:hint="eastAsia" w:ascii="宋体" w:hAnsi="宋体" w:eastAsia="宋体" w:cs="宋体"/>
                <w:color w:val="auto"/>
                <w:sz w:val="21"/>
                <w:szCs w:val="21"/>
                <w:highlight w:val="none"/>
              </w:rPr>
              <w:t>各种送达方式成功数分布情况</w:t>
            </w:r>
            <w:r>
              <w:rPr>
                <w:rFonts w:hint="eastAsia" w:ascii="宋体" w:hAnsi="宋体" w:eastAsia="宋体" w:cs="宋体"/>
                <w:color w:val="auto"/>
                <w:sz w:val="21"/>
                <w:szCs w:val="21"/>
                <w:highlight w:val="none"/>
                <w:lang w:eastAsia="zh-CN"/>
              </w:rPr>
              <w:t>的</w:t>
            </w:r>
          </w:p>
          <w:p w14:paraId="02433EE1">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电子送达和邮寄送达成功率</w:t>
            </w:r>
          </w:p>
          <w:p w14:paraId="22ADD8F2">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送达情况分布和送达趋势图</w:t>
            </w:r>
          </w:p>
          <w:p w14:paraId="30052486">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送达任务功能。</w:t>
            </w:r>
          </w:p>
          <w:p w14:paraId="133B2558">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eastAsia="zh-CN"/>
              </w:rPr>
              <w:t>项功能的，</w:t>
            </w:r>
            <w:r>
              <w:rPr>
                <w:rFonts w:hint="eastAsia" w:ascii="宋体" w:hAnsi="宋体" w:eastAsia="宋体" w:cs="宋体"/>
                <w:color w:val="auto"/>
                <w:sz w:val="21"/>
                <w:szCs w:val="21"/>
                <w:highlight w:val="none"/>
              </w:rPr>
              <w:t>得1分，</w:t>
            </w: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rPr>
              <w:t>未提供不得分。</w:t>
            </w:r>
          </w:p>
          <w:p w14:paraId="6D4AD201">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：提供相关功能截图作为证明材料，并加盖供应商公章。</w:t>
            </w:r>
          </w:p>
        </w:tc>
      </w:tr>
      <w:tr w14:paraId="6A33A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7" w:hRule="atLeast"/>
        </w:trPr>
        <w:tc>
          <w:tcPr>
            <w:tcW w:w="684" w:type="dxa"/>
            <w:vMerge w:val="continue"/>
          </w:tcPr>
          <w:p w14:paraId="30591F43">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color w:val="auto"/>
                <w:highlight w:val="none"/>
              </w:rPr>
            </w:pPr>
          </w:p>
        </w:tc>
        <w:tc>
          <w:tcPr>
            <w:tcW w:w="1580" w:type="dxa"/>
            <w:vMerge w:val="continue"/>
            <w:vAlign w:val="center"/>
          </w:tcPr>
          <w:p w14:paraId="3C0D7D61">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p>
        </w:tc>
        <w:tc>
          <w:tcPr>
            <w:tcW w:w="7030" w:type="dxa"/>
            <w:vAlign w:val="center"/>
          </w:tcPr>
          <w:p w14:paraId="5B28E2C9">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供应商提供的送达平台能须实现与法院审判系统、执行系统、电子卷宗系统的数据对接功能，能够提供送达过程材料电子一键回传电子卷宗（含录音、送达回证、寄件联、回执联等）， 提供以上系统平台截图得 4分，提供不全或未提供不得分。 </w:t>
            </w:r>
          </w:p>
          <w:p w14:paraId="742EAD87">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：提供以上内容相关</w:t>
            </w:r>
            <w:r>
              <w:rPr>
                <w:rFonts w:hint="eastAsia" w:ascii="宋体" w:hAnsi="宋体" w:eastAsia="宋体" w:cs="宋体"/>
                <w:color w:val="auto"/>
                <w:sz w:val="21"/>
                <w:szCs w:val="21"/>
                <w:highlight w:val="none"/>
                <w:lang w:eastAsia="zh-CN"/>
              </w:rPr>
              <w:t>截图</w:t>
            </w:r>
            <w:r>
              <w:rPr>
                <w:rFonts w:hint="eastAsia" w:ascii="宋体" w:hAnsi="宋体" w:eastAsia="宋体" w:cs="宋体"/>
                <w:color w:val="auto"/>
                <w:sz w:val="21"/>
                <w:szCs w:val="21"/>
                <w:highlight w:val="none"/>
              </w:rPr>
              <w:t>证明材料复印件并加盖供应商公章。</w:t>
            </w:r>
          </w:p>
        </w:tc>
      </w:tr>
      <w:tr w14:paraId="51A57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05009E2C">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Align w:val="center"/>
          </w:tcPr>
          <w:p w14:paraId="5CA90A32">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服务响应承诺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7030" w:type="dxa"/>
            <w:vAlign w:val="center"/>
          </w:tcPr>
          <w:p w14:paraId="4194FE16">
            <w:pPr>
              <w:pStyle w:val="62"/>
              <w:keepNext w:val="0"/>
              <w:keepLines w:val="0"/>
              <w:pageBreakBefore w:val="0"/>
              <w:kinsoku/>
              <w:wordWrap/>
              <w:overflowPunct/>
              <w:topLinePunct w:val="0"/>
              <w:autoSpaceDE/>
              <w:autoSpaceDN/>
              <w:bidi w:val="0"/>
              <w:adjustRightInd/>
              <w:snapToGrid/>
              <w:spacing w:line="360" w:lineRule="atLeas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根据供应商提供的服务响应时间的承诺进行评审：</w:t>
            </w:r>
          </w:p>
          <w:p w14:paraId="135425AE">
            <w:pPr>
              <w:pStyle w:val="62"/>
              <w:keepNext w:val="0"/>
              <w:keepLines w:val="0"/>
              <w:pageBreakBefore w:val="0"/>
              <w:kinsoku/>
              <w:wordWrap/>
              <w:overflowPunct/>
              <w:topLinePunct w:val="0"/>
              <w:autoSpaceDE/>
              <w:autoSpaceDN/>
              <w:bidi w:val="0"/>
              <w:adjustRightInd/>
              <w:snapToGrid/>
              <w:spacing w:line="360" w:lineRule="atLeas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承诺响应时间在</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分钟（含</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分钟）以内到达</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地点进行服务的，得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分； </w:t>
            </w:r>
          </w:p>
          <w:p w14:paraId="5813A0F0">
            <w:pPr>
              <w:pStyle w:val="62"/>
              <w:keepNext w:val="0"/>
              <w:keepLines w:val="0"/>
              <w:pageBreakBefore w:val="0"/>
              <w:numPr>
                <w:ilvl w:val="0"/>
                <w:numId w:val="0"/>
              </w:numPr>
              <w:kinsoku/>
              <w:wordWrap/>
              <w:overflowPunct/>
              <w:topLinePunct w:val="0"/>
              <w:autoSpaceDE/>
              <w:autoSpaceDN/>
              <w:bidi w:val="0"/>
              <w:adjustRightInd/>
              <w:snapToGrid/>
              <w:spacing w:line="360" w:lineRule="atLeast"/>
              <w:ind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承诺响应时间在</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分钟（含</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分钟）以内到达</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地点进行服务的，得</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1392079">
            <w:pPr>
              <w:pStyle w:val="62"/>
              <w:keepNext w:val="0"/>
              <w:keepLines w:val="0"/>
              <w:pageBreakBefore w:val="0"/>
              <w:numPr>
                <w:ilvl w:val="0"/>
                <w:numId w:val="0"/>
              </w:numPr>
              <w:kinsoku/>
              <w:wordWrap/>
              <w:overflowPunct/>
              <w:topLinePunct w:val="0"/>
              <w:autoSpaceDE/>
              <w:autoSpaceDN/>
              <w:bidi w:val="0"/>
              <w:adjustRightInd/>
              <w:snapToGrid/>
              <w:spacing w:line="360" w:lineRule="atLeast"/>
              <w:ind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承诺响应时间在</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分钟（含</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0分钟）以内到达</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地点进行服务的，得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分； </w:t>
            </w:r>
          </w:p>
          <w:p w14:paraId="16E83675">
            <w:pPr>
              <w:pStyle w:val="62"/>
              <w:keepNext w:val="0"/>
              <w:keepLines w:val="0"/>
              <w:pageBreakBefore w:val="0"/>
              <w:numPr>
                <w:ilvl w:val="0"/>
                <w:numId w:val="0"/>
              </w:numPr>
              <w:kinsoku/>
              <w:wordWrap/>
              <w:overflowPunct/>
              <w:topLinePunct w:val="0"/>
              <w:autoSpaceDE/>
              <w:autoSpaceDN/>
              <w:bidi w:val="0"/>
              <w:adjustRightInd/>
              <w:snapToGrid/>
              <w:spacing w:line="360" w:lineRule="atLeast"/>
              <w:ind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其他情况或不提供不得分。</w:t>
            </w:r>
          </w:p>
          <w:p w14:paraId="71514770">
            <w:pPr>
              <w:pStyle w:val="2"/>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注：须提供承诺函（格式自拟），并加盖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p>
        </w:tc>
      </w:tr>
      <w:tr w14:paraId="7593F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2BF29055">
            <w:pPr>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textAlignment w:val="auto"/>
              <w:rPr>
                <w:rFonts w:hint="default" w:ascii="Times New Roman" w:hAnsi="Times New Roman" w:cs="Times New Roman" w:eastAsiaTheme="minorEastAsia"/>
                <w:color w:val="auto"/>
                <w:sz w:val="21"/>
                <w:szCs w:val="21"/>
                <w:highlight w:val="none"/>
              </w:rPr>
            </w:pPr>
          </w:p>
        </w:tc>
        <w:tc>
          <w:tcPr>
            <w:tcW w:w="1580" w:type="dxa"/>
            <w:vAlign w:val="center"/>
          </w:tcPr>
          <w:p w14:paraId="7A26AF28">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类似业绩（</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lang w:eastAsia="zh-CN"/>
              </w:rPr>
              <w:t>）</w:t>
            </w:r>
          </w:p>
        </w:tc>
        <w:tc>
          <w:tcPr>
            <w:tcW w:w="7030" w:type="dxa"/>
            <w:vAlign w:val="center"/>
          </w:tcPr>
          <w:p w14:paraId="201809A7">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供应商自</w:t>
            </w:r>
            <w:r>
              <w:rPr>
                <w:rFonts w:hint="eastAsia" w:ascii="宋体" w:hAnsi="宋体" w:eastAsia="宋体" w:cs="宋体"/>
                <w:color w:val="auto"/>
                <w:sz w:val="21"/>
                <w:szCs w:val="21"/>
                <w:highlight w:val="none"/>
                <w:lang w:val="en-US" w:eastAsia="zh-CN"/>
              </w:rPr>
              <w:t>2021年1月1日至递交响应文件截止时间止，以供应商名义独立承接过</w:t>
            </w:r>
            <w:r>
              <w:rPr>
                <w:rFonts w:hint="eastAsia" w:ascii="宋体" w:hAnsi="宋体" w:eastAsia="宋体" w:cs="宋体"/>
                <w:color w:val="auto"/>
                <w:sz w:val="21"/>
                <w:szCs w:val="21"/>
                <w:highlight w:val="none"/>
              </w:rPr>
              <w:t>司法辅助或送达类似服务业绩</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个得1.5分，最高得6分。</w:t>
            </w:r>
          </w:p>
          <w:p w14:paraId="0288A7F9">
            <w:pPr>
              <w:keepNext w:val="0"/>
              <w:keepLines w:val="0"/>
              <w:pageBreakBefore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须提供以上相关业绩的合同复印件并加盖投标人公章；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同一业绩涉及多个服务内容，按一个业绩计算。</w:t>
            </w:r>
          </w:p>
        </w:tc>
      </w:tr>
      <w:tr w14:paraId="30F83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17E24CB7">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投标报价</w:t>
            </w:r>
          </w:p>
        </w:tc>
        <w:tc>
          <w:tcPr>
            <w:tcW w:w="1580" w:type="dxa"/>
            <w:vAlign w:val="center"/>
          </w:tcPr>
          <w:p w14:paraId="4130DB54">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投标报价得分</w:t>
            </w:r>
          </w:p>
          <w:p w14:paraId="46DCF79F">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(10.0分)</w:t>
            </w:r>
          </w:p>
        </w:tc>
        <w:tc>
          <w:tcPr>
            <w:tcW w:w="7030" w:type="dxa"/>
          </w:tcPr>
          <w:p w14:paraId="6FC7F0AF">
            <w:pPr>
              <w:pStyle w:val="21"/>
              <w:keepNext w:val="0"/>
              <w:keepLines w:val="0"/>
              <w:pageBreakBefore w:val="0"/>
              <w:kinsoku/>
              <w:wordWrap/>
              <w:overflowPunct/>
              <w:topLinePunct w:val="0"/>
              <w:autoSpaceDE/>
              <w:autoSpaceDN/>
              <w:bidi w:val="0"/>
              <w:adjustRightInd/>
              <w:snapToGrid/>
              <w:spacing w:beforeAutospacing="0" w:afterAutospacing="0" w:line="360" w:lineRule="atLeast"/>
              <w:ind w:left="0" w:leftChars="0" w:right="0" w:right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7E6CE479">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6.汇总、排序</w:t>
      </w:r>
    </w:p>
    <w:p w14:paraId="418219B0">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14:paraId="045C701F">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7.其他无效响应的情形：</w:t>
      </w:r>
    </w:p>
    <w:p w14:paraId="2A9E1B91">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（1）评审期间，供应商没有按磋商小组的要求提交法定代表人或其委托代理人签字的澄清、说明、补正或改变了响应文件的实质性内容的。</w:t>
      </w:r>
    </w:p>
    <w:p w14:paraId="1566F688">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（2）响应文件提供虚假材料的。</w:t>
      </w:r>
    </w:p>
    <w:p w14:paraId="0008599B">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（3）供应商以他人名义响应、串通响应、以行贿手段谋取成交或者以其他弄虚作假方式响应的。</w:t>
      </w:r>
    </w:p>
    <w:p w14:paraId="7F599806">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（4）供应商对采购人、采购代理机构、磋商小组及其工作人员施加影响，有碍招标公平、公正的。</w:t>
      </w:r>
    </w:p>
    <w:p w14:paraId="3FE9211A">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（5）响应文件含有采购人不能接受的附加条件的。</w:t>
      </w:r>
    </w:p>
    <w:p w14:paraId="2E9D1D35">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（6）法律、法规和磋商文件规定的其他无效情形。</w:t>
      </w:r>
    </w:p>
    <w:p w14:paraId="63BD3367">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br w:type="page"/>
      </w:r>
    </w:p>
    <w:p w14:paraId="79D8FD47">
      <w:pPr>
        <w:pStyle w:val="21"/>
        <w:keepLines w:val="0"/>
        <w:numPr>
          <w:ilvl w:val="0"/>
          <w:numId w:val="0"/>
        </w:numPr>
        <w:kinsoku/>
        <w:wordWrap/>
        <w:overflowPunct/>
        <w:topLinePunct w:val="0"/>
        <w:bidi w:val="0"/>
        <w:spacing w:beforeAutospacing="0" w:afterAutospacing="0" w:line="440" w:lineRule="atLeast"/>
        <w:ind w:left="0" w:leftChars="0" w:right="0" w:rightChars="0"/>
        <w:jc w:val="center"/>
        <w:outlineLvl w:val="0"/>
        <w:rPr>
          <w:rFonts w:hint="default" w:ascii="Times New Roman" w:hAnsi="Times New Roman" w:cs="Times New Roman" w:eastAsiaTheme="minorEastAsia"/>
          <w:b/>
          <w:color w:val="auto"/>
          <w:sz w:val="36"/>
          <w:highlight w:val="none"/>
        </w:rPr>
      </w:pPr>
      <w:bookmarkStart w:id="29" w:name="_Toc7743"/>
      <w:r>
        <w:rPr>
          <w:rFonts w:hint="default" w:ascii="Times New Roman" w:hAnsi="Times New Roman" w:cs="Times New Roman" w:eastAsiaTheme="minorEastAsia"/>
          <w:b/>
          <w:color w:val="auto"/>
          <w:sz w:val="36"/>
          <w:szCs w:val="36"/>
          <w:highlight w:val="none"/>
          <w:lang w:val="en-US" w:eastAsia="zh-Hans"/>
        </w:rPr>
        <w:t>第五部分</w:t>
      </w:r>
      <w:r>
        <w:rPr>
          <w:rFonts w:hint="default" w:ascii="Times New Roman" w:hAnsi="Times New Roman" w:cs="Times New Roman" w:eastAsiaTheme="minorEastAsia"/>
          <w:b/>
          <w:color w:val="auto"/>
          <w:sz w:val="36"/>
          <w:szCs w:val="36"/>
          <w:highlight w:val="none"/>
          <w:lang w:val="en-US" w:eastAsia="zh-CN"/>
        </w:rPr>
        <w:t xml:space="preserve"> </w:t>
      </w:r>
      <w:r>
        <w:rPr>
          <w:rFonts w:hint="default" w:ascii="Times New Roman" w:hAnsi="Times New Roman" w:cs="Times New Roman" w:eastAsiaTheme="minorEastAsia"/>
          <w:b/>
          <w:color w:val="auto"/>
          <w:sz w:val="36"/>
          <w:szCs w:val="36"/>
          <w:highlight w:val="none"/>
        </w:rPr>
        <w:t>合同文本</w:t>
      </w:r>
      <w:bookmarkEnd w:id="29"/>
    </w:p>
    <w:p w14:paraId="1024A9F1">
      <w:pPr>
        <w:pStyle w:val="21"/>
        <w:keepLines w:val="0"/>
        <w:numPr>
          <w:ilvl w:val="0"/>
          <w:numId w:val="0"/>
        </w:numPr>
        <w:kinsoku/>
        <w:wordWrap/>
        <w:overflowPunct/>
        <w:topLinePunct w:val="0"/>
        <w:bidi w:val="0"/>
        <w:spacing w:beforeAutospacing="0" w:afterAutospacing="0" w:line="440" w:lineRule="atLeast"/>
        <w:ind w:left="0" w:leftChars="0" w:right="0" w:rightChars="0"/>
        <w:jc w:val="center"/>
        <w:outlineLvl w:val="0"/>
        <w:rPr>
          <w:rFonts w:hint="default" w:ascii="Times New Roman" w:hAnsi="Times New Roman" w:cs="Times New Roman" w:eastAsiaTheme="minorEastAsia"/>
          <w:b/>
          <w:color w:val="auto"/>
          <w:sz w:val="36"/>
          <w:highlight w:val="none"/>
        </w:rPr>
      </w:pPr>
    </w:p>
    <w:p w14:paraId="4CC25DC2">
      <w:pPr>
        <w:pStyle w:val="24"/>
        <w:keepLines w:val="0"/>
        <w:tabs>
          <w:tab w:val="left" w:pos="1440"/>
        </w:tabs>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color w:val="auto"/>
          <w:sz w:val="68"/>
          <w:highlight w:val="none"/>
        </w:rPr>
      </w:pPr>
      <w:bookmarkStart w:id="30" w:name="_Toc32329"/>
      <w:bookmarkStart w:id="31" w:name="_Toc15629"/>
      <w:r>
        <w:rPr>
          <w:rFonts w:hint="default" w:ascii="Times New Roman" w:hAnsi="Times New Roman" w:cs="Times New Roman" w:eastAsiaTheme="minorEastAsia"/>
          <w:color w:val="auto"/>
          <w:sz w:val="68"/>
          <w:highlight w:val="none"/>
        </w:rPr>
        <w:t>采购项目</w:t>
      </w:r>
      <w:bookmarkEnd w:id="30"/>
      <w:bookmarkEnd w:id="31"/>
    </w:p>
    <w:p w14:paraId="16516CBE">
      <w:pPr>
        <w:pStyle w:val="24"/>
        <w:keepLines w:val="0"/>
        <w:tabs>
          <w:tab w:val="left" w:pos="1440"/>
          <w:tab w:val="center" w:pos="4592"/>
          <w:tab w:val="left" w:pos="6748"/>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sz w:val="68"/>
          <w:highlight w:val="none"/>
        </w:rPr>
      </w:pPr>
    </w:p>
    <w:p w14:paraId="78AEA8C9">
      <w:pPr>
        <w:pStyle w:val="24"/>
        <w:keepLines w:val="0"/>
        <w:tabs>
          <w:tab w:val="left" w:pos="1440"/>
          <w:tab w:val="center" w:pos="4592"/>
          <w:tab w:val="left" w:pos="6748"/>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sz w:val="68"/>
          <w:highlight w:val="none"/>
        </w:rPr>
      </w:pPr>
      <w:r>
        <w:rPr>
          <w:rFonts w:hint="default" w:ascii="Times New Roman" w:hAnsi="Times New Roman" w:cs="Times New Roman" w:eastAsiaTheme="minorEastAsia"/>
          <w:color w:val="auto"/>
          <w:sz w:val="68"/>
          <w:highlight w:val="none"/>
        </w:rPr>
        <w:t>合 同 书</w:t>
      </w:r>
    </w:p>
    <w:p w14:paraId="30BD7B18">
      <w:pPr>
        <w:pStyle w:val="2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p>
    <w:p w14:paraId="5559BA9B">
      <w:pPr>
        <w:pStyle w:val="2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lang w:eastAsia="zh-CN"/>
        </w:rPr>
      </w:pPr>
    </w:p>
    <w:p w14:paraId="0B4A46AD">
      <w:pPr>
        <w:pStyle w:val="2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p>
    <w:p w14:paraId="35148387">
      <w:pPr>
        <w:pStyle w:val="2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p>
    <w:p w14:paraId="13F8B578">
      <w:pPr>
        <w:pStyle w:val="2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p w14:paraId="27002137">
      <w:pPr>
        <w:pStyle w:val="2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p w14:paraId="39F72615">
      <w:pPr>
        <w:pStyle w:val="2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bl>
      <w:tblPr>
        <w:tblStyle w:val="18"/>
        <w:tblW w:w="5888" w:type="dxa"/>
        <w:jc w:val="center"/>
        <w:tblLayout w:type="fixed"/>
        <w:tblCellMar>
          <w:top w:w="0" w:type="dxa"/>
          <w:left w:w="108" w:type="dxa"/>
          <w:bottom w:w="0" w:type="dxa"/>
          <w:right w:w="108" w:type="dxa"/>
        </w:tblCellMar>
      </w:tblPr>
      <w:tblGrid>
        <w:gridCol w:w="1619"/>
        <w:gridCol w:w="4269"/>
      </w:tblGrid>
      <w:tr w14:paraId="64A64CDE">
        <w:tblPrEx>
          <w:tblCellMar>
            <w:top w:w="0" w:type="dxa"/>
            <w:left w:w="108" w:type="dxa"/>
            <w:bottom w:w="0" w:type="dxa"/>
            <w:right w:w="108" w:type="dxa"/>
          </w:tblCellMar>
        </w:tblPrEx>
        <w:trPr>
          <w:trHeight w:val="593" w:hRule="atLeast"/>
          <w:jc w:val="center"/>
        </w:trPr>
        <w:tc>
          <w:tcPr>
            <w:tcW w:w="1619" w:type="dxa"/>
            <w:vAlign w:val="center"/>
          </w:tcPr>
          <w:p w14:paraId="13D54370">
            <w:pPr>
              <w:pStyle w:val="2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甲    方：</w:t>
            </w:r>
          </w:p>
        </w:tc>
        <w:tc>
          <w:tcPr>
            <w:tcW w:w="4269" w:type="dxa"/>
            <w:vAlign w:val="center"/>
          </w:tcPr>
          <w:p w14:paraId="35D2C32D">
            <w:pPr>
              <w:pStyle w:val="24"/>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sz w:val="28"/>
                <w:szCs w:val="28"/>
                <w:highlight w:val="none"/>
                <w:u w:val="single"/>
              </w:rPr>
            </w:pPr>
            <w:bookmarkStart w:id="32" w:name="EBab8624952e174488a7c0cf9d68a9a018"/>
            <w:bookmarkEnd w:id="32"/>
            <w:r>
              <w:rPr>
                <w:rFonts w:hint="eastAsia" w:ascii="Times New Roman" w:hAnsi="Times New Roman" w:cs="Times New Roman" w:eastAsiaTheme="minorEastAsia"/>
                <w:color w:val="auto"/>
                <w:sz w:val="28"/>
                <w:szCs w:val="28"/>
                <w:highlight w:val="none"/>
                <w:u w:val="single"/>
                <w:lang w:eastAsia="zh-CN"/>
              </w:rPr>
              <w:t>佛山市高明区人民法院</w:t>
            </w:r>
            <w:r>
              <w:rPr>
                <w:rFonts w:hint="default" w:ascii="Times New Roman" w:hAnsi="Times New Roman" w:cs="Times New Roman" w:eastAsiaTheme="minorEastAsia"/>
                <w:color w:val="auto"/>
                <w:sz w:val="28"/>
                <w:szCs w:val="28"/>
                <w:highlight w:val="none"/>
                <w:u w:val="single"/>
              </w:rPr>
              <w:t xml:space="preserve">          </w:t>
            </w:r>
          </w:p>
        </w:tc>
      </w:tr>
      <w:tr w14:paraId="24E2FB40">
        <w:tblPrEx>
          <w:tblCellMar>
            <w:top w:w="0" w:type="dxa"/>
            <w:left w:w="108" w:type="dxa"/>
            <w:bottom w:w="0" w:type="dxa"/>
            <w:right w:w="108" w:type="dxa"/>
          </w:tblCellMar>
        </w:tblPrEx>
        <w:trPr>
          <w:trHeight w:val="593" w:hRule="atLeast"/>
          <w:jc w:val="center"/>
        </w:trPr>
        <w:tc>
          <w:tcPr>
            <w:tcW w:w="1619" w:type="dxa"/>
            <w:vAlign w:val="center"/>
          </w:tcPr>
          <w:p w14:paraId="4B359A50">
            <w:pPr>
              <w:pStyle w:val="2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乙    方：</w:t>
            </w:r>
          </w:p>
        </w:tc>
        <w:tc>
          <w:tcPr>
            <w:tcW w:w="4269" w:type="dxa"/>
            <w:vAlign w:val="center"/>
          </w:tcPr>
          <w:p w14:paraId="67B2FD61">
            <w:pPr>
              <w:pStyle w:val="24"/>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sz w:val="28"/>
                <w:szCs w:val="28"/>
                <w:highlight w:val="none"/>
                <w:u w:val="single"/>
              </w:rPr>
            </w:pPr>
            <w:r>
              <w:rPr>
                <w:rFonts w:hint="default" w:ascii="Times New Roman" w:hAnsi="Times New Roman" w:cs="Times New Roman" w:eastAsiaTheme="minorEastAsia"/>
                <w:color w:val="auto"/>
                <w:sz w:val="28"/>
                <w:szCs w:val="28"/>
                <w:highlight w:val="none"/>
                <w:u w:val="single"/>
              </w:rPr>
              <w:t xml:space="preserve">  （成交供应商名称）      </w:t>
            </w:r>
          </w:p>
        </w:tc>
      </w:tr>
      <w:tr w14:paraId="7691D56A">
        <w:tblPrEx>
          <w:tblCellMar>
            <w:top w:w="0" w:type="dxa"/>
            <w:left w:w="108" w:type="dxa"/>
            <w:bottom w:w="0" w:type="dxa"/>
            <w:right w:w="108" w:type="dxa"/>
          </w:tblCellMar>
        </w:tblPrEx>
        <w:trPr>
          <w:trHeight w:val="593" w:hRule="atLeast"/>
          <w:jc w:val="center"/>
        </w:trPr>
        <w:tc>
          <w:tcPr>
            <w:tcW w:w="1619" w:type="dxa"/>
            <w:vAlign w:val="center"/>
          </w:tcPr>
          <w:p w14:paraId="05003D53">
            <w:pPr>
              <w:pStyle w:val="2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签订日期：</w:t>
            </w:r>
          </w:p>
        </w:tc>
        <w:tc>
          <w:tcPr>
            <w:tcW w:w="4269" w:type="dxa"/>
            <w:vAlign w:val="center"/>
          </w:tcPr>
          <w:p w14:paraId="683BCE87">
            <w:pPr>
              <w:pStyle w:val="24"/>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sz w:val="28"/>
                <w:szCs w:val="28"/>
                <w:highlight w:val="none"/>
                <w:u w:val="single"/>
              </w:rPr>
            </w:pPr>
            <w:r>
              <w:rPr>
                <w:rFonts w:hint="default" w:ascii="Times New Roman" w:hAnsi="Times New Roman" w:cs="Times New Roman" w:eastAsiaTheme="minorEastAsia"/>
                <w:bCs/>
                <w:color w:val="auto"/>
                <w:highlight w:val="none"/>
              </w:rPr>
              <w:t>________</w:t>
            </w:r>
            <w:r>
              <w:rPr>
                <w:rFonts w:hint="default" w:ascii="Times New Roman" w:hAnsi="Times New Roman" w:cs="Times New Roman" w:eastAsiaTheme="minorEastAsia"/>
                <w:color w:val="auto"/>
                <w:sz w:val="28"/>
                <w:szCs w:val="28"/>
                <w:highlight w:val="none"/>
                <w:u w:val="single"/>
              </w:rPr>
              <w:t xml:space="preserve">年     月     日          </w:t>
            </w:r>
          </w:p>
        </w:tc>
      </w:tr>
    </w:tbl>
    <w:p w14:paraId="3056BDE9">
      <w:pPr>
        <w:pStyle w:val="2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p w14:paraId="4CD9B40A">
      <w:pPr>
        <w:pStyle w:val="25"/>
        <w:keepLines w:val="0"/>
        <w:pageBreakBefore/>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kern w:val="0"/>
          <w:sz w:val="32"/>
          <w:szCs w:val="32"/>
          <w:highlight w:val="none"/>
        </w:rPr>
      </w:pPr>
      <w:r>
        <w:rPr>
          <w:rFonts w:hint="default" w:ascii="Times New Roman" w:hAnsi="Times New Roman" w:cs="Times New Roman" w:eastAsiaTheme="minorEastAsia"/>
          <w:b/>
          <w:color w:val="auto"/>
          <w:kern w:val="0"/>
          <w:sz w:val="32"/>
          <w:szCs w:val="32"/>
          <w:highlight w:val="none"/>
        </w:rPr>
        <w:t>采购项目合同书</w:t>
      </w:r>
    </w:p>
    <w:p w14:paraId="47004BD4">
      <w:pPr>
        <w:pStyle w:val="25"/>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p>
    <w:tbl>
      <w:tblPr>
        <w:tblStyle w:val="18"/>
        <w:tblW w:w="8472" w:type="dxa"/>
        <w:jc w:val="center"/>
        <w:tblLayout w:type="fixed"/>
        <w:tblCellMar>
          <w:top w:w="0" w:type="dxa"/>
          <w:left w:w="108" w:type="dxa"/>
          <w:bottom w:w="0" w:type="dxa"/>
          <w:right w:w="108" w:type="dxa"/>
        </w:tblCellMar>
      </w:tblPr>
      <w:tblGrid>
        <w:gridCol w:w="1668"/>
        <w:gridCol w:w="6804"/>
      </w:tblGrid>
      <w:tr w14:paraId="6F5D63E3">
        <w:tblPrEx>
          <w:tblCellMar>
            <w:top w:w="0" w:type="dxa"/>
            <w:left w:w="108" w:type="dxa"/>
            <w:bottom w:w="0" w:type="dxa"/>
            <w:right w:w="108" w:type="dxa"/>
          </w:tblCellMar>
        </w:tblPrEx>
        <w:trPr>
          <w:trHeight w:val="567" w:hRule="atLeast"/>
          <w:jc w:val="center"/>
        </w:trPr>
        <w:tc>
          <w:tcPr>
            <w:tcW w:w="1668" w:type="dxa"/>
            <w:vAlign w:val="center"/>
          </w:tcPr>
          <w:p w14:paraId="18279F98">
            <w:pPr>
              <w:pStyle w:val="24"/>
              <w:keepLines w:val="0"/>
              <w:kinsoku/>
              <w:wordWrap/>
              <w:overflowPunct/>
              <w:topLinePunct w:val="0"/>
              <w:bidi w:val="0"/>
              <w:spacing w:beforeAutospacing="0" w:afterAutospacing="0" w:line="440" w:lineRule="atLeast"/>
              <w:ind w:left="0" w:leftChars="0"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6804" w:type="dxa"/>
            <w:vAlign w:val="center"/>
          </w:tcPr>
          <w:p w14:paraId="1B411727">
            <w:pPr>
              <w:pStyle w:val="24"/>
              <w:keepLines w:val="0"/>
              <w:kinsoku/>
              <w:wordWrap/>
              <w:overflowPunct/>
              <w:topLinePunct w:val="0"/>
              <w:bidi w:val="0"/>
              <w:spacing w:beforeAutospacing="0" w:afterAutospacing="0" w:line="440" w:lineRule="atLeast"/>
              <w:ind w:left="0" w:leftChars="0" w:right="0" w:rightChars="0"/>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佛山市高明区人民法院执行案件集约化送达服务项目</w:t>
            </w:r>
          </w:p>
        </w:tc>
      </w:tr>
      <w:tr w14:paraId="3BF1E8F3">
        <w:tblPrEx>
          <w:tblCellMar>
            <w:top w:w="0" w:type="dxa"/>
            <w:left w:w="108" w:type="dxa"/>
            <w:bottom w:w="0" w:type="dxa"/>
            <w:right w:w="108" w:type="dxa"/>
          </w:tblCellMar>
        </w:tblPrEx>
        <w:trPr>
          <w:trHeight w:val="413" w:hRule="atLeast"/>
          <w:jc w:val="center"/>
        </w:trPr>
        <w:tc>
          <w:tcPr>
            <w:tcW w:w="1668" w:type="dxa"/>
            <w:vAlign w:val="center"/>
          </w:tcPr>
          <w:p w14:paraId="506A72BD">
            <w:pPr>
              <w:pStyle w:val="24"/>
              <w:keepLines w:val="0"/>
              <w:kinsoku/>
              <w:wordWrap/>
              <w:overflowPunct/>
              <w:topLinePunct w:val="0"/>
              <w:bidi w:val="0"/>
              <w:spacing w:beforeAutospacing="0" w:afterAutospacing="0" w:line="440" w:lineRule="atLeast"/>
              <w:ind w:left="0" w:leftChars="0"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项目编号：</w:t>
            </w:r>
          </w:p>
        </w:tc>
        <w:tc>
          <w:tcPr>
            <w:tcW w:w="6804" w:type="dxa"/>
            <w:vAlign w:val="center"/>
          </w:tcPr>
          <w:p w14:paraId="2D44C057">
            <w:pPr>
              <w:pStyle w:val="24"/>
              <w:keepLines w:val="0"/>
              <w:kinsoku/>
              <w:wordWrap/>
              <w:overflowPunct/>
              <w:topLinePunct w:val="0"/>
              <w:bidi w:val="0"/>
              <w:spacing w:beforeAutospacing="0" w:afterAutospacing="0" w:line="440" w:lineRule="atLeas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GDYD240563</w:t>
            </w:r>
          </w:p>
        </w:tc>
      </w:tr>
      <w:tr w14:paraId="7116D123">
        <w:tblPrEx>
          <w:tblCellMar>
            <w:top w:w="0" w:type="dxa"/>
            <w:left w:w="108" w:type="dxa"/>
            <w:bottom w:w="0" w:type="dxa"/>
            <w:right w:w="108" w:type="dxa"/>
          </w:tblCellMar>
        </w:tblPrEx>
        <w:trPr>
          <w:trHeight w:val="413" w:hRule="atLeast"/>
          <w:jc w:val="center"/>
        </w:trPr>
        <w:tc>
          <w:tcPr>
            <w:tcW w:w="1668" w:type="dxa"/>
            <w:vAlign w:val="center"/>
          </w:tcPr>
          <w:p w14:paraId="38DD4E5D">
            <w:pPr>
              <w:pStyle w:val="24"/>
              <w:keepLines w:val="0"/>
              <w:kinsoku/>
              <w:wordWrap/>
              <w:overflowPunct/>
              <w:topLinePunct w:val="0"/>
              <w:bidi w:val="0"/>
              <w:spacing w:beforeAutospacing="0" w:afterAutospacing="0" w:line="440" w:lineRule="atLeast"/>
              <w:ind w:left="0" w:leftChars="0"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    方：</w:t>
            </w:r>
          </w:p>
        </w:tc>
        <w:tc>
          <w:tcPr>
            <w:tcW w:w="6804" w:type="dxa"/>
            <w:vAlign w:val="center"/>
          </w:tcPr>
          <w:p w14:paraId="51A46C0D">
            <w:pPr>
              <w:pStyle w:val="24"/>
              <w:keepLines w:val="0"/>
              <w:kinsoku/>
              <w:wordWrap/>
              <w:overflowPunct/>
              <w:topLinePunct w:val="0"/>
              <w:bidi w:val="0"/>
              <w:spacing w:beforeAutospacing="0" w:afterAutospacing="0" w:line="440" w:lineRule="atLeast"/>
              <w:ind w:left="0" w:leftChars="0" w:right="0" w:rightChars="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佛山市高明区人民法院</w:t>
            </w:r>
          </w:p>
        </w:tc>
      </w:tr>
      <w:tr w14:paraId="407651DF">
        <w:tblPrEx>
          <w:tblCellMar>
            <w:top w:w="0" w:type="dxa"/>
            <w:left w:w="108" w:type="dxa"/>
            <w:bottom w:w="0" w:type="dxa"/>
            <w:right w:w="108" w:type="dxa"/>
          </w:tblCellMar>
        </w:tblPrEx>
        <w:trPr>
          <w:trHeight w:val="413" w:hRule="atLeast"/>
          <w:jc w:val="center"/>
        </w:trPr>
        <w:tc>
          <w:tcPr>
            <w:tcW w:w="1668" w:type="dxa"/>
            <w:vAlign w:val="center"/>
          </w:tcPr>
          <w:p w14:paraId="23870596">
            <w:pPr>
              <w:pStyle w:val="24"/>
              <w:keepLines w:val="0"/>
              <w:kinsoku/>
              <w:wordWrap/>
              <w:overflowPunct/>
              <w:topLinePunct w:val="0"/>
              <w:bidi w:val="0"/>
              <w:spacing w:beforeAutospacing="0" w:afterAutospacing="0" w:line="440" w:lineRule="atLeast"/>
              <w:ind w:left="0" w:leftChars="0"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    方：</w:t>
            </w:r>
          </w:p>
        </w:tc>
        <w:tc>
          <w:tcPr>
            <w:tcW w:w="6804" w:type="dxa"/>
            <w:vAlign w:val="center"/>
          </w:tcPr>
          <w:p w14:paraId="701F6998">
            <w:pPr>
              <w:pStyle w:val="24"/>
              <w:keepLines w:val="0"/>
              <w:kinsoku/>
              <w:wordWrap/>
              <w:overflowPunct/>
              <w:topLinePunct w:val="0"/>
              <w:bidi w:val="0"/>
              <w:spacing w:beforeAutospacing="0" w:afterAutospacing="0" w:line="440" w:lineRule="atLeas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成交供应商                                 </w:t>
            </w:r>
          </w:p>
        </w:tc>
      </w:tr>
      <w:tr w14:paraId="260AE009">
        <w:tblPrEx>
          <w:tblCellMar>
            <w:top w:w="0" w:type="dxa"/>
            <w:left w:w="108" w:type="dxa"/>
            <w:bottom w:w="0" w:type="dxa"/>
            <w:right w:w="108" w:type="dxa"/>
          </w:tblCellMar>
        </w:tblPrEx>
        <w:trPr>
          <w:trHeight w:val="413" w:hRule="atLeast"/>
          <w:jc w:val="center"/>
        </w:trPr>
        <w:tc>
          <w:tcPr>
            <w:tcW w:w="1668" w:type="dxa"/>
            <w:vAlign w:val="center"/>
          </w:tcPr>
          <w:p w14:paraId="11FEDC1C">
            <w:pPr>
              <w:pStyle w:val="24"/>
              <w:keepLines w:val="0"/>
              <w:kinsoku/>
              <w:wordWrap/>
              <w:overflowPunct/>
              <w:topLinePunct w:val="0"/>
              <w:bidi w:val="0"/>
              <w:spacing w:beforeAutospacing="0" w:afterAutospacing="0" w:line="440" w:lineRule="atLeast"/>
              <w:ind w:left="0" w:leftChars="0"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合同性质：</w:t>
            </w:r>
          </w:p>
        </w:tc>
        <w:tc>
          <w:tcPr>
            <w:tcW w:w="6804" w:type="dxa"/>
            <w:vAlign w:val="center"/>
          </w:tcPr>
          <w:p w14:paraId="477E3552">
            <w:pPr>
              <w:pStyle w:val="24"/>
              <w:keepLines w:val="0"/>
              <w:kinsoku/>
              <w:wordWrap/>
              <w:overflowPunct/>
              <w:topLinePunct w:val="0"/>
              <w:bidi w:val="0"/>
              <w:spacing w:beforeAutospacing="0" w:afterAutospacing="0" w:line="440" w:lineRule="atLeas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本合同为中小企业预留合同</w:t>
            </w:r>
          </w:p>
        </w:tc>
      </w:tr>
    </w:tbl>
    <w:p w14:paraId="3D3F7442">
      <w:pPr>
        <w:pStyle w:val="25"/>
        <w:keepLines w:val="0"/>
        <w:kinsoku/>
        <w:wordWrap/>
        <w:overflowPunct/>
        <w:topLinePunct w:val="0"/>
        <w:bidi w:val="0"/>
        <w:spacing w:beforeAutospacing="0" w:afterAutospacing="0" w:line="440" w:lineRule="atLeast"/>
        <w:ind w:left="0" w:leftChars="0" w:right="0" w:rightChars="0"/>
        <w:rPr>
          <w:rFonts w:hint="eastAsia" w:ascii="宋体" w:hAnsi="宋体" w:eastAsia="宋体" w:cs="宋体"/>
          <w:color w:val="auto"/>
          <w:sz w:val="21"/>
          <w:szCs w:val="21"/>
          <w:highlight w:val="none"/>
        </w:rPr>
      </w:pPr>
    </w:p>
    <w:p w14:paraId="439DE87E">
      <w:pPr>
        <w:pStyle w:val="26"/>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根据《中华人民共和国政府采购法》《中华人民共和国民法典》和本项目采购文件的要求，</w:t>
      </w:r>
      <w:r>
        <w:rPr>
          <w:rFonts w:hint="eastAsia" w:ascii="宋体" w:hAnsi="宋体" w:eastAsia="宋体" w:cs="宋体"/>
          <w:color w:val="auto"/>
          <w:kern w:val="28"/>
          <w:sz w:val="21"/>
          <w:szCs w:val="21"/>
          <w:highlight w:val="none"/>
        </w:rPr>
        <w:t>经双方协商，</w:t>
      </w:r>
      <w:r>
        <w:rPr>
          <w:rFonts w:hint="eastAsia" w:ascii="宋体" w:hAnsi="宋体" w:eastAsia="宋体" w:cs="宋体"/>
          <w:color w:val="auto"/>
          <w:sz w:val="21"/>
          <w:szCs w:val="21"/>
          <w:highlight w:val="none"/>
        </w:rPr>
        <w:t>本着平等互利和诚实信用的原则，</w:t>
      </w:r>
      <w:r>
        <w:rPr>
          <w:rFonts w:hint="eastAsia" w:ascii="宋体" w:hAnsi="宋体" w:eastAsia="宋体" w:cs="宋体"/>
          <w:color w:val="auto"/>
          <w:kern w:val="28"/>
          <w:sz w:val="21"/>
          <w:szCs w:val="21"/>
          <w:highlight w:val="none"/>
        </w:rPr>
        <w:t>一致同意签订本合同如下</w:t>
      </w:r>
      <w:r>
        <w:rPr>
          <w:rFonts w:hint="eastAsia" w:ascii="宋体" w:hAnsi="宋体" w:eastAsia="宋体" w:cs="宋体"/>
          <w:color w:val="auto"/>
          <w:kern w:val="28"/>
          <w:sz w:val="21"/>
          <w:szCs w:val="21"/>
          <w:highlight w:val="none"/>
          <w:lang w:eastAsia="zh-CN"/>
        </w:rPr>
        <w:t>：</w:t>
      </w:r>
    </w:p>
    <w:p w14:paraId="7AFACC85">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w:t>
      </w:r>
      <w:r>
        <w:rPr>
          <w:rFonts w:hint="eastAsia" w:ascii="宋体" w:hAnsi="宋体" w:eastAsia="宋体" w:cs="宋体"/>
          <w:b/>
          <w:color w:val="auto"/>
          <w:sz w:val="21"/>
          <w:szCs w:val="21"/>
          <w:highlight w:val="none"/>
          <w:lang w:val="en-US" w:eastAsia="zh-CN"/>
        </w:rPr>
        <w:t>金额</w:t>
      </w:r>
    </w:p>
    <w:p w14:paraId="3441E2D9">
      <w:pPr>
        <w:pStyle w:val="27"/>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1、合同价：</w:t>
      </w: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元；大写：人民币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元。</w:t>
      </w:r>
    </w:p>
    <w:p w14:paraId="23379440">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2、合同单价：¥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元/件。</w:t>
      </w:r>
    </w:p>
    <w:p w14:paraId="60D7D7F4">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3、本合同约定的价格为含税价格，在合同履行期间，不因国家税率的调整而调整。</w:t>
      </w:r>
    </w:p>
    <w:p w14:paraId="43522F6B">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4、本项目合同价为广东省佛山市目的地交付价。 </w:t>
      </w:r>
    </w:p>
    <w:p w14:paraId="594A6C1E">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合同价指乙方为完成本项目所收取的全部费用，包含但不限于以下费用：成本费、劳务费、设备费、系统及软件费、接口费、交通费、税金（全额含税发票）、雇员费用、采购代理服务费、疫情防控费用以及项目实施过程中其他应预见和不可预见费用等完成本采购项目、达到甲方目的的一切费用及企业利润。</w:t>
      </w:r>
    </w:p>
    <w:p w14:paraId="518C2D44">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项目服务地点</w:t>
      </w:r>
    </w:p>
    <w:p w14:paraId="0FBABE7C">
      <w:pPr>
        <w:pStyle w:val="27"/>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佛山市高明区人民法院</w:t>
      </w:r>
    </w:p>
    <w:p w14:paraId="5E1A5C51">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服务期</w:t>
      </w:r>
      <w:r>
        <w:rPr>
          <w:rFonts w:hint="eastAsia" w:ascii="宋体" w:hAnsi="宋体" w:eastAsia="宋体" w:cs="宋体"/>
          <w:b/>
          <w:color w:val="auto"/>
          <w:sz w:val="21"/>
          <w:szCs w:val="21"/>
          <w:highlight w:val="none"/>
          <w:lang w:val="en-US" w:eastAsia="zh-CN"/>
        </w:rPr>
        <w:t>限</w:t>
      </w:r>
    </w:p>
    <w:p w14:paraId="2FF4A684">
      <w:pPr>
        <w:pStyle w:val="27"/>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1、工作量达到合同总金额时，合同自动终止；未达到合同总金额，但达到合同履行服务期（24个月），经双方友好协商可适当延长合同期限。</w:t>
      </w:r>
    </w:p>
    <w:p w14:paraId="351FE33E">
      <w:pPr>
        <w:pStyle w:val="27"/>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2、合同履行期限补充要求：原则上合同生效之日计起24个月。若在合同期内未完成约定的工作量，经双方友好协商可适当延长合同期限。</w:t>
      </w:r>
    </w:p>
    <w:p w14:paraId="2F251B28">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付款方式</w:t>
      </w:r>
    </w:p>
    <w:p w14:paraId="7C95414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预付款：合同签订生效后的15个工作日内，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启动财政支付流程向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支付合同总额的40%作为预付款。</w:t>
      </w:r>
    </w:p>
    <w:p w14:paraId="3468CFEC">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进度款：从合同签订后第三个月起按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每季度完成量支付。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申请付款时应向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提供双方确认后的案件量清单及送达报告，与支付金额相符的有效发票，且收款方、出具发票方、合同乙方均必须与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 xml:space="preserve">名称一致，每期费用在十五个工作日内支付。 </w:t>
      </w:r>
    </w:p>
    <w:p w14:paraId="437A6179">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提出验收申请之日起5个工作日内验收：①.如果验收合格，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出具书面验收合格证明。如果验收不合格，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明确列明不合格之处，并出具整改意见书。如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在5日届满前未进行验收或未出具书面验收结果的，或提出超出本合同需求范围的不合理整改意见的，则视为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服务及成果已经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认可，通过验收。②验收办法：</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验收应参照《财政部关于进一步加强政府采购需求和履约验收管理的指导意见》 （财库〔2016〕205号）规定的要求进行验收。③.验收标准：按国家有关规定、招标文件的服务要求、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的投标文件及承诺以及合同约定标准进行验收。</w:t>
      </w:r>
    </w:p>
    <w:p w14:paraId="0627B0D1">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使用的是财政资金，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在前款规定的付款时间为向政府采购支付部门提出办理财政支付申请手续的时间（不含政府财政支付部门审核的时间），在规定时间内提出支付申请手续后视为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已经按期支付。</w:t>
      </w:r>
    </w:p>
    <w:p w14:paraId="7A51831E">
      <w:pPr>
        <w:pStyle w:val="27"/>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具体支付方式和支付进度，</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可以根据项目进展情况做出调整，由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代表验收合格并盖章确认。</w:t>
      </w:r>
    </w:p>
    <w:p w14:paraId="13B6C7A0">
      <w:pPr>
        <w:pStyle w:val="27"/>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6、付款要求</w:t>
      </w:r>
    </w:p>
    <w:p w14:paraId="7AFCDD2A">
      <w:pPr>
        <w:pStyle w:val="27"/>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①甲方不承担因财政资金不能及时到位给乙方造成的任何损失。</w:t>
      </w:r>
    </w:p>
    <w:p w14:paraId="14AE5705">
      <w:pPr>
        <w:pStyle w:val="27"/>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②收款方、出具发票方、合同乙方名称均必须与成交供应商名称一致。</w:t>
      </w:r>
    </w:p>
    <w:p w14:paraId="509B9F98">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结算方式</w:t>
      </w:r>
    </w:p>
    <w:p w14:paraId="12C4B07F">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单个案件以通过法院管理部门对案件送达验收视为完成全部服务内容。若合同期满后</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不再继续提送达配套服务时，则根据案件送达状态折算工作量进行一次性支付结算。</w:t>
      </w:r>
    </w:p>
    <w:tbl>
      <w:tblPr>
        <w:tblStyle w:val="19"/>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2871"/>
        <w:gridCol w:w="3045"/>
      </w:tblGrid>
      <w:tr w14:paraId="37A8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2" w:type="dxa"/>
            <w:vAlign w:val="center"/>
          </w:tcPr>
          <w:p w14:paraId="3304F09B">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年份</w:t>
            </w:r>
          </w:p>
        </w:tc>
        <w:tc>
          <w:tcPr>
            <w:tcW w:w="2871" w:type="dxa"/>
            <w:vAlign w:val="center"/>
          </w:tcPr>
          <w:p w14:paraId="35C61330">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电子送达有效率</w:t>
            </w:r>
          </w:p>
        </w:tc>
        <w:tc>
          <w:tcPr>
            <w:tcW w:w="3045" w:type="dxa"/>
            <w:vAlign w:val="center"/>
          </w:tcPr>
          <w:p w14:paraId="26874D2D">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结算方式</w:t>
            </w:r>
          </w:p>
        </w:tc>
      </w:tr>
      <w:tr w14:paraId="71D5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2" w:type="dxa"/>
            <w:vMerge w:val="restart"/>
            <w:vAlign w:val="center"/>
          </w:tcPr>
          <w:p w14:paraId="2D621FF6">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第一年</w:t>
            </w:r>
          </w:p>
          <w:p w14:paraId="497BBD31">
            <w:pPr>
              <w:pStyle w:val="2"/>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（1-12个月）</w:t>
            </w:r>
          </w:p>
        </w:tc>
        <w:tc>
          <w:tcPr>
            <w:tcW w:w="2871" w:type="dxa"/>
            <w:vAlign w:val="center"/>
          </w:tcPr>
          <w:p w14:paraId="0A5DF647">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电子送达有效率&lt;65%</w:t>
            </w:r>
          </w:p>
        </w:tc>
        <w:tc>
          <w:tcPr>
            <w:tcW w:w="3045" w:type="dxa"/>
            <w:vAlign w:val="center"/>
          </w:tcPr>
          <w:p w14:paraId="79928AEA">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结案数×案件单价×95%</w:t>
            </w:r>
          </w:p>
        </w:tc>
      </w:tr>
      <w:tr w14:paraId="7BA2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2" w:type="dxa"/>
            <w:vMerge w:val="continue"/>
            <w:vAlign w:val="center"/>
          </w:tcPr>
          <w:p w14:paraId="791D4789">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p>
        </w:tc>
        <w:tc>
          <w:tcPr>
            <w:tcW w:w="2871" w:type="dxa"/>
            <w:vAlign w:val="center"/>
          </w:tcPr>
          <w:p w14:paraId="61E0C757">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电子送达有效率≧65%</w:t>
            </w:r>
          </w:p>
        </w:tc>
        <w:tc>
          <w:tcPr>
            <w:tcW w:w="3045" w:type="dxa"/>
            <w:vAlign w:val="center"/>
          </w:tcPr>
          <w:p w14:paraId="7C752392">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结案数×案件单价</w:t>
            </w:r>
          </w:p>
        </w:tc>
      </w:tr>
      <w:tr w14:paraId="57F0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2" w:type="dxa"/>
            <w:vMerge w:val="restart"/>
            <w:vAlign w:val="center"/>
          </w:tcPr>
          <w:p w14:paraId="5F2081D2">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第二年</w:t>
            </w:r>
          </w:p>
          <w:p w14:paraId="3A4C0A5A">
            <w:pPr>
              <w:pStyle w:val="2"/>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（13-24个月）</w:t>
            </w:r>
          </w:p>
        </w:tc>
        <w:tc>
          <w:tcPr>
            <w:tcW w:w="2871" w:type="dxa"/>
            <w:vAlign w:val="center"/>
          </w:tcPr>
          <w:p w14:paraId="6827E7C4">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电子送达有效率&lt;68%</w:t>
            </w:r>
          </w:p>
        </w:tc>
        <w:tc>
          <w:tcPr>
            <w:tcW w:w="3045" w:type="dxa"/>
            <w:vAlign w:val="center"/>
          </w:tcPr>
          <w:p w14:paraId="1B498DB8">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结案数×案件单价×95%</w:t>
            </w:r>
          </w:p>
        </w:tc>
      </w:tr>
      <w:tr w14:paraId="5229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2" w:type="dxa"/>
            <w:vMerge w:val="continue"/>
            <w:vAlign w:val="center"/>
          </w:tcPr>
          <w:p w14:paraId="01E9D08B">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p>
        </w:tc>
        <w:tc>
          <w:tcPr>
            <w:tcW w:w="2871" w:type="dxa"/>
            <w:vAlign w:val="center"/>
          </w:tcPr>
          <w:p w14:paraId="4752FC1D">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电子送达有效率≧68%</w:t>
            </w:r>
          </w:p>
        </w:tc>
        <w:tc>
          <w:tcPr>
            <w:tcW w:w="3045" w:type="dxa"/>
            <w:vAlign w:val="center"/>
          </w:tcPr>
          <w:p w14:paraId="6DCBAF40">
            <w:pPr>
              <w:keepNext w:val="0"/>
              <w:keepLines w:val="0"/>
              <w:pageBreakBefore w:val="0"/>
              <w:kinsoku/>
              <w:wordWrap/>
              <w:overflowPunct/>
              <w:topLinePunct w:val="0"/>
              <w:autoSpaceDE/>
              <w:autoSpaceDN/>
              <w:bidi w:val="0"/>
              <w:adjustRightInd/>
              <w:snapToGrid/>
              <w:spacing w:line="44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结案数×案件单价</w:t>
            </w:r>
          </w:p>
        </w:tc>
      </w:tr>
      <w:tr w14:paraId="2D1A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8" w:type="dxa"/>
            <w:gridSpan w:val="3"/>
            <w:vAlign w:val="center"/>
          </w:tcPr>
          <w:p w14:paraId="527CF25E">
            <w:pPr>
              <w:pStyle w:val="2"/>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电子送达有效率指受送达人成功打开电子链接或签收邮件的比率，每季结算一次</w:t>
            </w:r>
          </w:p>
        </w:tc>
      </w:tr>
    </w:tbl>
    <w:p w14:paraId="2B31DB9A">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验收要求</w:t>
      </w:r>
    </w:p>
    <w:p w14:paraId="2360D74D">
      <w:pPr>
        <w:pStyle w:val="28"/>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需为验收提供必需的一切条件及相关费用，并提供本项目服务过程中的相关文档和验收所需资料及记录，积极配合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完成验收工作。</w:t>
      </w:r>
    </w:p>
    <w:p w14:paraId="4BF19630">
      <w:pPr>
        <w:pStyle w:val="28"/>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2、项目验收依次序对照执行标准</w:t>
      </w:r>
    </w:p>
    <w:p w14:paraId="040161B6">
      <w:pPr>
        <w:pStyle w:val="28"/>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（1）符合中华人民共和国国家和履约地相关安全质量标准、行业技术规范标准、环保节能标准；</w:t>
      </w:r>
    </w:p>
    <w:p w14:paraId="4BEF783F">
      <w:pPr>
        <w:pStyle w:val="28"/>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（2）符合招标文件和投标承诺中各方共同认可的各项要求；</w:t>
      </w:r>
    </w:p>
    <w:p w14:paraId="15B8147E">
      <w:pPr>
        <w:pStyle w:val="28"/>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（3）符合服务类项目官方颁布的验收标准。</w:t>
      </w:r>
    </w:p>
    <w:p w14:paraId="0F78352E">
      <w:pPr>
        <w:pStyle w:val="28"/>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（4）上述各类标准与法规必须是有关官方机构最新发布的现行标准版本。</w:t>
      </w:r>
    </w:p>
    <w:p w14:paraId="251BCF24">
      <w:pPr>
        <w:pStyle w:val="28"/>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3、验收内容。按照合同规定的技术、服务、安全标准组织对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履约情况进行验收，并出具验收报告。验收报告应当包括每一项技术、服务、安全标准的履约情况。</w:t>
      </w:r>
    </w:p>
    <w:p w14:paraId="1085C479">
      <w:pPr>
        <w:pStyle w:val="27"/>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4、验收结果。以书面形式作出结论性意见（验收报告），由验收小组成员签字及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授权代表签字盖章后，报告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p>
    <w:p w14:paraId="123D4959">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rPr>
          <w:rFonts w:hint="eastAsia" w:ascii="宋体" w:hAnsi="宋体" w:eastAsia="宋体" w:cs="宋体"/>
          <w:b/>
          <w:color w:val="auto"/>
          <w:sz w:val="21"/>
          <w:szCs w:val="21"/>
          <w:highlight w:val="none"/>
        </w:rPr>
      </w:pPr>
      <w:bookmarkStart w:id="33" w:name="_Toc7871"/>
      <w:bookmarkStart w:id="34" w:name="_Toc15804"/>
      <w:r>
        <w:rPr>
          <w:rFonts w:hint="eastAsia" w:ascii="宋体" w:hAnsi="宋体" w:eastAsia="宋体" w:cs="宋体"/>
          <w:b/>
          <w:color w:val="auto"/>
          <w:sz w:val="21"/>
          <w:szCs w:val="21"/>
          <w:highlight w:val="none"/>
          <w:lang w:val="en-US" w:eastAsia="zh-CN"/>
        </w:rPr>
        <w:t>履约保证金</w:t>
      </w:r>
    </w:p>
    <w:p w14:paraId="698529B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1、为保证乙方提供的服务符合采购文件、乙方投标文件及本合同约定要求，乙方在签定合同后10个工作日内向甲方</w:t>
      </w:r>
      <w:r>
        <w:rPr>
          <w:rFonts w:hint="eastAsia" w:ascii="宋体" w:hAnsi="宋体" w:eastAsia="宋体" w:cs="宋体"/>
          <w:color w:val="auto"/>
          <w:sz w:val="21"/>
          <w:szCs w:val="21"/>
          <w:highlight w:val="none"/>
        </w:rPr>
        <w:t>指定账号缴纳</w:t>
      </w:r>
      <w:r>
        <w:rPr>
          <w:rFonts w:hint="eastAsia" w:ascii="宋体" w:hAnsi="宋体" w:eastAsia="宋体" w:cs="宋体"/>
          <w:color w:val="auto"/>
          <w:sz w:val="21"/>
          <w:szCs w:val="21"/>
          <w:highlight w:val="none"/>
          <w:lang w:val="en-US" w:eastAsia="zh-CN"/>
        </w:rPr>
        <w:t>合同总价的5%作为履约保证金。</w:t>
      </w:r>
    </w:p>
    <w:p w14:paraId="31FD671C">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2、如果乙方拒绝提交或没有在规定的时间内提交履约保证金，则视为放弃中标资格。</w:t>
      </w:r>
    </w:p>
    <w:p w14:paraId="218397EC">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3、如乙方违约，甲方可随时启动项目履约保证金，因乙方违约导致扣减履约保证金后，乙方须在五个工作日内补足至原有金额，否则将视为乙方毁约，甲方有权单方面解除本合同。</w:t>
      </w:r>
    </w:p>
    <w:p w14:paraId="7B8AD2D6">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4、合同期内无违约行为的，履约保证金在合同结束后1个月内无息退还。</w:t>
      </w:r>
    </w:p>
    <w:p w14:paraId="463BF7AE">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内容</w:t>
      </w:r>
      <w:bookmarkEnd w:id="33"/>
      <w:bookmarkEnd w:id="34"/>
    </w:p>
    <w:p w14:paraId="292D9546">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default" w:ascii="Times New Roman" w:hAnsi="Times New Roman"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提供集电话送达，电子送达，EMS邮寄送达等为一体的多元化“综合送达平台”系统服务，打造高明法院送达特色应用。提供不少3名驻场服务人员，为甲方提供集约化送达服务：</w:t>
      </w:r>
    </w:p>
    <w:tbl>
      <w:tblPr>
        <w:tblStyle w:val="19"/>
        <w:tblW w:w="921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4963"/>
        <w:gridCol w:w="2748"/>
      </w:tblGrid>
      <w:tr w14:paraId="0DA3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08" w:type="dxa"/>
            <w:vAlign w:val="center"/>
          </w:tcPr>
          <w:p w14:paraId="2B15703C">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类别</w:t>
            </w:r>
          </w:p>
        </w:tc>
        <w:tc>
          <w:tcPr>
            <w:tcW w:w="4963" w:type="dxa"/>
            <w:vAlign w:val="center"/>
          </w:tcPr>
          <w:p w14:paraId="454E13F7">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工作内容及职责</w:t>
            </w:r>
          </w:p>
        </w:tc>
        <w:tc>
          <w:tcPr>
            <w:tcW w:w="2748" w:type="dxa"/>
            <w:vAlign w:val="center"/>
          </w:tcPr>
          <w:p w14:paraId="17201933">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服务质量/标准</w:t>
            </w:r>
          </w:p>
        </w:tc>
      </w:tr>
      <w:tr w14:paraId="62F6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5" w:hRule="atLeast"/>
        </w:trPr>
        <w:tc>
          <w:tcPr>
            <w:tcW w:w="1508" w:type="dxa"/>
            <w:vAlign w:val="center"/>
          </w:tcPr>
          <w:p w14:paraId="16159D88">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电子（话）</w:t>
            </w:r>
          </w:p>
          <w:p w14:paraId="41F675AF">
            <w:pPr>
              <w:keepNext w:val="0"/>
              <w:keepLines w:val="0"/>
              <w:pageBreakBefore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送达、短信送达</w:t>
            </w:r>
          </w:p>
        </w:tc>
        <w:tc>
          <w:tcPr>
            <w:tcW w:w="4963" w:type="dxa"/>
            <w:vAlign w:val="center"/>
          </w:tcPr>
          <w:p w14:paraId="241383A3">
            <w:pPr>
              <w:keepNext w:val="0"/>
              <w:keepLines w:val="0"/>
              <w:pageBreakBefore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助理、书记员在送达平台上对有联系方式（特指从运营商平台查询得到的实名制号码）的受送达人，勾选/制作需要送达的文书后，发起集约送达订单，集约送达中心系统接收订单并电话联系引导其及时查看文书，当事人在指定时限内（48小时内打6次，24小时内分三个时段各打1次）未接听电话，将向其发送短信，当事人经电话联系后仍不查阅文件，24小时后需要流转邮寄送达。</w:t>
            </w:r>
          </w:p>
        </w:tc>
        <w:tc>
          <w:tcPr>
            <w:tcW w:w="2748" w:type="dxa"/>
            <w:vAlign w:val="center"/>
          </w:tcPr>
          <w:p w14:paraId="1E786B4B">
            <w:pPr>
              <w:keepNext w:val="0"/>
              <w:keepLines w:val="0"/>
              <w:pageBreakBefore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b/>
                <w:bCs/>
                <w:color w:val="auto"/>
                <w:sz w:val="21"/>
                <w:szCs w:val="21"/>
                <w:highlight w:val="none"/>
                <w:lang w:bidi="ar"/>
              </w:rPr>
              <w:t>时限：</w:t>
            </w:r>
            <w:r>
              <w:rPr>
                <w:rFonts w:hint="eastAsia" w:ascii="宋体" w:hAnsi="宋体" w:eastAsia="宋体" w:cs="宋体"/>
                <w:color w:val="auto"/>
                <w:sz w:val="21"/>
                <w:szCs w:val="21"/>
                <w:highlight w:val="none"/>
                <w:lang w:bidi="ar"/>
              </w:rPr>
              <w:t>系统实时接单，每天16:00前创建的任务，当天17:30前处理并反馈结果；16:00后建立的工单，第二天上午11:00前处理并反馈结果</w:t>
            </w:r>
            <w:r>
              <w:rPr>
                <w:rFonts w:hint="eastAsia" w:ascii="宋体" w:hAnsi="宋体" w:eastAsia="宋体" w:cs="宋体"/>
                <w:color w:val="auto"/>
                <w:sz w:val="21"/>
                <w:szCs w:val="21"/>
                <w:highlight w:val="none"/>
                <w:lang w:eastAsia="zh-CN" w:bidi="ar"/>
              </w:rPr>
              <w:t>。</w:t>
            </w:r>
          </w:p>
          <w:p w14:paraId="07926FB6">
            <w:pPr>
              <w:keepNext w:val="0"/>
              <w:keepLines w:val="0"/>
              <w:pageBreakBefore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成功率：</w:t>
            </w:r>
          </w:p>
          <w:p w14:paraId="60C1D40A">
            <w:pPr>
              <w:keepNext w:val="0"/>
              <w:keepLines w:val="0"/>
              <w:pageBreakBefore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第一年：申请执行人不低于95%；被执行人不低于55%</w:t>
            </w:r>
          </w:p>
          <w:p w14:paraId="5D65DADD">
            <w:pPr>
              <w:keepNext w:val="0"/>
              <w:keepLines w:val="0"/>
              <w:pageBreakBefore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第二年：申请执行人不低于96%；被执行人不低于60%</w:t>
            </w:r>
            <w:r>
              <w:rPr>
                <w:rFonts w:hint="eastAsia" w:ascii="宋体" w:hAnsi="宋体" w:eastAsia="宋体" w:cs="宋体"/>
                <w:color w:val="auto"/>
                <w:sz w:val="21"/>
                <w:szCs w:val="21"/>
                <w:highlight w:val="none"/>
                <w:lang w:eastAsia="zh-CN" w:bidi="ar"/>
              </w:rPr>
              <w:t>。</w:t>
            </w:r>
          </w:p>
        </w:tc>
      </w:tr>
      <w:tr w14:paraId="0249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trPr>
        <w:tc>
          <w:tcPr>
            <w:tcW w:w="1508" w:type="dxa"/>
            <w:vAlign w:val="center"/>
          </w:tcPr>
          <w:p w14:paraId="36D19AC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邮寄送达</w:t>
            </w:r>
          </w:p>
        </w:tc>
        <w:tc>
          <w:tcPr>
            <w:tcW w:w="4963" w:type="dxa"/>
            <w:vAlign w:val="center"/>
          </w:tcPr>
          <w:p w14:paraId="1DBF6FA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集约送达中心针对电子送达不成功流转至邮寄送达的订单在第一时间进行文书打印、审核、封装、邮寄；签收回执/退件返回集约送达中心后拍照上传至送达平台，实物根据业务庭、寄件人分类、登记返回法院。</w:t>
            </w:r>
          </w:p>
          <w:p w14:paraId="4D54571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b/>
                <w:bCs/>
                <w:color w:val="auto"/>
                <w:sz w:val="21"/>
                <w:szCs w:val="21"/>
                <w:highlight w:val="none"/>
                <w:lang w:bidi="ar"/>
              </w:rPr>
              <w:t>线上邮寄：</w:t>
            </w:r>
            <w:r>
              <w:rPr>
                <w:rFonts w:hint="eastAsia" w:ascii="宋体" w:hAnsi="宋体" w:eastAsia="宋体" w:cs="宋体"/>
                <w:color w:val="auto"/>
                <w:sz w:val="21"/>
                <w:szCs w:val="21"/>
                <w:highlight w:val="none"/>
                <w:lang w:bidi="ar"/>
              </w:rPr>
              <w:t>在系统里创建任务，上传文书（判决书、裁判文书等有电子版的文书）、录入收件地址信息，发起邮寄送达。</w:t>
            </w:r>
          </w:p>
          <w:p w14:paraId="0DCAF6D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bidi="ar"/>
              </w:rPr>
              <w:t>线下邮寄：</w:t>
            </w:r>
            <w:r>
              <w:rPr>
                <w:rFonts w:hint="eastAsia" w:ascii="宋体" w:hAnsi="宋体" w:eastAsia="宋体" w:cs="宋体"/>
                <w:color w:val="auto"/>
                <w:sz w:val="21"/>
                <w:szCs w:val="21"/>
                <w:highlight w:val="none"/>
                <w:lang w:bidi="ar"/>
              </w:rPr>
              <w:t>应诉资料类的文书进行封装文书（结案裁判文书使用A3纸打印并配封面）、打印详情单形成邮件交于揽收员进行邮件揽收寄出。</w:t>
            </w:r>
          </w:p>
        </w:tc>
        <w:tc>
          <w:tcPr>
            <w:tcW w:w="2748" w:type="dxa"/>
            <w:vAlign w:val="center"/>
          </w:tcPr>
          <w:p w14:paraId="73EA8E5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b/>
                <w:bCs/>
                <w:color w:val="auto"/>
                <w:sz w:val="21"/>
                <w:szCs w:val="21"/>
                <w:highlight w:val="none"/>
                <w:lang w:bidi="ar"/>
              </w:rPr>
              <w:t>时限：</w:t>
            </w:r>
            <w:r>
              <w:rPr>
                <w:rFonts w:hint="eastAsia" w:ascii="宋体" w:hAnsi="宋体" w:eastAsia="宋体" w:cs="宋体"/>
                <w:color w:val="auto"/>
                <w:sz w:val="21"/>
                <w:szCs w:val="21"/>
                <w:highlight w:val="none"/>
                <w:lang w:bidi="ar"/>
              </w:rPr>
              <w:t>按照法院与供应商签订的邮寄服务合同为准</w:t>
            </w:r>
            <w:r>
              <w:rPr>
                <w:rFonts w:hint="eastAsia" w:ascii="宋体" w:hAnsi="宋体" w:eastAsia="宋体" w:cs="宋体"/>
                <w:color w:val="auto"/>
                <w:sz w:val="21"/>
                <w:szCs w:val="21"/>
                <w:highlight w:val="none"/>
                <w:lang w:eastAsia="zh-CN" w:bidi="ar"/>
              </w:rPr>
              <w:t>。</w:t>
            </w:r>
          </w:p>
          <w:p w14:paraId="02272E2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妥投率：不低于60%</w:t>
            </w:r>
            <w:r>
              <w:rPr>
                <w:rFonts w:hint="eastAsia" w:ascii="宋体" w:hAnsi="宋体" w:eastAsia="宋体" w:cs="宋体"/>
                <w:color w:val="auto"/>
                <w:sz w:val="21"/>
                <w:szCs w:val="21"/>
                <w:highlight w:val="none"/>
                <w:lang w:eastAsia="zh-CN" w:bidi="ar"/>
              </w:rPr>
              <w:t>。</w:t>
            </w:r>
          </w:p>
        </w:tc>
      </w:tr>
      <w:tr w14:paraId="43CA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508" w:type="dxa"/>
            <w:vAlign w:val="center"/>
          </w:tcPr>
          <w:p w14:paraId="1935999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公告送达</w:t>
            </w:r>
          </w:p>
        </w:tc>
        <w:tc>
          <w:tcPr>
            <w:tcW w:w="4963" w:type="dxa"/>
            <w:vAlign w:val="center"/>
          </w:tcPr>
          <w:p w14:paraId="3E31F94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负责邮寄送达、直接送达、委托送达不成功的，重新排期后的挂网公告送达及张贴公告文书工作。</w:t>
            </w:r>
          </w:p>
        </w:tc>
        <w:tc>
          <w:tcPr>
            <w:tcW w:w="2748" w:type="dxa"/>
            <w:vAlign w:val="center"/>
          </w:tcPr>
          <w:p w14:paraId="15EF5ED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实时接单</w:t>
            </w:r>
          </w:p>
          <w:p w14:paraId="7DCF7DC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实时挂网送达</w:t>
            </w:r>
          </w:p>
        </w:tc>
      </w:tr>
    </w:tbl>
    <w:p w14:paraId="1F094911">
      <w:pPr>
        <w:pStyle w:val="2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left="510" w:right="0" w:rightChars="0" w:hanging="510"/>
        <w:jc w:val="both"/>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服务技术需求</w:t>
      </w:r>
    </w:p>
    <w:p w14:paraId="46D20481">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设集约式送达服务中心,通过社会化服务，运用信息化的手段，建设统一的送达平台,对甲方的13000件执行案件,囊括各种送达方式、集成各类送达渠道，实现文书送达信息化，保障送达程序合规化，实现送达全流程管理、证据链保全、送达成本可控、送达时效最优，兼顾公平与效率，从根本上解决 “送达难”。</w:t>
      </w:r>
    </w:p>
    <w:p w14:paraId="75646ED7">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1、送达系统功能要求</w:t>
      </w:r>
    </w:p>
    <w:p w14:paraId="7A08177D">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1.1送达发起</w:t>
      </w:r>
    </w:p>
    <w:p w14:paraId="63E21972">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法官或书记员送达发起登记，包括案件、受送达人（当事人或代理人、辩护人等），送达材料电子选择或上传，清单及二维码打印，附加工作登记，送达机构及送达人确定等。</w:t>
      </w:r>
    </w:p>
    <w:p w14:paraId="780FDDA7">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1.2送达分派</w:t>
      </w:r>
    </w:p>
    <w:p w14:paraId="7BD7C8C9">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针对未指定送达人的送达任务，为集中送达内勤或领导提供送达分派功能，支持批量分派。</w:t>
      </w:r>
    </w:p>
    <w:p w14:paraId="6745DE84">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1.3送达办理</w:t>
      </w:r>
    </w:p>
    <w:p w14:paraId="695E0DC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提供给送达人操作功能模块，提供送达办理功能。</w:t>
      </w:r>
    </w:p>
    <w:p w14:paraId="2A907D85">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按送达条件分类（新分派、送达中、办结、终止）。</w:t>
      </w:r>
    </w:p>
    <w:p w14:paraId="6278999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办理送达任务包含送达方式（电子送达、电话送达、短信送达、邮寄送达、窗口领取、外出送达、公告送达）。</w:t>
      </w:r>
    </w:p>
    <w:p w14:paraId="3CFC8A3B">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系统需要做到可以登记并办理，也可选择派发到专职岗位。如：邮寄送达可集中将邮寄打单任务派发到邮寄集中处理岗位统一打印面单，也可以自行打印面单。</w:t>
      </w:r>
    </w:p>
    <w:p w14:paraId="7CACAF4F">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1.4送达跟踪</w:t>
      </w:r>
    </w:p>
    <w:p w14:paraId="11C2B682">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支持记录送达过程和结果，可上传回执附件，对送达过程全程留痕。送达记录以案件为单位，按当事人分组，显示全过程的送达记录。对送达完成记录重点标注。</w:t>
      </w:r>
    </w:p>
    <w:p w14:paraId="6296C4A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2、送达服务要求</w:t>
      </w:r>
    </w:p>
    <w:p w14:paraId="3118051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2.1电子送达</w:t>
      </w:r>
    </w:p>
    <w:p w14:paraId="4517D0A4">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电话送达</w:t>
      </w:r>
    </w:p>
    <w:p w14:paraId="44BCE079">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送达专员通过电话联系当事人，可在送达系统中登记电话通知的主叫、被叫号码、通知时间、结果等信息。</w:t>
      </w:r>
    </w:p>
    <w:p w14:paraId="6DE73644">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当事人接通电话同意电子送达后，可以生成送达回证，并支持送达回证的入卷功能。</w:t>
      </w:r>
    </w:p>
    <w:p w14:paraId="0C16C4FD">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短信送达</w:t>
      </w:r>
    </w:p>
    <w:p w14:paraId="7AA27A20">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提供短信送达的发送编辑功能，根据短信模板自动翻译生成短信内容，短信内容附带短连接，并通过甲方短信平台发送短信。当事人点击短信，系统需自动生成短信送达凭证并入卷，并支持上传到电子卷宗的对应目录下。</w:t>
      </w:r>
    </w:p>
    <w:p w14:paraId="4470C0D9">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2.2来院领取</w:t>
      </w:r>
    </w:p>
    <w:p w14:paraId="316120BA">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送达专员或书记员通过该功能派发工单至诉讼服务中心窗口岗位，同时电子文书在系统中流转至领取文书岗位。当事人来院后，凭二代证办理领取文书、打印文书，采集当事人的送达回证电子签名等功能。</w:t>
      </w:r>
    </w:p>
    <w:p w14:paraId="3D4216B2">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当事人领取送达文书后，系统自动生成送达回证，并进行入卷。</w:t>
      </w:r>
    </w:p>
    <w:p w14:paraId="61DA468C">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2.3邮寄送达</w:t>
      </w:r>
    </w:p>
    <w:p w14:paraId="0359166B">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对于格式化文书，支持直接提交发送送达，电子材料经集中文印岗位文印后流转至邮寄送达岗位；对于裁判文书，打印装订好后，支持提交纸质送达，纸质材料直接流转到邮寄送达岗位。</w:t>
      </w:r>
    </w:p>
    <w:p w14:paraId="47F0AE70">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支持合并邮寄功能：对于同案件下同收件人同收件地址的情况下，合并邮寄成一个邮单。</w:t>
      </w:r>
    </w:p>
    <w:p w14:paraId="06709F42">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支持EMS物流信息：系统可自动获取EMS的物流详情。</w:t>
      </w:r>
    </w:p>
    <w:p w14:paraId="4DB580F0">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支持邮件退件登记功能：对于退件的邮件，由EMS岗位人员，集中利用高拍仪扫描寄件联照片，扫条形码定位送达记录，登记邮寄结果。</w:t>
      </w:r>
    </w:p>
    <w:p w14:paraId="2BFCC85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系统支持从扫描的EMS回执联图片中直接识别出快递号，避免手工录入。</w:t>
      </w:r>
    </w:p>
    <w:p w14:paraId="64DBEFA7">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EMS回执联图片可直接入卷，并上传到电子卷宗的对应目录下面。</w:t>
      </w:r>
    </w:p>
    <w:p w14:paraId="400D9162">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2.4案件管理</w:t>
      </w:r>
    </w:p>
    <w:p w14:paraId="5BFF3610">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可以查询到每个案号对应的文书，每份文书对应的签收记录；送达记录，查看每份文书，发送记录及签收情况，方便查阅；（需提供软件功能截图页面） </w:t>
      </w:r>
    </w:p>
    <w:p w14:paraId="5027F182">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2.5案件关联功能</w:t>
      </w:r>
    </w:p>
    <w:p w14:paraId="22787C17">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可关联同一当事人的所有案件信息（包括民事、刑事、执行案件的关联）。</w:t>
      </w:r>
    </w:p>
    <w:p w14:paraId="1AA5FBB2">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3、送达地址库维护服务</w:t>
      </w:r>
    </w:p>
    <w:p w14:paraId="20D895C2">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针对受送达人提供智能送达地址管理。</w:t>
      </w:r>
    </w:p>
    <w:p w14:paraId="7174B00F">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受送达人地址库建设：针对身份证号建立每个诉讼参与人的送达地址库；</w:t>
      </w:r>
    </w:p>
    <w:p w14:paraId="2C40518E">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4、送达可视化服务</w:t>
      </w:r>
    </w:p>
    <w:p w14:paraId="5B6E0066">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系统提供对送达数据（送达次数、送达方式等）进行统计分析的功能，提供送达可视化系统。</w:t>
      </w:r>
    </w:p>
    <w:p w14:paraId="4480DE57">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5、系统对接服务</w:t>
      </w:r>
    </w:p>
    <w:p w14:paraId="613E884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送达系统支持与如下系统实现对接：</w:t>
      </w:r>
    </w:p>
    <w:p w14:paraId="01EE946B">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（1）与执行系统对接</w:t>
      </w:r>
    </w:p>
    <w:p w14:paraId="3B46059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支持与执行系统无缝对接，并皆部署于法院内网。通过与执行系统的对接，可以直接在执行系统界面发起送达。</w:t>
      </w:r>
    </w:p>
    <w:p w14:paraId="6B82304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（2）与智能卷宗管理系统对接</w:t>
      </w:r>
    </w:p>
    <w:p w14:paraId="06DA79B7">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支持与智能卷宗系统无缝对接。并皆部署于法院内网。通过与智能卷宗系统的对接，可以在智能卷宗系统中提取受送达人的地址、电话等相关信息。</w:t>
      </w:r>
    </w:p>
    <w:p w14:paraId="7749A281">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（3）与电话语音管理系统对接</w:t>
      </w:r>
    </w:p>
    <w:p w14:paraId="7E976F5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支持与电话语音管理系统无缝对接。电话语音管理系统部署于外网，通过光闸与综合送达管理系统进行数据交互。送达专员在综合送达管理系统中一键拨打电话，通话完成后自动获取通话信息及录音。</w:t>
      </w:r>
    </w:p>
    <w:p w14:paraId="6FE640CA">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（4）与短信管理系统对接</w:t>
      </w:r>
    </w:p>
    <w:p w14:paraId="366D8100">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支持与短信管理系统无缝对接，短信管理系统部署于外网，通过光闸与内网的综合送达管理系统进行数据交互。送达专员可以一键发送送达短信，系统自动生成送达报告保存到送达回执材料中。</w:t>
      </w:r>
    </w:p>
    <w:p w14:paraId="1BAB7FC5">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（5）与送达网站发布系统对接</w:t>
      </w:r>
    </w:p>
    <w:p w14:paraId="63CA3DF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支持与司法送达网无缝对接，司法送达网部署于外网，通过光闸与内网的综合送达管理系统进行数据交互。送达专员可以发起公告，公告内容通过公告模板一键生成，并同步至外网司法送达网。</w:t>
      </w:r>
    </w:p>
    <w:p w14:paraId="71376670">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（6）与自助打印管理系统对接</w:t>
      </w:r>
    </w:p>
    <w:p w14:paraId="623798B5">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与自助打印系统对接，并皆部署于法院内网。当事人可通过自助打印管理系统打印电子文书、送达清单、送达凭证。智能生成清晰可视送达报告，方便法官团队查阅：自动生成文书，并实现电子签章，实现在线自动加盖电子签章。送达报告书中包含本次送达任务电话通知记录、短信发送记录、当事人同意电子送达、与当事人约定送达地址、邮寄送达的投递记录、邮寄状态、签收状态等。</w:t>
      </w:r>
    </w:p>
    <w:p w14:paraId="5F6CD7A2">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（7）与物流管理系统对接</w:t>
      </w:r>
    </w:p>
    <w:p w14:paraId="6E9CFB6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支持与物流管理系统对接，物流管理系统部署于外网，通过光闸与内网的综合送达管理系统进行数据交互。邮寄送达时，可通过物流管理系统跟踪查看物流详情。</w:t>
      </w:r>
    </w:p>
    <w:p w14:paraId="7F1B016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（8）增设身份确认、地址确认、电话数据采集等服务，提高结案效率。 </w:t>
      </w:r>
    </w:p>
    <w:p w14:paraId="5AE282DB">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6、项目组织</w:t>
      </w:r>
    </w:p>
    <w:p w14:paraId="4AAE1334">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为顺利完成项目的需求分析、送达服务流程设计和部署实施等工作，必须加强项目的组织和管理。乙方必须组织稳定的、经验丰富的项目团队来完成项目的设计和实施工作。要求乙方要制订本项目的项目实施的人力安排和组织保证。</w:t>
      </w:r>
    </w:p>
    <w:p w14:paraId="28B99C6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项目组成员必须包括项目经理岗、送达任务分派岗、电子送达岗、材料文印岗、面单套打岗、领取文书岗等岗位，驻场服务人员不少于3人，项目人员服从法院管理。若乙方无法达到各环节规定的时限要求，应当增加现场人员和设备以保证服务效果。</w:t>
      </w:r>
    </w:p>
    <w:p w14:paraId="179AB919">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项目的项目经理应具有丰富的集约送达服务管理经验，胜任工作分派、进度掌控及质量监管等管理工作，按要求向法院提供数据报表并分析数据能力。如项目实施过程中法院发现项目经理不能胜任相应工作，有权要求更换，乙方应按甲方要求及时更换项目经理且资质不得低于原要求。</w:t>
      </w:r>
    </w:p>
    <w:p w14:paraId="2A76F02F">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（3）本项目的项目团队中至少需包含一名线上技术运维工程师。线上技术运维工程师在采购人建立的微信群等沟通工具中实时进行答疑和相关故障排除。</w:t>
      </w:r>
    </w:p>
    <w:p w14:paraId="5FAB49D6">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（4）本项目拟派团队人员在上岗前须具备专业技能培训经历；至少具备大专以上学历，服务态度端正、作风优良，熟悉法院中需要服务岗位的业务流程，熟练掌握电脑等办公设备，遵守甲方的规章制度。</w:t>
      </w:r>
    </w:p>
    <w:p w14:paraId="4B0A1BDB">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（5）甲方提供相应的办公设备和耗材，以实际满足服务需求为准。</w:t>
      </w:r>
    </w:p>
    <w:p w14:paraId="677AC846">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7、时间进度要求</w:t>
      </w:r>
    </w:p>
    <w:p w14:paraId="59AD4ECD">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本项目要求乙方于合同签订后10个工作日内完成相关软、硬件配备、送达业务流程梳理及全面开展服务。</w:t>
      </w:r>
    </w:p>
    <w:p w14:paraId="69D379C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8、安全保密要求</w:t>
      </w:r>
    </w:p>
    <w:p w14:paraId="3BB9C1E7">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（1）乙方应严格遵守国家相关的保密法律规定，无条件遵守《保密协议》（由甲方提供，双方另行签订）和甲方的有关规定。</w:t>
      </w:r>
    </w:p>
    <w:p w14:paraId="69996CF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（2）服务工作必须在甲方指定的场所内进行，确保场所正常秩序和安全。不得遗失、损坏卷宗，如有违法行为或违反相关规定，将依法或依据约定追究相应的责任。</w:t>
      </w:r>
    </w:p>
    <w:p w14:paraId="30DA4FAC">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乙方的所有工作人员必须通过采购人的审核，并登记备案。乙方必须向甲方提供以下资料：《工作人员登记表》（每人一式一份），工作人员身份证复印件（每人一式一份），工作人员档案岗位资格证书复印件（每人一式一份），《保密协议》（每人一式一份）。</w:t>
      </w:r>
    </w:p>
    <w:p w14:paraId="05E1E24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项目实施过程中，乙方如需更换、增加工作人员，必须提前一周向甲方提供拟加入人员的资料，取得法院签字同意后方可更换或者增加人手。对离开本项目实施岗位的人员，乙方需在人员离岗后一周内，在甲方保存的相关工作人员的备案表格中标注离岗日期。</w:t>
      </w:r>
    </w:p>
    <w:p w14:paraId="6F8267F2">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（5）乙方参的工作人员必须接受档案保密安全教育，并自觉学习保密知识，严格遵守《档案法》、《保密法》及其他有关法规，严防泄密现象发生。</w:t>
      </w:r>
    </w:p>
    <w:p w14:paraId="31AB8492">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除钥匙及眼镜等外，乙方工作人员未经甲方同意，不得将手袋、提包、钱包、磁盘（含U盘、软盘、硬盘等）、刻录光盘、手机、MP3、MP4、报刊、纸张及其他随身物品带入工作室，也不得将工作室的物品擅自带出工作室外。</w:t>
      </w:r>
    </w:p>
    <w:p w14:paraId="4A9BEF84">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（7）未经甲方批准，乙方不得以任何形式复制离线的卷宗图像和卷宗目录数据。</w:t>
      </w:r>
    </w:p>
    <w:p w14:paraId="1397CF76">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（8）乙方工作人员剔除同一案卷内的重复文件必须经甲方有关人员审核同意方可实施。</w:t>
      </w:r>
    </w:p>
    <w:p w14:paraId="7E9AC5CE">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工作室内的废纸、没有送达的纸质材料（起诉状副本、证据复印件等）必须集中放置定期清理，清理时要有专人对纸张进行仔细检查，确保其中没有夹带任何档案文件后才能清出工作室，运送至甲方指定位置进行销毁。</w:t>
      </w:r>
    </w:p>
    <w:p w14:paraId="7D4EEE62">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（10）乙方工作人员不得以任何方式非法向外人泄露档案所涉及的审判秘密、工作秘密及其他不宜公开的信息，否则按国家有关规定处理，情节严重的要承担相应的刑事责任。</w:t>
      </w:r>
    </w:p>
    <w:p w14:paraId="5DC0DD6F">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（11）乙方应对本项目所有产生的电子化数据的完整性和安全性负责，全面做好电子化数据的本地备份（至少有一份以上的电子化数据备份），确保数据的安全。</w:t>
      </w:r>
    </w:p>
    <w:p w14:paraId="2060623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（12）乙方购置的全部电脑硬盘等存储介质所有权归甲方所有。项目结束，乙方离场前需将电脑硬盘等全部存储介质交给甲方，由甲方进行处理。</w:t>
      </w:r>
    </w:p>
    <w:p w14:paraId="1AE5DE6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9、其他要求</w:t>
      </w:r>
    </w:p>
    <w:p w14:paraId="71BF0BC5">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（1）乙方需及时将项目实施情况汇报给甲方，及时告知项目实施过程中存在的各种风险及防范措施，每周向甲方提交项目实施报告，每月定期提交工作进度报告。</w:t>
      </w:r>
    </w:p>
    <w:p w14:paraId="2AC55EA8">
      <w:pPr>
        <w:pStyle w:val="27"/>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（2）未尽事项。本文件未尽之处按照最高院、省法院、佛山中院有关规定执行。</w:t>
      </w:r>
    </w:p>
    <w:p w14:paraId="6E0D94BC">
      <w:pPr>
        <w:pStyle w:val="2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left="510" w:right="0" w:rightChars="0" w:hanging="51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技术服务、培训等</w:t>
      </w:r>
    </w:p>
    <w:p w14:paraId="5CCC3945">
      <w:pPr>
        <w:pStyle w:val="21"/>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1、工作时间</w:t>
      </w:r>
    </w:p>
    <w:p w14:paraId="3803A298">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国家法定工作日和法院统一要求加班的节假日，上午8:00-12：00，下午：13:30-17:30。乙方应严格执行考勤制度，做好考勤登记，确保员工准时上班。</w:t>
      </w:r>
    </w:p>
    <w:p w14:paraId="311172D7">
      <w:pPr>
        <w:pStyle w:val="21"/>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2、技术服务</w:t>
      </w:r>
    </w:p>
    <w:p w14:paraId="7F7B07DD">
      <w:pPr>
        <w:pStyle w:val="2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工作时间乙方须提供运维工程师现场或远程解答甲方关于送达系统的技术问题。</w:t>
      </w:r>
    </w:p>
    <w:p w14:paraId="237C865C">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3、售后服务</w:t>
      </w:r>
    </w:p>
    <w:p w14:paraId="0D493741">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每天24小时的不间断技术支持服务，为甲方提供电话、传真、视频、现场等多种方式技术支持服务，全方位响应需求；确有必要需在2小时内到达现场，并最迟在第2个工作日内排除错误，2个工作日内不能解决的，必须采取临时应急等措施，以保证甲方的正常使用。</w:t>
      </w:r>
    </w:p>
    <w:p w14:paraId="2DA6867F">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乙方须提供从项目整体验收合格之日起，提供一年的免费质保期服务；质保期满后，提供的技术支持和维护，只收取技术服务成本价。无论在质保期内还是质保期满后，乙方负责对其实施的项目提供24小时不间断技术支持服务，全方位技术响应。</w:t>
      </w:r>
    </w:p>
    <w:p w14:paraId="5467F841">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4、培训</w:t>
      </w:r>
    </w:p>
    <w:p w14:paraId="74464416">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乙方需对其所有工作人员定期进行岗位培训，每季度至少培训一次，培训内容包括但不限于技术、保密等相关内容，保证项目的安全、进度和质量。</w:t>
      </w:r>
    </w:p>
    <w:p w14:paraId="5AF45FA0">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5、人员调整</w:t>
      </w:r>
    </w:p>
    <w:p w14:paraId="20E84724">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乙方须按其投标文件中承诺提供的项目组人员按要求投入到本项目中，在合同期内不得擅自更换，并向甲方报备投入本项目人员信息。乙方如因工作安排或其他原因，需要更换项目组人员时，应事前向甲方书面提出申请，未经甲方同意，不得更换人员。</w:t>
      </w:r>
    </w:p>
    <w:p w14:paraId="66561C9E">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甲方有权以书面形式要求乙方更换不能按规定履行合同或工作质量出现问题的工作人员，同时并收回相关出入甲方场所证件，替代人员的资质仍应得到甲方的认可，且其资历和经验均不低于被更换人员，由此而产生的费用由乙方承担。</w:t>
      </w:r>
    </w:p>
    <w:p w14:paraId="0908569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乙方未经甲方书面同意擅自更换项目组人员，甲方有权扣除乙方一定的违约金；发生本条上述情况累计达4次后，甲方有权终止合同，由此引致的经济损失，乙方须全额赔偿，甲方保留追究乙方相关责任的权利。</w:t>
      </w:r>
    </w:p>
    <w:p w14:paraId="799C8872">
      <w:pPr>
        <w:pStyle w:val="27"/>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（4）乙方对其项目人员的人身安全负全部责任。</w:t>
      </w:r>
    </w:p>
    <w:p w14:paraId="159659D5">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服务对照执行标准</w:t>
      </w:r>
    </w:p>
    <w:p w14:paraId="3DB03875">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1、符合中华人民共和国国家和履约地相关安全质量标准、行业技术规范标准；</w:t>
      </w:r>
    </w:p>
    <w:p w14:paraId="0CF1D001">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2、符合采购文件和响应承诺中各方共同认可的合理要求；</w:t>
      </w:r>
    </w:p>
    <w:p w14:paraId="05BF9187">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上述各类标准与法规必须是有关官方机构最新发布的现行标准版本。</w:t>
      </w:r>
    </w:p>
    <w:p w14:paraId="3B3E391E">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outlineLvl w:val="1"/>
        <w:rPr>
          <w:rFonts w:hint="eastAsia" w:ascii="宋体" w:hAnsi="宋体" w:eastAsia="宋体" w:cs="宋体"/>
          <w:b/>
          <w:bCs/>
          <w:color w:val="auto"/>
          <w:sz w:val="21"/>
          <w:szCs w:val="21"/>
          <w:highlight w:val="none"/>
        </w:rPr>
      </w:pPr>
      <w:bookmarkStart w:id="35" w:name="_Toc30072"/>
      <w:bookmarkStart w:id="36" w:name="_Toc14430"/>
      <w:r>
        <w:rPr>
          <w:rFonts w:hint="eastAsia" w:ascii="宋体" w:hAnsi="宋体" w:eastAsia="宋体" w:cs="宋体"/>
          <w:b/>
          <w:bCs/>
          <w:color w:val="auto"/>
          <w:sz w:val="21"/>
          <w:szCs w:val="21"/>
          <w:highlight w:val="none"/>
        </w:rPr>
        <w:t>投诉跟踪服务要求</w:t>
      </w:r>
      <w:bookmarkEnd w:id="35"/>
      <w:bookmarkEnd w:id="36"/>
    </w:p>
    <w:p w14:paraId="0D9B0879">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14:paraId="0E462641">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2、服务期内，甲方有权按本项目的管理要求对乙方进行不定期抽查检查，若对不合格的管理服务提出警告后，仍未得到有效解决时，甲方有权终止管理合同。</w:t>
      </w:r>
    </w:p>
    <w:p w14:paraId="4D5DF0D0">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3、乙方服务机构名称及地址：</w:t>
      </w:r>
    </w:p>
    <w:p w14:paraId="6EC7CEF9">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联系人1：          ，联系电话：            ，手机：          ；</w:t>
      </w:r>
    </w:p>
    <w:p w14:paraId="1086D339">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联系人2：          ，联系电话：            ，手机：          ；</w:t>
      </w:r>
    </w:p>
    <w:p w14:paraId="508850FC">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服务专线电话：</w:t>
      </w:r>
    </w:p>
    <w:p w14:paraId="60B7E232">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bookmarkStart w:id="37" w:name="_Toc465245603"/>
      <w:r>
        <w:rPr>
          <w:rFonts w:hint="eastAsia" w:ascii="宋体" w:hAnsi="宋体" w:eastAsia="宋体" w:cs="宋体"/>
          <w:bCs/>
          <w:color w:val="auto"/>
          <w:sz w:val="21"/>
          <w:szCs w:val="21"/>
          <w:highlight w:val="none"/>
          <w:lang w:val="en-US" w:eastAsia="zh-CN"/>
        </w:rPr>
        <w:t>4、其他服务要求：（补充内容不得对采购文件和投标/响应文件作实质性修改）</w:t>
      </w:r>
      <w:bookmarkEnd w:id="37"/>
      <w:r>
        <w:rPr>
          <w:rFonts w:hint="eastAsia" w:ascii="宋体" w:hAnsi="宋体" w:eastAsia="宋体" w:cs="宋体"/>
          <w:bCs/>
          <w:color w:val="auto"/>
          <w:sz w:val="21"/>
          <w:szCs w:val="21"/>
          <w:highlight w:val="none"/>
          <w:lang w:val="en-US" w:eastAsia="zh-CN"/>
        </w:rPr>
        <w:t>。</w:t>
      </w:r>
    </w:p>
    <w:p w14:paraId="06142F65">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outlineLvl w:val="1"/>
        <w:rPr>
          <w:rFonts w:hint="eastAsia" w:ascii="宋体" w:hAnsi="宋体" w:eastAsia="宋体" w:cs="宋体"/>
          <w:b/>
          <w:bCs/>
          <w:color w:val="auto"/>
          <w:sz w:val="21"/>
          <w:szCs w:val="21"/>
          <w:highlight w:val="none"/>
        </w:rPr>
      </w:pPr>
      <w:bookmarkStart w:id="38" w:name="_Toc14692"/>
      <w:bookmarkStart w:id="39" w:name="_Toc26438"/>
      <w:r>
        <w:rPr>
          <w:rFonts w:hint="eastAsia" w:ascii="宋体" w:hAnsi="宋体" w:eastAsia="宋体" w:cs="宋体"/>
          <w:b/>
          <w:bCs/>
          <w:color w:val="auto"/>
          <w:sz w:val="21"/>
          <w:szCs w:val="21"/>
          <w:highlight w:val="none"/>
        </w:rPr>
        <w:t>违约责任</w:t>
      </w:r>
      <w:bookmarkEnd w:id="38"/>
      <w:bookmarkEnd w:id="39"/>
    </w:p>
    <w:p w14:paraId="7925C78F">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1、乙方未能按照“时间进度要求”完成资源配备及试运行各项工作的，应支付合同总额25%的违约金，甲方有权解除合同并没收尚未退还的保证金。</w:t>
      </w:r>
    </w:p>
    <w:p w14:paraId="571D3627">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乙方未能按照“结算方式”的约定达到当年(每季结算一次）电子送达有效率，按“结算方式”约定的结算方式结算。实际电子送达有效率比当年约定送达有效率低于15%（当年约定电子送达有效率－实际电子送达有效率≥15%），甲方有权解除合同并没收尚未退还的保证金。</w:t>
      </w:r>
    </w:p>
    <w:p w14:paraId="4DD67D1D">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3、乙方终止合同未提前3个月通知甲方，按合同总价的10%进行赔偿；</w:t>
      </w:r>
    </w:p>
    <w:p w14:paraId="7947CA06">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4、本合同服务期满时，若乙方需要撤场，乙方未向甲方交接电脑硬盘等全部存储介质的，或不配合甲方做好后续交接衔接工作的，应按合同总价的10%进行赔偿。</w:t>
      </w:r>
    </w:p>
    <w:p w14:paraId="0AAE4FBE">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outlineLvl w:val="1"/>
        <w:rPr>
          <w:rFonts w:hint="eastAsia" w:ascii="宋体" w:hAnsi="宋体" w:eastAsia="宋体" w:cs="宋体"/>
          <w:b/>
          <w:bCs/>
          <w:color w:val="auto"/>
          <w:sz w:val="21"/>
          <w:szCs w:val="21"/>
          <w:highlight w:val="none"/>
        </w:rPr>
      </w:pPr>
      <w:bookmarkStart w:id="40" w:name="_Toc29672"/>
      <w:bookmarkStart w:id="41" w:name="_Toc7353"/>
      <w:r>
        <w:rPr>
          <w:rFonts w:hint="eastAsia" w:ascii="宋体" w:hAnsi="宋体" w:eastAsia="宋体" w:cs="宋体"/>
          <w:b/>
          <w:bCs/>
          <w:color w:val="auto"/>
          <w:sz w:val="21"/>
          <w:szCs w:val="21"/>
          <w:highlight w:val="none"/>
        </w:rPr>
        <w:t>提出异议的时间和方法</w:t>
      </w:r>
      <w:bookmarkEnd w:id="40"/>
      <w:bookmarkEnd w:id="41"/>
    </w:p>
    <w:p w14:paraId="7893161D">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甲方有异议时，应</w:t>
      </w:r>
      <w:r>
        <w:rPr>
          <w:rFonts w:hint="eastAsia" w:ascii="宋体" w:hAnsi="宋体" w:eastAsia="宋体" w:cs="宋体"/>
          <w:bCs/>
          <w:color w:val="auto"/>
          <w:sz w:val="21"/>
          <w:szCs w:val="21"/>
          <w:highlight w:val="none"/>
          <w:lang w:val="en-US" w:eastAsia="zh-CN"/>
        </w:rPr>
        <w:t xml:space="preserve"> 5 </w:t>
      </w:r>
      <w:r>
        <w:rPr>
          <w:rFonts w:hint="eastAsia" w:ascii="宋体" w:hAnsi="宋体" w:eastAsia="宋体" w:cs="宋体"/>
          <w:bCs/>
          <w:color w:val="auto"/>
          <w:sz w:val="21"/>
          <w:szCs w:val="21"/>
          <w:highlight w:val="none"/>
        </w:rPr>
        <w:t>天内向乙方提出书面异议。</w:t>
      </w:r>
    </w:p>
    <w:p w14:paraId="09E241A6">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乙方在接到甲方书面异议后，应在3天内负责处理并函复甲方处理情况，否则，即视为默认甲方提出的异议和处理意见。</w:t>
      </w:r>
    </w:p>
    <w:p w14:paraId="06C1D16D">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14:paraId="31372D17">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outlineLvl w:val="1"/>
        <w:rPr>
          <w:rFonts w:hint="eastAsia" w:ascii="宋体" w:hAnsi="宋体" w:eastAsia="宋体" w:cs="宋体"/>
          <w:b/>
          <w:bCs/>
          <w:color w:val="auto"/>
          <w:sz w:val="21"/>
          <w:szCs w:val="21"/>
          <w:highlight w:val="none"/>
        </w:rPr>
      </w:pPr>
      <w:bookmarkStart w:id="42" w:name="_Toc20403"/>
      <w:bookmarkStart w:id="43" w:name="_Toc13514"/>
      <w:r>
        <w:rPr>
          <w:rFonts w:hint="eastAsia" w:ascii="宋体" w:hAnsi="宋体" w:eastAsia="宋体" w:cs="宋体"/>
          <w:b/>
          <w:bCs/>
          <w:color w:val="auto"/>
          <w:sz w:val="21"/>
          <w:szCs w:val="21"/>
          <w:highlight w:val="none"/>
        </w:rPr>
        <w:t>争议的解决</w:t>
      </w:r>
      <w:bookmarkEnd w:id="42"/>
      <w:bookmarkEnd w:id="43"/>
    </w:p>
    <w:p w14:paraId="4EAB855D">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合同履行过程中发生的任何争议，如双方未能通过友好协商解决，应向甲方所在地的人民法院提起诉讼。</w:t>
      </w:r>
    </w:p>
    <w:p w14:paraId="51A70269">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outlineLvl w:val="1"/>
        <w:rPr>
          <w:rFonts w:hint="eastAsia" w:ascii="宋体" w:hAnsi="宋体" w:eastAsia="宋体" w:cs="宋体"/>
          <w:b/>
          <w:bCs/>
          <w:color w:val="auto"/>
          <w:sz w:val="21"/>
          <w:szCs w:val="21"/>
          <w:highlight w:val="none"/>
        </w:rPr>
      </w:pPr>
      <w:bookmarkStart w:id="44" w:name="_Toc15154"/>
      <w:bookmarkStart w:id="45" w:name="_Toc30231"/>
      <w:r>
        <w:rPr>
          <w:rFonts w:hint="eastAsia" w:ascii="宋体" w:hAnsi="宋体" w:eastAsia="宋体" w:cs="宋体"/>
          <w:b/>
          <w:bCs/>
          <w:color w:val="auto"/>
          <w:sz w:val="21"/>
          <w:szCs w:val="21"/>
          <w:highlight w:val="none"/>
        </w:rPr>
        <w:t>不可抗力</w:t>
      </w:r>
      <w:bookmarkEnd w:id="44"/>
      <w:bookmarkEnd w:id="45"/>
    </w:p>
    <w:p w14:paraId="58AC3757">
      <w:pPr>
        <w:pStyle w:val="29"/>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于地震、台风、水灾、战争、以及其它不能预见并且对其发生和后果不能防止或避免的不可抗力事故，致使直接影响本合同的履行或者不能按约定的条件履行时，遇有上述不可抗力事故的一方，应在不可抗力事故发生后立即将事故情况电传通知对方，并应在15天内提供事故详情及合同不能履行，或者部分不能履行，或者需要延期履行的理由的有效证明文件。此项证明文件应由事故发生地区的公证机构出具。按照事故对履行合同的影响程度，由合同各方协商决定是否解除合同，或者部分免除履行合同的责任，或者延期履行合同。</w:t>
      </w:r>
    </w:p>
    <w:p w14:paraId="6879B572">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outlineLvl w:val="1"/>
        <w:rPr>
          <w:rFonts w:hint="eastAsia" w:ascii="宋体" w:hAnsi="宋体" w:eastAsia="宋体" w:cs="宋体"/>
          <w:b/>
          <w:bCs/>
          <w:color w:val="auto"/>
          <w:sz w:val="21"/>
          <w:szCs w:val="21"/>
          <w:highlight w:val="none"/>
        </w:rPr>
      </w:pPr>
      <w:bookmarkStart w:id="46" w:name="_Toc26275"/>
      <w:bookmarkStart w:id="47" w:name="_Toc12358"/>
      <w:r>
        <w:rPr>
          <w:rFonts w:hint="eastAsia" w:ascii="宋体" w:hAnsi="宋体" w:eastAsia="宋体" w:cs="宋体"/>
          <w:b/>
          <w:bCs/>
          <w:color w:val="auto"/>
          <w:sz w:val="21"/>
          <w:szCs w:val="21"/>
          <w:highlight w:val="none"/>
        </w:rPr>
        <w:t>税费</w:t>
      </w:r>
      <w:bookmarkEnd w:id="46"/>
      <w:bookmarkEnd w:id="47"/>
    </w:p>
    <w:p w14:paraId="0094DC49">
      <w:pPr>
        <w:pStyle w:val="29"/>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在中国境</w:t>
      </w:r>
      <w:r>
        <w:rPr>
          <w:rFonts w:hint="eastAsia" w:ascii="宋体" w:hAnsi="宋体" w:eastAsia="宋体" w:cs="宋体"/>
          <w:bCs/>
          <w:color w:val="auto"/>
          <w:sz w:val="21"/>
          <w:szCs w:val="21"/>
          <w:highlight w:val="none"/>
          <w:lang w:val="en-US" w:eastAsia="zh-CN"/>
        </w:rPr>
        <w:t>内、</w:t>
      </w:r>
      <w:r>
        <w:rPr>
          <w:rFonts w:hint="eastAsia" w:ascii="宋体" w:hAnsi="宋体" w:eastAsia="宋体" w:cs="宋体"/>
          <w:bCs/>
          <w:color w:val="auto"/>
          <w:sz w:val="21"/>
          <w:szCs w:val="21"/>
          <w:highlight w:val="none"/>
        </w:rPr>
        <w:t>外发生的与本合同相关的一切税费及不可预见费均由</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负担。</w:t>
      </w:r>
    </w:p>
    <w:p w14:paraId="3B2D65F2">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防疫要求</w:t>
      </w:r>
    </w:p>
    <w:p w14:paraId="7A205089">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如</w:t>
      </w:r>
      <w:r>
        <w:rPr>
          <w:rFonts w:hint="eastAsia" w:ascii="宋体" w:hAnsi="宋体" w:eastAsia="宋体" w:cs="宋体"/>
          <w:bCs/>
          <w:color w:val="auto"/>
          <w:sz w:val="21"/>
          <w:szCs w:val="21"/>
          <w:highlight w:val="none"/>
        </w:rPr>
        <w:t>遇突发的公共卫生事件，必须服从</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的工作安排，配合政府及相关防疫部门的工作部署，开展防疫工作。</w:t>
      </w:r>
    </w:p>
    <w:p w14:paraId="6AD7ED13">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outlineLvl w:val="1"/>
        <w:rPr>
          <w:rFonts w:hint="eastAsia" w:ascii="宋体" w:hAnsi="宋体" w:eastAsia="宋体" w:cs="宋体"/>
          <w:b/>
          <w:bCs/>
          <w:color w:val="auto"/>
          <w:sz w:val="21"/>
          <w:szCs w:val="21"/>
          <w:highlight w:val="none"/>
        </w:rPr>
      </w:pPr>
      <w:bookmarkStart w:id="48" w:name="_Toc17626"/>
      <w:bookmarkStart w:id="49" w:name="_Toc19906"/>
      <w:r>
        <w:rPr>
          <w:rFonts w:hint="eastAsia" w:ascii="宋体" w:hAnsi="宋体" w:eastAsia="宋体" w:cs="宋体"/>
          <w:b/>
          <w:bCs/>
          <w:color w:val="auto"/>
          <w:sz w:val="21"/>
          <w:szCs w:val="21"/>
          <w:highlight w:val="none"/>
        </w:rPr>
        <w:t>乙方应提供的资料内容</w:t>
      </w:r>
      <w:bookmarkEnd w:id="48"/>
      <w:bookmarkEnd w:id="49"/>
    </w:p>
    <w:p w14:paraId="0D000882">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（自行按需补充）</w:t>
      </w:r>
    </w:p>
    <w:p w14:paraId="56CC5823">
      <w:pPr>
        <w:pStyle w:val="27"/>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510" w:leftChars="0" w:right="0" w:rightChars="0" w:hanging="510" w:firstLineChars="0"/>
        <w:textAlignment w:val="auto"/>
        <w:outlineLvl w:val="1"/>
        <w:rPr>
          <w:rFonts w:hint="eastAsia" w:ascii="宋体" w:hAnsi="宋体" w:eastAsia="宋体" w:cs="宋体"/>
          <w:b/>
          <w:bCs/>
          <w:color w:val="auto"/>
          <w:sz w:val="21"/>
          <w:szCs w:val="21"/>
          <w:highlight w:val="none"/>
        </w:rPr>
      </w:pPr>
      <w:bookmarkStart w:id="50" w:name="_Toc29459"/>
      <w:bookmarkStart w:id="51" w:name="_Toc21714"/>
      <w:r>
        <w:rPr>
          <w:rFonts w:hint="eastAsia" w:ascii="宋体" w:hAnsi="宋体" w:eastAsia="宋体" w:cs="宋体"/>
          <w:b/>
          <w:bCs/>
          <w:color w:val="auto"/>
          <w:sz w:val="21"/>
          <w:szCs w:val="21"/>
          <w:highlight w:val="none"/>
        </w:rPr>
        <w:t>其它</w:t>
      </w:r>
      <w:bookmarkEnd w:id="50"/>
      <w:bookmarkEnd w:id="51"/>
    </w:p>
    <w:p w14:paraId="3D3743D9">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14:paraId="3E6368C6">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2、如一方（包括联系人）地址、电话、传真号码有变更，应在变更后3个工作日内书面通知对方联系人或负责人，否则，因此造成的损失由未履行通知义务方承担相应责任。</w:t>
      </w:r>
    </w:p>
    <w:p w14:paraId="62B0E666">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3、未经甲方书面同意，乙方不得擅自向第三方转让其主体性和关键性合同义务。</w:t>
      </w:r>
    </w:p>
    <w:p w14:paraId="5C1597E4">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4、本合同一式___份，甲方执___份，乙方执___份。</w:t>
      </w:r>
    </w:p>
    <w:p w14:paraId="64067301">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5、本合同所指“书面通知”包括但不限于短信、电子邮件等数据电文的通知形式，到达时间以民事诉讼法的规定为准，但进行书面通知前后，通知方均有义务电话确认通知事项。</w:t>
      </w:r>
    </w:p>
    <w:p w14:paraId="481073F2">
      <w:pPr>
        <w:pStyle w:val="2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6、双方均已对以上各条款及附件作充分了解，并明确理解由此而产生的相关权责。</w:t>
      </w:r>
    </w:p>
    <w:p w14:paraId="2872DA8C">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p>
    <w:tbl>
      <w:tblPr>
        <w:tblStyle w:val="18"/>
        <w:tblW w:w="9356" w:type="dxa"/>
        <w:tblInd w:w="108" w:type="dxa"/>
        <w:tblLayout w:type="fixed"/>
        <w:tblCellMar>
          <w:top w:w="0" w:type="dxa"/>
          <w:left w:w="108" w:type="dxa"/>
          <w:bottom w:w="0" w:type="dxa"/>
          <w:right w:w="108" w:type="dxa"/>
        </w:tblCellMar>
      </w:tblPr>
      <w:tblGrid>
        <w:gridCol w:w="4656"/>
        <w:gridCol w:w="4524"/>
        <w:gridCol w:w="176"/>
      </w:tblGrid>
      <w:tr w14:paraId="6E51CB42">
        <w:trPr>
          <w:gridAfter w:val="1"/>
          <w:wAfter w:w="176" w:type="dxa"/>
          <w:trHeight w:val="2244" w:hRule="atLeast"/>
        </w:trPr>
        <w:tc>
          <w:tcPr>
            <w:tcW w:w="4656" w:type="dxa"/>
            <w:tcBorders>
              <w:top w:val="nil"/>
              <w:left w:val="nil"/>
              <w:bottom w:val="nil"/>
              <w:right w:val="dotDotDash" w:color="auto" w:sz="4" w:space="0"/>
            </w:tcBorders>
          </w:tcPr>
          <w:p w14:paraId="47E3EF65">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t>甲方（盖章）：</w:t>
            </w:r>
          </w:p>
          <w:p w14:paraId="49E5DD9B">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u w:val="dotted"/>
              </w:rPr>
            </w:pPr>
            <w:r>
              <w:rPr>
                <w:rFonts w:hint="default" w:ascii="Times New Roman" w:hAnsi="Times New Roman" w:cs="Times New Roman" w:eastAsiaTheme="minorEastAsia"/>
                <w:color w:val="auto"/>
                <w:sz w:val="21"/>
                <w:szCs w:val="21"/>
                <w:highlight w:val="none"/>
              </w:rPr>
              <w:t>代表：</w:t>
            </w:r>
          </w:p>
          <w:p w14:paraId="2CADC7B0">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地址：</w:t>
            </w:r>
          </w:p>
          <w:p w14:paraId="2F25D0EF">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p w14:paraId="56D6A617">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传真：</w:t>
            </w:r>
          </w:p>
          <w:p w14:paraId="16FE57AD">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color w:val="auto"/>
                <w:sz w:val="21"/>
                <w:szCs w:val="21"/>
                <w:highlight w:val="none"/>
              </w:rPr>
              <w:t>日期：   年   月   日</w:t>
            </w:r>
          </w:p>
        </w:tc>
        <w:tc>
          <w:tcPr>
            <w:tcW w:w="4524" w:type="dxa"/>
            <w:tcBorders>
              <w:top w:val="nil"/>
              <w:left w:val="dotDotDash" w:color="auto" w:sz="4" w:space="0"/>
              <w:bottom w:val="nil"/>
              <w:right w:val="nil"/>
            </w:tcBorders>
          </w:tcPr>
          <w:p w14:paraId="0EC43648">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t>乙方（盖章）：</w:t>
            </w:r>
          </w:p>
          <w:p w14:paraId="68F0348A">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u w:val="dotted"/>
              </w:rPr>
            </w:pPr>
            <w:r>
              <w:rPr>
                <w:rFonts w:hint="default" w:ascii="Times New Roman" w:hAnsi="Times New Roman" w:cs="Times New Roman" w:eastAsiaTheme="minorEastAsia"/>
                <w:color w:val="auto"/>
                <w:sz w:val="21"/>
                <w:szCs w:val="21"/>
                <w:highlight w:val="none"/>
              </w:rPr>
              <w:t>代表：</w:t>
            </w:r>
          </w:p>
          <w:p w14:paraId="3A7D35BB">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地址：</w:t>
            </w:r>
          </w:p>
          <w:p w14:paraId="14176FE0">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p w14:paraId="4FCBE4C7">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传真：</w:t>
            </w:r>
          </w:p>
          <w:p w14:paraId="550C9428">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color w:val="auto"/>
                <w:sz w:val="21"/>
                <w:szCs w:val="21"/>
                <w:highlight w:val="none"/>
              </w:rPr>
              <w:t>日期：   年   月   日</w:t>
            </w:r>
          </w:p>
        </w:tc>
      </w:tr>
      <w:tr w14:paraId="62FA923F">
        <w:tblPrEx>
          <w:tblCellMar>
            <w:top w:w="0" w:type="dxa"/>
            <w:left w:w="108" w:type="dxa"/>
            <w:bottom w:w="0" w:type="dxa"/>
            <w:right w:w="108" w:type="dxa"/>
          </w:tblCellMar>
        </w:tblPrEx>
        <w:trPr>
          <w:trHeight w:val="1781" w:hRule="atLeast"/>
        </w:trPr>
        <w:tc>
          <w:tcPr>
            <w:tcW w:w="4656" w:type="dxa"/>
            <w:tcBorders>
              <w:top w:val="nil"/>
              <w:left w:val="nil"/>
              <w:bottom w:val="single" w:color="FFFFFF" w:sz="4" w:space="0"/>
              <w:right w:val="dotDotDash" w:color="auto" w:sz="4" w:space="0"/>
            </w:tcBorders>
          </w:tcPr>
          <w:p w14:paraId="10E221EE">
            <w:pPr>
              <w:pStyle w:val="30"/>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sz w:val="21"/>
                <w:szCs w:val="21"/>
                <w:highlight w:val="none"/>
              </w:rPr>
            </w:pPr>
          </w:p>
          <w:p w14:paraId="349785C4">
            <w:pPr>
              <w:pStyle w:val="30"/>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1"/>
                <w:szCs w:val="21"/>
                <w:highlight w:val="none"/>
              </w:rPr>
            </w:pPr>
          </w:p>
        </w:tc>
        <w:tc>
          <w:tcPr>
            <w:tcW w:w="4700" w:type="dxa"/>
            <w:gridSpan w:val="2"/>
            <w:tcBorders>
              <w:top w:val="nil"/>
              <w:left w:val="dotDotDash" w:color="auto" w:sz="4" w:space="0"/>
              <w:bottom w:val="single" w:color="FFFFFF" w:sz="4" w:space="0"/>
              <w:right w:val="nil"/>
            </w:tcBorders>
          </w:tcPr>
          <w:p w14:paraId="6087D970">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p>
          <w:p w14:paraId="19741E63">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t>收款方、开票方须与乙方一致，专户为：</w:t>
            </w:r>
          </w:p>
          <w:p w14:paraId="27CA13E9">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color w:val="auto"/>
                <w:sz w:val="21"/>
                <w:szCs w:val="21"/>
                <w:highlight w:val="none"/>
              </w:rPr>
              <w:t>开户名称：</w:t>
            </w:r>
          </w:p>
          <w:p w14:paraId="181A80F9">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color w:val="auto"/>
                <w:sz w:val="21"/>
                <w:szCs w:val="21"/>
                <w:highlight w:val="none"/>
              </w:rPr>
              <w:t>银行账号：</w:t>
            </w:r>
          </w:p>
          <w:p w14:paraId="2983F6E7">
            <w:pPr>
              <w:pStyle w:val="2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color w:val="auto"/>
                <w:sz w:val="21"/>
                <w:szCs w:val="21"/>
                <w:highlight w:val="none"/>
              </w:rPr>
              <w:t>开户行：</w:t>
            </w:r>
          </w:p>
        </w:tc>
      </w:tr>
    </w:tbl>
    <w:p w14:paraId="1B72E67D">
      <w:pPr>
        <w:pStyle w:val="17"/>
        <w:keepLines w:val="0"/>
        <w:kinsoku/>
        <w:wordWrap/>
        <w:overflowPunct/>
        <w:topLinePunct w:val="0"/>
        <w:bidi w:val="0"/>
        <w:spacing w:before="0" w:beforeLines="0" w:beforeAutospacing="0" w:after="0" w:afterLines="0" w:afterAutospacing="0" w:line="440" w:lineRule="atLeast"/>
        <w:ind w:left="0" w:leftChars="0" w:right="0" w:rightChars="0" w:firstLine="0" w:firstLineChars="0"/>
        <w:rPr>
          <w:rFonts w:hint="default" w:ascii="Times New Roman" w:hAnsi="Times New Roman" w:cs="Times New Roman" w:eastAsiaTheme="minorEastAsia"/>
          <w:b/>
          <w:color w:val="auto"/>
          <w:highlight w:val="none"/>
        </w:rPr>
      </w:pPr>
    </w:p>
    <w:p w14:paraId="45C37AA9">
      <w:pPr>
        <w:pStyle w:val="17"/>
        <w:keepLines w:val="0"/>
        <w:kinsoku/>
        <w:wordWrap/>
        <w:overflowPunct/>
        <w:topLinePunct w:val="0"/>
        <w:bidi w:val="0"/>
        <w:spacing w:before="0" w:beforeLines="0" w:beforeAutospacing="0" w:after="0" w:afterLines="0" w:afterAutospacing="0" w:line="440" w:lineRule="atLeast"/>
        <w:ind w:left="0" w:leftChars="0" w:right="0" w:rightChars="0" w:firstLine="0" w:firstLineChars="0"/>
        <w:rPr>
          <w:rFonts w:hint="default" w:ascii="Times New Roman" w:hAnsi="Times New Roman" w:cs="Times New Roman" w:eastAsiaTheme="minorEastAsia"/>
          <w:b/>
          <w:color w:val="auto"/>
          <w:highlight w:val="none"/>
        </w:rPr>
        <w:sectPr>
          <w:headerReference r:id="rId3" w:type="default"/>
          <w:pgSz w:w="11906" w:h="16838"/>
          <w:pgMar w:top="1134" w:right="1134" w:bottom="1134" w:left="1588" w:header="567" w:footer="737" w:gutter="0"/>
          <w:pgBorders>
            <w:top w:val="none" w:sz="0" w:space="0"/>
            <w:left w:val="none" w:sz="0" w:space="0"/>
            <w:bottom w:val="none" w:sz="0" w:space="0"/>
            <w:right w:val="none" w:sz="0" w:space="0"/>
          </w:pgBorders>
          <w:pgNumType w:fmt="decimal"/>
          <w:cols w:space="720" w:num="1"/>
          <w:docGrid w:linePitch="312" w:charSpace="0"/>
        </w:sectPr>
      </w:pPr>
    </w:p>
    <w:p w14:paraId="08633D98">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1"/>
          <w:szCs w:val="21"/>
          <w:highlight w:val="none"/>
        </w:rPr>
      </w:pPr>
    </w:p>
    <w:p w14:paraId="757891E5">
      <w:pPr>
        <w:pStyle w:val="21"/>
        <w:keepLines w:val="0"/>
        <w:kinsoku/>
        <w:wordWrap/>
        <w:overflowPunct/>
        <w:topLinePunct w:val="0"/>
        <w:bidi w:val="0"/>
        <w:spacing w:beforeAutospacing="0" w:afterAutospacing="0" w:line="440" w:lineRule="atLeast"/>
        <w:ind w:left="0" w:leftChars="0" w:right="0" w:rightChars="0"/>
        <w:jc w:val="center"/>
        <w:outlineLvl w:val="0"/>
        <w:rPr>
          <w:rFonts w:hint="default" w:ascii="Times New Roman" w:hAnsi="Times New Roman" w:cs="Times New Roman" w:eastAsiaTheme="minorEastAsia"/>
          <w:color w:val="auto"/>
          <w:sz w:val="28"/>
          <w:szCs w:val="28"/>
          <w:highlight w:val="none"/>
        </w:rPr>
      </w:pPr>
      <w:bookmarkStart w:id="52" w:name="_Toc24585"/>
      <w:r>
        <w:rPr>
          <w:rFonts w:hint="default" w:ascii="Times New Roman" w:hAnsi="Times New Roman" w:cs="Times New Roman" w:eastAsiaTheme="minorEastAsia"/>
          <w:b/>
          <w:color w:val="auto"/>
          <w:sz w:val="28"/>
          <w:szCs w:val="28"/>
          <w:highlight w:val="none"/>
        </w:rPr>
        <w:t>第六</w:t>
      </w:r>
      <w:r>
        <w:rPr>
          <w:rFonts w:hint="default" w:ascii="Times New Roman" w:hAnsi="Times New Roman" w:cs="Times New Roman" w:eastAsiaTheme="minorEastAsia"/>
          <w:b/>
          <w:color w:val="auto"/>
          <w:sz w:val="28"/>
          <w:szCs w:val="28"/>
          <w:highlight w:val="none"/>
          <w:lang w:eastAsia="zh-CN"/>
        </w:rPr>
        <w:t>部分</w:t>
      </w:r>
      <w:r>
        <w:rPr>
          <w:rFonts w:hint="default" w:ascii="Times New Roman" w:hAnsi="Times New Roman" w:cs="Times New Roman" w:eastAsiaTheme="minorEastAsia"/>
          <w:b/>
          <w:color w:val="auto"/>
          <w:sz w:val="28"/>
          <w:szCs w:val="28"/>
          <w:highlight w:val="none"/>
        </w:rPr>
        <w:t xml:space="preserve"> 响应文件格式与要求</w:t>
      </w:r>
      <w:bookmarkEnd w:id="52"/>
    </w:p>
    <w:p w14:paraId="2101D3CB">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供应商应提交证明其有资格参加磋商和成交后有能力履行合同的相关文件，并作为其响应文件的一部分，所有文件必须真实可靠、不得伪造，否则将按相关规定予以处罚。</w:t>
      </w:r>
    </w:p>
    <w:p w14:paraId="6F7BD849">
      <w:pPr>
        <w:pStyle w:val="21"/>
        <w:keepLines w:val="0"/>
        <w:kinsoku/>
        <w:wordWrap/>
        <w:overflowPunct/>
        <w:topLinePunct w:val="0"/>
        <w:bidi w:val="0"/>
        <w:spacing w:beforeAutospacing="0" w:afterAutospacing="0" w:line="440" w:lineRule="atLeast"/>
        <w:ind w:left="0" w:leftChars="0" w:right="0" w:rightChars="0" w:firstLine="480"/>
        <w:outlineLvl w:val="1"/>
        <w:rPr>
          <w:rFonts w:hint="default" w:ascii="Times New Roman" w:hAnsi="Times New Roman" w:cs="Times New Roman" w:eastAsiaTheme="minorEastAsia"/>
          <w:color w:val="auto"/>
          <w:sz w:val="21"/>
          <w:szCs w:val="21"/>
          <w:highlight w:val="none"/>
        </w:rPr>
      </w:pPr>
      <w:bookmarkStart w:id="53" w:name="_Toc24671"/>
      <w:bookmarkStart w:id="54" w:name="_Toc22507"/>
      <w:r>
        <w:rPr>
          <w:rFonts w:hint="default" w:ascii="Times New Roman" w:hAnsi="Times New Roman" w:cs="Times New Roman" w:eastAsiaTheme="minorEastAsia"/>
          <w:color w:val="auto"/>
          <w:sz w:val="21"/>
          <w:szCs w:val="21"/>
          <w:highlight w:val="none"/>
        </w:rPr>
        <w:t>1.法人或者其他组织的营业执照等证明文件，自然人的身份证明：</w:t>
      </w:r>
      <w:bookmarkEnd w:id="53"/>
      <w:bookmarkEnd w:id="54"/>
    </w:p>
    <w:p w14:paraId="4564215A">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2C4C7D66">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58B037BA">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2.财务状况报告，依法缴纳税收和社会保障资金的相关材料（详见资格性审查表要求）</w:t>
      </w:r>
    </w:p>
    <w:p w14:paraId="30F03D3A">
      <w:pPr>
        <w:pStyle w:val="21"/>
        <w:keepLines w:val="0"/>
        <w:kinsoku/>
        <w:wordWrap/>
        <w:overflowPunct/>
        <w:topLinePunct w:val="0"/>
        <w:bidi w:val="0"/>
        <w:spacing w:beforeAutospacing="0" w:afterAutospacing="0" w:line="440" w:lineRule="atLeast"/>
        <w:ind w:left="0" w:leftChars="0" w:right="0" w:rightChars="0" w:firstLine="480"/>
        <w:outlineLvl w:val="1"/>
        <w:rPr>
          <w:rFonts w:hint="default" w:ascii="Times New Roman" w:hAnsi="Times New Roman" w:cs="Times New Roman" w:eastAsiaTheme="minorEastAsia"/>
          <w:color w:val="auto"/>
          <w:sz w:val="21"/>
          <w:szCs w:val="21"/>
          <w:highlight w:val="none"/>
        </w:rPr>
      </w:pPr>
      <w:bookmarkStart w:id="55" w:name="_Toc29387"/>
      <w:bookmarkStart w:id="56" w:name="_Toc12254"/>
      <w:r>
        <w:rPr>
          <w:rFonts w:hint="default" w:ascii="Times New Roman" w:hAnsi="Times New Roman" w:cs="Times New Roman" w:eastAsiaTheme="minorEastAsia"/>
          <w:color w:val="auto"/>
          <w:sz w:val="21"/>
          <w:szCs w:val="21"/>
          <w:highlight w:val="none"/>
        </w:rPr>
        <w:t>3.具有履行合同所必须的设备和专业技术能力的声明。</w:t>
      </w:r>
      <w:bookmarkEnd w:id="55"/>
      <w:bookmarkEnd w:id="56"/>
    </w:p>
    <w:p w14:paraId="23D4A27A">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4.供应商参加政府采购前三年内在经营活动中没有重大违法记录声明函。</w:t>
      </w:r>
    </w:p>
    <w:p w14:paraId="174E0AC2">
      <w:pPr>
        <w:pStyle w:val="21"/>
        <w:keepLines w:val="0"/>
        <w:kinsoku/>
        <w:wordWrap/>
        <w:overflowPunct/>
        <w:topLinePunct w:val="0"/>
        <w:bidi w:val="0"/>
        <w:spacing w:beforeAutospacing="0" w:afterAutospacing="0" w:line="440" w:lineRule="atLeast"/>
        <w:ind w:left="0" w:leftChars="0" w:right="0" w:rightChars="0" w:firstLine="480"/>
        <w:outlineLvl w:val="1"/>
        <w:rPr>
          <w:rFonts w:hint="default" w:ascii="Times New Roman" w:hAnsi="Times New Roman" w:cs="Times New Roman" w:eastAsiaTheme="minorEastAsia"/>
          <w:color w:val="auto"/>
          <w:sz w:val="21"/>
          <w:szCs w:val="21"/>
          <w:highlight w:val="none"/>
        </w:rPr>
      </w:pPr>
      <w:bookmarkStart w:id="57" w:name="_Toc7716"/>
      <w:bookmarkStart w:id="58" w:name="_Toc27794"/>
      <w:r>
        <w:rPr>
          <w:rFonts w:hint="default" w:ascii="Times New Roman" w:hAnsi="Times New Roman" w:cs="Times New Roman" w:eastAsiaTheme="minorEastAsia"/>
          <w:color w:val="auto"/>
          <w:sz w:val="21"/>
          <w:szCs w:val="21"/>
          <w:highlight w:val="none"/>
        </w:rPr>
        <w:t>5.信用记录查询</w:t>
      </w:r>
      <w:bookmarkEnd w:id="57"/>
      <w:bookmarkEnd w:id="58"/>
    </w:p>
    <w:p w14:paraId="1F2E3600">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（1）查询渠道：通过“信用中国”网站(www.creditchina.gov.cn)和“中国政府采购网”（www.ccgp.gov.cn）进行查询；</w:t>
      </w:r>
    </w:p>
    <w:p w14:paraId="4BAECBCB">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（2）查询截止时点：提交响应文件截止日当天；</w:t>
      </w:r>
    </w:p>
    <w:p w14:paraId="00E29758">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（3）查询记录：对列入失信被执行人、重大税收违法案件当事人名单、政府采购严重违法失信行为记录名单、信用报告进行查询；</w:t>
      </w:r>
    </w:p>
    <w:p w14:paraId="33E95CA8">
      <w:pPr>
        <w:pStyle w:val="21"/>
        <w:keepLines w:val="0"/>
        <w:kinsoku/>
        <w:wordWrap/>
        <w:overflowPunct/>
        <w:topLinePunct w:val="0"/>
        <w:bidi w:val="0"/>
        <w:spacing w:beforeAutospacing="0" w:afterAutospacing="0" w:line="440" w:lineRule="atLeast"/>
        <w:ind w:left="0" w:leftChars="0" w:right="0" w:rightChars="0"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50C7EB33">
      <w:pPr>
        <w:pStyle w:val="21"/>
        <w:keepLines w:val="0"/>
        <w:kinsoku/>
        <w:wordWrap/>
        <w:overflowPunct/>
        <w:topLinePunct w:val="0"/>
        <w:bidi w:val="0"/>
        <w:spacing w:beforeAutospacing="0" w:afterAutospacing="0" w:line="440" w:lineRule="atLeast"/>
        <w:ind w:left="0" w:leftChars="0" w:right="0" w:rightChars="0" w:firstLine="480"/>
        <w:outlineLvl w:val="1"/>
        <w:rPr>
          <w:rFonts w:hint="default" w:ascii="Times New Roman" w:hAnsi="Times New Roman" w:cs="Times New Roman" w:eastAsiaTheme="minorEastAsia"/>
          <w:color w:val="auto"/>
          <w:sz w:val="21"/>
          <w:szCs w:val="21"/>
          <w:highlight w:val="none"/>
        </w:rPr>
      </w:pPr>
      <w:bookmarkStart w:id="59" w:name="_Toc7889"/>
      <w:bookmarkStart w:id="60" w:name="_Toc30176"/>
      <w:r>
        <w:rPr>
          <w:rFonts w:hint="default" w:ascii="Times New Roman" w:hAnsi="Times New Roman" w:cs="Times New Roman" w:eastAsiaTheme="minorEastAsia"/>
          <w:color w:val="auto"/>
          <w:sz w:val="21"/>
          <w:szCs w:val="21"/>
          <w:highlight w:val="none"/>
        </w:rPr>
        <w:t>6. 按照磋商文件要求，供应商应当提交的资格、资信证明文件。</w:t>
      </w:r>
      <w:bookmarkEnd w:id="59"/>
      <w:bookmarkEnd w:id="60"/>
    </w:p>
    <w:p w14:paraId="49FA7F49">
      <w:pPr>
        <w:pStyle w:val="21"/>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 xml:space="preserve">  </w:t>
      </w:r>
    </w:p>
    <w:p w14:paraId="159BDDFC">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48"/>
          <w:highlight w:val="none"/>
        </w:rPr>
      </w:pPr>
      <w:r>
        <w:rPr>
          <w:rFonts w:hint="default" w:ascii="Times New Roman" w:hAnsi="Times New Roman" w:cs="Times New Roman" w:eastAsiaTheme="minorEastAsia"/>
          <w:b/>
          <w:color w:val="auto"/>
          <w:sz w:val="48"/>
          <w:highlight w:val="none"/>
        </w:rPr>
        <w:br w:type="page"/>
      </w:r>
    </w:p>
    <w:p w14:paraId="6BA7AC23">
      <w:pPr>
        <w:keepLines w:val="0"/>
        <w:pageBreakBefore/>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b/>
          <w:bCs/>
          <w:color w:val="auto"/>
          <w:sz w:val="36"/>
          <w:szCs w:val="36"/>
          <w:highlight w:val="none"/>
        </w:rPr>
      </w:pPr>
      <w:bookmarkStart w:id="61" w:name="_Toc310519886"/>
      <w:bookmarkStart w:id="62" w:name="_Toc373767199"/>
      <w:bookmarkStart w:id="63" w:name="_Toc325031942"/>
      <w:bookmarkStart w:id="64" w:name="_Toc419106563"/>
      <w:bookmarkStart w:id="65" w:name="_Toc17932"/>
      <w:bookmarkStart w:id="66" w:name="_Toc200168795"/>
      <w:bookmarkStart w:id="67" w:name="_Toc19601"/>
      <w:bookmarkStart w:id="68" w:name="_Toc25312"/>
      <w:bookmarkStart w:id="69" w:name="_Toc37670363"/>
      <w:bookmarkStart w:id="70" w:name="_Toc49329265"/>
      <w:bookmarkStart w:id="71" w:name="_Toc29817726"/>
      <w:bookmarkStart w:id="72" w:name="_Toc26261460"/>
      <w:bookmarkStart w:id="73" w:name="_Toc25726413"/>
      <w:bookmarkStart w:id="74" w:name="_Toc34980753"/>
      <w:bookmarkStart w:id="75" w:name="_Hlt113175081"/>
      <w:bookmarkStart w:id="76" w:name="_Hlt113163462"/>
      <w:bookmarkStart w:id="77" w:name="_Hlt113163463"/>
      <w:bookmarkStart w:id="78" w:name="_Hlt113175082"/>
      <w:r>
        <w:rPr>
          <w:rFonts w:hint="default" w:ascii="Times New Roman" w:hAnsi="Times New Roman" w:cs="Times New Roman" w:eastAsiaTheme="minorEastAsia"/>
          <w:b/>
          <w:bCs/>
          <w:color w:val="auto"/>
          <w:sz w:val="36"/>
          <w:szCs w:val="36"/>
          <w:highlight w:val="none"/>
        </w:rPr>
        <w:t>响应文件目录</w:t>
      </w:r>
      <w:bookmarkEnd w:id="61"/>
      <w:bookmarkEnd w:id="62"/>
      <w:bookmarkEnd w:id="63"/>
      <w:bookmarkEnd w:id="64"/>
      <w:bookmarkEnd w:id="65"/>
      <w:bookmarkEnd w:id="66"/>
      <w:bookmarkEnd w:id="67"/>
      <w:bookmarkEnd w:id="68"/>
    </w:p>
    <w:p w14:paraId="5CCB23C6">
      <w:pPr>
        <w:keepLines w:val="0"/>
        <w:kinsoku/>
        <w:wordWrap/>
        <w:overflowPunct/>
        <w:topLinePunct w:val="0"/>
        <w:bidi w:val="0"/>
        <w:spacing w:beforeAutospacing="0" w:afterAutospacing="0" w:line="440" w:lineRule="atLeast"/>
        <w:ind w:left="0" w:leftChars="0" w:right="0" w:rightChars="0"/>
        <w:jc w:val="center"/>
        <w:outlineLvl w:val="0"/>
        <w:rPr>
          <w:rFonts w:hint="default" w:ascii="Times New Roman" w:hAnsi="Times New Roman" w:cs="Times New Roman" w:eastAsiaTheme="minorEastAsia"/>
          <w:b/>
          <w:color w:val="auto"/>
          <w:sz w:val="28"/>
          <w:szCs w:val="28"/>
          <w:highlight w:val="none"/>
        </w:rPr>
      </w:pPr>
      <w:bookmarkStart w:id="79" w:name="_法定代表人授权书"/>
      <w:bookmarkEnd w:id="79"/>
      <w:bookmarkStart w:id="80" w:name="_初审文件清单"/>
      <w:bookmarkEnd w:id="80"/>
      <w:bookmarkStart w:id="81" w:name="_投标资格文件清单"/>
      <w:bookmarkEnd w:id="81"/>
      <w:bookmarkStart w:id="82" w:name="_资格性文件清单"/>
      <w:bookmarkEnd w:id="82"/>
      <w:bookmarkStart w:id="83" w:name="_Toc217623813"/>
      <w:bookmarkStart w:id="84" w:name="_Toc286240891"/>
      <w:bookmarkStart w:id="85" w:name="_Toc224094430"/>
      <w:bookmarkStart w:id="86" w:name="_Toc20787"/>
      <w:bookmarkStart w:id="87" w:name="_Toc14400"/>
      <w:bookmarkStart w:id="88" w:name="_Toc10327"/>
      <w:bookmarkStart w:id="89" w:name="_Toc24619"/>
      <w:bookmarkStart w:id="90" w:name="_Toc136662939"/>
      <w:bookmarkStart w:id="91" w:name="_Toc136682915"/>
      <w:bookmarkStart w:id="92" w:name="_Toc159385074"/>
      <w:r>
        <w:rPr>
          <w:rFonts w:hint="default" w:ascii="Times New Roman" w:hAnsi="Times New Roman" w:cs="Times New Roman" w:eastAsiaTheme="minorEastAsia"/>
          <w:b/>
          <w:color w:val="auto"/>
          <w:sz w:val="28"/>
          <w:szCs w:val="28"/>
          <w:highlight w:val="none"/>
        </w:rPr>
        <w:t>响应文件封面及目录部分</w:t>
      </w:r>
      <w:bookmarkEnd w:id="83"/>
      <w:bookmarkEnd w:id="84"/>
      <w:bookmarkEnd w:id="85"/>
      <w:bookmarkEnd w:id="86"/>
      <w:bookmarkEnd w:id="87"/>
    </w:p>
    <w:p w14:paraId="6612E600">
      <w:pPr>
        <w:keepLines w:val="0"/>
        <w:kinsoku/>
        <w:wordWrap/>
        <w:overflowPunct/>
        <w:topLinePunct w:val="0"/>
        <w:bidi w:val="0"/>
        <w:spacing w:beforeAutospacing="0" w:afterAutospacing="0" w:line="440" w:lineRule="atLeast"/>
        <w:ind w:left="0" w:leftChars="0" w:right="0" w:rightChars="0" w:firstLine="236" w:firstLineChars="98"/>
        <w:rPr>
          <w:rFonts w:hint="default" w:ascii="Times New Roman" w:hAnsi="Times New Roman" w:cs="Times New Roman" w:eastAsiaTheme="minorEastAsia"/>
          <w:b/>
          <w:color w:val="auto"/>
          <w:sz w:val="24"/>
          <w:szCs w:val="24"/>
          <w:highlight w:val="none"/>
        </w:rPr>
      </w:pPr>
    </w:p>
    <w:p w14:paraId="56B230C5">
      <w:pPr>
        <w:keepLines w:val="0"/>
        <w:numPr>
          <w:ilvl w:val="0"/>
          <w:numId w:val="3"/>
        </w:numPr>
        <w:tabs>
          <w:tab w:val="left" w:pos="720"/>
          <w:tab w:val="clear" w:pos="695"/>
        </w:tabs>
        <w:kinsoku/>
        <w:wordWrap/>
        <w:overflowPunct/>
        <w:topLinePunct w:val="0"/>
        <w:bidi w:val="0"/>
        <w:spacing w:beforeAutospacing="0" w:afterAutospacing="0" w:line="440" w:lineRule="atLeast"/>
        <w:ind w:left="0" w:leftChars="0" w:right="0" w:rightChars="0" w:hanging="54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供应商应按本《采购文件》要求，自行设计和编制响应文件的封面和目录部分。</w:t>
      </w:r>
    </w:p>
    <w:p w14:paraId="6EFC4E3B">
      <w:pPr>
        <w:keepLines w:val="0"/>
        <w:numPr>
          <w:ilvl w:val="0"/>
          <w:numId w:val="3"/>
        </w:numPr>
        <w:tabs>
          <w:tab w:val="left" w:pos="720"/>
          <w:tab w:val="clear" w:pos="695"/>
        </w:tabs>
        <w:kinsoku/>
        <w:wordWrap/>
        <w:overflowPunct/>
        <w:topLinePunct w:val="0"/>
        <w:bidi w:val="0"/>
        <w:spacing w:beforeAutospacing="0" w:afterAutospacing="0" w:line="440" w:lineRule="atLeast"/>
        <w:ind w:left="0" w:leftChars="0" w:right="0" w:rightChars="0" w:hanging="72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响应文件封面上须包含但不限于以下内容：</w:t>
      </w:r>
    </w:p>
    <w:p w14:paraId="6890AB7E">
      <w:pPr>
        <w:keepLines w:val="0"/>
        <w:numPr>
          <w:ilvl w:val="1"/>
          <w:numId w:val="3"/>
        </w:numPr>
        <w:tabs>
          <w:tab w:val="left" w:pos="1440"/>
          <w:tab w:val="clear" w:pos="1115"/>
        </w:tabs>
        <w:kinsoku/>
        <w:wordWrap/>
        <w:overflowPunct/>
        <w:topLinePunct w:val="0"/>
        <w:bidi w:val="0"/>
        <w:spacing w:beforeAutospacing="0" w:afterAutospacing="0" w:line="440" w:lineRule="atLeast"/>
        <w:ind w:left="0" w:leftChars="0" w:right="0" w:rightChars="0" w:hanging="215"/>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项目名称和项目编号；</w:t>
      </w:r>
    </w:p>
    <w:p w14:paraId="73FBC117">
      <w:pPr>
        <w:keepLines w:val="0"/>
        <w:numPr>
          <w:ilvl w:val="1"/>
          <w:numId w:val="3"/>
        </w:numPr>
        <w:tabs>
          <w:tab w:val="left" w:pos="1440"/>
          <w:tab w:val="clear" w:pos="1115"/>
        </w:tabs>
        <w:kinsoku/>
        <w:wordWrap/>
        <w:overflowPunct/>
        <w:topLinePunct w:val="0"/>
        <w:bidi w:val="0"/>
        <w:spacing w:beforeAutospacing="0" w:afterAutospacing="0" w:line="440" w:lineRule="atLeast"/>
        <w:ind w:left="0" w:leftChars="0" w:right="0" w:rightChars="0" w:hanging="215"/>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供应商名称；</w:t>
      </w:r>
    </w:p>
    <w:p w14:paraId="0BD33FEC">
      <w:pPr>
        <w:keepLines w:val="0"/>
        <w:numPr>
          <w:ilvl w:val="1"/>
          <w:numId w:val="3"/>
        </w:numPr>
        <w:tabs>
          <w:tab w:val="left" w:pos="1440"/>
          <w:tab w:val="clear" w:pos="1115"/>
        </w:tabs>
        <w:kinsoku/>
        <w:wordWrap/>
        <w:overflowPunct/>
        <w:topLinePunct w:val="0"/>
        <w:bidi w:val="0"/>
        <w:spacing w:beforeAutospacing="0" w:afterAutospacing="0" w:line="440" w:lineRule="atLeast"/>
        <w:ind w:left="0" w:leftChars="0" w:right="0" w:rightChars="0" w:hanging="215"/>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授权代表姓名及联系电话（含传真号码）</w:t>
      </w:r>
    </w:p>
    <w:p w14:paraId="345489F3">
      <w:pPr>
        <w:keepLines w:val="0"/>
        <w:numPr>
          <w:ilvl w:val="1"/>
          <w:numId w:val="3"/>
        </w:numPr>
        <w:tabs>
          <w:tab w:val="left" w:pos="1440"/>
          <w:tab w:val="clear" w:pos="1115"/>
        </w:tabs>
        <w:kinsoku/>
        <w:wordWrap/>
        <w:overflowPunct/>
        <w:topLinePunct w:val="0"/>
        <w:bidi w:val="0"/>
        <w:spacing w:beforeAutospacing="0" w:afterAutospacing="0" w:line="440" w:lineRule="atLeast"/>
        <w:ind w:left="0" w:leftChars="0" w:right="0" w:rightChars="0" w:hanging="215"/>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注明“正本”或“副本”字样。</w:t>
      </w:r>
    </w:p>
    <w:p w14:paraId="7F8BFA71">
      <w:pPr>
        <w:keepLines w:val="0"/>
        <w:numPr>
          <w:ilvl w:val="0"/>
          <w:numId w:val="3"/>
        </w:numPr>
        <w:tabs>
          <w:tab w:val="left" w:pos="720"/>
          <w:tab w:val="clear" w:pos="695"/>
        </w:tabs>
        <w:kinsoku/>
        <w:wordWrap/>
        <w:overflowPunct/>
        <w:topLinePunct w:val="0"/>
        <w:bidi w:val="0"/>
        <w:spacing w:beforeAutospacing="0" w:afterAutospacing="0" w:line="440" w:lineRule="atLeast"/>
        <w:ind w:left="0" w:leftChars="0" w:right="0" w:rightChars="0" w:hanging="540"/>
        <w:rPr>
          <w:rFonts w:hint="default" w:ascii="Times New Roman" w:hAnsi="Times New Roman" w:cs="Times New Roman" w:eastAsiaTheme="minorEastAsia"/>
          <w:color w:val="auto"/>
          <w:sz w:val="20"/>
          <w:szCs w:val="22"/>
          <w:highlight w:val="none"/>
        </w:rPr>
      </w:pPr>
      <w:r>
        <w:rPr>
          <w:rFonts w:hint="default" w:ascii="Times New Roman" w:hAnsi="Times New Roman" w:cs="Times New Roman" w:eastAsiaTheme="minorEastAsia"/>
          <w:b/>
          <w:color w:val="auto"/>
          <w:sz w:val="24"/>
          <w:szCs w:val="24"/>
          <w:highlight w:val="none"/>
        </w:rPr>
        <w:t>响应文件必须编制目录，且目录必须清晰、准确，与响应文件中的每页所加注的页码相对应。</w:t>
      </w:r>
    </w:p>
    <w:p w14:paraId="390F8BCC">
      <w:pPr>
        <w:keepLines w:val="0"/>
        <w:numPr>
          <w:ilvl w:val="0"/>
          <w:numId w:val="3"/>
        </w:numPr>
        <w:tabs>
          <w:tab w:val="left" w:pos="720"/>
          <w:tab w:val="clear" w:pos="695"/>
        </w:tabs>
        <w:kinsoku/>
        <w:wordWrap/>
        <w:overflowPunct/>
        <w:topLinePunct w:val="0"/>
        <w:bidi w:val="0"/>
        <w:spacing w:beforeAutospacing="0" w:afterAutospacing="0" w:line="440" w:lineRule="atLeast"/>
        <w:ind w:left="0" w:leftChars="0" w:right="0" w:rightChars="0" w:hanging="54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响应文件的【正本】及所有【副本】的封面及骑缝均须加盖供应商公章。</w:t>
      </w:r>
    </w:p>
    <w:p w14:paraId="4B57FC05">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0"/>
          <w:szCs w:val="22"/>
          <w:highlight w:val="none"/>
        </w:rPr>
      </w:pPr>
    </w:p>
    <w:p w14:paraId="294953B9">
      <w:pPr>
        <w:keepLines w:val="0"/>
        <w:kinsoku/>
        <w:wordWrap/>
        <w:overflowPunct/>
        <w:topLinePunct w:val="0"/>
        <w:bidi w:val="0"/>
        <w:spacing w:beforeAutospacing="0" w:afterAutospacing="0" w:line="440" w:lineRule="atLeast"/>
        <w:ind w:left="0" w:leftChars="0" w:right="0" w:rightChars="0" w:firstLine="550" w:firstLineChars="250"/>
        <w:rPr>
          <w:rFonts w:hint="default" w:ascii="Times New Roman" w:hAnsi="Times New Roman" w:cs="Times New Roman" w:eastAsiaTheme="minorEastAsia"/>
          <w:color w:val="auto"/>
          <w:sz w:val="22"/>
          <w:szCs w:val="22"/>
          <w:highlight w:val="none"/>
        </w:rPr>
      </w:pPr>
    </w:p>
    <w:p w14:paraId="06577978">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b/>
          <w:bCs/>
          <w:color w:val="auto"/>
          <w:sz w:val="24"/>
          <w:szCs w:val="24"/>
          <w:highlight w:val="none"/>
        </w:rPr>
        <w:t>注：供应商须按本部分的格式内容进行排版和编制《响应文件》，如属于格式外的，或本部分未提供具体格式的，供应商可根据投标方案或内容，针对评审子项要求，自行拟定具体格式和设计排版。</w:t>
      </w:r>
    </w:p>
    <w:p w14:paraId="52E2ABCC">
      <w:pPr>
        <w:pStyle w:val="4"/>
        <w:keepLines w:val="0"/>
        <w:pageBreakBefore/>
        <w:kinsoku/>
        <w:wordWrap/>
        <w:overflowPunct/>
        <w:topLinePunct w:val="0"/>
        <w:bidi w:val="0"/>
        <w:spacing w:beforeAutospacing="0" w:afterAutospacing="0" w:line="440" w:lineRule="atLeast"/>
        <w:ind w:left="0" w:leftChars="0" w:right="0" w:rightChars="0"/>
        <w:outlineLvl w:val="0"/>
        <w:rPr>
          <w:rFonts w:hint="default" w:ascii="Times New Roman" w:hAnsi="Times New Roman" w:cs="Times New Roman" w:eastAsiaTheme="minorEastAsia"/>
          <w:b/>
          <w:bCs w:val="0"/>
          <w:color w:val="auto"/>
          <w:sz w:val="36"/>
          <w:szCs w:val="36"/>
          <w:highlight w:val="none"/>
        </w:rPr>
      </w:pPr>
      <w:bookmarkStart w:id="93" w:name="_Toc29965"/>
      <w:bookmarkStart w:id="94" w:name="_Toc6174"/>
      <w:r>
        <w:rPr>
          <w:rFonts w:hint="default" w:ascii="Times New Roman" w:hAnsi="Times New Roman" w:cs="Times New Roman" w:eastAsiaTheme="minorEastAsia"/>
          <w:b/>
          <w:bCs w:val="0"/>
          <w:color w:val="auto"/>
          <w:sz w:val="36"/>
          <w:szCs w:val="36"/>
          <w:highlight w:val="none"/>
        </w:rPr>
        <w:fldChar w:fldCharType="begin"/>
      </w:r>
      <w:r>
        <w:rPr>
          <w:rFonts w:hint="default" w:ascii="Times New Roman" w:hAnsi="Times New Roman" w:cs="Times New Roman" w:eastAsiaTheme="minorEastAsia"/>
          <w:b/>
          <w:bCs w:val="0"/>
          <w:color w:val="auto"/>
          <w:sz w:val="36"/>
          <w:szCs w:val="36"/>
          <w:highlight w:val="none"/>
        </w:rPr>
        <w:instrText xml:space="preserve">HYPERLINK  \l "_投标文件目录"</w:instrText>
      </w:r>
      <w:r>
        <w:rPr>
          <w:rFonts w:hint="default" w:ascii="Times New Roman" w:hAnsi="Times New Roman" w:cs="Times New Roman" w:eastAsiaTheme="minorEastAsia"/>
          <w:b/>
          <w:bCs w:val="0"/>
          <w:color w:val="auto"/>
          <w:sz w:val="36"/>
          <w:szCs w:val="36"/>
          <w:highlight w:val="none"/>
        </w:rPr>
        <w:fldChar w:fldCharType="separate"/>
      </w:r>
      <w:bookmarkStart w:id="95" w:name="_Toc240108116"/>
      <w:bookmarkStart w:id="96" w:name="_Toc113157429"/>
      <w:bookmarkStart w:id="97" w:name="_Toc159385073"/>
      <w:bookmarkStart w:id="98" w:name="_Toc200168796"/>
      <w:bookmarkStart w:id="99" w:name="_Toc259803669"/>
      <w:bookmarkStart w:id="100" w:name="_Toc419106564"/>
      <w:r>
        <w:rPr>
          <w:rFonts w:hint="default" w:ascii="Times New Roman" w:hAnsi="Times New Roman" w:cs="Times New Roman" w:eastAsiaTheme="minorEastAsia"/>
          <w:b/>
          <w:bCs w:val="0"/>
          <w:color w:val="auto"/>
          <w:sz w:val="36"/>
          <w:szCs w:val="36"/>
          <w:highlight w:val="none"/>
        </w:rPr>
        <w:t>第一</w:t>
      </w:r>
      <w:bookmarkStart w:id="101" w:name="_Hlt112738827"/>
      <w:r>
        <w:rPr>
          <w:rFonts w:hint="default" w:ascii="Times New Roman" w:hAnsi="Times New Roman" w:cs="Times New Roman" w:eastAsiaTheme="minorEastAsia"/>
          <w:b/>
          <w:bCs w:val="0"/>
          <w:color w:val="auto"/>
          <w:sz w:val="36"/>
          <w:szCs w:val="36"/>
          <w:highlight w:val="none"/>
        </w:rPr>
        <w:t xml:space="preserve">章 </w:t>
      </w:r>
      <w:bookmarkEnd w:id="101"/>
      <w:r>
        <w:rPr>
          <w:rFonts w:hint="default" w:ascii="Times New Roman" w:hAnsi="Times New Roman" w:cs="Times New Roman" w:eastAsiaTheme="minorEastAsia"/>
          <w:b/>
          <w:bCs w:val="0"/>
          <w:color w:val="auto"/>
          <w:sz w:val="36"/>
          <w:szCs w:val="36"/>
          <w:highlight w:val="none"/>
        </w:rPr>
        <w:t xml:space="preserve"> </w:t>
      </w:r>
      <w:bookmarkStart w:id="102" w:name="_Hlt112738975"/>
      <w:r>
        <w:rPr>
          <w:rFonts w:hint="default" w:ascii="Times New Roman" w:hAnsi="Times New Roman" w:cs="Times New Roman" w:eastAsiaTheme="minorEastAsia"/>
          <w:b/>
          <w:bCs w:val="0"/>
          <w:color w:val="auto"/>
          <w:sz w:val="36"/>
          <w:szCs w:val="36"/>
          <w:highlight w:val="none"/>
        </w:rPr>
        <w:t>资格性文</w:t>
      </w:r>
      <w:bookmarkEnd w:id="102"/>
      <w:bookmarkStart w:id="103" w:name="_Hlt112738761"/>
      <w:r>
        <w:rPr>
          <w:rFonts w:hint="default" w:ascii="Times New Roman" w:hAnsi="Times New Roman" w:cs="Times New Roman" w:eastAsiaTheme="minorEastAsia"/>
          <w:b/>
          <w:bCs w:val="0"/>
          <w:color w:val="auto"/>
          <w:sz w:val="36"/>
          <w:szCs w:val="36"/>
          <w:highlight w:val="none"/>
        </w:rPr>
        <w:t>件</w:t>
      </w:r>
      <w:bookmarkEnd w:id="95"/>
      <w:bookmarkEnd w:id="96"/>
      <w:bookmarkEnd w:id="97"/>
      <w:bookmarkEnd w:id="98"/>
      <w:bookmarkEnd w:id="99"/>
      <w:bookmarkEnd w:id="100"/>
      <w:bookmarkEnd w:id="103"/>
      <w:r>
        <w:rPr>
          <w:rFonts w:hint="default" w:ascii="Times New Roman" w:hAnsi="Times New Roman" w:cs="Times New Roman" w:eastAsiaTheme="minorEastAsia"/>
          <w:b/>
          <w:bCs w:val="0"/>
          <w:color w:val="auto"/>
          <w:sz w:val="36"/>
          <w:szCs w:val="36"/>
          <w:highlight w:val="none"/>
        </w:rPr>
        <w:fldChar w:fldCharType="end"/>
      </w:r>
      <w:bookmarkEnd w:id="88"/>
      <w:bookmarkEnd w:id="89"/>
      <w:bookmarkEnd w:id="93"/>
      <w:bookmarkEnd w:id="94"/>
    </w:p>
    <w:p w14:paraId="2230357B">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val="0"/>
          <w:color w:val="auto"/>
          <w:sz w:val="36"/>
          <w:szCs w:val="36"/>
          <w:highlight w:val="none"/>
          <w:shd w:val="clear" w:color="auto" w:fill="FFFF99"/>
        </w:rPr>
        <w:sectPr>
          <w:footerReference r:id="rId4" w:type="default"/>
          <w:pgSz w:w="11906" w:h="16838"/>
          <w:pgMar w:top="1134" w:right="1134" w:bottom="1134" w:left="1587" w:header="567" w:footer="737" w:gutter="0"/>
          <w:pgBorders>
            <w:top w:val="none" w:sz="0" w:space="0"/>
            <w:left w:val="none" w:sz="0" w:space="0"/>
            <w:bottom w:val="none" w:sz="0" w:space="0"/>
            <w:right w:val="none" w:sz="0" w:space="0"/>
          </w:pgBorders>
          <w:pgNumType w:fmt="decimal"/>
          <w:cols w:space="720" w:num="1"/>
          <w:docGrid w:linePitch="312" w:charSpace="0"/>
        </w:sectPr>
      </w:pPr>
    </w:p>
    <w:p w14:paraId="71F3EB90">
      <w:pPr>
        <w:keepLines w:val="0"/>
        <w:kinsoku/>
        <w:wordWrap/>
        <w:overflowPunct/>
        <w:topLinePunct w:val="0"/>
        <w:bidi w:val="0"/>
        <w:spacing w:beforeAutospacing="0" w:afterAutospacing="0" w:line="440" w:lineRule="atLeast"/>
        <w:ind w:left="0" w:leftChars="0" w:right="0" w:rightChars="0"/>
        <w:jc w:val="center"/>
        <w:outlineLvl w:val="9"/>
        <w:rPr>
          <w:rFonts w:hint="default" w:ascii="Times New Roman" w:hAnsi="Times New Roman" w:cs="Times New Roman" w:eastAsiaTheme="minorEastAsia"/>
          <w:b/>
          <w:bCs/>
          <w:color w:val="auto"/>
          <w:sz w:val="36"/>
          <w:szCs w:val="36"/>
          <w:highlight w:val="none"/>
        </w:rPr>
      </w:pPr>
      <w:bookmarkStart w:id="104" w:name="_资格性文件清单_1"/>
      <w:bookmarkEnd w:id="104"/>
      <w:bookmarkStart w:id="105" w:name="_Toc419106565"/>
      <w:bookmarkStart w:id="106" w:name="_Toc20059"/>
      <w:bookmarkStart w:id="107" w:name="_Toc1449"/>
      <w:bookmarkStart w:id="108" w:name="_Toc310519888"/>
      <w:bookmarkStart w:id="109" w:name="_Toc8065"/>
      <w:bookmarkStart w:id="110" w:name="_Toc325031944"/>
      <w:r>
        <w:rPr>
          <w:rFonts w:hint="default" w:ascii="Times New Roman" w:hAnsi="Times New Roman" w:cs="Times New Roman" w:eastAsiaTheme="minorEastAsia"/>
          <w:b/>
          <w:bCs/>
          <w:color w:val="auto"/>
          <w:sz w:val="36"/>
          <w:szCs w:val="36"/>
          <w:highlight w:val="none"/>
        </w:rPr>
        <w:t>资格性文件</w:t>
      </w:r>
      <w:bookmarkEnd w:id="90"/>
      <w:bookmarkEnd w:id="91"/>
      <w:r>
        <w:rPr>
          <w:rFonts w:hint="default" w:ascii="Times New Roman" w:hAnsi="Times New Roman" w:cs="Times New Roman" w:eastAsiaTheme="minorEastAsia"/>
          <w:b/>
          <w:bCs/>
          <w:color w:val="auto"/>
          <w:sz w:val="36"/>
          <w:szCs w:val="36"/>
          <w:highlight w:val="none"/>
        </w:rPr>
        <w:t>清单</w:t>
      </w:r>
      <w:bookmarkEnd w:id="92"/>
      <w:bookmarkEnd w:id="105"/>
      <w:bookmarkEnd w:id="106"/>
      <w:bookmarkEnd w:id="107"/>
      <w:bookmarkEnd w:id="108"/>
      <w:bookmarkEnd w:id="109"/>
      <w:bookmarkEnd w:id="110"/>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581"/>
        <w:gridCol w:w="5516"/>
        <w:gridCol w:w="717"/>
        <w:gridCol w:w="1039"/>
      </w:tblGrid>
      <w:tr w14:paraId="11F1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4" w:type="dxa"/>
            <w:shd w:val="clear" w:color="auto" w:fill="F3F3F3"/>
            <w:noWrap w:val="0"/>
            <w:vAlign w:val="center"/>
          </w:tcPr>
          <w:p w14:paraId="575A8187">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1581" w:type="dxa"/>
            <w:tcBorders>
              <w:right w:val="single" w:color="auto" w:sz="4" w:space="0"/>
            </w:tcBorders>
            <w:shd w:val="clear" w:color="auto" w:fill="F3F3F3"/>
            <w:noWrap w:val="0"/>
            <w:vAlign w:val="center"/>
          </w:tcPr>
          <w:p w14:paraId="3A00CB12">
            <w:pPr>
              <w:pStyle w:val="31"/>
              <w:keepNext w:val="0"/>
              <w:keepLines w:val="0"/>
              <w:kinsoku/>
              <w:wordWrap/>
              <w:overflowPunct/>
              <w:topLinePunct w:val="0"/>
              <w:bidi w:val="0"/>
              <w:adjustRightInd/>
              <w:spacing w:before="0" w:beforeLines="0" w:beforeAutospacing="0" w:after="0" w:afterLines="0" w:afterAutospacing="0" w:line="440" w:lineRule="atLeast"/>
              <w:ind w:left="0" w:leftChars="0" w:right="0" w:rightChars="0"/>
              <w:textAlignment w:val="auto"/>
              <w:rPr>
                <w:rFonts w:hint="default" w:ascii="Times New Roman" w:hAnsi="Times New Roman" w:cs="Times New Roman" w:eastAsiaTheme="minorEastAsia"/>
                <w:b/>
                <w:bCs/>
                <w:snapToGrid/>
                <w:color w:val="auto"/>
                <w:spacing w:val="0"/>
                <w:kern w:val="2"/>
                <w:sz w:val="21"/>
                <w:szCs w:val="21"/>
                <w:highlight w:val="none"/>
              </w:rPr>
            </w:pPr>
            <w:r>
              <w:rPr>
                <w:rFonts w:hint="default" w:ascii="Times New Roman" w:hAnsi="Times New Roman" w:cs="Times New Roman" w:eastAsiaTheme="minorEastAsia"/>
                <w:b/>
                <w:bCs/>
                <w:snapToGrid/>
                <w:color w:val="auto"/>
                <w:spacing w:val="0"/>
                <w:kern w:val="2"/>
                <w:sz w:val="21"/>
                <w:szCs w:val="21"/>
                <w:highlight w:val="none"/>
              </w:rPr>
              <w:t>文件名称</w:t>
            </w:r>
          </w:p>
        </w:tc>
        <w:tc>
          <w:tcPr>
            <w:tcW w:w="5516" w:type="dxa"/>
            <w:tcBorders>
              <w:left w:val="single" w:color="auto" w:sz="4" w:space="0"/>
            </w:tcBorders>
            <w:shd w:val="clear" w:color="auto" w:fill="F3F3F3"/>
            <w:noWrap w:val="0"/>
            <w:vAlign w:val="center"/>
          </w:tcPr>
          <w:p w14:paraId="45378D77">
            <w:pPr>
              <w:pStyle w:val="31"/>
              <w:keepNext w:val="0"/>
              <w:keepLines w:val="0"/>
              <w:kinsoku/>
              <w:wordWrap/>
              <w:overflowPunct/>
              <w:topLinePunct w:val="0"/>
              <w:bidi w:val="0"/>
              <w:adjustRightInd/>
              <w:spacing w:before="0" w:beforeLines="0" w:beforeAutospacing="0" w:after="0" w:afterLines="0" w:afterAutospacing="0" w:line="440" w:lineRule="atLeast"/>
              <w:ind w:left="0" w:leftChars="0" w:right="0" w:rightChars="0"/>
              <w:textAlignment w:val="auto"/>
              <w:rPr>
                <w:rFonts w:hint="default" w:ascii="Times New Roman" w:hAnsi="Times New Roman" w:cs="Times New Roman" w:eastAsiaTheme="minorEastAsia"/>
                <w:b/>
                <w:bCs/>
                <w:snapToGrid/>
                <w:color w:val="auto"/>
                <w:spacing w:val="0"/>
                <w:kern w:val="2"/>
                <w:sz w:val="21"/>
                <w:szCs w:val="21"/>
                <w:highlight w:val="none"/>
              </w:rPr>
            </w:pPr>
            <w:r>
              <w:rPr>
                <w:rFonts w:hint="default" w:ascii="Times New Roman" w:hAnsi="Times New Roman" w:cs="Times New Roman" w:eastAsiaTheme="minorEastAsia"/>
                <w:b/>
                <w:bCs/>
                <w:snapToGrid/>
                <w:color w:val="auto"/>
                <w:spacing w:val="0"/>
                <w:kern w:val="2"/>
                <w:sz w:val="21"/>
                <w:szCs w:val="21"/>
                <w:highlight w:val="none"/>
              </w:rPr>
              <w:t>文件内容要求</w:t>
            </w:r>
          </w:p>
        </w:tc>
        <w:tc>
          <w:tcPr>
            <w:tcW w:w="717" w:type="dxa"/>
            <w:shd w:val="clear" w:color="auto" w:fill="F3F3F3"/>
            <w:noWrap w:val="0"/>
            <w:vAlign w:val="center"/>
          </w:tcPr>
          <w:p w14:paraId="73006DA6">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数量</w:t>
            </w:r>
          </w:p>
        </w:tc>
        <w:tc>
          <w:tcPr>
            <w:tcW w:w="1039" w:type="dxa"/>
            <w:shd w:val="clear" w:color="auto" w:fill="F3F3F3"/>
            <w:noWrap w:val="0"/>
            <w:vAlign w:val="center"/>
          </w:tcPr>
          <w:p w14:paraId="68925FC5">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文件属性</w:t>
            </w:r>
          </w:p>
        </w:tc>
      </w:tr>
      <w:tr w14:paraId="2284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4" w:type="dxa"/>
            <w:noWrap w:val="0"/>
            <w:vAlign w:val="center"/>
          </w:tcPr>
          <w:p w14:paraId="5E360A96">
            <w:pPr>
              <w:keepLines w:val="0"/>
              <w:numPr>
                <w:ilvl w:val="0"/>
                <w:numId w:val="4"/>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581" w:type="dxa"/>
            <w:tcBorders>
              <w:right w:val="single" w:color="auto" w:sz="4" w:space="0"/>
            </w:tcBorders>
            <w:noWrap w:val="0"/>
            <w:vAlign w:val="center"/>
          </w:tcPr>
          <w:p w14:paraId="65752D9B">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响应承诺函</w:t>
            </w:r>
          </w:p>
        </w:tc>
        <w:tc>
          <w:tcPr>
            <w:tcW w:w="5516" w:type="dxa"/>
            <w:tcBorders>
              <w:left w:val="single" w:color="auto" w:sz="4" w:space="0"/>
            </w:tcBorders>
            <w:noWrap w:val="0"/>
            <w:vAlign w:val="center"/>
          </w:tcPr>
          <w:p w14:paraId="2B7F0F43">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w:t>
            </w:r>
          </w:p>
        </w:tc>
        <w:tc>
          <w:tcPr>
            <w:tcW w:w="717" w:type="dxa"/>
            <w:noWrap w:val="0"/>
            <w:vAlign w:val="center"/>
          </w:tcPr>
          <w:p w14:paraId="306E0CFE">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039" w:type="dxa"/>
            <w:noWrap w:val="0"/>
            <w:vAlign w:val="center"/>
          </w:tcPr>
          <w:p w14:paraId="4A790D48">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w:t>
            </w:r>
          </w:p>
        </w:tc>
      </w:tr>
      <w:tr w14:paraId="5FC7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4" w:type="dxa"/>
            <w:noWrap w:val="0"/>
            <w:vAlign w:val="center"/>
          </w:tcPr>
          <w:p w14:paraId="0FAB8DE4">
            <w:pPr>
              <w:keepLines w:val="0"/>
              <w:numPr>
                <w:ilvl w:val="0"/>
                <w:numId w:val="4"/>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581" w:type="dxa"/>
            <w:tcBorders>
              <w:right w:val="single" w:color="auto" w:sz="4" w:space="0"/>
            </w:tcBorders>
            <w:noWrap w:val="0"/>
            <w:vAlign w:val="center"/>
          </w:tcPr>
          <w:p w14:paraId="74351CEB">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法定代表人/法定负责人证明书</w:t>
            </w:r>
          </w:p>
        </w:tc>
        <w:tc>
          <w:tcPr>
            <w:tcW w:w="5516" w:type="dxa"/>
            <w:tcBorders>
              <w:left w:val="single" w:color="auto" w:sz="4" w:space="0"/>
            </w:tcBorders>
            <w:noWrap w:val="0"/>
            <w:vAlign w:val="center"/>
          </w:tcPr>
          <w:p w14:paraId="4E96DFD0">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w:t>
            </w:r>
          </w:p>
        </w:tc>
        <w:tc>
          <w:tcPr>
            <w:tcW w:w="717" w:type="dxa"/>
            <w:noWrap w:val="0"/>
            <w:vAlign w:val="center"/>
          </w:tcPr>
          <w:p w14:paraId="67FD4F85">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039" w:type="dxa"/>
            <w:noWrap w:val="0"/>
            <w:vAlign w:val="center"/>
          </w:tcPr>
          <w:p w14:paraId="0DAA165E">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w:t>
            </w:r>
          </w:p>
        </w:tc>
      </w:tr>
      <w:tr w14:paraId="4959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4" w:type="dxa"/>
            <w:noWrap w:val="0"/>
            <w:vAlign w:val="center"/>
          </w:tcPr>
          <w:p w14:paraId="54F4A185">
            <w:pPr>
              <w:keepLines w:val="0"/>
              <w:numPr>
                <w:ilvl w:val="0"/>
                <w:numId w:val="4"/>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581" w:type="dxa"/>
            <w:tcBorders>
              <w:right w:val="single" w:color="auto" w:sz="4" w:space="0"/>
            </w:tcBorders>
            <w:noWrap w:val="0"/>
            <w:vAlign w:val="center"/>
          </w:tcPr>
          <w:p w14:paraId="1033AA82">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法定代表人/法定负责人授权书</w:t>
            </w:r>
          </w:p>
        </w:tc>
        <w:tc>
          <w:tcPr>
            <w:tcW w:w="5516" w:type="dxa"/>
            <w:tcBorders>
              <w:left w:val="single" w:color="auto" w:sz="4" w:space="0"/>
            </w:tcBorders>
            <w:noWrap w:val="0"/>
            <w:vAlign w:val="center"/>
          </w:tcPr>
          <w:p w14:paraId="22A279B3">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w:t>
            </w:r>
          </w:p>
        </w:tc>
        <w:tc>
          <w:tcPr>
            <w:tcW w:w="717" w:type="dxa"/>
            <w:noWrap w:val="0"/>
            <w:vAlign w:val="center"/>
          </w:tcPr>
          <w:p w14:paraId="007F5480">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039" w:type="dxa"/>
            <w:noWrap w:val="0"/>
            <w:vAlign w:val="center"/>
          </w:tcPr>
          <w:p w14:paraId="7BED2852">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w:t>
            </w:r>
          </w:p>
        </w:tc>
      </w:tr>
      <w:tr w14:paraId="225E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4" w:type="dxa"/>
            <w:noWrap w:val="0"/>
            <w:vAlign w:val="center"/>
          </w:tcPr>
          <w:p w14:paraId="6D30DEDE">
            <w:pPr>
              <w:keepLines w:val="0"/>
              <w:numPr>
                <w:ilvl w:val="0"/>
                <w:numId w:val="4"/>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581" w:type="dxa"/>
            <w:tcBorders>
              <w:right w:val="single" w:color="auto" w:sz="4" w:space="0"/>
            </w:tcBorders>
            <w:noWrap w:val="0"/>
            <w:vAlign w:val="center"/>
          </w:tcPr>
          <w:p w14:paraId="6DD8556F">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资格性证明材料</w:t>
            </w:r>
          </w:p>
        </w:tc>
        <w:tc>
          <w:tcPr>
            <w:tcW w:w="5516" w:type="dxa"/>
            <w:tcBorders>
              <w:left w:val="single" w:color="auto" w:sz="4" w:space="0"/>
            </w:tcBorders>
            <w:noWrap w:val="0"/>
            <w:vAlign w:val="center"/>
          </w:tcPr>
          <w:p w14:paraId="3A3D3980">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w:t>
            </w:r>
          </w:p>
        </w:tc>
        <w:tc>
          <w:tcPr>
            <w:tcW w:w="717" w:type="dxa"/>
            <w:noWrap w:val="0"/>
            <w:vAlign w:val="center"/>
          </w:tcPr>
          <w:p w14:paraId="56241566">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1套</w:t>
            </w:r>
          </w:p>
        </w:tc>
        <w:tc>
          <w:tcPr>
            <w:tcW w:w="1039" w:type="dxa"/>
            <w:noWrap w:val="0"/>
            <w:vAlign w:val="center"/>
          </w:tcPr>
          <w:p w14:paraId="7E8E0062">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原件/复印件</w:t>
            </w:r>
          </w:p>
        </w:tc>
      </w:tr>
      <w:tr w14:paraId="3D19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4" w:type="dxa"/>
            <w:noWrap w:val="0"/>
            <w:vAlign w:val="center"/>
          </w:tcPr>
          <w:p w14:paraId="20D73EE7">
            <w:pPr>
              <w:keepLines w:val="0"/>
              <w:numPr>
                <w:ilvl w:val="0"/>
                <w:numId w:val="4"/>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581" w:type="dxa"/>
            <w:tcBorders>
              <w:right w:val="single" w:color="auto" w:sz="4" w:space="0"/>
            </w:tcBorders>
            <w:noWrap w:val="0"/>
            <w:vAlign w:val="center"/>
          </w:tcPr>
          <w:p w14:paraId="3CF38A04">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营业执照副本</w:t>
            </w:r>
          </w:p>
          <w:p w14:paraId="5D2321F2">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副  本</w:t>
            </w:r>
          </w:p>
        </w:tc>
        <w:tc>
          <w:tcPr>
            <w:tcW w:w="5516" w:type="dxa"/>
            <w:tcBorders>
              <w:left w:val="single" w:color="auto" w:sz="4" w:space="0"/>
            </w:tcBorders>
            <w:noWrap w:val="0"/>
            <w:vAlign w:val="center"/>
          </w:tcPr>
          <w:p w14:paraId="3ABD8804">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供应商须是中华人民共和国大陆境内合法注册的独立法人或其他组织，能独立承担民事责任。</w:t>
            </w:r>
          </w:p>
        </w:tc>
        <w:tc>
          <w:tcPr>
            <w:tcW w:w="717" w:type="dxa"/>
            <w:noWrap w:val="0"/>
            <w:vAlign w:val="center"/>
          </w:tcPr>
          <w:p w14:paraId="38A095CC">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039" w:type="dxa"/>
            <w:noWrap w:val="0"/>
            <w:vAlign w:val="center"/>
          </w:tcPr>
          <w:p w14:paraId="6B5C474B">
            <w:pPr>
              <w:pStyle w:val="31"/>
              <w:keepNext w:val="0"/>
              <w:keepLines w:val="0"/>
              <w:kinsoku/>
              <w:wordWrap/>
              <w:overflowPunct/>
              <w:topLinePunct w:val="0"/>
              <w:bidi w:val="0"/>
              <w:adjustRightInd/>
              <w:spacing w:before="0" w:beforeLines="0" w:beforeAutospacing="0" w:after="0" w:afterLines="0" w:afterAutospacing="0" w:line="440" w:lineRule="atLeast"/>
              <w:ind w:left="0" w:leftChars="0" w:right="0" w:rightChars="0"/>
              <w:textAlignment w:val="auto"/>
              <w:rPr>
                <w:rFonts w:hint="default" w:ascii="Times New Roman" w:hAnsi="Times New Roman" w:cs="Times New Roman" w:eastAsiaTheme="minorEastAsia"/>
                <w:snapToGrid/>
                <w:color w:val="auto"/>
                <w:spacing w:val="0"/>
                <w:kern w:val="2"/>
                <w:sz w:val="21"/>
                <w:szCs w:val="21"/>
                <w:highlight w:val="none"/>
              </w:rPr>
            </w:pPr>
            <w:r>
              <w:rPr>
                <w:rFonts w:hint="default" w:ascii="Times New Roman" w:hAnsi="Times New Roman" w:cs="Times New Roman" w:eastAsiaTheme="minorEastAsia"/>
                <w:snapToGrid/>
                <w:color w:val="auto"/>
                <w:spacing w:val="0"/>
                <w:kern w:val="2"/>
                <w:sz w:val="21"/>
                <w:szCs w:val="21"/>
                <w:highlight w:val="none"/>
              </w:rPr>
              <w:t>副本</w:t>
            </w:r>
          </w:p>
          <w:p w14:paraId="0FE16CBF">
            <w:pPr>
              <w:pStyle w:val="31"/>
              <w:keepNext w:val="0"/>
              <w:keepLines w:val="0"/>
              <w:kinsoku/>
              <w:wordWrap/>
              <w:overflowPunct/>
              <w:topLinePunct w:val="0"/>
              <w:bidi w:val="0"/>
              <w:adjustRightInd/>
              <w:spacing w:before="0" w:beforeLines="0" w:beforeAutospacing="0" w:after="0" w:afterLines="0" w:afterAutospacing="0" w:line="440" w:lineRule="atLeast"/>
              <w:ind w:left="0" w:leftChars="0" w:right="0" w:rightChars="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snapToGrid/>
                <w:color w:val="auto"/>
                <w:spacing w:val="0"/>
                <w:kern w:val="2"/>
                <w:sz w:val="21"/>
                <w:szCs w:val="21"/>
                <w:highlight w:val="none"/>
              </w:rPr>
              <w:t>复印件</w:t>
            </w:r>
          </w:p>
        </w:tc>
      </w:tr>
      <w:tr w14:paraId="4404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4" w:type="dxa"/>
            <w:noWrap w:val="0"/>
            <w:vAlign w:val="center"/>
          </w:tcPr>
          <w:p w14:paraId="71304439">
            <w:pPr>
              <w:keepLines w:val="0"/>
              <w:numPr>
                <w:ilvl w:val="0"/>
                <w:numId w:val="4"/>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581" w:type="dxa"/>
            <w:tcBorders>
              <w:right w:val="single" w:color="auto" w:sz="4" w:space="0"/>
            </w:tcBorders>
            <w:noWrap w:val="0"/>
            <w:vAlign w:val="center"/>
          </w:tcPr>
          <w:p w14:paraId="6456F40E">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有依法缴纳税收和社会保障资金的良好记录</w:t>
            </w:r>
          </w:p>
        </w:tc>
        <w:tc>
          <w:tcPr>
            <w:tcW w:w="5516" w:type="dxa"/>
            <w:tcBorders>
              <w:left w:val="single" w:color="auto" w:sz="4" w:space="0"/>
            </w:tcBorders>
            <w:noWrap w:val="0"/>
            <w:vAlign w:val="center"/>
          </w:tcPr>
          <w:p w14:paraId="64163100">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提供以下两种证明材料之一：1.提供《政府采购供应商资格信用承诺函》，具体要求详见投标文件格式；2.提供投标截止日前6个月内任意1个月依法缴纳税收和社会保障资金的相关材料。如依法免税或不需要缴纳社会保障资金的，提供相应证明材料。</w:t>
            </w:r>
          </w:p>
        </w:tc>
        <w:tc>
          <w:tcPr>
            <w:tcW w:w="717" w:type="dxa"/>
            <w:noWrap w:val="0"/>
            <w:vAlign w:val="center"/>
          </w:tcPr>
          <w:p w14:paraId="0DF59A59">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039" w:type="dxa"/>
            <w:noWrap w:val="0"/>
            <w:vAlign w:val="center"/>
          </w:tcPr>
          <w:p w14:paraId="4054CA36">
            <w:pPr>
              <w:pStyle w:val="31"/>
              <w:keepNext w:val="0"/>
              <w:keepLines w:val="0"/>
              <w:kinsoku/>
              <w:wordWrap/>
              <w:overflowPunct/>
              <w:topLinePunct w:val="0"/>
              <w:bidi w:val="0"/>
              <w:adjustRightInd/>
              <w:spacing w:before="0" w:beforeLines="0" w:beforeAutospacing="0" w:after="0" w:afterLines="0" w:afterAutospacing="0" w:line="440" w:lineRule="atLeast"/>
              <w:ind w:left="0" w:leftChars="0" w:right="0" w:rightChars="0"/>
              <w:textAlignment w:val="auto"/>
              <w:rPr>
                <w:rFonts w:hint="default" w:ascii="Times New Roman" w:hAnsi="Times New Roman" w:cs="Times New Roman" w:eastAsiaTheme="minorEastAsia"/>
                <w:snapToGrid/>
                <w:color w:val="auto"/>
                <w:spacing w:val="0"/>
                <w:kern w:val="2"/>
                <w:sz w:val="21"/>
                <w:szCs w:val="21"/>
                <w:highlight w:val="none"/>
              </w:rPr>
            </w:pPr>
            <w:r>
              <w:rPr>
                <w:rFonts w:hint="default" w:ascii="Times New Roman" w:hAnsi="Times New Roman" w:cs="Times New Roman" w:eastAsiaTheme="minorEastAsia"/>
                <w:snapToGrid/>
                <w:color w:val="auto"/>
                <w:spacing w:val="0"/>
                <w:kern w:val="2"/>
                <w:sz w:val="21"/>
                <w:szCs w:val="21"/>
                <w:highlight w:val="none"/>
              </w:rPr>
              <w:t>复印件</w:t>
            </w:r>
          </w:p>
        </w:tc>
      </w:tr>
      <w:tr w14:paraId="4A3A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4" w:type="dxa"/>
            <w:noWrap w:val="0"/>
            <w:vAlign w:val="center"/>
          </w:tcPr>
          <w:p w14:paraId="12337013">
            <w:pPr>
              <w:keepLines w:val="0"/>
              <w:numPr>
                <w:ilvl w:val="0"/>
                <w:numId w:val="4"/>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581" w:type="dxa"/>
            <w:tcBorders>
              <w:right w:val="single" w:color="auto" w:sz="4" w:space="0"/>
            </w:tcBorders>
            <w:noWrap w:val="0"/>
            <w:vAlign w:val="center"/>
          </w:tcPr>
          <w:p w14:paraId="6D870923">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具有良好的商业信誉和健全的财务会计制度</w:t>
            </w:r>
          </w:p>
        </w:tc>
        <w:tc>
          <w:tcPr>
            <w:tcW w:w="5516" w:type="dxa"/>
            <w:tcBorders>
              <w:left w:val="single" w:color="auto" w:sz="4" w:space="0"/>
            </w:tcBorders>
            <w:noWrap w:val="0"/>
            <w:vAlign w:val="center"/>
          </w:tcPr>
          <w:p w14:paraId="06F5285C">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highlight w:val="none"/>
              </w:rPr>
            </w:pPr>
            <w:r>
              <w:rPr>
                <w:rFonts w:hint="default" w:ascii="Times New Roman" w:hAnsi="Times New Roman" w:cs="Times New Roman"/>
                <w:color w:val="auto"/>
                <w:highlight w:val="none"/>
              </w:rPr>
              <w:t>提供以下三种证明材料之一</w:t>
            </w:r>
            <w:r>
              <w:rPr>
                <w:rFonts w:hint="default" w:ascii="Times New Roman" w:hAnsi="Times New Roman" w:cs="Times New Roman" w:eastAsiaTheme="minorEastAsia"/>
                <w:color w:val="auto"/>
                <w:highlight w:val="none"/>
              </w:rPr>
              <w:t>：1.提供《政府采购供应商资格信用承诺函》，具体要求详见投标文件格式；2.提供2022或2023年度财务状况报告，财务状况报告须由第三方会计师事务所出具，能清晰显示第三方会计师事务所的印章，并能反映审计结论；3.提供投标截止日前6个月内基本开户银行出具的资信证明，并同时提交开户（基本户）许可证扫描件，开户（基本户）许可证已取消的，应提供能体现基本开户银行的“基本存款账户编号”的相关证明。</w:t>
            </w:r>
          </w:p>
        </w:tc>
        <w:tc>
          <w:tcPr>
            <w:tcW w:w="717" w:type="dxa"/>
            <w:noWrap w:val="0"/>
            <w:vAlign w:val="center"/>
          </w:tcPr>
          <w:p w14:paraId="4780420D">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039" w:type="dxa"/>
            <w:noWrap w:val="0"/>
            <w:vAlign w:val="center"/>
          </w:tcPr>
          <w:p w14:paraId="54BC6DE4">
            <w:pPr>
              <w:pStyle w:val="31"/>
              <w:keepNext w:val="0"/>
              <w:keepLines w:val="0"/>
              <w:kinsoku/>
              <w:wordWrap/>
              <w:overflowPunct/>
              <w:topLinePunct w:val="0"/>
              <w:bidi w:val="0"/>
              <w:adjustRightInd/>
              <w:spacing w:before="0" w:beforeLines="0" w:beforeAutospacing="0" w:after="0" w:afterLines="0" w:afterAutospacing="0" w:line="440" w:lineRule="atLeast"/>
              <w:ind w:left="0" w:leftChars="0" w:right="0" w:rightChars="0"/>
              <w:textAlignment w:val="auto"/>
              <w:rPr>
                <w:rFonts w:hint="default" w:ascii="Times New Roman" w:hAnsi="Times New Roman" w:cs="Times New Roman" w:eastAsiaTheme="minorEastAsia"/>
                <w:snapToGrid/>
                <w:color w:val="auto"/>
                <w:spacing w:val="0"/>
                <w:kern w:val="2"/>
                <w:sz w:val="21"/>
                <w:szCs w:val="21"/>
                <w:highlight w:val="none"/>
              </w:rPr>
            </w:pPr>
            <w:r>
              <w:rPr>
                <w:rFonts w:hint="default" w:ascii="Times New Roman" w:hAnsi="Times New Roman" w:cs="Times New Roman" w:eastAsiaTheme="minorEastAsia"/>
                <w:snapToGrid/>
                <w:color w:val="auto"/>
                <w:spacing w:val="0"/>
                <w:kern w:val="2"/>
                <w:sz w:val="21"/>
                <w:szCs w:val="21"/>
                <w:highlight w:val="none"/>
              </w:rPr>
              <w:t>复印件</w:t>
            </w:r>
          </w:p>
        </w:tc>
      </w:tr>
      <w:tr w14:paraId="39D1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4" w:type="dxa"/>
            <w:noWrap w:val="0"/>
            <w:vAlign w:val="center"/>
          </w:tcPr>
          <w:p w14:paraId="0E2797FA">
            <w:pPr>
              <w:keepLines w:val="0"/>
              <w:numPr>
                <w:ilvl w:val="0"/>
                <w:numId w:val="4"/>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581" w:type="dxa"/>
            <w:tcBorders>
              <w:right w:val="single" w:color="auto" w:sz="4" w:space="0"/>
            </w:tcBorders>
            <w:noWrap w:val="0"/>
            <w:vAlign w:val="center"/>
          </w:tcPr>
          <w:p w14:paraId="19894788">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具有履行合同所必需的设备和专业技术能力的承诺</w:t>
            </w:r>
          </w:p>
        </w:tc>
        <w:tc>
          <w:tcPr>
            <w:tcW w:w="5516" w:type="dxa"/>
            <w:tcBorders>
              <w:left w:val="single" w:color="auto" w:sz="4" w:space="0"/>
            </w:tcBorders>
            <w:noWrap w:val="0"/>
            <w:vAlign w:val="center"/>
          </w:tcPr>
          <w:p w14:paraId="18425DB0">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.按投标（响应）文件格式填写《具有履行合同所必需的设备和专业技术能力的承诺函》。</w:t>
            </w:r>
          </w:p>
        </w:tc>
        <w:tc>
          <w:tcPr>
            <w:tcW w:w="717" w:type="dxa"/>
            <w:noWrap w:val="0"/>
            <w:vAlign w:val="center"/>
          </w:tcPr>
          <w:p w14:paraId="0284FA96">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039" w:type="dxa"/>
            <w:noWrap w:val="0"/>
            <w:vAlign w:val="center"/>
          </w:tcPr>
          <w:p w14:paraId="60A97923">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w:t>
            </w:r>
          </w:p>
        </w:tc>
      </w:tr>
      <w:tr w14:paraId="4184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4" w:type="dxa"/>
            <w:noWrap w:val="0"/>
            <w:vAlign w:val="center"/>
          </w:tcPr>
          <w:p w14:paraId="0F274613">
            <w:pPr>
              <w:keepLines w:val="0"/>
              <w:numPr>
                <w:ilvl w:val="0"/>
                <w:numId w:val="4"/>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581" w:type="dxa"/>
            <w:tcBorders>
              <w:right w:val="single" w:color="auto" w:sz="4" w:space="0"/>
            </w:tcBorders>
            <w:noWrap w:val="0"/>
            <w:vAlign w:val="center"/>
          </w:tcPr>
          <w:p w14:paraId="1A8AAFB9">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参与采购活动前三年内在经营活动中没有重大违法记录的书面声明函</w:t>
            </w:r>
          </w:p>
        </w:tc>
        <w:tc>
          <w:tcPr>
            <w:tcW w:w="5516" w:type="dxa"/>
            <w:tcBorders>
              <w:left w:val="single" w:color="auto" w:sz="4" w:space="0"/>
            </w:tcBorders>
            <w:noWrap w:val="0"/>
            <w:vAlign w:val="center"/>
          </w:tcPr>
          <w:p w14:paraId="7080A015">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w:t>
            </w:r>
          </w:p>
        </w:tc>
        <w:tc>
          <w:tcPr>
            <w:tcW w:w="717" w:type="dxa"/>
            <w:noWrap w:val="0"/>
            <w:vAlign w:val="center"/>
          </w:tcPr>
          <w:p w14:paraId="20EC52BC">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039" w:type="dxa"/>
            <w:noWrap w:val="0"/>
            <w:vAlign w:val="center"/>
          </w:tcPr>
          <w:p w14:paraId="298D40E3">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w:t>
            </w:r>
          </w:p>
        </w:tc>
      </w:tr>
      <w:tr w14:paraId="09D6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4" w:type="dxa"/>
            <w:noWrap w:val="0"/>
            <w:vAlign w:val="center"/>
          </w:tcPr>
          <w:p w14:paraId="112E0634">
            <w:pPr>
              <w:keepLines w:val="0"/>
              <w:numPr>
                <w:ilvl w:val="0"/>
                <w:numId w:val="4"/>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581" w:type="dxa"/>
            <w:tcBorders>
              <w:right w:val="single" w:color="auto" w:sz="4" w:space="0"/>
            </w:tcBorders>
            <w:noWrap w:val="0"/>
            <w:vAlign w:val="center"/>
          </w:tcPr>
          <w:p w14:paraId="7F34054A">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《中小企业声明函》</w:t>
            </w:r>
          </w:p>
        </w:tc>
        <w:tc>
          <w:tcPr>
            <w:tcW w:w="5516" w:type="dxa"/>
            <w:tcBorders>
              <w:left w:val="single" w:color="auto" w:sz="4" w:space="0"/>
            </w:tcBorders>
            <w:noWrap w:val="0"/>
            <w:vAlign w:val="center"/>
          </w:tcPr>
          <w:p w14:paraId="358CF798">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w:t>
            </w:r>
          </w:p>
        </w:tc>
        <w:tc>
          <w:tcPr>
            <w:tcW w:w="717" w:type="dxa"/>
            <w:noWrap w:val="0"/>
            <w:vAlign w:val="center"/>
          </w:tcPr>
          <w:p w14:paraId="0E3FE533">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039" w:type="dxa"/>
            <w:noWrap w:val="0"/>
            <w:vAlign w:val="center"/>
          </w:tcPr>
          <w:p w14:paraId="5BC56353">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w:t>
            </w:r>
          </w:p>
        </w:tc>
      </w:tr>
      <w:tr w14:paraId="33AC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4" w:type="dxa"/>
            <w:noWrap w:val="0"/>
            <w:vAlign w:val="center"/>
          </w:tcPr>
          <w:p w14:paraId="70A1B892">
            <w:pPr>
              <w:keepLines w:val="0"/>
              <w:numPr>
                <w:ilvl w:val="0"/>
                <w:numId w:val="4"/>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581" w:type="dxa"/>
            <w:tcBorders>
              <w:right w:val="single" w:color="auto" w:sz="4" w:space="0"/>
            </w:tcBorders>
            <w:noWrap w:val="0"/>
            <w:vAlign w:val="center"/>
          </w:tcPr>
          <w:p w14:paraId="6846FE37">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其他资料</w:t>
            </w:r>
          </w:p>
        </w:tc>
        <w:tc>
          <w:tcPr>
            <w:tcW w:w="5516" w:type="dxa"/>
            <w:tcBorders>
              <w:left w:val="single" w:color="auto" w:sz="4" w:space="0"/>
            </w:tcBorders>
            <w:noWrap w:val="0"/>
            <w:vAlign w:val="center"/>
          </w:tcPr>
          <w:p w14:paraId="78411C57">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详见投标人资格要求（如有）</w:t>
            </w:r>
          </w:p>
        </w:tc>
        <w:tc>
          <w:tcPr>
            <w:tcW w:w="717" w:type="dxa"/>
            <w:noWrap w:val="0"/>
            <w:vAlign w:val="center"/>
          </w:tcPr>
          <w:p w14:paraId="7DC97411">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039" w:type="dxa"/>
            <w:noWrap w:val="0"/>
            <w:vAlign w:val="center"/>
          </w:tcPr>
          <w:p w14:paraId="677B180F">
            <w:pPr>
              <w:pStyle w:val="31"/>
              <w:keepNext w:val="0"/>
              <w:keepLines w:val="0"/>
              <w:kinsoku/>
              <w:wordWrap/>
              <w:overflowPunct/>
              <w:topLinePunct w:val="0"/>
              <w:bidi w:val="0"/>
              <w:adjustRightInd/>
              <w:spacing w:before="0" w:beforeLines="0" w:beforeAutospacing="0" w:after="0" w:afterLines="0" w:afterAutospacing="0" w:line="440" w:lineRule="atLeast"/>
              <w:ind w:left="0" w:leftChars="0" w:right="0" w:rightChars="0"/>
              <w:textAlignment w:val="auto"/>
              <w:rPr>
                <w:rFonts w:hint="default" w:ascii="Times New Roman" w:hAnsi="Times New Roman" w:cs="Times New Roman" w:eastAsiaTheme="minorEastAsia"/>
                <w:snapToGrid/>
                <w:color w:val="auto"/>
                <w:spacing w:val="0"/>
                <w:kern w:val="2"/>
                <w:sz w:val="21"/>
                <w:szCs w:val="21"/>
                <w:highlight w:val="none"/>
              </w:rPr>
            </w:pPr>
            <w:r>
              <w:rPr>
                <w:rFonts w:hint="default" w:ascii="Times New Roman" w:hAnsi="Times New Roman" w:cs="Times New Roman" w:eastAsiaTheme="minorEastAsia"/>
                <w:snapToGrid/>
                <w:color w:val="auto"/>
                <w:spacing w:val="0"/>
                <w:kern w:val="2"/>
                <w:sz w:val="21"/>
                <w:szCs w:val="21"/>
                <w:highlight w:val="none"/>
              </w:rPr>
              <w:t>复印件</w:t>
            </w:r>
          </w:p>
        </w:tc>
      </w:tr>
    </w:tbl>
    <w:p w14:paraId="01ED5813">
      <w:pPr>
        <w:pStyle w:val="32"/>
        <w:keepLines w:val="0"/>
        <w:kinsoku/>
        <w:wordWrap/>
        <w:overflowPunct/>
        <w:topLinePunct w:val="0"/>
        <w:bidi w:val="0"/>
        <w:spacing w:beforeAutospacing="0" w:afterAutospacing="0" w:line="440" w:lineRule="atLeast"/>
        <w:ind w:left="0" w:leftChars="0" w:right="0" w:rightChars="0" w:hanging="420"/>
        <w:jc w:val="center"/>
        <w:rPr>
          <w:rFonts w:hint="default" w:ascii="Times New Roman" w:hAnsi="Times New Roman" w:cs="Times New Roman" w:eastAsiaTheme="minorEastAsia"/>
          <w:b/>
          <w:bCs/>
          <w:color w:val="auto"/>
          <w:sz w:val="30"/>
          <w:highlight w:val="none"/>
        </w:rPr>
      </w:pPr>
      <w:r>
        <w:rPr>
          <w:rFonts w:hint="default" w:ascii="Times New Roman" w:hAnsi="Times New Roman" w:cs="Times New Roman" w:eastAsiaTheme="minorEastAsia"/>
          <w:b/>
          <w:bCs/>
          <w:color w:val="auto"/>
          <w:sz w:val="30"/>
          <w:highlight w:val="none"/>
        </w:rPr>
        <w:t>特别提示与要求！</w:t>
      </w:r>
    </w:p>
    <w:p w14:paraId="5F6F027E">
      <w:pPr>
        <w:pStyle w:val="32"/>
        <w:keepLines w:val="0"/>
        <w:kinsoku/>
        <w:wordWrap/>
        <w:overflowPunct/>
        <w:topLinePunct w:val="0"/>
        <w:bidi w:val="0"/>
        <w:spacing w:beforeAutospacing="0" w:afterAutospacing="0" w:line="440" w:lineRule="atLeast"/>
        <w:ind w:left="0" w:leftChars="0" w:right="0" w:rightChars="0"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以上材料将作为供应商资格性审查的重要内容之一，供应商必须严格按照其内容及序列要求在响应文件中对应如实提供，对缺漏和不符合项将会直接导致无效响应！</w:t>
      </w:r>
    </w:p>
    <w:p w14:paraId="0B239F2F">
      <w:pPr>
        <w:pStyle w:val="5"/>
        <w:keepLines w:val="0"/>
        <w:pageBreakBefore/>
        <w:numPr>
          <w:ilvl w:val="0"/>
          <w:numId w:val="4"/>
        </w:numPr>
        <w:kinsoku/>
        <w:wordWrap/>
        <w:overflowPunct/>
        <w:topLinePunct w:val="0"/>
        <w:bidi w:val="0"/>
        <w:spacing w:beforeAutospacing="0" w:after="0" w:afterLines="0" w:afterAutospacing="0" w:line="440" w:lineRule="atLeast"/>
        <w:ind w:left="0" w:leftChars="0" w:right="0" w:rightChars="0"/>
        <w:rPr>
          <w:rFonts w:hint="default" w:ascii="Times New Roman" w:hAnsi="Times New Roman" w:cs="Times New Roman" w:eastAsiaTheme="minorEastAsia"/>
          <w:color w:val="auto"/>
          <w:szCs w:val="21"/>
          <w:highlight w:val="none"/>
        </w:rPr>
        <w:sectPr>
          <w:pgSz w:w="11906" w:h="16838"/>
          <w:pgMar w:top="1134" w:right="1134" w:bottom="1134" w:left="1587" w:header="567" w:footer="737" w:gutter="0"/>
          <w:pgBorders>
            <w:top w:val="none" w:sz="0" w:space="0"/>
            <w:left w:val="none" w:sz="0" w:space="0"/>
            <w:bottom w:val="none" w:sz="0" w:space="0"/>
            <w:right w:val="none" w:sz="0" w:space="0"/>
          </w:pgBorders>
          <w:pgNumType w:fmt="decimal"/>
          <w:cols w:space="720" w:num="1"/>
          <w:docGrid w:linePitch="312" w:charSpace="0"/>
        </w:sectPr>
      </w:pPr>
      <w:bookmarkStart w:id="111" w:name="_法定代表人授权书_1"/>
      <w:bookmarkEnd w:id="111"/>
      <w:bookmarkStart w:id="112" w:name="_Toc119321151"/>
      <w:bookmarkStart w:id="113" w:name="_Toc136662940"/>
      <w:bookmarkStart w:id="114" w:name="_Toc136682916"/>
      <w:bookmarkStart w:id="115" w:name="_Toc159385075"/>
    </w:p>
    <w:p w14:paraId="23B279C7">
      <w:pPr>
        <w:keepLines w:val="0"/>
        <w:pageBreakBefore/>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sz w:val="36"/>
          <w:szCs w:val="36"/>
          <w:highlight w:val="none"/>
          <w:lang w:val="en-US"/>
        </w:rPr>
      </w:pPr>
      <w:bookmarkStart w:id="116" w:name="_投标承诺函_1"/>
      <w:bookmarkEnd w:id="116"/>
      <w:bookmarkStart w:id="117" w:name="_Toc15578"/>
      <w:bookmarkStart w:id="118" w:name="_Toc9168"/>
      <w:bookmarkStart w:id="119" w:name="_Toc419106566"/>
      <w:bookmarkStart w:id="120" w:name="_Toc29357"/>
      <w:bookmarkStart w:id="121" w:name="_Toc26339"/>
      <w:r>
        <w:rPr>
          <w:rFonts w:hint="default" w:ascii="Times New Roman" w:hAnsi="Times New Roman" w:cs="Times New Roman" w:eastAsiaTheme="minorEastAsia"/>
          <w:b/>
          <w:bCs/>
          <w:color w:val="auto"/>
          <w:sz w:val="36"/>
          <w:szCs w:val="36"/>
          <w:highlight w:val="none"/>
          <w:lang w:val="en-US"/>
        </w:rPr>
        <w:t>1.1 响应承诺函</w:t>
      </w:r>
      <w:bookmarkEnd w:id="69"/>
      <w:bookmarkEnd w:id="70"/>
      <w:bookmarkEnd w:id="112"/>
      <w:bookmarkEnd w:id="113"/>
      <w:bookmarkEnd w:id="114"/>
      <w:bookmarkEnd w:id="115"/>
      <w:bookmarkEnd w:id="117"/>
      <w:bookmarkEnd w:id="118"/>
      <w:bookmarkEnd w:id="119"/>
      <w:bookmarkEnd w:id="120"/>
      <w:bookmarkEnd w:id="121"/>
    </w:p>
    <w:p w14:paraId="43EE61C3">
      <w:pPr>
        <w:keepNext w:val="0"/>
        <w:keepLines w:val="0"/>
        <w:widowControl w:val="0"/>
        <w:kinsoku/>
        <w:wordWrap/>
        <w:overflowPunct/>
        <w:topLinePunct w:val="0"/>
        <w:autoSpaceDE/>
        <w:autoSpaceDN/>
        <w:bidi w:val="0"/>
        <w:adjustRightInd/>
        <w:snapToGrid/>
        <w:spacing w:beforeAutospacing="0" w:afterAutospacing="0" w:line="440" w:lineRule="atLeast"/>
        <w:ind w:left="315" w:leftChars="0" w:right="0" w:rightChars="0" w:hanging="315" w:hangingChars="150"/>
        <w:textAlignment w:val="auto"/>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 xml:space="preserve">致 </w:t>
      </w:r>
      <w:r>
        <w:rPr>
          <w:rFonts w:hint="eastAsia" w:ascii="Times New Roman" w:hAnsi="Times New Roman" w:cs="Times New Roman"/>
          <w:bCs/>
          <w:color w:val="auto"/>
          <w:sz w:val="21"/>
          <w:szCs w:val="21"/>
          <w:highlight w:val="none"/>
          <w:lang w:eastAsia="zh-CN"/>
        </w:rPr>
        <w:t>佛山市高明区人民法院</w:t>
      </w:r>
      <w:r>
        <w:rPr>
          <w:rFonts w:hint="default" w:ascii="Times New Roman" w:hAnsi="Times New Roman" w:cs="Times New Roman" w:eastAsiaTheme="minorEastAsia"/>
          <w:bCs/>
          <w:color w:val="auto"/>
          <w:sz w:val="21"/>
          <w:szCs w:val="21"/>
          <w:highlight w:val="none"/>
        </w:rPr>
        <w:t>/广东远东招标代理有限公司：</w:t>
      </w:r>
    </w:p>
    <w:p w14:paraId="783AB5FF">
      <w:pPr>
        <w:keepNext w:val="0"/>
        <w:keepLines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我方根据《竞争性磋商文件》的要求，通过委任的全权代表，向贵方递交密封册装的全套响应文件参与下列项目的响应，现为我方的一切响应行为作</w:t>
      </w:r>
      <w:r>
        <w:rPr>
          <w:rFonts w:hint="default" w:ascii="Times New Roman" w:hAnsi="Times New Roman" w:cs="Times New Roman" w:eastAsiaTheme="minorEastAsia"/>
          <w:bCs/>
          <w:color w:val="auto"/>
          <w:sz w:val="21"/>
          <w:szCs w:val="21"/>
          <w:highlight w:val="none"/>
        </w:rPr>
        <w:t>郑重承诺及声明如下：</w:t>
      </w:r>
    </w:p>
    <w:p w14:paraId="5622B796">
      <w:pPr>
        <w:keepNext w:val="0"/>
        <w:keepLines w:val="0"/>
        <w:widowControl w:val="0"/>
        <w:numPr>
          <w:ilvl w:val="0"/>
          <w:numId w:val="5"/>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 xml:space="preserve">项目名称： </w:t>
      </w:r>
      <w:r>
        <w:rPr>
          <w:rFonts w:hint="eastAsia" w:ascii="Times New Roman" w:hAnsi="Times New Roman" w:cs="Times New Roman"/>
          <w:color w:val="auto"/>
          <w:sz w:val="21"/>
          <w:szCs w:val="21"/>
          <w:highlight w:val="none"/>
          <w:lang w:eastAsia="zh-CN"/>
        </w:rPr>
        <w:t>佛山市高明区人民法院执行案件集约化送达服务项目</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DOCVARIABLE  项目名称  \* MERGEFORMAT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color w:val="auto"/>
          <w:sz w:val="21"/>
          <w:szCs w:val="21"/>
          <w:highlight w:val="none"/>
        </w:rPr>
        <w:t>；</w:t>
      </w:r>
    </w:p>
    <w:p w14:paraId="79E797DE">
      <w:pPr>
        <w:keepNext w:val="0"/>
        <w:keepLines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 xml:space="preserve">    项目编号： </w:t>
      </w:r>
      <w:r>
        <w:rPr>
          <w:rFonts w:hint="eastAsia" w:ascii="Times New Roman" w:hAnsi="Times New Roman" w:cs="Times New Roman"/>
          <w:color w:val="auto"/>
          <w:sz w:val="21"/>
          <w:szCs w:val="21"/>
          <w:highlight w:val="none"/>
          <w:lang w:eastAsia="zh-CN"/>
        </w:rPr>
        <w:t>GDYD240563</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color w:val="auto"/>
          <w:sz w:val="21"/>
          <w:szCs w:val="21"/>
          <w:highlight w:val="none"/>
        </w:rPr>
        <w:instrText xml:space="preserve"> DOCVARIABLE  采购编号  \* MERGEFORMAT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color w:val="auto"/>
          <w:sz w:val="21"/>
          <w:szCs w:val="21"/>
          <w:highlight w:val="none"/>
        </w:rPr>
        <w:fldChar w:fldCharType="end"/>
      </w:r>
    </w:p>
    <w:p w14:paraId="217169B7">
      <w:pPr>
        <w:keepNext w:val="0"/>
        <w:keepLines w:val="0"/>
        <w:widowControl w:val="0"/>
        <w:numPr>
          <w:ilvl w:val="0"/>
          <w:numId w:val="5"/>
        </w:numPr>
        <w:tabs>
          <w:tab w:val="left" w:pos="9000"/>
        </w:tabs>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我方已认真阅读了全部采购文件及其相关文件，完全清楚理解其内容要求及规约，对文件的合理性、公正性和程序安排均没有任何异议、质疑和误解之处。</w:t>
      </w:r>
    </w:p>
    <w:p w14:paraId="7E2FD9AC">
      <w:pPr>
        <w:keepNext w:val="0"/>
        <w:keepLines w:val="0"/>
        <w:widowControl w:val="0"/>
        <w:numPr>
          <w:ilvl w:val="0"/>
          <w:numId w:val="5"/>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我方所提供的一切文件均已经过认真、严格的审核，其内容已充分表达了我方的真实意愿，没有任何遗漏、虚假、侵权之处，若出现违背诚实信用和商业道德之行为，愿独自承担相应的法律责任。</w:t>
      </w:r>
    </w:p>
    <w:p w14:paraId="1E2543B5">
      <w:pPr>
        <w:keepNext w:val="0"/>
        <w:keepLines w:val="0"/>
        <w:widowControl w:val="0"/>
        <w:numPr>
          <w:ilvl w:val="0"/>
          <w:numId w:val="5"/>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我方没有为本项目提供整体设计、规范编制或者项目管理、监理、检测等服务。</w:t>
      </w:r>
    </w:p>
    <w:p w14:paraId="7BFECFB2">
      <w:pPr>
        <w:keepNext w:val="0"/>
        <w:keepLines w:val="0"/>
        <w:widowControl w:val="0"/>
        <w:numPr>
          <w:ilvl w:val="0"/>
          <w:numId w:val="5"/>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响应有效期自递交响应文件起至确定正式</w:t>
      </w:r>
      <w:r>
        <w:rPr>
          <w:rFonts w:hint="default" w:ascii="Times New Roman" w:hAnsi="Times New Roman" w:cs="Times New Roman" w:eastAsiaTheme="minorEastAsia"/>
          <w:color w:val="auto"/>
          <w:sz w:val="21"/>
          <w:szCs w:val="21"/>
          <w:highlight w:val="none"/>
          <w:lang w:eastAsia="zh-CN"/>
        </w:rPr>
        <w:t>成交人</w:t>
      </w:r>
      <w:r>
        <w:rPr>
          <w:rFonts w:hint="default" w:ascii="Times New Roman" w:hAnsi="Times New Roman" w:cs="Times New Roman" w:eastAsiaTheme="minorEastAsia"/>
          <w:color w:val="auto"/>
          <w:sz w:val="21"/>
          <w:szCs w:val="21"/>
          <w:highlight w:val="none"/>
        </w:rPr>
        <w:t>止，若我方获成交资格，响应有效期则相应延长至项目服务期满之日，不论在任何时候，定将按贵方的要求在规定时间内如实提供一切补充材料。</w:t>
      </w:r>
    </w:p>
    <w:p w14:paraId="7FBA483E">
      <w:pPr>
        <w:keepNext w:val="0"/>
        <w:keepLines w:val="0"/>
        <w:widowControl w:val="0"/>
        <w:numPr>
          <w:ilvl w:val="0"/>
          <w:numId w:val="5"/>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完全服从和尊重磋商小组所作的评审结果，同时清楚理解到仅凭报价或单一竞争优势并非是决定成交资格的唯一重要依据。</w:t>
      </w:r>
    </w:p>
    <w:p w14:paraId="531F61FB">
      <w:pPr>
        <w:keepNext w:val="0"/>
        <w:keepLines w:val="0"/>
        <w:widowControl w:val="0"/>
        <w:numPr>
          <w:ilvl w:val="0"/>
          <w:numId w:val="5"/>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同意按采购文件的要求认真履行</w:t>
      </w:r>
      <w:r>
        <w:rPr>
          <w:rFonts w:hint="default" w:ascii="Times New Roman" w:hAnsi="Times New Roman" w:cs="Times New Roman" w:eastAsiaTheme="minorEastAsia"/>
          <w:color w:val="auto"/>
          <w:sz w:val="21"/>
          <w:szCs w:val="21"/>
          <w:highlight w:val="none"/>
          <w:lang w:eastAsia="zh-CN"/>
        </w:rPr>
        <w:t>成交人</w:t>
      </w:r>
      <w:r>
        <w:rPr>
          <w:rFonts w:hint="default" w:ascii="Times New Roman" w:hAnsi="Times New Roman" w:cs="Times New Roman" w:eastAsiaTheme="minorEastAsia"/>
          <w:color w:val="auto"/>
          <w:sz w:val="21"/>
          <w:szCs w:val="21"/>
          <w:highlight w:val="none"/>
        </w:rPr>
        <w:t>应尽的义务，若我方行为不当而损害了</w:t>
      </w:r>
      <w:r>
        <w:rPr>
          <w:rFonts w:hint="eastAsia" w:ascii="Times New Roman" w:hAnsi="Times New Roman" w:cs="Times New Roman"/>
          <w:color w:val="auto"/>
          <w:sz w:val="21"/>
          <w:szCs w:val="21"/>
          <w:highlight w:val="none"/>
          <w:lang w:eastAsia="zh-CN"/>
        </w:rPr>
        <w:t>采购人</w:t>
      </w:r>
      <w:r>
        <w:rPr>
          <w:rFonts w:hint="default" w:ascii="Times New Roman" w:hAnsi="Times New Roman" w:cs="Times New Roman" w:eastAsiaTheme="minorEastAsia"/>
          <w:color w:val="auto"/>
          <w:sz w:val="21"/>
          <w:szCs w:val="21"/>
          <w:highlight w:val="none"/>
        </w:rPr>
        <w:t>的合法权益，我方愿在任何时候无条件承担相应的缔约过失责任和经济赔偿。</w:t>
      </w:r>
    </w:p>
    <w:p w14:paraId="69B9D72E">
      <w:pPr>
        <w:keepNext w:val="0"/>
        <w:keepLines w:val="0"/>
        <w:widowControl w:val="0"/>
        <w:numPr>
          <w:ilvl w:val="0"/>
          <w:numId w:val="5"/>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我方已依法缴纳了各项税费及社会保险费用，如有需要，可随时向</w:t>
      </w:r>
      <w:r>
        <w:rPr>
          <w:rFonts w:hint="eastAsia" w:ascii="Times New Roman" w:hAnsi="Times New Roman" w:cs="Times New Roman"/>
          <w:color w:val="auto"/>
          <w:sz w:val="21"/>
          <w:szCs w:val="21"/>
          <w:highlight w:val="none"/>
          <w:lang w:eastAsia="zh-CN"/>
        </w:rPr>
        <w:t>采购人</w:t>
      </w:r>
      <w:r>
        <w:rPr>
          <w:rFonts w:hint="default" w:ascii="Times New Roman" w:hAnsi="Times New Roman" w:cs="Times New Roman" w:eastAsiaTheme="minorEastAsia"/>
          <w:color w:val="auto"/>
          <w:sz w:val="21"/>
          <w:szCs w:val="21"/>
          <w:highlight w:val="none"/>
        </w:rPr>
        <w:t>提交近三个月内的相关缴费证明，以便核查。</w:t>
      </w:r>
    </w:p>
    <w:p w14:paraId="345CEA67">
      <w:pPr>
        <w:keepNext w:val="0"/>
        <w:keepLines w:val="0"/>
        <w:widowControl w:val="0"/>
        <w:numPr>
          <w:ilvl w:val="0"/>
          <w:numId w:val="5"/>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我方已依法建立健全的财务会计制度，如有需要，可随时向</w:t>
      </w:r>
      <w:r>
        <w:rPr>
          <w:rFonts w:hint="eastAsia" w:ascii="Times New Roman" w:hAnsi="Times New Roman" w:cs="Times New Roman"/>
          <w:color w:val="auto"/>
          <w:sz w:val="21"/>
          <w:szCs w:val="21"/>
          <w:highlight w:val="none"/>
          <w:lang w:eastAsia="zh-CN"/>
        </w:rPr>
        <w:t>采购人</w:t>
      </w:r>
      <w:r>
        <w:rPr>
          <w:rFonts w:hint="default" w:ascii="Times New Roman" w:hAnsi="Times New Roman" w:cs="Times New Roman" w:eastAsiaTheme="minorEastAsia"/>
          <w:color w:val="auto"/>
          <w:sz w:val="21"/>
          <w:szCs w:val="21"/>
          <w:highlight w:val="none"/>
        </w:rPr>
        <w:t>提交相关证明材料，以便核查。</w:t>
      </w:r>
    </w:p>
    <w:p w14:paraId="3262A7DA">
      <w:pPr>
        <w:keepNext w:val="0"/>
        <w:keepLines w:val="0"/>
        <w:widowControl w:val="0"/>
        <w:numPr>
          <w:ilvl w:val="0"/>
          <w:numId w:val="5"/>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本公司（企业）的单位负责人与所参投的本采购项目的其他投标人的单位负责人不为同一人且与其他投标人之间不存在直接控股、管理关系</w:t>
      </w:r>
      <w:r>
        <w:rPr>
          <w:rFonts w:hint="default" w:ascii="Times New Roman" w:hAnsi="Times New Roman" w:cs="Times New Roman" w:eastAsiaTheme="minorEastAsia"/>
          <w:color w:val="auto"/>
          <w:sz w:val="21"/>
          <w:szCs w:val="21"/>
          <w:highlight w:val="none"/>
          <w:lang w:eastAsia="zh-CN"/>
        </w:rPr>
        <w:t>。</w:t>
      </w:r>
    </w:p>
    <w:p w14:paraId="1B543430">
      <w:pPr>
        <w:keepNext w:val="0"/>
        <w:keepLines w:val="0"/>
        <w:widowControl w:val="0"/>
        <w:numPr>
          <w:ilvl w:val="0"/>
          <w:numId w:val="5"/>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本公司（企业）承诺在本次采购活动中，如有违法、违规、弄虚作假行为，所造成的损失、不良后果及法律责任，一律由我公司（企业）承担。</w:t>
      </w:r>
    </w:p>
    <w:p w14:paraId="2637A523">
      <w:pPr>
        <w:keepNext w:val="0"/>
        <w:keepLines w:val="0"/>
        <w:widowControl w:val="0"/>
        <w:numPr>
          <w:ilvl w:val="0"/>
          <w:numId w:val="5"/>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本承诺函效力及范围均涵盖我方整套响应文件和一切补充文件。</w:t>
      </w:r>
    </w:p>
    <w:p w14:paraId="70C81124">
      <w:pPr>
        <w:keepNext w:val="0"/>
        <w:keepLines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p>
    <w:p w14:paraId="4D5EE82B">
      <w:pPr>
        <w:keepNext w:val="0"/>
        <w:keepLines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供应商名称：</w:t>
      </w:r>
      <w:r>
        <w:rPr>
          <w:rFonts w:hint="default" w:ascii="Times New Roman" w:hAnsi="Times New Roman" w:cs="Times New Roman" w:eastAsiaTheme="minorEastAsia"/>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eastAsia="zh-CN"/>
        </w:rPr>
        <w:t>单位名称</w:t>
      </w:r>
      <w:r>
        <w:rPr>
          <w:rFonts w:hint="default" w:ascii="Times New Roman" w:hAnsi="Times New Roman" w:cs="Times New Roman" w:eastAsiaTheme="minorEastAsia"/>
          <w:color w:val="auto"/>
          <w:sz w:val="21"/>
          <w:szCs w:val="21"/>
          <w:highlight w:val="none"/>
          <w:u w:val="single"/>
        </w:rPr>
        <w:t xml:space="preserve">全称）                </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lang w:val="zh-CN"/>
        </w:rPr>
        <w:t>加盖供应商公章</w:t>
      </w:r>
      <w:r>
        <w:rPr>
          <w:rFonts w:hint="default" w:ascii="Times New Roman" w:hAnsi="Times New Roman" w:cs="Times New Roman" w:eastAsiaTheme="minorEastAsia"/>
          <w:color w:val="auto"/>
          <w:sz w:val="21"/>
          <w:szCs w:val="21"/>
          <w:highlight w:val="none"/>
        </w:rPr>
        <w:t>）</w:t>
      </w:r>
    </w:p>
    <w:p w14:paraId="7DD33062">
      <w:pPr>
        <w:keepNext w:val="0"/>
        <w:keepLines w:val="0"/>
        <w:widowControl w:val="0"/>
        <w:tabs>
          <w:tab w:val="left" w:pos="-3780"/>
        </w:tabs>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承诺日期：</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年</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月</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日。</w:t>
      </w:r>
    </w:p>
    <w:p w14:paraId="29145AC5">
      <w:pPr>
        <w:keepNext w:val="0"/>
        <w:keepLines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bookmarkStart w:id="122" w:name="_投标承诺函"/>
      <w:bookmarkEnd w:id="122"/>
      <w:bookmarkStart w:id="123" w:name="_法人代表授权书"/>
      <w:bookmarkEnd w:id="123"/>
      <w:bookmarkStart w:id="124" w:name="_Toc136682917"/>
      <w:bookmarkStart w:id="125" w:name="_Toc49329266"/>
      <w:bookmarkStart w:id="126" w:name="_Toc37670364"/>
      <w:bookmarkStart w:id="127" w:name="_Toc119321152"/>
      <w:bookmarkStart w:id="128" w:name="_Toc136662941"/>
      <w:r>
        <w:rPr>
          <w:rFonts w:hint="default" w:ascii="Times New Roman" w:hAnsi="Times New Roman" w:cs="Times New Roman" w:eastAsiaTheme="minorEastAsia"/>
          <w:color w:val="auto"/>
          <w:sz w:val="21"/>
          <w:szCs w:val="21"/>
          <w:highlight w:val="none"/>
        </w:rPr>
        <w:t>说明：</w:t>
      </w:r>
    </w:p>
    <w:p w14:paraId="431B141E">
      <w:pPr>
        <w:keepNext w:val="0"/>
        <w:keepLines w:val="0"/>
        <w:widowControl w:val="0"/>
        <w:tabs>
          <w:tab w:val="left" w:pos="-3780"/>
        </w:tabs>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1、本承诺函内容不得擅自删改。</w:t>
      </w:r>
    </w:p>
    <w:p w14:paraId="5F2AA30A">
      <w:pPr>
        <w:keepNext w:val="0"/>
        <w:keepLines w:val="0"/>
        <w:pageBreakBefore/>
        <w:widowControl w:val="0"/>
        <w:numPr>
          <w:ilvl w:val="0"/>
          <w:numId w:val="6"/>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sectPr>
          <w:pgSz w:w="11906" w:h="16838"/>
          <w:pgMar w:top="1134" w:right="1134" w:bottom="1134" w:left="1587" w:header="567" w:footer="737" w:gutter="0"/>
          <w:pgBorders>
            <w:top w:val="none" w:sz="0" w:space="0"/>
            <w:left w:val="none" w:sz="0" w:space="0"/>
            <w:bottom w:val="none" w:sz="0" w:space="0"/>
            <w:right w:val="none" w:sz="0" w:space="0"/>
          </w:pgBorders>
          <w:pgNumType w:fmt="decimal"/>
          <w:cols w:space="720" w:num="1"/>
          <w:docGrid w:linePitch="312" w:charSpace="0"/>
        </w:sectPr>
      </w:pPr>
      <w:bookmarkStart w:id="129" w:name="_法人授权书"/>
      <w:bookmarkEnd w:id="129"/>
      <w:bookmarkStart w:id="130" w:name="_Toc159385076"/>
    </w:p>
    <w:bookmarkEnd w:id="71"/>
    <w:bookmarkEnd w:id="72"/>
    <w:bookmarkEnd w:id="73"/>
    <w:bookmarkEnd w:id="124"/>
    <w:bookmarkEnd w:id="125"/>
    <w:bookmarkEnd w:id="126"/>
    <w:bookmarkEnd w:id="127"/>
    <w:bookmarkEnd w:id="128"/>
    <w:bookmarkEnd w:id="130"/>
    <w:p w14:paraId="77D1FE62">
      <w:pPr>
        <w:keepLines w:val="0"/>
        <w:pageBreakBefore/>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sz w:val="36"/>
          <w:szCs w:val="36"/>
          <w:highlight w:val="none"/>
        </w:rPr>
      </w:pPr>
      <w:bookmarkStart w:id="131" w:name="_法人授权书_1"/>
      <w:bookmarkEnd w:id="131"/>
      <w:bookmarkStart w:id="132" w:name="_企业资质、资格性证明"/>
      <w:bookmarkEnd w:id="132"/>
      <w:bookmarkStart w:id="133" w:name="_Toc14873257"/>
      <w:bookmarkStart w:id="134" w:name="_Toc419106567"/>
      <w:bookmarkStart w:id="135" w:name="_Toc25532"/>
      <w:bookmarkStart w:id="136" w:name="_Toc24149"/>
      <w:bookmarkStart w:id="137" w:name="_Toc3230"/>
      <w:bookmarkStart w:id="138" w:name="_Toc4275"/>
      <w:bookmarkStart w:id="139" w:name="_Toc22939"/>
      <w:bookmarkStart w:id="140" w:name="_Toc12876"/>
      <w:bookmarkStart w:id="141" w:name="_Toc26401"/>
      <w:bookmarkStart w:id="142" w:name="_Toc17786"/>
      <w:bookmarkStart w:id="143" w:name="_Toc16815"/>
      <w:bookmarkStart w:id="144" w:name="_Toc438547162"/>
      <w:bookmarkStart w:id="145" w:name="_Toc27819"/>
      <w:bookmarkStart w:id="146" w:name="_Toc13594"/>
      <w:bookmarkStart w:id="147" w:name="_Toc419106569"/>
      <w:bookmarkStart w:id="148" w:name="_Toc159385077"/>
      <w:r>
        <w:rPr>
          <w:rFonts w:hint="default" w:ascii="Times New Roman" w:hAnsi="Times New Roman" w:cs="Times New Roman" w:eastAsiaTheme="minorEastAsia"/>
          <w:b/>
          <w:bCs/>
          <w:color w:val="auto"/>
          <w:sz w:val="36"/>
          <w:szCs w:val="36"/>
          <w:highlight w:val="none"/>
          <w:lang w:val="en-US"/>
        </w:rPr>
        <w:t>1.2 法定代表人/法定负责人</w:t>
      </w:r>
      <w:r>
        <w:rPr>
          <w:rFonts w:hint="default" w:ascii="Times New Roman" w:hAnsi="Times New Roman" w:cs="Times New Roman" w:eastAsiaTheme="minorEastAsia"/>
          <w:b/>
          <w:bCs/>
          <w:color w:val="auto"/>
          <w:sz w:val="36"/>
          <w:szCs w:val="36"/>
          <w:highlight w:val="none"/>
        </w:rPr>
        <w:t>证明书</w:t>
      </w:r>
      <w:bookmarkEnd w:id="133"/>
      <w:bookmarkEnd w:id="134"/>
      <w:bookmarkEnd w:id="135"/>
      <w:bookmarkEnd w:id="136"/>
      <w:bookmarkEnd w:id="137"/>
      <w:bookmarkEnd w:id="138"/>
      <w:bookmarkEnd w:id="139"/>
      <w:bookmarkEnd w:id="140"/>
      <w:bookmarkEnd w:id="141"/>
      <w:bookmarkEnd w:id="142"/>
    </w:p>
    <w:p w14:paraId="48178608">
      <w:pPr>
        <w:keepLines w:val="0"/>
        <w:kinsoku/>
        <w:wordWrap/>
        <w:overflowPunct/>
        <w:topLinePunct w:val="0"/>
        <w:bidi w:val="0"/>
        <w:spacing w:beforeAutospacing="0" w:afterAutospacing="0" w:line="440" w:lineRule="atLeast"/>
        <w:ind w:left="316" w:leftChars="0" w:right="0" w:rightChars="0" w:hanging="316" w:hangingChars="150"/>
        <w:rPr>
          <w:rFonts w:hint="default" w:ascii="Times New Roman" w:hAnsi="Times New Roman" w:cs="Times New Roman" w:eastAsiaTheme="minorEastAsia"/>
          <w:b/>
          <w:bCs/>
          <w:color w:val="auto"/>
          <w:highlight w:val="none"/>
        </w:rPr>
      </w:pPr>
    </w:p>
    <w:p w14:paraId="5E9594A0">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315" w:leftChars="0" w:right="0" w:rightChars="0" w:hanging="315" w:hangingChars="150"/>
        <w:textAlignment w:val="auto"/>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 xml:space="preserve">致  </w:t>
      </w:r>
      <w:r>
        <w:rPr>
          <w:rFonts w:hint="eastAsia" w:ascii="Times New Roman" w:hAnsi="Times New Roman" w:cs="Times New Roman"/>
          <w:bCs/>
          <w:color w:val="auto"/>
          <w:sz w:val="21"/>
          <w:szCs w:val="21"/>
          <w:highlight w:val="none"/>
          <w:lang w:eastAsia="zh-CN"/>
        </w:rPr>
        <w:t>佛山市高明区人民法院</w:t>
      </w:r>
      <w:r>
        <w:rPr>
          <w:rFonts w:hint="default" w:ascii="Times New Roman" w:hAnsi="Times New Roman" w:cs="Times New Roman" w:eastAsiaTheme="minorEastAsia"/>
          <w:bCs/>
          <w:color w:val="auto"/>
          <w:sz w:val="21"/>
          <w:szCs w:val="21"/>
          <w:highlight w:val="none"/>
        </w:rPr>
        <w:t>/广东远东招标代理有限公司：</w:t>
      </w:r>
    </w:p>
    <w:p w14:paraId="6A30F4E2">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315" w:leftChars="0" w:right="0" w:rightChars="0" w:hanging="315" w:hangingChars="150"/>
        <w:textAlignment w:val="auto"/>
        <w:rPr>
          <w:rFonts w:hint="default" w:ascii="Times New Roman" w:hAnsi="Times New Roman" w:cs="Times New Roman" w:eastAsiaTheme="minorEastAsia"/>
          <w:bCs/>
          <w:color w:val="auto"/>
          <w:sz w:val="21"/>
          <w:szCs w:val="21"/>
          <w:highlight w:val="none"/>
        </w:rPr>
      </w:pPr>
    </w:p>
    <w:p w14:paraId="37B6F07F">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bookmarkStart w:id="149" w:name="_Toc14873258"/>
      <w:bookmarkStart w:id="150" w:name="_Ref266198344"/>
      <w:bookmarkStart w:id="151" w:name="_Toc3157"/>
      <w:bookmarkStart w:id="152" w:name="_Toc419106568"/>
      <w:bookmarkStart w:id="153" w:name="_Toc304304969"/>
      <w:bookmarkStart w:id="154" w:name="_Toc310519891"/>
      <w:bookmarkStart w:id="155" w:name="_Toc304886140"/>
      <w:bookmarkStart w:id="156" w:name="_Toc325031947"/>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同志，现任我单位</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职务，为法定代表人，特此证明。</w:t>
      </w:r>
    </w:p>
    <w:p w14:paraId="73EC26D0">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210" w:firstLineChars="1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 xml:space="preserve">签发日期：   年  月  日 </w:t>
      </w:r>
    </w:p>
    <w:p w14:paraId="0698D808">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210" w:firstLineChars="1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单位名称：</w:t>
      </w:r>
      <w:r>
        <w:rPr>
          <w:rFonts w:hint="default" w:ascii="Times New Roman" w:hAnsi="Times New Roman" w:cs="Times New Roman" w:eastAsiaTheme="minorEastAsia"/>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eastAsia="zh-CN"/>
        </w:rPr>
        <w:t>单位名称</w:t>
      </w:r>
      <w:r>
        <w:rPr>
          <w:rFonts w:hint="default" w:ascii="Times New Roman" w:hAnsi="Times New Roman" w:cs="Times New Roman" w:eastAsiaTheme="minorEastAsia"/>
          <w:color w:val="auto"/>
          <w:sz w:val="21"/>
          <w:szCs w:val="21"/>
          <w:highlight w:val="none"/>
          <w:u w:val="single"/>
        </w:rPr>
        <w:t xml:space="preserve">全称）  </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lang w:val="zh-CN"/>
        </w:rPr>
        <w:t>加盖供应商公章</w:t>
      </w:r>
      <w:r>
        <w:rPr>
          <w:rFonts w:hint="default" w:ascii="Times New Roman" w:hAnsi="Times New Roman" w:cs="Times New Roman" w:eastAsiaTheme="minorEastAsia"/>
          <w:color w:val="auto"/>
          <w:sz w:val="21"/>
          <w:szCs w:val="21"/>
          <w:highlight w:val="none"/>
        </w:rPr>
        <w:t>）</w:t>
      </w:r>
    </w:p>
    <w:p w14:paraId="4778E73E">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210" w:firstLineChars="100"/>
        <w:textAlignment w:val="auto"/>
        <w:rPr>
          <w:rFonts w:hint="default" w:ascii="Times New Roman" w:hAnsi="Times New Roman" w:cs="Times New Roman" w:eastAsiaTheme="minorEastAsia"/>
          <w:color w:val="auto"/>
          <w:sz w:val="21"/>
          <w:szCs w:val="21"/>
          <w:highlight w:val="none"/>
        </w:rPr>
      </w:pPr>
    </w:p>
    <w:p w14:paraId="63B2A837">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210" w:firstLineChars="100"/>
        <w:textAlignment w:val="auto"/>
        <w:rPr>
          <w:rFonts w:hint="default" w:ascii="Times New Roman" w:hAnsi="Times New Roman" w:cs="Times New Roman" w:eastAsiaTheme="minorEastAsia"/>
          <w:color w:val="auto"/>
          <w:sz w:val="21"/>
          <w:szCs w:val="21"/>
          <w:highlight w:val="none"/>
          <w:u w:val="single"/>
        </w:rPr>
      </w:pPr>
      <w:r>
        <w:rPr>
          <w:rFonts w:hint="default" w:ascii="Times New Roman" w:hAnsi="Times New Roman" w:cs="Times New Roman" w:eastAsiaTheme="minorEastAsia"/>
          <w:color w:val="auto"/>
          <w:sz w:val="21"/>
          <w:szCs w:val="21"/>
          <w:highlight w:val="none"/>
        </w:rPr>
        <w:t>附：法定代表人性别：</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 xml:space="preserve">    年龄：</w:t>
      </w:r>
      <w:r>
        <w:rPr>
          <w:rFonts w:hint="default" w:ascii="Times New Roman" w:hAnsi="Times New Roman" w:cs="Times New Roman" w:eastAsiaTheme="minorEastAsia"/>
          <w:color w:val="auto"/>
          <w:sz w:val="21"/>
          <w:szCs w:val="21"/>
          <w:highlight w:val="none"/>
          <w:u w:val="single"/>
        </w:rPr>
        <w:t xml:space="preserve">           </w:t>
      </w:r>
    </w:p>
    <w:p w14:paraId="4ECC4E3D">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630" w:firstLineChars="300"/>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eastAsiaTheme="minorEastAsia"/>
          <w:color w:val="auto"/>
          <w:sz w:val="21"/>
          <w:szCs w:val="21"/>
          <w:highlight w:val="none"/>
        </w:rPr>
        <w:t>身份证号码：</w:t>
      </w:r>
      <w:r>
        <w:rPr>
          <w:rFonts w:hint="eastAsia" w:ascii="Times New Roman" w:hAnsi="Times New Roman" w:cs="Times New Roman"/>
          <w:color w:val="auto"/>
          <w:sz w:val="21"/>
          <w:szCs w:val="21"/>
          <w:highlight w:val="none"/>
          <w:u w:val="single"/>
          <w:lang w:val="en-US" w:eastAsia="zh-CN"/>
        </w:rPr>
        <w:t xml:space="preserve">             </w:t>
      </w:r>
    </w:p>
    <w:p w14:paraId="08F8D881">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630" w:firstLineChars="300"/>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eastAsiaTheme="minorEastAsia"/>
          <w:color w:val="auto"/>
          <w:sz w:val="21"/>
          <w:szCs w:val="21"/>
          <w:highlight w:val="none"/>
        </w:rPr>
        <w:t>联系电话：</w:t>
      </w:r>
      <w:r>
        <w:rPr>
          <w:rFonts w:hint="eastAsia" w:ascii="Times New Roman" w:hAnsi="Times New Roman" w:cs="Times New Roman"/>
          <w:color w:val="auto"/>
          <w:sz w:val="21"/>
          <w:szCs w:val="21"/>
          <w:highlight w:val="none"/>
          <w:u w:val="single"/>
          <w:lang w:val="en-US" w:eastAsia="zh-CN"/>
        </w:rPr>
        <w:t xml:space="preserve">               </w:t>
      </w:r>
    </w:p>
    <w:p w14:paraId="0D3868DE">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630" w:firstLineChars="300"/>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eastAsiaTheme="minorEastAsia"/>
          <w:color w:val="auto"/>
          <w:sz w:val="21"/>
          <w:szCs w:val="21"/>
          <w:highlight w:val="none"/>
        </w:rPr>
        <w:t>营业执照号码：</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 xml:space="preserve">  单位性质：</w:t>
      </w:r>
      <w:r>
        <w:rPr>
          <w:rFonts w:hint="eastAsia" w:ascii="Times New Roman" w:hAnsi="Times New Roman" w:cs="Times New Roman"/>
          <w:color w:val="auto"/>
          <w:sz w:val="21"/>
          <w:szCs w:val="21"/>
          <w:highlight w:val="none"/>
          <w:u w:val="single"/>
          <w:lang w:val="en-US" w:eastAsia="zh-CN"/>
        </w:rPr>
        <w:t xml:space="preserve">          </w:t>
      </w:r>
    </w:p>
    <w:p w14:paraId="2591F01E">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630" w:firstLineChars="300"/>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eastAsiaTheme="minorEastAsia"/>
          <w:color w:val="auto"/>
          <w:sz w:val="21"/>
          <w:szCs w:val="21"/>
          <w:highlight w:val="none"/>
        </w:rPr>
        <w:t>成立时间：</w:t>
      </w:r>
      <w:r>
        <w:rPr>
          <w:rFonts w:hint="eastAsia" w:ascii="Times New Roman" w:hAnsi="Times New Roman" w:cs="Times New Roman"/>
          <w:color w:val="auto"/>
          <w:sz w:val="21"/>
          <w:szCs w:val="21"/>
          <w:highlight w:val="none"/>
          <w:u w:val="single"/>
          <w:lang w:val="en-US" w:eastAsia="zh-CN"/>
        </w:rPr>
        <w:t xml:space="preserve">             </w:t>
      </w:r>
    </w:p>
    <w:p w14:paraId="5C4DE032">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p>
    <w:p w14:paraId="7797BCBC">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说明：1.法定代表人为企业事业单位、国家机关、社会团体的主要行政负责人。</w:t>
      </w:r>
    </w:p>
    <w:p w14:paraId="2A2A8812">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 xml:space="preserve">      2.内容必须填写真实、清楚、涂改无效，不得转让、买卖。</w:t>
      </w:r>
    </w:p>
    <w:p w14:paraId="6FD0D34A">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630" w:firstLineChars="300"/>
        <w:textAlignment w:val="auto"/>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color w:val="auto"/>
          <w:sz w:val="21"/>
          <w:szCs w:val="21"/>
          <w:highlight w:val="none"/>
        </w:rPr>
        <w:t>3.将此证明书提交对方作为合同附件</w:t>
      </w:r>
      <w:r>
        <w:rPr>
          <w:rFonts w:hint="default" w:ascii="Times New Roman" w:hAnsi="Times New Roman" w:cs="Times New Roman" w:eastAsiaTheme="minorEastAsia"/>
          <w:b/>
          <w:color w:val="auto"/>
          <w:sz w:val="21"/>
          <w:szCs w:val="21"/>
          <w:highlight w:val="none"/>
        </w:rPr>
        <w:t>。</w:t>
      </w:r>
    </w:p>
    <w:p w14:paraId="4B6FA2B8">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p>
    <w:p w14:paraId="029473CF">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157" w:leftChars="0" w:right="0" w:rightChars="0" w:hanging="157" w:hangingChars="75"/>
        <w:textAlignment w:val="auto"/>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color w:val="auto"/>
          <w:sz w:val="21"/>
          <w:szCs w:val="21"/>
          <w:highlight w:val="none"/>
        </w:rPr>
        <w:t xml:space="preserve"> </w:t>
      </w:r>
      <w:r>
        <w:rPr>
          <w:rFonts w:hint="default" w:ascii="Times New Roman" w:hAnsi="Times New Roman" w:cs="Times New Roman" w:eastAsiaTheme="minorEastAsia"/>
          <w:b/>
          <w:color w:val="auto"/>
          <w:sz w:val="21"/>
          <w:szCs w:val="21"/>
          <w:highlight w:val="none"/>
        </w:rPr>
        <w:t xml:space="preserve"> 附：法定代表人的身份证复印件：</w:t>
      </w:r>
    </w:p>
    <w:bookmarkEnd w:id="149"/>
    <w:bookmarkEnd w:id="150"/>
    <w:bookmarkEnd w:id="151"/>
    <w:bookmarkEnd w:id="152"/>
    <w:bookmarkEnd w:id="153"/>
    <w:bookmarkEnd w:id="154"/>
    <w:bookmarkEnd w:id="155"/>
    <w:bookmarkEnd w:id="156"/>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14:paraId="3596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noWrap w:val="0"/>
            <w:vAlign w:val="center"/>
          </w:tcPr>
          <w:p w14:paraId="464937A9">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 xml:space="preserve">此处粘贴法定代表人/法定负责人身份证复印件（双面） </w:t>
            </w:r>
            <w:r>
              <w:rPr>
                <w:rFonts w:hint="default" w:ascii="Times New Roman" w:hAnsi="Times New Roman" w:cs="Times New Roman" w:eastAsiaTheme="minorEastAsia"/>
                <w:b/>
                <w:color w:val="auto"/>
                <w:sz w:val="21"/>
                <w:szCs w:val="21"/>
                <w:highlight w:val="none"/>
              </w:rPr>
              <w:t>或</w:t>
            </w:r>
            <w:r>
              <w:rPr>
                <w:rFonts w:hint="default" w:ascii="Times New Roman" w:hAnsi="Times New Roman" w:cs="Times New Roman" w:eastAsiaTheme="minorEastAsia"/>
                <w:color w:val="auto"/>
                <w:sz w:val="21"/>
                <w:szCs w:val="21"/>
                <w:highlight w:val="none"/>
              </w:rPr>
              <w:t xml:space="preserve"> 直接扫描到此张纸上</w:t>
            </w:r>
          </w:p>
          <w:p w14:paraId="046E0FFB">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color w:val="auto"/>
                <w:sz w:val="21"/>
                <w:szCs w:val="21"/>
                <w:highlight w:val="none"/>
              </w:rPr>
              <w:t>注：若页面不够位置的，可另行附页，但须紧接此页</w:t>
            </w:r>
          </w:p>
        </w:tc>
      </w:tr>
    </w:tbl>
    <w:p w14:paraId="1701A192">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p>
    <w:p w14:paraId="188E07C1">
      <w:pPr>
        <w:keepLines w:val="0"/>
        <w:pageBreakBefore/>
        <w:numPr>
          <w:ilvl w:val="0"/>
          <w:numId w:val="7"/>
        </w:numPr>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sz w:val="36"/>
          <w:szCs w:val="36"/>
          <w:highlight w:val="none"/>
          <w:lang w:val="en-US"/>
        </w:rPr>
      </w:pPr>
      <w:bookmarkStart w:id="157" w:name="_Toc17628"/>
      <w:bookmarkStart w:id="158" w:name="_Toc25633"/>
      <w:bookmarkStart w:id="159" w:name="_Toc145"/>
      <w:bookmarkStart w:id="160" w:name="_Toc27685"/>
      <w:bookmarkStart w:id="161" w:name="_Toc3986"/>
      <w:bookmarkStart w:id="162" w:name="_Toc31199"/>
      <w:bookmarkStart w:id="163" w:name="_Toc1549"/>
      <w:bookmarkStart w:id="164" w:name="_Toc1089"/>
      <w:bookmarkStart w:id="165" w:name="_Toc18311"/>
      <w:bookmarkStart w:id="166" w:name="_Toc20492"/>
      <w:r>
        <w:rPr>
          <w:rFonts w:hint="default" w:ascii="Times New Roman" w:hAnsi="Times New Roman" w:cs="Times New Roman" w:eastAsiaTheme="minorEastAsia"/>
          <w:b/>
          <w:bCs/>
          <w:color w:val="auto"/>
          <w:sz w:val="36"/>
          <w:szCs w:val="36"/>
          <w:highlight w:val="none"/>
          <w:lang w:val="en-US"/>
        </w:rPr>
        <w:t>法定代表人/法定负责人授权书</w:t>
      </w:r>
      <w:bookmarkEnd w:id="157"/>
      <w:bookmarkEnd w:id="158"/>
      <w:bookmarkEnd w:id="159"/>
      <w:bookmarkEnd w:id="160"/>
      <w:bookmarkEnd w:id="161"/>
      <w:bookmarkEnd w:id="162"/>
      <w:bookmarkEnd w:id="163"/>
      <w:bookmarkEnd w:id="164"/>
      <w:bookmarkEnd w:id="165"/>
      <w:bookmarkEnd w:id="166"/>
    </w:p>
    <w:p w14:paraId="062A964D">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bCs/>
          <w:color w:val="auto"/>
          <w:sz w:val="21"/>
          <w:szCs w:val="21"/>
          <w:highlight w:val="none"/>
        </w:rPr>
      </w:pPr>
    </w:p>
    <w:p w14:paraId="478B171B">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致：</w:t>
      </w:r>
      <w:r>
        <w:rPr>
          <w:rFonts w:hint="eastAsia" w:ascii="Times New Roman" w:hAnsi="Times New Roman" w:cs="Times New Roman"/>
          <w:bCs/>
          <w:color w:val="auto"/>
          <w:sz w:val="21"/>
          <w:szCs w:val="21"/>
          <w:highlight w:val="none"/>
          <w:u w:val="single"/>
          <w:lang w:eastAsia="zh-CN"/>
        </w:rPr>
        <w:t>佛山市高明区人民法院</w:t>
      </w:r>
      <w:r>
        <w:rPr>
          <w:rFonts w:hint="default" w:ascii="Times New Roman" w:hAnsi="Times New Roman" w:cs="Times New Roman" w:eastAsiaTheme="minorEastAsia"/>
          <w:bCs/>
          <w:color w:val="auto"/>
          <w:sz w:val="21"/>
          <w:szCs w:val="21"/>
          <w:highlight w:val="none"/>
          <w:u w:val="single"/>
        </w:rPr>
        <w:t>、广东远东招标代理有限公司</w:t>
      </w:r>
    </w:p>
    <w:p w14:paraId="7E13116C">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我单位特授权委任以下之现职员工，作为我方于本项目投标的唯一全权代表，亲自出席参与贵方承办的政府采购项目投标，对该代表人所提供、签署的一切文书均视为符合我方的合法利益和真实意愿，我方愿为其投标行为承担全部责任。</w:t>
      </w:r>
    </w:p>
    <w:p w14:paraId="3575C4EB">
      <w:pPr>
        <w:keepLines w:val="0"/>
        <w:kinsoku/>
        <w:wordWrap/>
        <w:overflowPunct/>
        <w:topLinePunct w:val="0"/>
        <w:bidi w:val="0"/>
        <w:spacing w:beforeAutospacing="0" w:afterAutospacing="0" w:line="440" w:lineRule="atLeast"/>
        <w:ind w:left="0" w:leftChars="0" w:right="0" w:rightChars="0" w:firstLine="462" w:firstLineChars="220"/>
        <w:jc w:val="left"/>
        <w:rPr>
          <w:rFonts w:hint="eastAsia" w:ascii="Times New Roman" w:hAnsi="Times New Roman" w:cs="Times New Roman"/>
          <w:color w:val="auto"/>
          <w:sz w:val="21"/>
          <w:szCs w:val="21"/>
          <w:highlight w:val="none"/>
          <w:lang w:eastAsia="zh-CN"/>
        </w:rPr>
      </w:pPr>
      <w:r>
        <w:rPr>
          <w:rFonts w:hint="default" w:ascii="Times New Roman" w:hAnsi="Times New Roman" w:cs="Times New Roman" w:eastAsiaTheme="minorEastAsia"/>
          <w:color w:val="auto"/>
          <w:sz w:val="21"/>
          <w:szCs w:val="21"/>
          <w:highlight w:val="none"/>
        </w:rPr>
        <w:t xml:space="preserve">项目名称： </w:t>
      </w:r>
      <w:r>
        <w:rPr>
          <w:rFonts w:hint="eastAsia" w:ascii="Times New Roman" w:hAnsi="Times New Roman" w:cs="Times New Roman"/>
          <w:color w:val="auto"/>
          <w:sz w:val="21"/>
          <w:szCs w:val="21"/>
          <w:highlight w:val="none"/>
          <w:lang w:eastAsia="zh-CN"/>
        </w:rPr>
        <w:t>佛山市高明区人民法院执行案件集约化送达服务项目</w:t>
      </w:r>
    </w:p>
    <w:p w14:paraId="6F9862E7">
      <w:pPr>
        <w:keepLines w:val="0"/>
        <w:kinsoku/>
        <w:wordWrap/>
        <w:overflowPunct/>
        <w:topLinePunct w:val="0"/>
        <w:bidi w:val="0"/>
        <w:spacing w:beforeAutospacing="0" w:afterAutospacing="0" w:line="440" w:lineRule="atLeast"/>
        <w:ind w:left="0" w:leftChars="0" w:right="0" w:rightChars="0" w:firstLine="462" w:firstLineChars="220"/>
        <w:jc w:val="left"/>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 xml:space="preserve">项目编号： </w:t>
      </w:r>
      <w:r>
        <w:rPr>
          <w:rFonts w:hint="eastAsia" w:ascii="Times New Roman" w:hAnsi="Times New Roman" w:cs="Times New Roman"/>
          <w:color w:val="auto"/>
          <w:sz w:val="21"/>
          <w:szCs w:val="21"/>
          <w:highlight w:val="none"/>
          <w:lang w:val="en-GB" w:eastAsia="zh-CN"/>
        </w:rPr>
        <w:t>GDYD240563</w:t>
      </w:r>
      <w:r>
        <w:rPr>
          <w:rFonts w:hint="default" w:ascii="Times New Roman" w:hAnsi="Times New Roman" w:cs="Times New Roman" w:eastAsiaTheme="minorEastAsia"/>
          <w:color w:val="auto"/>
          <w:sz w:val="21"/>
          <w:szCs w:val="21"/>
          <w:highlight w:val="none"/>
          <w:lang w:val="en-GB"/>
        </w:rPr>
        <w:fldChar w:fldCharType="begin"/>
      </w:r>
      <w:r>
        <w:rPr>
          <w:rFonts w:hint="default" w:ascii="Times New Roman" w:hAnsi="Times New Roman" w:cs="Times New Roman" w:eastAsiaTheme="minorEastAsia"/>
          <w:color w:val="auto"/>
          <w:sz w:val="21"/>
          <w:szCs w:val="21"/>
          <w:highlight w:val="none"/>
          <w:lang w:val="en-GB"/>
        </w:rPr>
        <w:instrText xml:space="preserve"> DOCVARIABLE  项目名称  \* MERGEFORMAT </w:instrText>
      </w:r>
      <w:r>
        <w:rPr>
          <w:rFonts w:hint="default" w:ascii="Times New Roman" w:hAnsi="Times New Roman" w:cs="Times New Roman" w:eastAsiaTheme="minorEastAsia"/>
          <w:color w:val="auto"/>
          <w:sz w:val="21"/>
          <w:szCs w:val="21"/>
          <w:highlight w:val="none"/>
          <w:lang w:val="en-GB"/>
        </w:rPr>
        <w:fldChar w:fldCharType="separate"/>
      </w:r>
      <w:r>
        <w:rPr>
          <w:rFonts w:hint="default" w:ascii="Times New Roman" w:hAnsi="Times New Roman" w:cs="Times New Roman" w:eastAsiaTheme="minorEastAsia"/>
          <w:color w:val="auto"/>
          <w:sz w:val="21"/>
          <w:szCs w:val="21"/>
          <w:highlight w:val="none"/>
          <w:lang w:val="en-GB"/>
        </w:rPr>
        <w:fldChar w:fldCharType="end"/>
      </w:r>
    </w:p>
    <w:p w14:paraId="751B6F3B">
      <w:pPr>
        <w:keepLines w:val="0"/>
        <w:kinsoku/>
        <w:wordWrap/>
        <w:overflowPunct/>
        <w:topLinePunct w:val="0"/>
        <w:bidi w:val="0"/>
        <w:spacing w:beforeAutospacing="0" w:afterAutospacing="0" w:line="440" w:lineRule="atLeast"/>
        <w:ind w:left="0" w:leftChars="0" w:right="0" w:rightChars="0" w:firstLine="420" w:firstLineChars="200"/>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委任授权代表姓名：</w:t>
      </w:r>
      <w:r>
        <w:rPr>
          <w:rFonts w:hint="default" w:ascii="Times New Roman" w:hAnsi="Times New Roman" w:cs="Times New Roman" w:eastAsiaTheme="minorEastAsia"/>
          <w:color w:val="auto"/>
          <w:sz w:val="21"/>
          <w:szCs w:val="21"/>
          <w:highlight w:val="none"/>
          <w:u w:val="single"/>
        </w:rPr>
        <w:t xml:space="preserve">   （印刷体）</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，身份证号码：</w:t>
      </w:r>
      <w:r>
        <w:rPr>
          <w:rFonts w:hint="default" w:ascii="Times New Roman" w:hAnsi="Times New Roman" w:cs="Times New Roman" w:eastAsiaTheme="minorEastAsia"/>
          <w:color w:val="auto"/>
          <w:sz w:val="21"/>
          <w:szCs w:val="21"/>
          <w:highlight w:val="none"/>
          <w:u w:val="single"/>
        </w:rPr>
        <w:t xml:space="preserve">                </w:t>
      </w:r>
      <w:r>
        <w:rPr>
          <w:rFonts w:hint="eastAsia" w:ascii="Times New Roman" w:hAnsi="Times New Roman" w:cs="Times New Roman"/>
          <w:color w:val="auto"/>
          <w:sz w:val="21"/>
          <w:szCs w:val="21"/>
          <w:highlight w:val="none"/>
          <w:u w:val="none"/>
          <w:lang w:eastAsia="zh-CN"/>
        </w:rPr>
        <w:t>；</w:t>
      </w:r>
    </w:p>
    <w:p w14:paraId="7CDBA74A">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联系电话（手机）：</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，现职务：</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 xml:space="preserve">； </w:t>
      </w:r>
    </w:p>
    <w:p w14:paraId="1E155DEA">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授权权限：全权代表本单位参与上述项目的投标、</w:t>
      </w:r>
      <w:r>
        <w:rPr>
          <w:rFonts w:hint="default" w:ascii="Times New Roman" w:hAnsi="Times New Roman" w:cs="Times New Roman" w:eastAsiaTheme="minorEastAsia"/>
          <w:color w:val="auto"/>
          <w:sz w:val="21"/>
          <w:szCs w:val="21"/>
          <w:highlight w:val="none"/>
          <w:lang w:val="en-GB"/>
        </w:rPr>
        <w:t>递交响应文件、出席开标全程、响应评委会临时召唤而出席评标现场；按照</w:t>
      </w:r>
      <w:r>
        <w:rPr>
          <w:rFonts w:hint="eastAsia" w:ascii="Times New Roman" w:hAnsi="Times New Roman" w:cs="Times New Roman"/>
          <w:color w:val="auto"/>
          <w:sz w:val="21"/>
          <w:szCs w:val="21"/>
          <w:highlight w:val="none"/>
          <w:lang w:val="en-GB" w:eastAsia="zh-CN"/>
        </w:rPr>
        <w:t>采购人</w:t>
      </w:r>
      <w:r>
        <w:rPr>
          <w:rFonts w:hint="default" w:ascii="Times New Roman" w:hAnsi="Times New Roman" w:cs="Times New Roman" w:eastAsiaTheme="minorEastAsia"/>
          <w:color w:val="auto"/>
          <w:sz w:val="21"/>
          <w:szCs w:val="21"/>
          <w:highlight w:val="none"/>
          <w:lang w:val="en-GB"/>
        </w:rPr>
        <w:t>和评委会的要求现场处理投标相关事宜；</w:t>
      </w:r>
      <w:r>
        <w:rPr>
          <w:rFonts w:hint="default" w:ascii="Times New Roman" w:hAnsi="Times New Roman" w:cs="Times New Roman" w:eastAsiaTheme="minorEastAsia"/>
          <w:color w:val="auto"/>
          <w:sz w:val="21"/>
          <w:szCs w:val="21"/>
          <w:highlight w:val="none"/>
        </w:rPr>
        <w:t>负责提供与签署确认一切文书资料，以及向贵方递交的任何补充承诺。</w:t>
      </w:r>
    </w:p>
    <w:p w14:paraId="66BC3BC2">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有效期限：与本项目磋商文件要求的投标有效期相同，自本单位盖章之日起生效。</w:t>
      </w:r>
    </w:p>
    <w:p w14:paraId="652FF076">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特此授权证明。</w:t>
      </w:r>
    </w:p>
    <w:p w14:paraId="260A4CB1">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sz w:val="21"/>
          <w:szCs w:val="21"/>
          <w:highlight w:val="none"/>
          <w:lang w:val="en-GB"/>
        </w:rPr>
      </w:pPr>
      <w:r>
        <w:rPr>
          <w:rFonts w:hint="eastAsia" w:ascii="Times New Roman" w:hAnsi="Times New Roman" w:cs="Times New Roman"/>
          <w:color w:val="auto"/>
          <w:sz w:val="21"/>
          <w:szCs w:val="21"/>
          <w:highlight w:val="none"/>
          <w:lang w:val="en-GB" w:eastAsia="zh-CN"/>
        </w:rPr>
        <w:t>供应商</w:t>
      </w:r>
      <w:r>
        <w:rPr>
          <w:rFonts w:hint="default" w:ascii="Times New Roman" w:hAnsi="Times New Roman" w:cs="Times New Roman" w:eastAsiaTheme="minorEastAsia"/>
          <w:color w:val="auto"/>
          <w:sz w:val="21"/>
          <w:szCs w:val="21"/>
          <w:highlight w:val="none"/>
          <w:lang w:val="en-GB"/>
        </w:rPr>
        <w:t>名称：</w:t>
      </w:r>
      <w:r>
        <w:rPr>
          <w:rFonts w:hint="default" w:ascii="Times New Roman" w:hAnsi="Times New Roman" w:cs="Times New Roman" w:eastAsiaTheme="minorEastAsia"/>
          <w:color w:val="auto"/>
          <w:sz w:val="21"/>
          <w:szCs w:val="21"/>
          <w:highlight w:val="none"/>
          <w:u w:val="single"/>
          <w:lang w:val="en-GB"/>
        </w:rPr>
        <w:t xml:space="preserve">       </w:t>
      </w:r>
      <w:r>
        <w:rPr>
          <w:rFonts w:hint="default" w:ascii="Times New Roman" w:hAnsi="Times New Roman" w:cs="Times New Roman" w:eastAsiaTheme="minorEastAsia"/>
          <w:color w:val="auto"/>
          <w:sz w:val="21"/>
          <w:szCs w:val="21"/>
          <w:highlight w:val="none"/>
          <w:u w:val="single"/>
        </w:rPr>
        <w:t>（</w:t>
      </w:r>
      <w:r>
        <w:rPr>
          <w:rFonts w:hint="eastAsia" w:ascii="Times New Roman" w:hAnsi="Times New Roman" w:cs="Times New Roman"/>
          <w:color w:val="auto"/>
          <w:sz w:val="21"/>
          <w:szCs w:val="21"/>
          <w:highlight w:val="none"/>
          <w:u w:val="single"/>
          <w:lang w:eastAsia="zh-CN"/>
        </w:rPr>
        <w:t>单位名称</w:t>
      </w:r>
      <w:r>
        <w:rPr>
          <w:rFonts w:hint="default" w:ascii="Times New Roman" w:hAnsi="Times New Roman" w:cs="Times New Roman" w:eastAsiaTheme="minorEastAsia"/>
          <w:color w:val="auto"/>
          <w:sz w:val="21"/>
          <w:szCs w:val="21"/>
          <w:highlight w:val="none"/>
          <w:u w:val="single"/>
        </w:rPr>
        <w:t>全称）</w:t>
      </w:r>
      <w:r>
        <w:rPr>
          <w:rFonts w:hint="default" w:ascii="Times New Roman" w:hAnsi="Times New Roman" w:cs="Times New Roman" w:eastAsiaTheme="minorEastAsia"/>
          <w:color w:val="auto"/>
          <w:sz w:val="21"/>
          <w:szCs w:val="21"/>
          <w:highlight w:val="none"/>
          <w:u w:val="single"/>
          <w:lang w:val="en-GB"/>
        </w:rPr>
        <w:t xml:space="preserve">              </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lang w:val="zh-CN"/>
        </w:rPr>
        <w:t>加盖供应商公章</w:t>
      </w:r>
      <w:r>
        <w:rPr>
          <w:rFonts w:hint="default" w:ascii="Times New Roman" w:hAnsi="Times New Roman" w:cs="Times New Roman" w:eastAsiaTheme="minorEastAsia"/>
          <w:color w:val="auto"/>
          <w:sz w:val="21"/>
          <w:szCs w:val="21"/>
          <w:highlight w:val="none"/>
        </w:rPr>
        <w:t>）</w:t>
      </w:r>
    </w:p>
    <w:p w14:paraId="753F8650">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法定代表人（或事业单位负责人）：</w:t>
      </w:r>
      <w:r>
        <w:rPr>
          <w:rFonts w:hint="default" w:ascii="Times New Roman" w:hAnsi="Times New Roman" w:cs="Times New Roman" w:eastAsiaTheme="minorEastAsia"/>
          <w:color w:val="auto"/>
          <w:sz w:val="21"/>
          <w:szCs w:val="21"/>
          <w:highlight w:val="none"/>
          <w:u w:val="single"/>
          <w:lang w:val="en-GB"/>
        </w:rPr>
        <w:t xml:space="preserve">                   </w:t>
      </w:r>
      <w:r>
        <w:rPr>
          <w:rFonts w:hint="default" w:ascii="Times New Roman" w:hAnsi="Times New Roman" w:cs="Times New Roman" w:eastAsiaTheme="minorEastAsia"/>
          <w:color w:val="auto"/>
          <w:sz w:val="21"/>
          <w:szCs w:val="21"/>
          <w:highlight w:val="none"/>
          <w:lang w:val="en-GB"/>
        </w:rPr>
        <w:t>（亲笔签名）</w:t>
      </w:r>
    </w:p>
    <w:p w14:paraId="56FB9EC7">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职    务：</w:t>
      </w:r>
      <w:r>
        <w:rPr>
          <w:rFonts w:hint="default" w:ascii="Times New Roman" w:hAnsi="Times New Roman" w:cs="Times New Roman" w:eastAsiaTheme="minorEastAsia"/>
          <w:color w:val="auto"/>
          <w:sz w:val="21"/>
          <w:szCs w:val="21"/>
          <w:highlight w:val="none"/>
          <w:u w:val="single"/>
          <w:lang w:val="en-GB"/>
        </w:rPr>
        <w:t xml:space="preserve">           </w:t>
      </w:r>
      <w:r>
        <w:rPr>
          <w:rFonts w:hint="default" w:ascii="Times New Roman" w:hAnsi="Times New Roman" w:cs="Times New Roman" w:eastAsiaTheme="minorEastAsia"/>
          <w:color w:val="auto"/>
          <w:sz w:val="21"/>
          <w:szCs w:val="21"/>
          <w:highlight w:val="none"/>
          <w:lang w:val="en-GB"/>
        </w:rPr>
        <w:t>；联系电话：</w:t>
      </w:r>
      <w:r>
        <w:rPr>
          <w:rFonts w:hint="default" w:ascii="Times New Roman" w:hAnsi="Times New Roman" w:cs="Times New Roman" w:eastAsiaTheme="minorEastAsia"/>
          <w:color w:val="auto"/>
          <w:sz w:val="21"/>
          <w:szCs w:val="21"/>
          <w:highlight w:val="none"/>
          <w:u w:val="single"/>
          <w:lang w:val="en-GB"/>
        </w:rPr>
        <w:t xml:space="preserve">          </w:t>
      </w:r>
      <w:r>
        <w:rPr>
          <w:rFonts w:hint="default" w:ascii="Times New Roman" w:hAnsi="Times New Roman" w:cs="Times New Roman" w:eastAsiaTheme="minorEastAsia"/>
          <w:color w:val="auto"/>
          <w:sz w:val="21"/>
          <w:szCs w:val="21"/>
          <w:highlight w:val="none"/>
          <w:lang w:val="en-GB"/>
        </w:rPr>
        <w:t>； 传真号码：</w:t>
      </w:r>
      <w:r>
        <w:rPr>
          <w:rFonts w:hint="default" w:ascii="Times New Roman" w:hAnsi="Times New Roman" w:cs="Times New Roman" w:eastAsiaTheme="minorEastAsia"/>
          <w:color w:val="auto"/>
          <w:sz w:val="21"/>
          <w:szCs w:val="21"/>
          <w:highlight w:val="none"/>
          <w:u w:val="single"/>
          <w:lang w:val="en-GB"/>
        </w:rPr>
        <w:t xml:space="preserve">           </w:t>
      </w:r>
      <w:r>
        <w:rPr>
          <w:rFonts w:hint="default" w:ascii="Times New Roman" w:hAnsi="Times New Roman" w:cs="Times New Roman" w:eastAsiaTheme="minorEastAsia"/>
          <w:color w:val="auto"/>
          <w:sz w:val="21"/>
          <w:szCs w:val="21"/>
          <w:highlight w:val="none"/>
          <w:lang w:val="en-GB"/>
        </w:rPr>
        <w:t>；</w:t>
      </w:r>
    </w:p>
    <w:p w14:paraId="6BA320A1">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生 效 日 期 ：</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lang w:val="en-GB"/>
        </w:rPr>
        <w:t>年</w:t>
      </w:r>
      <w:r>
        <w:rPr>
          <w:rFonts w:hint="default" w:ascii="Times New Roman" w:hAnsi="Times New Roman" w:cs="Times New Roman" w:eastAsiaTheme="minorEastAsia"/>
          <w:color w:val="auto"/>
          <w:sz w:val="21"/>
          <w:szCs w:val="21"/>
          <w:highlight w:val="none"/>
          <w:u w:val="single"/>
          <w:lang w:val="en-GB"/>
        </w:rPr>
        <w:t xml:space="preserve">   </w:t>
      </w:r>
      <w:r>
        <w:rPr>
          <w:rFonts w:hint="default" w:ascii="Times New Roman" w:hAnsi="Times New Roman" w:cs="Times New Roman" w:eastAsiaTheme="minorEastAsia"/>
          <w:color w:val="auto"/>
          <w:sz w:val="21"/>
          <w:szCs w:val="21"/>
          <w:highlight w:val="none"/>
          <w:lang w:val="en-GB"/>
        </w:rPr>
        <w:t>月</w:t>
      </w:r>
      <w:r>
        <w:rPr>
          <w:rFonts w:hint="default" w:ascii="Times New Roman" w:hAnsi="Times New Roman" w:cs="Times New Roman" w:eastAsiaTheme="minorEastAsia"/>
          <w:color w:val="auto"/>
          <w:sz w:val="21"/>
          <w:szCs w:val="21"/>
          <w:highlight w:val="none"/>
          <w:u w:val="single"/>
          <w:lang w:val="en-GB"/>
        </w:rPr>
        <w:t xml:space="preserve">   </w:t>
      </w:r>
      <w:r>
        <w:rPr>
          <w:rFonts w:hint="default" w:ascii="Times New Roman" w:hAnsi="Times New Roman" w:cs="Times New Roman" w:eastAsiaTheme="minorEastAsia"/>
          <w:color w:val="auto"/>
          <w:sz w:val="21"/>
          <w:szCs w:val="21"/>
          <w:highlight w:val="none"/>
          <w:lang w:val="en-GB"/>
        </w:rPr>
        <w:t>日。</w:t>
      </w:r>
    </w:p>
    <w:p w14:paraId="1EF5293F">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说明：</w:t>
      </w:r>
    </w:p>
    <w:p w14:paraId="2E111721">
      <w:pPr>
        <w:keepLines w:val="0"/>
        <w:kinsoku/>
        <w:wordWrap/>
        <w:overflowPunct/>
        <w:topLinePunct w:val="0"/>
        <w:bidi w:val="0"/>
        <w:spacing w:beforeAutospacing="0" w:afterAutospacing="0" w:line="440" w:lineRule="atLeast"/>
        <w:ind w:left="315" w:leftChars="0" w:right="0" w:rightChars="0" w:hanging="315" w:hangingChars="150"/>
        <w:jc w:val="left"/>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1、</w:t>
      </w:r>
      <w:r>
        <w:rPr>
          <w:rFonts w:hint="default" w:ascii="Times New Roman" w:hAnsi="Times New Roman" w:cs="Times New Roman" w:eastAsiaTheme="minorEastAsia"/>
          <w:color w:val="auto"/>
          <w:sz w:val="21"/>
          <w:szCs w:val="21"/>
          <w:highlight w:val="none"/>
          <w:u w:val="single"/>
          <w:lang w:val="en-GB"/>
        </w:rPr>
        <w:t>授权代表人在递交投标文件时，须向采购代理机构人员出示此份证明书的原件，否则，采购代理机构将拒收其投标文件。</w:t>
      </w:r>
    </w:p>
    <w:p w14:paraId="616250B4">
      <w:pPr>
        <w:keepLines w:val="0"/>
        <w:kinsoku/>
        <w:wordWrap/>
        <w:overflowPunct/>
        <w:topLinePunct w:val="0"/>
        <w:bidi w:val="0"/>
        <w:spacing w:beforeAutospacing="0" w:afterAutospacing="0" w:line="440" w:lineRule="atLeast"/>
        <w:ind w:left="315" w:leftChars="0" w:right="0" w:rightChars="0" w:hanging="315" w:hangingChars="150"/>
        <w:jc w:val="left"/>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2、本授权书内容不得擅自删改。如法定代表人（或事业单位负责人）亲临现场参与投标、决策、签字的，则不需此</w:t>
      </w:r>
      <w:r>
        <w:rPr>
          <w:rFonts w:hint="eastAsia" w:ascii="Times New Roman" w:hAnsi="Times New Roman" w:cs="Times New Roman"/>
          <w:color w:val="auto"/>
          <w:sz w:val="21"/>
          <w:szCs w:val="21"/>
          <w:highlight w:val="none"/>
          <w:lang w:val="en-GB" w:eastAsia="zh-CN"/>
        </w:rPr>
        <w:t>授权书</w:t>
      </w:r>
      <w:r>
        <w:rPr>
          <w:rFonts w:hint="default" w:ascii="Times New Roman" w:hAnsi="Times New Roman" w:cs="Times New Roman" w:eastAsiaTheme="minorEastAsia"/>
          <w:color w:val="auto"/>
          <w:sz w:val="21"/>
          <w:szCs w:val="21"/>
          <w:highlight w:val="none"/>
          <w:lang w:val="en-GB"/>
        </w:rPr>
        <w:t>。</w:t>
      </w:r>
    </w:p>
    <w:p w14:paraId="042752B4">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b/>
          <w:color w:val="auto"/>
          <w:sz w:val="21"/>
          <w:szCs w:val="21"/>
          <w:highlight w:val="none"/>
          <w:lang w:val="en-GB"/>
        </w:rPr>
      </w:pPr>
      <w:r>
        <w:rPr>
          <w:rFonts w:hint="default" w:ascii="Times New Roman" w:hAnsi="Times New Roman" w:cs="Times New Roman" w:eastAsiaTheme="minorEastAsia"/>
          <w:b/>
          <w:color w:val="auto"/>
          <w:sz w:val="21"/>
          <w:szCs w:val="21"/>
          <w:highlight w:val="none"/>
          <w:lang w:val="en-GB"/>
        </w:rPr>
        <w:t>附：被授权人的身份证复印件：</w:t>
      </w:r>
    </w:p>
    <w:tbl>
      <w:tblPr>
        <w:tblStyle w:val="18"/>
        <w:tblW w:w="0" w:type="auto"/>
        <w:tblInd w:w="0" w:type="dxa"/>
        <w:tblLayout w:type="fixed"/>
        <w:tblCellMar>
          <w:top w:w="0" w:type="dxa"/>
          <w:left w:w="108" w:type="dxa"/>
          <w:bottom w:w="0" w:type="dxa"/>
          <w:right w:w="108" w:type="dxa"/>
        </w:tblCellMar>
      </w:tblPr>
      <w:tblGrid>
        <w:gridCol w:w="9396"/>
      </w:tblGrid>
      <w:tr w14:paraId="38CEED82">
        <w:tblPrEx>
          <w:tblCellMar>
            <w:top w:w="0" w:type="dxa"/>
            <w:left w:w="108" w:type="dxa"/>
            <w:bottom w:w="0" w:type="dxa"/>
            <w:right w:w="108" w:type="dxa"/>
          </w:tblCellMar>
        </w:tblPrEx>
        <w:trPr>
          <w:trHeight w:val="2794" w:hRule="atLeast"/>
        </w:trPr>
        <w:tc>
          <w:tcPr>
            <w:tcW w:w="9396" w:type="dxa"/>
            <w:noWrap w:val="0"/>
            <w:vAlign w:val="center"/>
          </w:tcPr>
          <w:p w14:paraId="713388E2">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此处粘贴全权代表（被授权人）的身份证复印件（双面）或 直接扫描到此张纸上</w:t>
            </w:r>
          </w:p>
          <w:p w14:paraId="1FC985BE">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注：若页面不够位置的，可另行附页，但须紧接此页</w:t>
            </w:r>
          </w:p>
        </w:tc>
      </w:tr>
    </w:tbl>
    <w:p w14:paraId="4AF66C6A">
      <w:pPr>
        <w:keepLines w:val="0"/>
        <w:pageBreakBefore/>
        <w:numPr>
          <w:ilvl w:val="0"/>
          <w:numId w:val="7"/>
        </w:numPr>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sz w:val="36"/>
          <w:szCs w:val="36"/>
          <w:highlight w:val="none"/>
        </w:rPr>
      </w:pPr>
      <w:bookmarkStart w:id="167" w:name="_Toc2680"/>
      <w:r>
        <w:rPr>
          <w:rFonts w:hint="default" w:ascii="Times New Roman" w:hAnsi="Times New Roman" w:cs="Times New Roman" w:eastAsiaTheme="minorEastAsia"/>
          <w:b/>
          <w:bCs/>
          <w:color w:val="auto"/>
          <w:sz w:val="36"/>
          <w:szCs w:val="36"/>
          <w:highlight w:val="none"/>
        </w:rPr>
        <w:t>资格性证明材料</w:t>
      </w:r>
      <w:bookmarkEnd w:id="143"/>
      <w:bookmarkEnd w:id="144"/>
      <w:bookmarkEnd w:id="145"/>
      <w:bookmarkEnd w:id="146"/>
      <w:bookmarkEnd w:id="167"/>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2719"/>
        <w:gridCol w:w="6232"/>
      </w:tblGrid>
      <w:tr w14:paraId="74AD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449" w:type="dxa"/>
            <w:shd w:val="clear" w:color="auto" w:fill="F3F3F3"/>
            <w:noWrap w:val="0"/>
            <w:vAlign w:val="center"/>
          </w:tcPr>
          <w:p w14:paraId="1D760BC2">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2719" w:type="dxa"/>
            <w:tcBorders>
              <w:right w:val="single" w:color="auto" w:sz="4" w:space="0"/>
            </w:tcBorders>
            <w:shd w:val="clear" w:color="auto" w:fill="F3F3F3"/>
            <w:noWrap w:val="0"/>
            <w:vAlign w:val="center"/>
          </w:tcPr>
          <w:p w14:paraId="7779D244">
            <w:pPr>
              <w:pStyle w:val="31"/>
              <w:keepNext w:val="0"/>
              <w:keepLines w:val="0"/>
              <w:kinsoku/>
              <w:wordWrap/>
              <w:overflowPunct/>
              <w:topLinePunct w:val="0"/>
              <w:bidi w:val="0"/>
              <w:adjustRightInd/>
              <w:spacing w:before="0" w:beforeLines="0" w:beforeAutospacing="0" w:after="0" w:afterLines="0" w:afterAutospacing="0" w:line="440" w:lineRule="atLeast"/>
              <w:ind w:left="0" w:leftChars="0" w:right="0" w:rightChars="0"/>
              <w:textAlignment w:val="auto"/>
              <w:rPr>
                <w:rFonts w:hint="default" w:ascii="Times New Roman" w:hAnsi="Times New Roman" w:cs="Times New Roman" w:eastAsiaTheme="minorEastAsia"/>
                <w:b/>
                <w:bCs/>
                <w:snapToGrid/>
                <w:color w:val="auto"/>
                <w:spacing w:val="0"/>
                <w:kern w:val="2"/>
                <w:sz w:val="21"/>
                <w:szCs w:val="21"/>
                <w:highlight w:val="none"/>
              </w:rPr>
            </w:pPr>
            <w:r>
              <w:rPr>
                <w:rFonts w:hint="default" w:ascii="Times New Roman" w:hAnsi="Times New Roman" w:cs="Times New Roman" w:eastAsiaTheme="minorEastAsia"/>
                <w:b/>
                <w:bCs/>
                <w:snapToGrid/>
                <w:color w:val="auto"/>
                <w:spacing w:val="0"/>
                <w:kern w:val="2"/>
                <w:sz w:val="21"/>
                <w:szCs w:val="21"/>
                <w:highlight w:val="none"/>
              </w:rPr>
              <w:t>文件名称</w:t>
            </w:r>
          </w:p>
        </w:tc>
        <w:tc>
          <w:tcPr>
            <w:tcW w:w="6232" w:type="dxa"/>
            <w:tcBorders>
              <w:left w:val="single" w:color="auto" w:sz="4" w:space="0"/>
            </w:tcBorders>
            <w:shd w:val="clear" w:color="auto" w:fill="F3F3F3"/>
            <w:noWrap w:val="0"/>
            <w:vAlign w:val="center"/>
          </w:tcPr>
          <w:p w14:paraId="630A87C0">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文件内容要求</w:t>
            </w:r>
          </w:p>
        </w:tc>
      </w:tr>
      <w:tr w14:paraId="00C7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exact"/>
          <w:jc w:val="center"/>
        </w:trPr>
        <w:tc>
          <w:tcPr>
            <w:tcW w:w="9400" w:type="dxa"/>
            <w:gridSpan w:val="3"/>
            <w:noWrap w:val="0"/>
            <w:vAlign w:val="center"/>
          </w:tcPr>
          <w:p w14:paraId="1078F172">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一、本表为《中华人民共和国政府采购法》第二十二条规定的条件所对应的证明材料。《中华人民共和国政府采购法实施条例》第十七条规定：参加政府采购活动的供应商应当具备政府采购法第二十二条第一款规定的条件，提供下列材料：</w:t>
            </w:r>
          </w:p>
        </w:tc>
      </w:tr>
      <w:tr w14:paraId="50A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449" w:type="dxa"/>
            <w:noWrap w:val="0"/>
            <w:vAlign w:val="center"/>
          </w:tcPr>
          <w:p w14:paraId="4E3F013C">
            <w:pPr>
              <w:keepLines w:val="0"/>
              <w:numPr>
                <w:ilvl w:val="0"/>
                <w:numId w:val="8"/>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2719" w:type="dxa"/>
            <w:tcBorders>
              <w:right w:val="single" w:color="auto" w:sz="4" w:space="0"/>
            </w:tcBorders>
            <w:noWrap w:val="0"/>
            <w:vAlign w:val="center"/>
          </w:tcPr>
          <w:p w14:paraId="2B700CB4">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独立法人或者其他组织的营业执照副本等证明文件，自然人的身份证明</w:t>
            </w:r>
          </w:p>
        </w:tc>
        <w:tc>
          <w:tcPr>
            <w:tcW w:w="6232" w:type="dxa"/>
            <w:tcBorders>
              <w:left w:val="single" w:color="auto" w:sz="4" w:space="0"/>
            </w:tcBorders>
            <w:noWrap w:val="0"/>
            <w:vAlign w:val="center"/>
          </w:tcPr>
          <w:p w14:paraId="5CD59961">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《营业执照副本》</w:t>
            </w:r>
          </w:p>
          <w:p w14:paraId="73895A09">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注：本项目不接受自然人参与。</w:t>
            </w:r>
          </w:p>
        </w:tc>
      </w:tr>
      <w:tr w14:paraId="7267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449" w:type="dxa"/>
            <w:noWrap w:val="0"/>
            <w:vAlign w:val="center"/>
          </w:tcPr>
          <w:p w14:paraId="5C316E3F">
            <w:pPr>
              <w:keepLines w:val="0"/>
              <w:numPr>
                <w:ilvl w:val="0"/>
                <w:numId w:val="8"/>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2719" w:type="dxa"/>
            <w:tcBorders>
              <w:right w:val="single" w:color="auto" w:sz="4" w:space="0"/>
            </w:tcBorders>
            <w:noWrap w:val="0"/>
            <w:vAlign w:val="center"/>
          </w:tcPr>
          <w:p w14:paraId="68D87552">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有依法缴纳税收和社会保障资金的良好记录</w:t>
            </w:r>
          </w:p>
        </w:tc>
        <w:tc>
          <w:tcPr>
            <w:tcW w:w="6232" w:type="dxa"/>
            <w:tcBorders>
              <w:left w:val="single" w:color="auto" w:sz="4" w:space="0"/>
            </w:tcBorders>
            <w:noWrap w:val="0"/>
            <w:vAlign w:val="center"/>
          </w:tcPr>
          <w:p w14:paraId="251AA974">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《有依法缴纳税收和社会保障资金的良好记录》</w:t>
            </w:r>
          </w:p>
          <w:p w14:paraId="529B6B68">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注：按后文格式填写，提供相关材料。</w:t>
            </w:r>
          </w:p>
        </w:tc>
      </w:tr>
      <w:tr w14:paraId="1F0B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449" w:type="dxa"/>
            <w:noWrap w:val="0"/>
            <w:vAlign w:val="center"/>
          </w:tcPr>
          <w:p w14:paraId="3AE9ABA5">
            <w:pPr>
              <w:keepLines w:val="0"/>
              <w:numPr>
                <w:ilvl w:val="0"/>
                <w:numId w:val="8"/>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2719" w:type="dxa"/>
            <w:tcBorders>
              <w:right w:val="single" w:color="auto" w:sz="4" w:space="0"/>
            </w:tcBorders>
            <w:noWrap w:val="0"/>
            <w:vAlign w:val="center"/>
          </w:tcPr>
          <w:p w14:paraId="50E328FD">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具有良好的商业信誉和健全的财务会计制度</w:t>
            </w:r>
          </w:p>
        </w:tc>
        <w:tc>
          <w:tcPr>
            <w:tcW w:w="6232" w:type="dxa"/>
            <w:tcBorders>
              <w:left w:val="single" w:color="auto" w:sz="4" w:space="0"/>
            </w:tcBorders>
            <w:noWrap w:val="0"/>
            <w:vAlign w:val="center"/>
          </w:tcPr>
          <w:p w14:paraId="295A2708">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《具有良好的商业信誉和健全的财务会计制度》</w:t>
            </w:r>
          </w:p>
          <w:p w14:paraId="10FA8211">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注：按后文格式填写，提供相关资料。</w:t>
            </w:r>
          </w:p>
        </w:tc>
      </w:tr>
      <w:tr w14:paraId="0FDD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exact"/>
          <w:jc w:val="center"/>
        </w:trPr>
        <w:tc>
          <w:tcPr>
            <w:tcW w:w="449" w:type="dxa"/>
            <w:noWrap w:val="0"/>
            <w:vAlign w:val="center"/>
          </w:tcPr>
          <w:p w14:paraId="72B43BDC">
            <w:pPr>
              <w:keepLines w:val="0"/>
              <w:numPr>
                <w:ilvl w:val="0"/>
                <w:numId w:val="8"/>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2719" w:type="dxa"/>
            <w:tcBorders>
              <w:right w:val="single" w:color="auto" w:sz="4" w:space="0"/>
            </w:tcBorders>
            <w:noWrap w:val="0"/>
            <w:vAlign w:val="center"/>
          </w:tcPr>
          <w:p w14:paraId="2F858DF4">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具有履行合同所必需的设备和专业技术能力</w:t>
            </w:r>
          </w:p>
        </w:tc>
        <w:tc>
          <w:tcPr>
            <w:tcW w:w="6232" w:type="dxa"/>
            <w:tcBorders>
              <w:left w:val="single" w:color="auto" w:sz="4" w:space="0"/>
            </w:tcBorders>
            <w:noWrap w:val="0"/>
            <w:vAlign w:val="center"/>
          </w:tcPr>
          <w:p w14:paraId="4382BA79">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《具有履行合同所必需的设备和专业技术能力的承诺函》</w:t>
            </w:r>
          </w:p>
          <w:p w14:paraId="5AFFD343">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注：按后文格式填写，提供原件。</w:t>
            </w:r>
          </w:p>
        </w:tc>
      </w:tr>
      <w:tr w14:paraId="4679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exact"/>
          <w:jc w:val="center"/>
        </w:trPr>
        <w:tc>
          <w:tcPr>
            <w:tcW w:w="449" w:type="dxa"/>
            <w:noWrap w:val="0"/>
            <w:vAlign w:val="center"/>
          </w:tcPr>
          <w:p w14:paraId="0C66BBED">
            <w:pPr>
              <w:keepLines w:val="0"/>
              <w:numPr>
                <w:ilvl w:val="0"/>
                <w:numId w:val="8"/>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2719" w:type="dxa"/>
            <w:tcBorders>
              <w:right w:val="single" w:color="auto" w:sz="4" w:space="0"/>
            </w:tcBorders>
            <w:noWrap w:val="0"/>
            <w:vAlign w:val="center"/>
          </w:tcPr>
          <w:p w14:paraId="78C6829E">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参与采购活动前三年内在经营活动中没有重大违法记录</w:t>
            </w:r>
          </w:p>
        </w:tc>
        <w:tc>
          <w:tcPr>
            <w:tcW w:w="6232" w:type="dxa"/>
            <w:tcBorders>
              <w:left w:val="single" w:color="auto" w:sz="4" w:space="0"/>
            </w:tcBorders>
            <w:noWrap w:val="0"/>
            <w:vAlign w:val="center"/>
          </w:tcPr>
          <w:p w14:paraId="4DDC73F9">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《参与采购活动前三年内在经营活动中没有重大违法记录的书面声明函》</w:t>
            </w:r>
          </w:p>
          <w:p w14:paraId="0F242B45">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注：按后文格式填写，提供原件。</w:t>
            </w:r>
          </w:p>
        </w:tc>
      </w:tr>
      <w:tr w14:paraId="639F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exact"/>
          <w:jc w:val="center"/>
        </w:trPr>
        <w:tc>
          <w:tcPr>
            <w:tcW w:w="449" w:type="dxa"/>
            <w:noWrap w:val="0"/>
            <w:vAlign w:val="center"/>
          </w:tcPr>
          <w:p w14:paraId="0705AD28">
            <w:pPr>
              <w:keepLines w:val="0"/>
              <w:numPr>
                <w:ilvl w:val="0"/>
                <w:numId w:val="8"/>
              </w:numPr>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2719" w:type="dxa"/>
            <w:tcBorders>
              <w:right w:val="single" w:color="auto" w:sz="4" w:space="0"/>
            </w:tcBorders>
            <w:noWrap w:val="0"/>
            <w:vAlign w:val="center"/>
          </w:tcPr>
          <w:p w14:paraId="08DDE1DF">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《中小企业声明函》</w:t>
            </w:r>
          </w:p>
        </w:tc>
        <w:tc>
          <w:tcPr>
            <w:tcW w:w="6232" w:type="dxa"/>
            <w:tcBorders>
              <w:left w:val="single" w:color="auto" w:sz="4" w:space="0"/>
            </w:tcBorders>
            <w:noWrap w:val="0"/>
            <w:vAlign w:val="center"/>
          </w:tcPr>
          <w:p w14:paraId="5E7AA8AF">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按对应格式文件签署、盖章（如有）</w:t>
            </w:r>
          </w:p>
        </w:tc>
      </w:tr>
      <w:tr w14:paraId="3F68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9400" w:type="dxa"/>
            <w:gridSpan w:val="3"/>
            <w:noWrap w:val="0"/>
            <w:vAlign w:val="center"/>
          </w:tcPr>
          <w:p w14:paraId="5672CAAB">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二、其他证明材料</w:t>
            </w:r>
          </w:p>
        </w:tc>
      </w:tr>
      <w:tr w14:paraId="41CC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449" w:type="dxa"/>
            <w:noWrap w:val="0"/>
            <w:vAlign w:val="center"/>
          </w:tcPr>
          <w:p w14:paraId="0AFB9CAB">
            <w:pPr>
              <w:keepLines w:val="0"/>
              <w:tabs>
                <w:tab w:val="left" w:pos="180"/>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w:t>
            </w:r>
          </w:p>
        </w:tc>
        <w:tc>
          <w:tcPr>
            <w:tcW w:w="2719" w:type="dxa"/>
            <w:tcBorders>
              <w:right w:val="single" w:color="auto" w:sz="4" w:space="0"/>
            </w:tcBorders>
            <w:noWrap w:val="0"/>
            <w:vAlign w:val="center"/>
          </w:tcPr>
          <w:p w14:paraId="6F05ABE5">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如有</w:t>
            </w:r>
          </w:p>
        </w:tc>
        <w:tc>
          <w:tcPr>
            <w:tcW w:w="6232" w:type="dxa"/>
            <w:tcBorders>
              <w:left w:val="single" w:color="auto" w:sz="4" w:space="0"/>
            </w:tcBorders>
            <w:noWrap w:val="0"/>
            <w:vAlign w:val="center"/>
          </w:tcPr>
          <w:p w14:paraId="5A4E273E">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p>
        </w:tc>
      </w:tr>
      <w:tr w14:paraId="4997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exact"/>
          <w:jc w:val="center"/>
        </w:trPr>
        <w:tc>
          <w:tcPr>
            <w:tcW w:w="9400" w:type="dxa"/>
            <w:gridSpan w:val="3"/>
            <w:noWrap w:val="0"/>
            <w:vAlign w:val="center"/>
          </w:tcPr>
          <w:p w14:paraId="40CD0A9D">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注：以上资料内容若注明原件的须提供原件，否则提供复印件或网络打印页</w:t>
            </w:r>
          </w:p>
        </w:tc>
      </w:tr>
    </w:tbl>
    <w:p w14:paraId="51FD2311">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u w:val="double"/>
        </w:rPr>
      </w:pPr>
    </w:p>
    <w:p w14:paraId="1A77AB0C">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u w:val="double"/>
        </w:rPr>
        <w:t>本表附件</w:t>
      </w:r>
      <w:r>
        <w:rPr>
          <w:rFonts w:hint="default" w:ascii="Times New Roman" w:hAnsi="Times New Roman" w:cs="Times New Roman" w:eastAsiaTheme="minorEastAsia"/>
          <w:b/>
          <w:color w:val="auto"/>
          <w:highlight w:val="none"/>
        </w:rPr>
        <w:t>：在本表之后按顺序提交表格中要求的证明资料。</w:t>
      </w:r>
    </w:p>
    <w:p w14:paraId="02D26AA2">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p>
    <w:p w14:paraId="0FD91A8B">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p>
    <w:p w14:paraId="7F400352">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p>
    <w:p w14:paraId="0ACAA5C0">
      <w:pPr>
        <w:keepLines w:val="0"/>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color w:val="auto"/>
          <w:sz w:val="36"/>
          <w:szCs w:val="36"/>
          <w:highlight w:val="none"/>
        </w:rPr>
      </w:pPr>
      <w:bookmarkStart w:id="168" w:name="_Toc13912"/>
      <w:bookmarkStart w:id="169" w:name="_Toc8783"/>
      <w:r>
        <w:rPr>
          <w:rFonts w:hint="default" w:ascii="Times New Roman" w:hAnsi="Times New Roman" w:cs="Times New Roman" w:eastAsiaTheme="minorEastAsia"/>
          <w:b/>
          <w:bCs/>
          <w:color w:val="auto"/>
          <w:sz w:val="36"/>
          <w:szCs w:val="36"/>
          <w:highlight w:val="none"/>
        </w:rPr>
        <w:t>1.5营业执照副本</w:t>
      </w:r>
      <w:bookmarkEnd w:id="168"/>
      <w:bookmarkEnd w:id="169"/>
    </w:p>
    <w:p w14:paraId="62AEB3E1">
      <w:pPr>
        <w:pStyle w:val="2"/>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p>
    <w:p w14:paraId="09907FAE">
      <w:pPr>
        <w:pStyle w:val="2"/>
        <w:keepLines w:val="0"/>
        <w:kinsoku/>
        <w:wordWrap/>
        <w:overflowPunct/>
        <w:topLinePunct w:val="0"/>
        <w:bidi w:val="0"/>
        <w:spacing w:beforeAutospacing="0" w:afterAutospacing="0" w:line="440" w:lineRule="atLeast"/>
        <w:ind w:left="0" w:leftChars="0" w:right="0" w:rightChars="0" w:firstLine="420" w:firstLineChars="200"/>
        <w:rPr>
          <w:rFonts w:hint="eastAsia" w:ascii="Times New Roman" w:hAnsi="Times New Roman" w:cs="Times New Roman"/>
          <w:color w:val="auto"/>
          <w:sz w:val="21"/>
          <w:szCs w:val="21"/>
          <w:highlight w:val="none"/>
          <w:lang w:eastAsia="zh-CN"/>
        </w:rPr>
      </w:pPr>
      <w:r>
        <w:rPr>
          <w:rFonts w:hint="default" w:ascii="Times New Roman" w:hAnsi="Times New Roman" w:cs="Times New Roman" w:eastAsiaTheme="minorEastAsia"/>
          <w:color w:val="auto"/>
          <w:sz w:val="21"/>
          <w:szCs w:val="21"/>
          <w:highlight w:val="none"/>
        </w:rPr>
        <w:t>提供在中华人民共和国境内注册的独立法人或其他组织的营业执照或事业单位法人证书或社会团体法人登记证书复印件并加盖供应商公章</w:t>
      </w:r>
      <w:r>
        <w:rPr>
          <w:rFonts w:hint="eastAsia" w:ascii="Times New Roman" w:hAnsi="Times New Roman" w:cs="Times New Roman"/>
          <w:color w:val="auto"/>
          <w:sz w:val="21"/>
          <w:szCs w:val="21"/>
          <w:highlight w:val="none"/>
          <w:lang w:eastAsia="zh-CN"/>
        </w:rPr>
        <w:t>。</w:t>
      </w:r>
    </w:p>
    <w:p w14:paraId="7FB87616">
      <w:pPr>
        <w:pStyle w:val="15"/>
        <w:keepLines w:val="0"/>
        <w:kinsoku/>
        <w:wordWrap/>
        <w:overflowPunct/>
        <w:topLinePunct w:val="0"/>
        <w:bidi w:val="0"/>
        <w:spacing w:beforeAutospacing="0" w:after="0" w:afterAutospacing="0" w:line="440" w:lineRule="atLeast"/>
        <w:ind w:left="0" w:leftChars="0" w:right="0" w:rightChars="0"/>
        <w:rPr>
          <w:rFonts w:hint="eastAsia"/>
          <w:color w:val="auto"/>
          <w:highlight w:val="none"/>
          <w:lang w:eastAsia="zh-CN"/>
        </w:rPr>
      </w:pPr>
    </w:p>
    <w:p w14:paraId="4B27487A">
      <w:pPr>
        <w:pStyle w:val="2"/>
        <w:keepLines w:val="0"/>
        <w:kinsoku/>
        <w:wordWrap/>
        <w:overflowPunct/>
        <w:topLinePunct w:val="0"/>
        <w:bidi w:val="0"/>
        <w:spacing w:beforeAutospacing="0" w:afterAutospacing="0" w:line="440" w:lineRule="atLeast"/>
        <w:ind w:left="0" w:leftChars="0" w:right="0" w:rightChars="0" w:firstLine="723" w:firstLineChars="200"/>
        <w:rPr>
          <w:rFonts w:hint="default" w:ascii="Times New Roman" w:hAnsi="Times New Roman" w:cs="Times New Roman" w:eastAsiaTheme="minorEastAsia"/>
          <w:b/>
          <w:bCs/>
          <w:color w:val="auto"/>
          <w:sz w:val="36"/>
          <w:szCs w:val="36"/>
          <w:highlight w:val="none"/>
        </w:rPr>
      </w:pPr>
      <w:bookmarkStart w:id="170" w:name="_Toc12605"/>
      <w:bookmarkStart w:id="171" w:name="_Toc684"/>
      <w:r>
        <w:rPr>
          <w:rFonts w:hint="default" w:ascii="Times New Roman" w:hAnsi="Times New Roman" w:cs="Times New Roman" w:eastAsiaTheme="minorEastAsia"/>
          <w:b/>
          <w:bCs/>
          <w:color w:val="auto"/>
          <w:sz w:val="36"/>
          <w:szCs w:val="36"/>
          <w:highlight w:val="none"/>
        </w:rPr>
        <w:t>1.6有依法缴纳税收和社会保障资金的良好记录</w:t>
      </w:r>
      <w:bookmarkEnd w:id="170"/>
    </w:p>
    <w:p w14:paraId="6FF680E4">
      <w:pPr>
        <w:pStyle w:val="33"/>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提供以下两种证明材料之一：1.提供《政府采购供应商资格信用承诺函》，具体要求详见投标文件格式；2.提供投标截止日前6个月内任意1个月依法缴纳税收和社会保障资金的相关材料。如依法免税或不需要缴纳社会保障资金的，提供相应证明材料。</w:t>
      </w:r>
    </w:p>
    <w:p w14:paraId="2AC07722">
      <w:pPr>
        <w:pStyle w:val="33"/>
        <w:keepLines w:val="0"/>
        <w:kinsoku/>
        <w:wordWrap/>
        <w:overflowPunct/>
        <w:topLinePunct w:val="0"/>
        <w:bidi w:val="0"/>
        <w:spacing w:beforeAutospacing="0" w:afterAutospacing="0" w:line="440" w:lineRule="atLeast"/>
        <w:ind w:left="0" w:leftChars="0" w:right="0" w:rightChars="0" w:firstLine="0" w:firstLineChars="0"/>
        <w:rPr>
          <w:rFonts w:hint="default" w:ascii="Times New Roman" w:hAnsi="Times New Roman" w:cs="Times New Roman" w:eastAsiaTheme="minorEastAsia"/>
          <w:color w:val="auto"/>
          <w:highlight w:val="none"/>
        </w:rPr>
      </w:pPr>
    </w:p>
    <w:p w14:paraId="74AAF940">
      <w:pPr>
        <w:keepLines w:val="0"/>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sz w:val="36"/>
          <w:szCs w:val="36"/>
          <w:highlight w:val="none"/>
        </w:rPr>
      </w:pPr>
      <w:bookmarkStart w:id="172" w:name="_Toc21804"/>
      <w:r>
        <w:rPr>
          <w:rFonts w:hint="default" w:ascii="Times New Roman" w:hAnsi="Times New Roman" w:cs="Times New Roman" w:eastAsiaTheme="minorEastAsia"/>
          <w:b/>
          <w:bCs/>
          <w:color w:val="auto"/>
          <w:sz w:val="36"/>
          <w:szCs w:val="36"/>
          <w:highlight w:val="none"/>
        </w:rPr>
        <w:t>1.7具有良好的商业信誉和健全的财务会计制度</w:t>
      </w:r>
      <w:bookmarkEnd w:id="172"/>
    </w:p>
    <w:p w14:paraId="1FA59115">
      <w:pPr>
        <w:pStyle w:val="33"/>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提供以下三种证明材料之一：1.提供《政府采购供应商资格信用承诺函》，具体要求详见</w:t>
      </w:r>
      <w:r>
        <w:rPr>
          <w:rFonts w:hint="default" w:ascii="Times New Roman" w:hAnsi="Times New Roman" w:cs="Times New Roman" w:eastAsiaTheme="minorEastAsia"/>
          <w:color w:val="auto"/>
          <w:sz w:val="21"/>
          <w:szCs w:val="21"/>
          <w:highlight w:val="none"/>
          <w:lang w:eastAsia="zh-CN"/>
        </w:rPr>
        <w:t>投标文件格式</w:t>
      </w:r>
      <w:r>
        <w:rPr>
          <w:rFonts w:hint="default" w:ascii="Times New Roman" w:hAnsi="Times New Roman" w:cs="Times New Roman" w:eastAsiaTheme="minorEastAsia"/>
          <w:color w:val="auto"/>
          <w:sz w:val="21"/>
          <w:szCs w:val="21"/>
          <w:highlight w:val="none"/>
        </w:rPr>
        <w:t>；2.提供2022或2023年度财务状况报告，财务状况报告须由第三方会计师事务所出具，能清晰显示第三方会计师事务所的印章，并能反映审计结论；3.提供投标截止日前6个月内基本开户银行出具的资信证明，并同时提交开户（基本户）许可证扫描件，开户（基本户）许可证已取消的，应提供能体现基本开户银行的“基本存款账户编号”的相关证明。</w:t>
      </w:r>
    </w:p>
    <w:p w14:paraId="6318DE8C">
      <w:pPr>
        <w:pStyle w:val="33"/>
        <w:keepLines w:val="0"/>
        <w:kinsoku/>
        <w:wordWrap/>
        <w:overflowPunct/>
        <w:topLinePunct w:val="0"/>
        <w:bidi w:val="0"/>
        <w:spacing w:beforeAutospacing="0" w:afterAutospacing="0" w:line="440" w:lineRule="atLeast"/>
        <w:ind w:left="0" w:leftChars="0" w:right="0" w:rightChars="0" w:firstLine="420"/>
        <w:rPr>
          <w:rFonts w:hint="default" w:ascii="Times New Roman" w:hAnsi="Times New Roman" w:cs="Times New Roman" w:eastAsiaTheme="minorEastAsia"/>
          <w:color w:val="auto"/>
          <w:sz w:val="24"/>
          <w:highlight w:val="none"/>
        </w:rPr>
      </w:pPr>
    </w:p>
    <w:p w14:paraId="69A29218">
      <w:pPr>
        <w:keepLines w:val="0"/>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sz w:val="36"/>
          <w:szCs w:val="36"/>
          <w:highlight w:val="none"/>
        </w:rPr>
      </w:pPr>
      <w:bookmarkStart w:id="173" w:name="_Toc15097"/>
      <w:r>
        <w:rPr>
          <w:rFonts w:hint="default" w:ascii="Times New Roman" w:hAnsi="Times New Roman" w:cs="Times New Roman" w:eastAsiaTheme="minorEastAsia"/>
          <w:b/>
          <w:bCs/>
          <w:color w:val="auto"/>
          <w:sz w:val="36"/>
          <w:szCs w:val="36"/>
          <w:highlight w:val="none"/>
        </w:rPr>
        <w:t>1.8</w:t>
      </w:r>
      <w:r>
        <w:rPr>
          <w:rFonts w:hint="default" w:ascii="Times New Roman" w:hAnsi="Times New Roman" w:cs="Times New Roman" w:eastAsiaTheme="minorEastAsia"/>
          <w:b/>
          <w:bCs/>
          <w:color w:val="auto"/>
          <w:kern w:val="0"/>
          <w:sz w:val="36"/>
          <w:szCs w:val="36"/>
          <w:highlight w:val="none"/>
        </w:rPr>
        <w:t>具有履行合同所必需的设备和专业技术能力的承诺</w:t>
      </w:r>
      <w:bookmarkEnd w:id="171"/>
      <w:r>
        <w:rPr>
          <w:rFonts w:hint="default" w:ascii="Times New Roman" w:hAnsi="Times New Roman" w:cs="Times New Roman" w:eastAsiaTheme="minorEastAsia"/>
          <w:b/>
          <w:bCs/>
          <w:color w:val="auto"/>
          <w:kern w:val="0"/>
          <w:sz w:val="36"/>
          <w:szCs w:val="36"/>
          <w:highlight w:val="none"/>
        </w:rPr>
        <w:t>函</w:t>
      </w:r>
      <w:bookmarkEnd w:id="173"/>
    </w:p>
    <w:p w14:paraId="69F5C718">
      <w:pPr>
        <w:pStyle w:val="33"/>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我方诚意参与本项目投标，并特此承诺：我方具有履行合同所必需的设备和专业技术能力。如有任何虚假和不实，我方自愿放弃投标资格并承担一切相关责任。</w:t>
      </w:r>
    </w:p>
    <w:p w14:paraId="521B957C">
      <w:pPr>
        <w:pStyle w:val="33"/>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特此承诺。</w:t>
      </w:r>
    </w:p>
    <w:p w14:paraId="223AE3F3">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u w:val="dotted"/>
        </w:rPr>
      </w:pPr>
    </w:p>
    <w:p w14:paraId="0282D725">
      <w:pPr>
        <w:keepLines w:val="0"/>
        <w:kinsoku/>
        <w:wordWrap/>
        <w:overflowPunct/>
        <w:topLinePunct w:val="0"/>
        <w:bidi w:val="0"/>
        <w:spacing w:beforeAutospacing="0" w:afterAutospacing="0" w:line="440" w:lineRule="atLeast"/>
        <w:ind w:left="0" w:leftChars="0" w:right="0" w:rightChars="0"/>
        <w:jc w:val="righ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供应商名称：</w:t>
      </w:r>
      <w:r>
        <w:rPr>
          <w:rFonts w:hint="default" w:ascii="Times New Roman" w:hAnsi="Times New Roman" w:cs="Times New Roman" w:eastAsiaTheme="minorEastAsia"/>
          <w:color w:val="auto"/>
          <w:sz w:val="21"/>
          <w:szCs w:val="21"/>
          <w:highlight w:val="none"/>
          <w:u w:val="single"/>
          <w:lang w:val="en-GB"/>
        </w:rPr>
        <w:t xml:space="preserve">       </w:t>
      </w:r>
      <w:r>
        <w:rPr>
          <w:rFonts w:hint="default" w:ascii="Times New Roman" w:hAnsi="Times New Roman" w:cs="Times New Roman" w:eastAsiaTheme="minorEastAsia"/>
          <w:color w:val="auto"/>
          <w:sz w:val="21"/>
          <w:szCs w:val="21"/>
          <w:highlight w:val="none"/>
          <w:u w:val="single"/>
        </w:rPr>
        <w:t>（</w:t>
      </w:r>
      <w:r>
        <w:rPr>
          <w:rFonts w:hint="eastAsia" w:ascii="Times New Roman" w:hAnsi="Times New Roman" w:cs="Times New Roman"/>
          <w:color w:val="auto"/>
          <w:sz w:val="21"/>
          <w:szCs w:val="21"/>
          <w:highlight w:val="none"/>
          <w:u w:val="single"/>
          <w:lang w:eastAsia="zh-CN"/>
        </w:rPr>
        <w:t>单位名称</w:t>
      </w:r>
      <w:r>
        <w:rPr>
          <w:rFonts w:hint="default" w:ascii="Times New Roman" w:hAnsi="Times New Roman" w:cs="Times New Roman" w:eastAsiaTheme="minorEastAsia"/>
          <w:color w:val="auto"/>
          <w:sz w:val="21"/>
          <w:szCs w:val="21"/>
          <w:highlight w:val="none"/>
          <w:u w:val="single"/>
        </w:rPr>
        <w:t>全称）</w:t>
      </w:r>
      <w:r>
        <w:rPr>
          <w:rFonts w:hint="default" w:ascii="Times New Roman" w:hAnsi="Times New Roman" w:cs="Times New Roman" w:eastAsiaTheme="minorEastAsia"/>
          <w:color w:val="auto"/>
          <w:sz w:val="21"/>
          <w:szCs w:val="21"/>
          <w:highlight w:val="none"/>
          <w:u w:val="single"/>
          <w:lang w:val="en-GB"/>
        </w:rPr>
        <w:t xml:space="preserve">              </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lang w:val="zh-CN"/>
        </w:rPr>
        <w:t>加盖供应商公章</w:t>
      </w:r>
      <w:r>
        <w:rPr>
          <w:rFonts w:hint="default" w:ascii="Times New Roman" w:hAnsi="Times New Roman" w:cs="Times New Roman" w:eastAsiaTheme="minorEastAsia"/>
          <w:color w:val="auto"/>
          <w:sz w:val="21"/>
          <w:szCs w:val="21"/>
          <w:highlight w:val="none"/>
        </w:rPr>
        <w:t>）</w:t>
      </w:r>
    </w:p>
    <w:p w14:paraId="67E9467E">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highlight w:val="none"/>
        </w:rPr>
      </w:pPr>
    </w:p>
    <w:p w14:paraId="6B1E287F">
      <w:pPr>
        <w:pStyle w:val="34"/>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outlineLvl w:val="1"/>
        <w:rPr>
          <w:rFonts w:hint="default" w:ascii="Times New Roman" w:hAnsi="Times New Roman" w:cs="Times New Roman" w:eastAsiaTheme="minorEastAsia"/>
          <w:b/>
          <w:bCs/>
          <w:color w:val="auto"/>
          <w:sz w:val="36"/>
          <w:szCs w:val="36"/>
          <w:highlight w:val="none"/>
        </w:rPr>
      </w:pPr>
      <w:bookmarkStart w:id="174" w:name="_Toc9846"/>
      <w:r>
        <w:rPr>
          <w:rFonts w:hint="default" w:ascii="Times New Roman" w:hAnsi="Times New Roman" w:cs="Times New Roman" w:eastAsiaTheme="minorEastAsia"/>
          <w:b/>
          <w:bCs/>
          <w:color w:val="auto"/>
          <w:sz w:val="36"/>
          <w:szCs w:val="36"/>
          <w:highlight w:val="none"/>
        </w:rPr>
        <w:t>1.9参与采购活动前三年内在经营活动中没有重大违法记录的书面声明函</w:t>
      </w:r>
      <w:bookmarkEnd w:id="174"/>
    </w:p>
    <w:p w14:paraId="2556BE54">
      <w:pPr>
        <w:pStyle w:val="34"/>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t>致：</w:t>
      </w:r>
      <w:r>
        <w:rPr>
          <w:rFonts w:hint="eastAsia" w:ascii="Times New Roman" w:hAnsi="Times New Roman" w:cs="Times New Roman" w:eastAsiaTheme="minorEastAsia"/>
          <w:b/>
          <w:color w:val="auto"/>
          <w:sz w:val="21"/>
          <w:szCs w:val="21"/>
          <w:highlight w:val="none"/>
          <w:u w:val="single"/>
          <w:lang w:eastAsia="zh-CN"/>
        </w:rPr>
        <w:t>佛山市高明区人民法院</w:t>
      </w:r>
      <w:r>
        <w:rPr>
          <w:rFonts w:hint="default" w:ascii="Times New Roman" w:hAnsi="Times New Roman" w:cs="Times New Roman" w:eastAsiaTheme="minorEastAsia"/>
          <w:b/>
          <w:color w:val="auto"/>
          <w:sz w:val="21"/>
          <w:szCs w:val="21"/>
          <w:highlight w:val="none"/>
          <w:u w:val="single"/>
        </w:rPr>
        <w:t>、广东远东招标代理有限公司</w:t>
      </w:r>
      <w:r>
        <w:rPr>
          <w:rFonts w:hint="default" w:ascii="Times New Roman" w:hAnsi="Times New Roman" w:cs="Times New Roman" w:eastAsiaTheme="minorEastAsia"/>
          <w:b/>
          <w:color w:val="auto"/>
          <w:sz w:val="21"/>
          <w:szCs w:val="21"/>
          <w:highlight w:val="none"/>
        </w:rPr>
        <w:t>：</w:t>
      </w:r>
    </w:p>
    <w:p w14:paraId="0F3DE07E">
      <w:pPr>
        <w:pStyle w:val="34"/>
        <w:keepLines w:val="0"/>
        <w:kinsoku/>
        <w:wordWrap/>
        <w:overflowPunct/>
        <w:topLinePunct w:val="0"/>
        <w:bidi w:val="0"/>
        <w:spacing w:beforeAutospacing="0" w:afterAutospacing="0" w:line="440" w:lineRule="atLeast"/>
        <w:ind w:left="0" w:leftChars="0" w:right="0" w:rightChars="0" w:firstLine="420" w:firstLineChars="20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我方已认真阅读了全部招标文件及其相关文件，完全清楚理解其内容及规约，我方特此声明，我方参加政府采购活动前三年内在经营活动中没有重大违法记录。如有任何虚假和不实，我方自愿放弃投标资格并承担一切相关责任。</w:t>
      </w:r>
    </w:p>
    <w:p w14:paraId="00B4F32D">
      <w:pPr>
        <w:pStyle w:val="34"/>
        <w:keepLines w:val="0"/>
        <w:kinsoku/>
        <w:wordWrap/>
        <w:overflowPunct/>
        <w:topLinePunct w:val="0"/>
        <w:bidi w:val="0"/>
        <w:spacing w:beforeAutospacing="0" w:afterAutospacing="0" w:line="440" w:lineRule="atLeast"/>
        <w:ind w:left="0" w:leftChars="0" w:right="0" w:rightChars="0" w:firstLine="420" w:firstLineChars="20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特此声明。</w:t>
      </w:r>
    </w:p>
    <w:p w14:paraId="20F6B334">
      <w:pPr>
        <w:pStyle w:val="34"/>
        <w:keepLines w:val="0"/>
        <w:kinsoku/>
        <w:wordWrap/>
        <w:overflowPunct/>
        <w:topLinePunct w:val="0"/>
        <w:bidi w:val="0"/>
        <w:spacing w:beforeAutospacing="0" w:afterAutospacing="0" w:line="440" w:lineRule="atLeast"/>
        <w:ind w:left="0" w:leftChars="0" w:right="0" w:rightChars="0" w:firstLine="420" w:firstLineChars="200"/>
        <w:rPr>
          <w:rFonts w:hint="default" w:ascii="Times New Roman" w:hAnsi="Times New Roman" w:cs="Times New Roman" w:eastAsiaTheme="minorEastAsia"/>
          <w:color w:val="auto"/>
          <w:sz w:val="21"/>
          <w:szCs w:val="21"/>
          <w:highlight w:val="none"/>
        </w:rPr>
      </w:pPr>
    </w:p>
    <w:p w14:paraId="1FA94B9B">
      <w:pPr>
        <w:keepNext w:val="0"/>
        <w:keepLines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jc w:val="righ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供应商名称：</w:t>
      </w:r>
      <w:r>
        <w:rPr>
          <w:rFonts w:hint="default" w:ascii="Times New Roman" w:hAnsi="Times New Roman" w:cs="Times New Roman" w:eastAsiaTheme="minorEastAsia"/>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eastAsia="zh-CN"/>
        </w:rPr>
        <w:t>单位名称</w:t>
      </w:r>
      <w:r>
        <w:rPr>
          <w:rFonts w:hint="default" w:ascii="Times New Roman" w:hAnsi="Times New Roman" w:cs="Times New Roman" w:eastAsiaTheme="minorEastAsia"/>
          <w:color w:val="auto"/>
          <w:sz w:val="21"/>
          <w:szCs w:val="21"/>
          <w:highlight w:val="none"/>
          <w:u w:val="single"/>
        </w:rPr>
        <w:t xml:space="preserve">全称）                </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lang w:val="zh-CN"/>
        </w:rPr>
        <w:t>加盖供应商公章</w:t>
      </w:r>
      <w:r>
        <w:rPr>
          <w:rFonts w:hint="default" w:ascii="Times New Roman" w:hAnsi="Times New Roman" w:cs="Times New Roman" w:eastAsiaTheme="minorEastAsia"/>
          <w:color w:val="auto"/>
          <w:sz w:val="21"/>
          <w:szCs w:val="21"/>
          <w:highlight w:val="none"/>
        </w:rPr>
        <w:t>）</w:t>
      </w:r>
    </w:p>
    <w:p w14:paraId="054FA246">
      <w:pPr>
        <w:pStyle w:val="34"/>
        <w:keepLines w:val="0"/>
        <w:kinsoku/>
        <w:wordWrap/>
        <w:overflowPunct/>
        <w:topLinePunct w:val="0"/>
        <w:bidi w:val="0"/>
        <w:spacing w:beforeAutospacing="0" w:afterAutospacing="0" w:line="440" w:lineRule="atLeast"/>
        <w:ind w:left="0" w:leftChars="0" w:right="0" w:rightChars="0"/>
        <w:jc w:val="righ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日  期：</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年</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月</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日</w:t>
      </w:r>
    </w:p>
    <w:p w14:paraId="0D100347">
      <w:pPr>
        <w:keepLines w:val="0"/>
        <w:tabs>
          <w:tab w:val="left" w:pos="-3780"/>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p>
    <w:p w14:paraId="46ADA5A5">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说明：</w:t>
      </w:r>
    </w:p>
    <w:p w14:paraId="255E96E1">
      <w:pPr>
        <w:keepLines w:val="0"/>
        <w:tabs>
          <w:tab w:val="left" w:pos="-3780"/>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以上承诺书内容不得擅自删改。</w:t>
      </w:r>
    </w:p>
    <w:p w14:paraId="03140914">
      <w:pPr>
        <w:keepLines w:val="0"/>
        <w:pageBreakBefore/>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sz w:val="36"/>
          <w:szCs w:val="36"/>
          <w:highlight w:val="none"/>
        </w:rPr>
      </w:pPr>
      <w:bookmarkStart w:id="175" w:name="_Toc16211"/>
      <w:bookmarkStart w:id="176" w:name="_Toc13905"/>
      <w:bookmarkStart w:id="177" w:name="_Toc14873260"/>
      <w:bookmarkStart w:id="178" w:name="_Toc14826"/>
      <w:bookmarkStart w:id="179" w:name="_Toc6205"/>
      <w:r>
        <w:rPr>
          <w:rFonts w:hint="default" w:ascii="Times New Roman" w:hAnsi="Times New Roman" w:cs="Times New Roman" w:eastAsiaTheme="minorEastAsia"/>
          <w:b/>
          <w:bCs/>
          <w:color w:val="auto"/>
          <w:sz w:val="36"/>
          <w:szCs w:val="36"/>
          <w:highlight w:val="none"/>
          <w:lang w:val="en-US"/>
        </w:rPr>
        <w:t xml:space="preserve">1.10 </w:t>
      </w:r>
      <w:bookmarkEnd w:id="147"/>
      <w:bookmarkEnd w:id="175"/>
      <w:bookmarkEnd w:id="176"/>
      <w:bookmarkEnd w:id="177"/>
      <w:bookmarkEnd w:id="178"/>
      <w:r>
        <w:rPr>
          <w:rFonts w:hint="default" w:ascii="Times New Roman" w:hAnsi="Times New Roman" w:cs="Times New Roman" w:eastAsiaTheme="minorEastAsia"/>
          <w:b/>
          <w:bCs/>
          <w:color w:val="auto"/>
          <w:sz w:val="36"/>
          <w:szCs w:val="36"/>
          <w:highlight w:val="none"/>
          <w:lang w:val="en-US"/>
        </w:rPr>
        <w:t>政府采购供应商资格信用承诺函</w:t>
      </w:r>
      <w:bookmarkEnd w:id="179"/>
    </w:p>
    <w:p w14:paraId="5C959CA7">
      <w:pPr>
        <w:pStyle w:val="38"/>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b/>
          <w:color w:val="auto"/>
          <w:sz w:val="21"/>
          <w:szCs w:val="21"/>
          <w:highlight w:val="none"/>
        </w:rPr>
      </w:pPr>
    </w:p>
    <w:p w14:paraId="61528AD4">
      <w:pPr>
        <w:pStyle w:val="38"/>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致：</w:t>
      </w:r>
      <w:r>
        <w:rPr>
          <w:rFonts w:hint="eastAsia" w:ascii="Times New Roman" w:hAnsi="Times New Roman" w:cs="Times New Roman" w:eastAsiaTheme="minorEastAsia"/>
          <w:b/>
          <w:color w:val="auto"/>
          <w:sz w:val="21"/>
          <w:szCs w:val="21"/>
          <w:highlight w:val="none"/>
          <w:u w:val="single"/>
          <w:lang w:eastAsia="zh-CN"/>
        </w:rPr>
        <w:t>佛山市高明区人民法院</w:t>
      </w:r>
      <w:r>
        <w:rPr>
          <w:rFonts w:hint="default" w:ascii="Times New Roman" w:hAnsi="Times New Roman" w:cs="Times New Roman" w:eastAsiaTheme="minorEastAsia"/>
          <w:b/>
          <w:color w:val="auto"/>
          <w:sz w:val="21"/>
          <w:szCs w:val="21"/>
          <w:highlight w:val="none"/>
          <w:u w:val="single"/>
        </w:rPr>
        <w:t>、广东远东招标代理有限公司</w:t>
      </w:r>
    </w:p>
    <w:p w14:paraId="3010F715">
      <w:pPr>
        <w:keepLines w:val="0"/>
        <w:kinsoku/>
        <w:wordWrap/>
        <w:overflowPunct/>
        <w:topLinePunct w:val="0"/>
        <w:bidi w:val="0"/>
        <w:spacing w:beforeAutospacing="0" w:afterAutospacing="0" w:line="440" w:lineRule="atLeast"/>
        <w:ind w:left="0" w:leftChars="0" w:right="0" w:rightChars="0" w:firstLine="420" w:firstLineChars="200"/>
        <w:rPr>
          <w:rFonts w:hint="default" w:ascii="Times New Roman" w:hAnsi="Times New Roman" w:cs="Times New Roman" w:eastAsiaTheme="minorEastAsia"/>
          <w:color w:val="auto"/>
          <w:sz w:val="21"/>
          <w:szCs w:val="21"/>
          <w:highlight w:val="none"/>
          <w:lang w:eastAsia="zh-CN"/>
        </w:rPr>
      </w:pPr>
    </w:p>
    <w:p w14:paraId="327E20AB">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eastAsia="zh-CN"/>
        </w:rPr>
        <w:t>我方参与</w:t>
      </w:r>
      <w:r>
        <w:rPr>
          <w:rFonts w:hint="eastAsia" w:ascii="Times New Roman" w:hAnsi="Times New Roman" w:cs="Times New Roman"/>
          <w:color w:val="auto"/>
          <w:sz w:val="21"/>
          <w:szCs w:val="21"/>
          <w:highlight w:val="none"/>
          <w:u w:val="single"/>
          <w:lang w:eastAsia="zh-CN"/>
        </w:rPr>
        <w:t>佛山市高明区人民法院执行案件集约化送达服务项目</w:t>
      </w:r>
      <w:r>
        <w:rPr>
          <w:rFonts w:hint="default" w:ascii="Times New Roman" w:hAnsi="Times New Roman" w:cs="Times New Roman" w:eastAsiaTheme="minorEastAsia"/>
          <w:color w:val="auto"/>
          <w:sz w:val="21"/>
          <w:szCs w:val="21"/>
          <w:highlight w:val="none"/>
          <w:u w:val="single"/>
          <w:lang w:eastAsia="zh-CN"/>
        </w:rPr>
        <w:t>（项目编号：</w:t>
      </w:r>
      <w:r>
        <w:rPr>
          <w:rFonts w:hint="eastAsia" w:ascii="Times New Roman" w:hAnsi="Times New Roman" w:cs="Times New Roman"/>
          <w:color w:val="auto"/>
          <w:sz w:val="21"/>
          <w:szCs w:val="21"/>
          <w:highlight w:val="none"/>
          <w:u w:val="single"/>
          <w:lang w:eastAsia="zh-CN"/>
        </w:rPr>
        <w:t>GDYD240563</w:t>
      </w:r>
      <w:r>
        <w:rPr>
          <w:rFonts w:hint="default" w:ascii="Times New Roman" w:hAnsi="Times New Roman" w:cs="Times New Roman" w:eastAsiaTheme="minorEastAsia"/>
          <w:color w:val="auto"/>
          <w:sz w:val="21"/>
          <w:szCs w:val="21"/>
          <w:highlight w:val="none"/>
          <w:u w:val="single"/>
          <w:lang w:eastAsia="zh-CN"/>
        </w:rPr>
        <w:t>）</w:t>
      </w:r>
      <w:r>
        <w:rPr>
          <w:rFonts w:hint="default" w:ascii="Times New Roman" w:hAnsi="Times New Roman" w:cs="Times New Roman" w:eastAsiaTheme="minorEastAsia"/>
          <w:color w:val="auto"/>
          <w:sz w:val="21"/>
          <w:szCs w:val="21"/>
          <w:highlight w:val="none"/>
          <w:lang w:eastAsia="zh-CN"/>
        </w:rPr>
        <w:t>的政府采购活动，现承诺如下：</w:t>
      </w:r>
    </w:p>
    <w:p w14:paraId="37F31AC1">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eastAsia="zh-CN"/>
        </w:rPr>
        <w:t>我方具有符合《中华人民共和国政府采购法》《中华人民共和国政府采购法实施条例》及采购文件资格要求规定良好的商业信誉和健全的财务会计制度；依法缴纳税收和社会保障资金；具有履行合同所必需的设备和专业技术能力；参加本项目政府采购活动前三年内，在经营活动中没有重大违法记录。</w:t>
      </w:r>
    </w:p>
    <w:p w14:paraId="219D03FB">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eastAsia="zh-CN"/>
        </w:rPr>
        <w:t>若我方以上承诺不实，自愿承担提供虚假材料谋取中标、成交的法律责任。</w:t>
      </w:r>
    </w:p>
    <w:p w14:paraId="092D4DBD">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rPr>
          <w:rFonts w:hint="default" w:ascii="Times New Roman" w:hAnsi="Times New Roman" w:cs="Times New Roman" w:eastAsiaTheme="minorEastAsia"/>
          <w:color w:val="auto"/>
          <w:sz w:val="21"/>
          <w:szCs w:val="21"/>
          <w:highlight w:val="none"/>
          <w:lang w:eastAsia="zh-CN"/>
        </w:rPr>
      </w:pPr>
    </w:p>
    <w:p w14:paraId="71F5C165">
      <w:pPr>
        <w:keepNext w:val="0"/>
        <w:keepLines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jc w:val="righ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供应商名称：</w:t>
      </w:r>
      <w:r>
        <w:rPr>
          <w:rFonts w:hint="default" w:ascii="Times New Roman" w:hAnsi="Times New Roman" w:cs="Times New Roman" w:eastAsiaTheme="minorEastAsia"/>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eastAsia="zh-CN"/>
        </w:rPr>
        <w:t>单位名称</w:t>
      </w:r>
      <w:r>
        <w:rPr>
          <w:rFonts w:hint="default" w:ascii="Times New Roman" w:hAnsi="Times New Roman" w:cs="Times New Roman" w:eastAsiaTheme="minorEastAsia"/>
          <w:color w:val="auto"/>
          <w:sz w:val="21"/>
          <w:szCs w:val="21"/>
          <w:highlight w:val="none"/>
          <w:u w:val="single"/>
        </w:rPr>
        <w:t xml:space="preserve">全称）                </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lang w:val="zh-CN"/>
        </w:rPr>
        <w:t>加盖供应商公章</w:t>
      </w:r>
      <w:r>
        <w:rPr>
          <w:rFonts w:hint="default" w:ascii="Times New Roman" w:hAnsi="Times New Roman" w:cs="Times New Roman" w:eastAsiaTheme="minorEastAsia"/>
          <w:color w:val="auto"/>
          <w:sz w:val="21"/>
          <w:szCs w:val="21"/>
          <w:highlight w:val="none"/>
        </w:rPr>
        <w:t>）</w:t>
      </w:r>
    </w:p>
    <w:p w14:paraId="1D6F7099">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410" w:firstLineChars="2100"/>
        <w:jc w:val="right"/>
        <w:textAlignment w:val="auto"/>
        <w:rPr>
          <w:rFonts w:hint="default" w:ascii="Times New Roman" w:hAnsi="Times New Roman" w:cs="Times New Roman" w:eastAsiaTheme="minorEastAsia"/>
          <w:color w:val="auto"/>
          <w:sz w:val="21"/>
          <w:szCs w:val="21"/>
          <w:highlight w:val="none"/>
          <w:u w:val="none"/>
          <w:lang w:val="en-US" w:eastAsia="zh-CN"/>
        </w:rPr>
      </w:pPr>
      <w:r>
        <w:rPr>
          <w:rFonts w:hint="default" w:ascii="Times New Roman" w:hAnsi="Times New Roman" w:cs="Times New Roman" w:eastAsiaTheme="minorEastAsia"/>
          <w:color w:val="auto"/>
          <w:sz w:val="21"/>
          <w:szCs w:val="21"/>
          <w:highlight w:val="none"/>
        </w:rPr>
        <w:t>日  期：</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年</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月</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日</w:t>
      </w:r>
    </w:p>
    <w:p w14:paraId="0C39A0DD">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bCs/>
          <w:color w:val="auto"/>
          <w:kern w:val="0"/>
          <w:sz w:val="21"/>
          <w:szCs w:val="21"/>
          <w:highlight w:val="none"/>
        </w:rPr>
      </w:pPr>
      <w:r>
        <w:rPr>
          <w:rFonts w:hint="default" w:ascii="Times New Roman" w:hAnsi="Times New Roman" w:cs="Times New Roman" w:eastAsiaTheme="minorEastAsia"/>
          <w:color w:val="auto"/>
          <w:sz w:val="21"/>
          <w:szCs w:val="21"/>
          <w:highlight w:val="none"/>
          <w:u w:val="none"/>
          <w:lang w:val="en-US" w:eastAsia="zh-CN"/>
        </w:rPr>
        <w:t>说明：供应商可自行选择是否提供本承诺函，若不提供本承诺函，应按</w:t>
      </w:r>
      <w:r>
        <w:rPr>
          <w:rFonts w:hint="default" w:ascii="Times New Roman" w:hAnsi="Times New Roman" w:cs="Times New Roman" w:eastAsiaTheme="minorEastAsia"/>
          <w:color w:val="auto"/>
          <w:sz w:val="21"/>
          <w:szCs w:val="21"/>
          <w:highlight w:val="none"/>
          <w:lang w:eastAsia="zh-CN"/>
        </w:rPr>
        <w:t>《中华人民共和国政府采购法》《中华人民共和国政府采购法实施条例》及采购文件资格要求提供相应的证明材料。</w:t>
      </w:r>
      <w:r>
        <w:rPr>
          <w:rFonts w:hint="default" w:ascii="Times New Roman" w:hAnsi="Times New Roman" w:cs="Times New Roman" w:eastAsiaTheme="minorEastAsia"/>
          <w:b/>
          <w:bCs/>
          <w:color w:val="auto"/>
          <w:kern w:val="0"/>
          <w:sz w:val="21"/>
          <w:szCs w:val="21"/>
          <w:highlight w:val="none"/>
        </w:rPr>
        <w:br w:type="page"/>
      </w:r>
    </w:p>
    <w:p w14:paraId="32D0CAC7">
      <w:pPr>
        <w:keepLines w:val="0"/>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kern w:val="0"/>
          <w:sz w:val="36"/>
          <w:szCs w:val="20"/>
          <w:highlight w:val="none"/>
        </w:rPr>
      </w:pPr>
      <w:bookmarkStart w:id="180" w:name="_Toc17758"/>
      <w:r>
        <w:rPr>
          <w:rFonts w:hint="default" w:ascii="Times New Roman" w:hAnsi="Times New Roman" w:cs="Times New Roman" w:eastAsiaTheme="minorEastAsia"/>
          <w:b/>
          <w:bCs/>
          <w:color w:val="auto"/>
          <w:kern w:val="0"/>
          <w:sz w:val="36"/>
          <w:szCs w:val="20"/>
          <w:highlight w:val="none"/>
        </w:rPr>
        <w:t>1.11中小企业声明函</w:t>
      </w:r>
      <w:bookmarkEnd w:id="180"/>
    </w:p>
    <w:p w14:paraId="044AC351">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中小企业声明函（所投产品制造商为中小企业时提交本函，所属行业应符合磋商文件中明确的本项目所属行业）</w:t>
      </w:r>
    </w:p>
    <w:p w14:paraId="15B0755E">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p>
    <w:p w14:paraId="2E6E5D26">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4"/>
          <w:szCs w:val="24"/>
          <w:highlight w:val="none"/>
        </w:rPr>
        <w:t>中小企业声明函（</w:t>
      </w:r>
      <w:r>
        <w:rPr>
          <w:rFonts w:hint="default" w:ascii="Times New Roman" w:hAnsi="Times New Roman" w:cs="Times New Roman" w:eastAsiaTheme="minorEastAsia"/>
          <w:b/>
          <w:color w:val="auto"/>
          <w:sz w:val="24"/>
          <w:szCs w:val="24"/>
          <w:highlight w:val="none"/>
          <w:lang w:eastAsia="zh-CN"/>
        </w:rPr>
        <w:t>服务</w:t>
      </w:r>
      <w:r>
        <w:rPr>
          <w:rFonts w:hint="default" w:ascii="Times New Roman" w:hAnsi="Times New Roman" w:cs="Times New Roman" w:eastAsiaTheme="minorEastAsia"/>
          <w:b/>
          <w:color w:val="auto"/>
          <w:sz w:val="24"/>
          <w:szCs w:val="24"/>
          <w:highlight w:val="none"/>
        </w:rPr>
        <w:t>）</w:t>
      </w:r>
    </w:p>
    <w:p w14:paraId="59AD7AC2">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shd w:val="clear" w:color="auto" w:fill="FFFFFF"/>
        </w:rPr>
        <w:t>本公司郑重声明，根据《政府采购促进中小企业发展管理行办法》（财库〔2020〕46号）的规定，本公司参加</w:t>
      </w:r>
      <w:r>
        <w:rPr>
          <w:rFonts w:hint="eastAsia" w:ascii="Times New Roman" w:hAnsi="Times New Roman" w:cs="Times New Roman"/>
          <w:color w:val="auto"/>
          <w:sz w:val="21"/>
          <w:szCs w:val="21"/>
          <w:highlight w:val="none"/>
          <w:u w:val="single"/>
          <w:shd w:val="clear" w:color="auto" w:fill="FFFFFF"/>
          <w:lang w:eastAsia="zh-CN"/>
        </w:rPr>
        <w:t>佛山市高明区人民法院</w:t>
      </w:r>
      <w:r>
        <w:rPr>
          <w:rFonts w:hint="default" w:ascii="Times New Roman" w:hAnsi="Times New Roman" w:cs="Times New Roman" w:eastAsiaTheme="minorEastAsia"/>
          <w:color w:val="auto"/>
          <w:sz w:val="21"/>
          <w:szCs w:val="21"/>
          <w:highlight w:val="none"/>
          <w:shd w:val="clear" w:color="auto" w:fill="FFFFFF"/>
        </w:rPr>
        <w:t>的</w:t>
      </w:r>
      <w:r>
        <w:rPr>
          <w:rFonts w:hint="eastAsia" w:ascii="Times New Roman" w:hAnsi="Times New Roman" w:cs="Times New Roman"/>
          <w:color w:val="auto"/>
          <w:sz w:val="21"/>
          <w:szCs w:val="21"/>
          <w:highlight w:val="none"/>
          <w:u w:val="single"/>
          <w:shd w:val="clear" w:color="auto" w:fill="FFFFFF"/>
          <w:lang w:val="en-IE" w:eastAsia="zh-CN"/>
        </w:rPr>
        <w:t>佛山市高明区人民法院执行案件集约化送达服务项目</w:t>
      </w:r>
      <w:r>
        <w:rPr>
          <w:rFonts w:hint="default" w:ascii="Times New Roman" w:hAnsi="Times New Roman" w:cs="Times New Roman" w:eastAsiaTheme="minorEastAsia"/>
          <w:color w:val="auto"/>
          <w:sz w:val="21"/>
          <w:szCs w:val="21"/>
          <w:highlight w:val="none"/>
        </w:rPr>
        <w:t>采购活动，服务全部由符合政策要求的中小企业承接。相关企业（含联合体中的中小企业、签订分包意向协议的中小企业）的具体情况如下：</w:t>
      </w:r>
    </w:p>
    <w:p w14:paraId="4CF0F683">
      <w:pPr>
        <w:pStyle w:val="10"/>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r>
        <w:rPr>
          <w:rFonts w:hint="eastAsia" w:ascii="Times New Roman" w:hAnsi="Times New Roman" w:cs="Times New Roman"/>
          <w:color w:val="auto"/>
          <w:sz w:val="21"/>
          <w:szCs w:val="21"/>
          <w:highlight w:val="none"/>
          <w:u w:val="single"/>
          <w:shd w:val="clear" w:color="auto" w:fill="FFFFFF"/>
          <w:lang w:val="en-IE" w:eastAsia="zh-CN"/>
        </w:rPr>
        <w:t>佛山市高明区人民法院执行案件集约化送达服务项目</w:t>
      </w:r>
      <w:r>
        <w:rPr>
          <w:rFonts w:hint="default" w:ascii="Times New Roman" w:hAnsi="Times New Roman" w:cs="Times New Roman" w:eastAsiaTheme="minorEastAsia"/>
          <w:color w:val="auto"/>
          <w:sz w:val="21"/>
          <w:szCs w:val="21"/>
          <w:highlight w:val="none"/>
        </w:rPr>
        <w:t>，属于</w:t>
      </w:r>
      <w:r>
        <w:rPr>
          <w:rFonts w:hint="eastAsia" w:ascii="Times New Roman" w:hAnsi="Times New Roman" w:cs="Times New Roman"/>
          <w:color w:val="auto"/>
          <w:sz w:val="21"/>
          <w:szCs w:val="21"/>
          <w:highlight w:val="none"/>
          <w:u w:val="single"/>
          <w:lang w:eastAsia="zh-CN"/>
        </w:rPr>
        <w:t>其他未列明行业</w:t>
      </w:r>
      <w:r>
        <w:rPr>
          <w:rFonts w:hint="default" w:ascii="Times New Roman" w:hAnsi="Times New Roman" w:cs="Times New Roman" w:eastAsiaTheme="minorEastAsia"/>
          <w:color w:val="auto"/>
          <w:sz w:val="21"/>
          <w:szCs w:val="21"/>
          <w:highlight w:val="none"/>
        </w:rPr>
        <w:t>；承接企业为</w:t>
      </w:r>
      <w:r>
        <w:rPr>
          <w:rFonts w:hint="default" w:ascii="Times New Roman" w:hAnsi="Times New Roman" w:cs="Times New Roman" w:eastAsiaTheme="minorEastAsia"/>
          <w:color w:val="auto"/>
          <w:sz w:val="21"/>
          <w:szCs w:val="21"/>
          <w:highlight w:val="none"/>
          <w:u w:val="single"/>
        </w:rPr>
        <w:t>（企业名称）</w:t>
      </w:r>
      <w:r>
        <w:rPr>
          <w:rFonts w:hint="default" w:ascii="Times New Roman" w:hAnsi="Times New Roman" w:cs="Times New Roman" w:eastAsiaTheme="minorEastAsia"/>
          <w:color w:val="auto"/>
          <w:sz w:val="21"/>
          <w:szCs w:val="21"/>
          <w:highlight w:val="none"/>
        </w:rPr>
        <w:t>，从业人员</w:t>
      </w:r>
      <w:r>
        <w:rPr>
          <w:rFonts w:hint="default" w:ascii="Times New Roman" w:hAnsi="Times New Roman" w:cs="Times New Roman" w:eastAsiaTheme="minorEastAsia"/>
          <w:color w:val="auto"/>
          <w:sz w:val="21"/>
          <w:szCs w:val="21"/>
          <w:highlight w:val="none"/>
          <w:u w:val="single"/>
          <w:lang w:val="en-US" w:eastAsia="zh-CN"/>
        </w:rPr>
        <w:t xml:space="preserve">   </w:t>
      </w:r>
      <w:r>
        <w:rPr>
          <w:rFonts w:hint="default" w:ascii="Times New Roman" w:hAnsi="Times New Roman" w:cs="Times New Roman" w:eastAsiaTheme="minorEastAsia"/>
          <w:color w:val="auto"/>
          <w:sz w:val="21"/>
          <w:szCs w:val="21"/>
          <w:highlight w:val="none"/>
        </w:rPr>
        <w:t>人，营业收入为</w:t>
      </w:r>
      <w:r>
        <w:rPr>
          <w:rFonts w:hint="default" w:ascii="Times New Roman" w:hAnsi="Times New Roman" w:cs="Times New Roman" w:eastAsiaTheme="minorEastAsia"/>
          <w:color w:val="auto"/>
          <w:sz w:val="21"/>
          <w:szCs w:val="21"/>
          <w:highlight w:val="none"/>
          <w:u w:val="single"/>
          <w:lang w:val="en-US" w:eastAsia="zh-CN"/>
        </w:rPr>
        <w:t xml:space="preserve">   </w:t>
      </w:r>
      <w:r>
        <w:rPr>
          <w:rFonts w:hint="default" w:ascii="Times New Roman" w:hAnsi="Times New Roman" w:cs="Times New Roman" w:eastAsiaTheme="minorEastAsia"/>
          <w:color w:val="auto"/>
          <w:sz w:val="21"/>
          <w:szCs w:val="21"/>
          <w:highlight w:val="none"/>
        </w:rPr>
        <w:t>万元，资产总额为</w:t>
      </w:r>
      <w:r>
        <w:rPr>
          <w:rFonts w:hint="default" w:ascii="Times New Roman" w:hAnsi="Times New Roman" w:cs="Times New Roman" w:eastAsiaTheme="minorEastAsia"/>
          <w:color w:val="auto"/>
          <w:sz w:val="21"/>
          <w:szCs w:val="21"/>
          <w:highlight w:val="none"/>
          <w:u w:val="single"/>
          <w:lang w:val="en-US" w:eastAsia="zh-CN"/>
        </w:rPr>
        <w:t xml:space="preserve">   </w:t>
      </w:r>
      <w:r>
        <w:rPr>
          <w:rFonts w:hint="default" w:ascii="Times New Roman" w:hAnsi="Times New Roman" w:cs="Times New Roman" w:eastAsiaTheme="minorEastAsia"/>
          <w:color w:val="auto"/>
          <w:sz w:val="21"/>
          <w:szCs w:val="21"/>
          <w:highlight w:val="none"/>
        </w:rPr>
        <w:t>万元，属于</w:t>
      </w:r>
      <w:r>
        <w:rPr>
          <w:rFonts w:hint="default" w:ascii="Times New Roman" w:hAnsi="Times New Roman" w:cs="Times New Roman" w:eastAsiaTheme="minorEastAsia"/>
          <w:color w:val="auto"/>
          <w:sz w:val="21"/>
          <w:szCs w:val="21"/>
          <w:highlight w:val="none"/>
          <w:u w:val="single"/>
        </w:rPr>
        <w:t>(中型企业、小型企业、微型企业）</w:t>
      </w:r>
      <w:r>
        <w:rPr>
          <w:rFonts w:hint="default" w:ascii="Times New Roman" w:hAnsi="Times New Roman" w:cs="Times New Roman" w:eastAsiaTheme="minorEastAsia"/>
          <w:color w:val="auto"/>
          <w:sz w:val="21"/>
          <w:szCs w:val="21"/>
          <w:highlight w:val="none"/>
        </w:rPr>
        <w:t>；</w:t>
      </w:r>
    </w:p>
    <w:p w14:paraId="1793E651">
      <w:pPr>
        <w:pStyle w:val="10"/>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w:t>
      </w:r>
      <w:r>
        <w:rPr>
          <w:rFonts w:hint="default" w:ascii="Times New Roman" w:hAnsi="Times New Roman" w:cs="Times New Roman" w:eastAsiaTheme="minorEastAsia"/>
          <w:color w:val="auto"/>
          <w:sz w:val="21"/>
          <w:szCs w:val="21"/>
          <w:highlight w:val="none"/>
          <w:u w:val="single"/>
          <w:shd w:val="clear" w:color="auto" w:fill="FFFFFF"/>
          <w:lang w:eastAsia="zh-CN"/>
        </w:rPr>
        <w:t>（</w:t>
      </w:r>
      <w:r>
        <w:rPr>
          <w:rFonts w:hint="default" w:ascii="Times New Roman" w:hAnsi="Times New Roman" w:cs="Times New Roman" w:eastAsiaTheme="minorEastAsia"/>
          <w:color w:val="auto"/>
          <w:sz w:val="21"/>
          <w:szCs w:val="21"/>
          <w:highlight w:val="none"/>
          <w:u w:val="single"/>
          <w:shd w:val="clear" w:color="auto" w:fill="FFFFFF"/>
          <w:lang w:val="en-US" w:eastAsia="zh-CN"/>
        </w:rPr>
        <w:t>标的名称）</w:t>
      </w:r>
      <w:r>
        <w:rPr>
          <w:rFonts w:hint="default" w:ascii="Times New Roman" w:hAnsi="Times New Roman" w:cs="Times New Roman" w:eastAsiaTheme="minorEastAsia"/>
          <w:color w:val="auto"/>
          <w:sz w:val="21"/>
          <w:szCs w:val="21"/>
          <w:highlight w:val="none"/>
        </w:rPr>
        <w:t>，属于</w:t>
      </w:r>
      <w:r>
        <w:rPr>
          <w:rFonts w:hint="default" w:ascii="Times New Roman" w:hAnsi="Times New Roman" w:cs="Times New Roman" w:eastAsiaTheme="minorEastAsia"/>
          <w:color w:val="auto"/>
          <w:sz w:val="21"/>
          <w:szCs w:val="21"/>
          <w:highlight w:val="none"/>
          <w:u w:val="single"/>
          <w:lang w:eastAsia="zh-CN"/>
        </w:rPr>
        <w:t>（</w:t>
      </w:r>
      <w:r>
        <w:rPr>
          <w:rFonts w:hint="default" w:ascii="Times New Roman" w:hAnsi="Times New Roman" w:cs="Times New Roman" w:eastAsiaTheme="minorEastAsia"/>
          <w:color w:val="auto"/>
          <w:sz w:val="21"/>
          <w:szCs w:val="21"/>
          <w:highlight w:val="none"/>
          <w:u w:val="single"/>
          <w:lang w:val="en-US" w:eastAsia="zh-CN"/>
        </w:rPr>
        <w:t>按磋商文件中所属行业填写</w:t>
      </w:r>
      <w:r>
        <w:rPr>
          <w:rFonts w:hint="default" w:ascii="Times New Roman" w:hAnsi="Times New Roman" w:cs="Times New Roman" w:eastAsiaTheme="minorEastAsia"/>
          <w:color w:val="auto"/>
          <w:sz w:val="21"/>
          <w:szCs w:val="21"/>
          <w:highlight w:val="none"/>
          <w:u w:val="single"/>
          <w:lang w:eastAsia="zh-CN"/>
        </w:rPr>
        <w:t>）</w:t>
      </w:r>
      <w:r>
        <w:rPr>
          <w:rFonts w:hint="default" w:ascii="Times New Roman" w:hAnsi="Times New Roman" w:cs="Times New Roman" w:eastAsiaTheme="minorEastAsia"/>
          <w:color w:val="auto"/>
          <w:sz w:val="21"/>
          <w:szCs w:val="21"/>
          <w:highlight w:val="none"/>
        </w:rPr>
        <w:t>；承接企业为</w:t>
      </w:r>
      <w:r>
        <w:rPr>
          <w:rFonts w:hint="default" w:ascii="Times New Roman" w:hAnsi="Times New Roman" w:cs="Times New Roman" w:eastAsiaTheme="minorEastAsia"/>
          <w:color w:val="auto"/>
          <w:sz w:val="21"/>
          <w:szCs w:val="21"/>
          <w:highlight w:val="none"/>
          <w:u w:val="single"/>
        </w:rPr>
        <w:t>（企业名称）</w:t>
      </w:r>
      <w:r>
        <w:rPr>
          <w:rFonts w:hint="default" w:ascii="Times New Roman" w:hAnsi="Times New Roman" w:cs="Times New Roman" w:eastAsiaTheme="minorEastAsia"/>
          <w:color w:val="auto"/>
          <w:sz w:val="21"/>
          <w:szCs w:val="21"/>
          <w:highlight w:val="none"/>
        </w:rPr>
        <w:t>，从业人员</w:t>
      </w:r>
      <w:r>
        <w:rPr>
          <w:rFonts w:hint="default" w:ascii="Times New Roman" w:hAnsi="Times New Roman" w:cs="Times New Roman" w:eastAsiaTheme="minorEastAsia"/>
          <w:color w:val="auto"/>
          <w:sz w:val="21"/>
          <w:szCs w:val="21"/>
          <w:highlight w:val="none"/>
          <w:u w:val="single"/>
          <w:lang w:val="en-US" w:eastAsia="zh-CN"/>
        </w:rPr>
        <w:t xml:space="preserve">   </w:t>
      </w:r>
      <w:r>
        <w:rPr>
          <w:rFonts w:hint="default" w:ascii="Times New Roman" w:hAnsi="Times New Roman" w:cs="Times New Roman" w:eastAsiaTheme="minorEastAsia"/>
          <w:color w:val="auto"/>
          <w:sz w:val="21"/>
          <w:szCs w:val="21"/>
          <w:highlight w:val="none"/>
        </w:rPr>
        <w:t>人，营业收入为</w:t>
      </w:r>
      <w:r>
        <w:rPr>
          <w:rFonts w:hint="default" w:ascii="Times New Roman" w:hAnsi="Times New Roman" w:cs="Times New Roman" w:eastAsiaTheme="minorEastAsia"/>
          <w:color w:val="auto"/>
          <w:sz w:val="21"/>
          <w:szCs w:val="21"/>
          <w:highlight w:val="none"/>
          <w:u w:val="single"/>
          <w:lang w:val="en-US" w:eastAsia="zh-CN"/>
        </w:rPr>
        <w:t xml:space="preserve">    万</w:t>
      </w:r>
      <w:r>
        <w:rPr>
          <w:rFonts w:hint="default" w:ascii="Times New Roman" w:hAnsi="Times New Roman" w:cs="Times New Roman" w:eastAsiaTheme="minorEastAsia"/>
          <w:color w:val="auto"/>
          <w:sz w:val="21"/>
          <w:szCs w:val="21"/>
          <w:highlight w:val="none"/>
        </w:rPr>
        <w:t>元，资产总额为</w:t>
      </w:r>
      <w:r>
        <w:rPr>
          <w:rFonts w:hint="default" w:ascii="Times New Roman" w:hAnsi="Times New Roman" w:cs="Times New Roman" w:eastAsiaTheme="minorEastAsia"/>
          <w:color w:val="auto"/>
          <w:sz w:val="21"/>
          <w:szCs w:val="21"/>
          <w:highlight w:val="none"/>
          <w:u w:val="single"/>
          <w:lang w:val="en-US" w:eastAsia="zh-CN"/>
        </w:rPr>
        <w:t xml:space="preserve">   </w:t>
      </w:r>
      <w:r>
        <w:rPr>
          <w:rFonts w:hint="default" w:ascii="Times New Roman" w:hAnsi="Times New Roman" w:cs="Times New Roman" w:eastAsiaTheme="minorEastAsia"/>
          <w:color w:val="auto"/>
          <w:sz w:val="21"/>
          <w:szCs w:val="21"/>
          <w:highlight w:val="none"/>
        </w:rPr>
        <w:t>万元，属于</w:t>
      </w:r>
      <w:r>
        <w:rPr>
          <w:rFonts w:hint="default" w:ascii="Times New Roman" w:hAnsi="Times New Roman" w:cs="Times New Roman" w:eastAsiaTheme="minorEastAsia"/>
          <w:color w:val="auto"/>
          <w:sz w:val="21"/>
          <w:szCs w:val="21"/>
          <w:highlight w:val="none"/>
          <w:u w:val="single"/>
        </w:rPr>
        <w:t>(中型企业、小型企业、微型企业）</w:t>
      </w:r>
      <w:r>
        <w:rPr>
          <w:rFonts w:hint="default" w:ascii="Times New Roman" w:hAnsi="Times New Roman" w:cs="Times New Roman" w:eastAsiaTheme="minorEastAsia"/>
          <w:color w:val="auto"/>
          <w:sz w:val="21"/>
          <w:szCs w:val="21"/>
          <w:highlight w:val="none"/>
        </w:rPr>
        <w:t>；</w:t>
      </w:r>
    </w:p>
    <w:p w14:paraId="0E51114A">
      <w:pPr>
        <w:pStyle w:val="10"/>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p w14:paraId="79139FCA">
      <w:pPr>
        <w:pStyle w:val="10"/>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以上企业，不属于大企业的分支机构，不存在控股股东为大企业的情形，也不存在与大企业负责人为同一人的情形。</w:t>
      </w:r>
    </w:p>
    <w:p w14:paraId="758179C5">
      <w:pPr>
        <w:pStyle w:val="10"/>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本企业对上述声明函的真实性负责。如有虚假，将依法承担相应责任。</w:t>
      </w:r>
    </w:p>
    <w:p w14:paraId="6D25CD6E">
      <w:pPr>
        <w:keepNext w:val="0"/>
        <w:keepLines w:val="0"/>
        <w:pageBreakBefore w:val="0"/>
        <w:widowControl w:val="0"/>
        <w:tabs>
          <w:tab w:val="left" w:pos="-3780"/>
        </w:tabs>
        <w:kinsoku/>
        <w:wordWrap/>
        <w:overflowPunct/>
        <w:topLinePunct w:val="0"/>
        <w:autoSpaceDE/>
        <w:autoSpaceDN/>
        <w:bidi w:val="0"/>
        <w:adjustRightInd/>
        <w:snapToGrid/>
        <w:spacing w:beforeAutospacing="0" w:afterAutospacing="0" w:line="440" w:lineRule="atLeast"/>
        <w:ind w:left="0" w:leftChars="0" w:right="0" w:rightChars="0" w:firstLine="422" w:firstLineChars="200"/>
        <w:textAlignment w:val="auto"/>
        <w:rPr>
          <w:rFonts w:hint="default" w:ascii="Times New Roman" w:hAnsi="Times New Roman" w:cs="Times New Roman" w:eastAsiaTheme="minorEastAsia"/>
          <w:b/>
          <w:color w:val="auto"/>
          <w:sz w:val="21"/>
          <w:szCs w:val="21"/>
          <w:highlight w:val="none"/>
        </w:rPr>
      </w:pPr>
    </w:p>
    <w:p w14:paraId="41DBD44E">
      <w:pPr>
        <w:keepNext w:val="0"/>
        <w:keepLines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jc w:val="righ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供应商名称：</w:t>
      </w:r>
      <w:r>
        <w:rPr>
          <w:rFonts w:hint="default" w:ascii="Times New Roman" w:hAnsi="Times New Roman" w:cs="Times New Roman" w:eastAsiaTheme="minorEastAsia"/>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eastAsia="zh-CN"/>
        </w:rPr>
        <w:t>单位名称</w:t>
      </w:r>
      <w:r>
        <w:rPr>
          <w:rFonts w:hint="default" w:ascii="Times New Roman" w:hAnsi="Times New Roman" w:cs="Times New Roman" w:eastAsiaTheme="minorEastAsia"/>
          <w:color w:val="auto"/>
          <w:sz w:val="21"/>
          <w:szCs w:val="21"/>
          <w:highlight w:val="none"/>
          <w:u w:val="single"/>
        </w:rPr>
        <w:t xml:space="preserve">全称）                </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lang w:val="zh-CN"/>
        </w:rPr>
        <w:t>加盖供应商公章</w:t>
      </w:r>
      <w:r>
        <w:rPr>
          <w:rFonts w:hint="default" w:ascii="Times New Roman" w:hAnsi="Times New Roman" w:cs="Times New Roman" w:eastAsiaTheme="minorEastAsia"/>
          <w:color w:val="auto"/>
          <w:sz w:val="21"/>
          <w:szCs w:val="21"/>
          <w:highlight w:val="none"/>
        </w:rPr>
        <w:t>）</w:t>
      </w:r>
    </w:p>
    <w:p w14:paraId="7A4397DB">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right"/>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日期：</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年</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月</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日</w:t>
      </w:r>
    </w:p>
    <w:p w14:paraId="5D0ABF57">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b w:val="0"/>
          <w:bCs/>
          <w:color w:val="auto"/>
          <w:sz w:val="28"/>
          <w:szCs w:val="28"/>
          <w:highlight w:val="none"/>
        </w:rPr>
      </w:pPr>
    </w:p>
    <w:p w14:paraId="63A23C68">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default" w:ascii="Times New Roman" w:hAnsi="Times New Roman" w:cs="Times New Roman" w:eastAsiaTheme="minorEastAsia"/>
          <w:color w:val="auto"/>
          <w:sz w:val="28"/>
          <w:szCs w:val="28"/>
          <w:highlight w:val="none"/>
        </w:rPr>
      </w:pPr>
    </w:p>
    <w:p w14:paraId="36530F4E">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从业人员、营业收入、资产总额填报上一年度数据，无上一年度数据的新成立企业可不填报。</w:t>
      </w:r>
    </w:p>
    <w:p w14:paraId="6EC1960E">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440" w:lineRule="atLeast"/>
        <w:ind w:left="525" w:leftChars="0" w:right="0" w:rightChars="0" w:hanging="525" w:hangingChars="250"/>
        <w:textAlignment w:val="auto"/>
        <w:rPr>
          <w:rFonts w:hint="default" w:ascii="Times New Roman" w:hAnsi="Times New Roman" w:cs="Times New Roman" w:eastAsiaTheme="minorEastAsia"/>
          <w:b/>
          <w:color w:val="auto"/>
          <w:sz w:val="21"/>
          <w:szCs w:val="21"/>
          <w:highlight w:val="none"/>
          <w:lang w:val="en-GB"/>
        </w:rPr>
      </w:pPr>
      <w:r>
        <w:rPr>
          <w:rFonts w:hint="default" w:ascii="Times New Roman" w:hAnsi="Times New Roman" w:cs="Times New Roman" w:eastAsiaTheme="minorEastAsia"/>
          <w:color w:val="auto"/>
          <w:sz w:val="21"/>
          <w:szCs w:val="21"/>
          <w:highlight w:val="none"/>
        </w:rPr>
        <w:t>2</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3510D2D8">
      <w:pPr>
        <w:pStyle w:val="2"/>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1"/>
          <w:szCs w:val="21"/>
          <w:highlight w:val="none"/>
          <w:lang w:val="en-GB"/>
        </w:rPr>
      </w:pPr>
    </w:p>
    <w:p w14:paraId="5BF2D155">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kern w:val="0"/>
          <w:sz w:val="36"/>
          <w:szCs w:val="20"/>
          <w:highlight w:val="none"/>
        </w:rPr>
      </w:pPr>
      <w:r>
        <w:rPr>
          <w:rFonts w:hint="default" w:ascii="Times New Roman" w:hAnsi="Times New Roman" w:cs="Times New Roman" w:eastAsiaTheme="minorEastAsia"/>
          <w:color w:val="auto"/>
          <w:sz w:val="21"/>
          <w:szCs w:val="21"/>
          <w:highlight w:val="none"/>
        </w:rPr>
        <w:br w:type="page"/>
      </w:r>
      <w:r>
        <w:rPr>
          <w:rFonts w:hint="default" w:ascii="Times New Roman" w:hAnsi="Times New Roman" w:cs="Times New Roman" w:eastAsiaTheme="minorEastAsia"/>
          <w:b/>
          <w:bCs/>
          <w:color w:val="auto"/>
          <w:kern w:val="0"/>
          <w:sz w:val="36"/>
          <w:szCs w:val="20"/>
          <w:highlight w:val="none"/>
        </w:rPr>
        <w:t>残疾人福利性单位声明函（如有）</w:t>
      </w:r>
    </w:p>
    <w:p w14:paraId="0DA099C1">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kern w:val="0"/>
          <w:sz w:val="36"/>
          <w:szCs w:val="20"/>
          <w:highlight w:val="none"/>
        </w:rPr>
      </w:pPr>
    </w:p>
    <w:p w14:paraId="57B485B9">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309FF664">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p>
    <w:p w14:paraId="76C3F391">
      <w:pPr>
        <w:keepNext w:val="0"/>
        <w:keepLines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jc w:val="righ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供应商名称：</w:t>
      </w:r>
      <w:r>
        <w:rPr>
          <w:rFonts w:hint="default" w:ascii="Times New Roman" w:hAnsi="Times New Roman" w:cs="Times New Roman" w:eastAsiaTheme="minorEastAsia"/>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eastAsia="zh-CN"/>
        </w:rPr>
        <w:t>单位名称</w:t>
      </w:r>
      <w:r>
        <w:rPr>
          <w:rFonts w:hint="default" w:ascii="Times New Roman" w:hAnsi="Times New Roman" w:cs="Times New Roman" w:eastAsiaTheme="minorEastAsia"/>
          <w:color w:val="auto"/>
          <w:sz w:val="21"/>
          <w:szCs w:val="21"/>
          <w:highlight w:val="none"/>
          <w:u w:val="single"/>
        </w:rPr>
        <w:t xml:space="preserve">全称）                </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lang w:val="zh-CN"/>
        </w:rPr>
        <w:t>加盖供应商公章</w:t>
      </w:r>
      <w:r>
        <w:rPr>
          <w:rFonts w:hint="default" w:ascii="Times New Roman" w:hAnsi="Times New Roman" w:cs="Times New Roman" w:eastAsiaTheme="minorEastAsia"/>
          <w:color w:val="auto"/>
          <w:sz w:val="21"/>
          <w:szCs w:val="21"/>
          <w:highlight w:val="none"/>
        </w:rPr>
        <w:t>）</w:t>
      </w:r>
    </w:p>
    <w:p w14:paraId="2D5E4A9A">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right"/>
        <w:textAlignment w:val="auto"/>
        <w:rPr>
          <w:rFonts w:hint="default" w:ascii="Times New Roman" w:hAnsi="Times New Roman" w:cs="Times New Roman" w:eastAsiaTheme="minorEastAsia"/>
          <w:color w:val="auto"/>
          <w:sz w:val="21"/>
          <w:szCs w:val="21"/>
          <w:highlight w:val="none"/>
          <w:u w:val="single"/>
        </w:rPr>
      </w:pPr>
      <w:r>
        <w:rPr>
          <w:rFonts w:hint="default" w:ascii="Times New Roman" w:hAnsi="Times New Roman" w:cs="Times New Roman" w:eastAsiaTheme="minorEastAsia"/>
          <w:b w:val="0"/>
          <w:bCs/>
          <w:color w:val="auto"/>
          <w:sz w:val="21"/>
          <w:szCs w:val="21"/>
          <w:highlight w:val="none"/>
        </w:rPr>
        <w:t>日期：</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年</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月</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日</w:t>
      </w:r>
    </w:p>
    <w:p w14:paraId="7F2A9307">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sz w:val="21"/>
          <w:szCs w:val="21"/>
          <w:highlight w:val="none"/>
        </w:rPr>
      </w:pPr>
    </w:p>
    <w:p w14:paraId="4D6CC34A">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sz w:val="21"/>
          <w:szCs w:val="21"/>
          <w:highlight w:val="none"/>
        </w:rPr>
      </w:pPr>
    </w:p>
    <w:p w14:paraId="46C80D09">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注：享受政府采购支持政策的残疾人福利性单位应当同时满足以下条件：</w:t>
      </w:r>
    </w:p>
    <w:p w14:paraId="357CB00F">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（一）安置的残疾人占本单位在职职工人数的比例不低于25%（含25%），并且安置的残疾人人数不少于10 人（含10 人）；</w:t>
      </w:r>
    </w:p>
    <w:p w14:paraId="1AB547A2">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（二）依法与安置的每位残疾人签订了一年以上（含一年）的劳动合同或服务协议；</w:t>
      </w:r>
    </w:p>
    <w:p w14:paraId="09A937A7">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（三）为安置的每位残疾人按月足额缴纳了基本养老保险、基本医疗保险、失业保险、工伤保险和生育保险等社会保险费；</w:t>
      </w:r>
    </w:p>
    <w:p w14:paraId="54F4233A">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（四）通过银行等金融机构向安置的每位残疾人，按月支付了不低于单位所在区县适用的经省级人民政府批准的月最低工资标准的工资；</w:t>
      </w:r>
    </w:p>
    <w:p w14:paraId="38BAF5BD">
      <w:pPr>
        <w:keepLines w:val="0"/>
        <w:kinsoku/>
        <w:wordWrap/>
        <w:overflowPunct/>
        <w:topLinePunct w:val="0"/>
        <w:bidi w:val="0"/>
        <w:spacing w:beforeAutospacing="0" w:afterAutospacing="0" w:line="440" w:lineRule="atLeast"/>
        <w:ind w:left="0" w:leftChars="0" w:right="0" w:rightChars="0" w:firstLine="420" w:firstLineChars="200"/>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701004C6">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残疾人福利性单位声明函》，并对声明的真实性负责。</w:t>
      </w:r>
    </w:p>
    <w:p w14:paraId="1445A452">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szCs w:val="21"/>
          <w:highlight w:val="none"/>
        </w:rPr>
      </w:pPr>
    </w:p>
    <w:p w14:paraId="5C439E66">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kern w:val="0"/>
          <w:sz w:val="36"/>
          <w:szCs w:val="20"/>
          <w:highlight w:val="none"/>
        </w:rPr>
      </w:pPr>
    </w:p>
    <w:p w14:paraId="1B6F44ED">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kern w:val="0"/>
          <w:sz w:val="32"/>
          <w:szCs w:val="32"/>
          <w:highlight w:val="none"/>
        </w:rPr>
      </w:pPr>
      <w:r>
        <w:rPr>
          <w:rFonts w:hint="default" w:ascii="Times New Roman" w:hAnsi="Times New Roman" w:cs="Times New Roman" w:eastAsiaTheme="minorEastAsia"/>
          <w:b/>
          <w:bCs/>
          <w:color w:val="auto"/>
          <w:kern w:val="0"/>
          <w:sz w:val="32"/>
          <w:szCs w:val="32"/>
          <w:highlight w:val="none"/>
        </w:rPr>
        <w:t>监狱企业的证明文件（如有）</w:t>
      </w:r>
    </w:p>
    <w:p w14:paraId="021CBE7D">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kern w:val="0"/>
          <w:sz w:val="21"/>
          <w:szCs w:val="21"/>
          <w:highlight w:val="none"/>
        </w:rPr>
      </w:pPr>
    </w:p>
    <w:p w14:paraId="5C08103C">
      <w:pPr>
        <w:pStyle w:val="42"/>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说明：监狱企业参加政府采购活动时，应当提供由省级以上监狱管理局、戒毒管理局（含新疆生产建设兵团）出具的属于监狱企业的证明文件，并加盖投标单位公章。</w:t>
      </w:r>
    </w:p>
    <w:p w14:paraId="21B84821">
      <w:pPr>
        <w:pStyle w:val="42"/>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1"/>
          <w:szCs w:val="21"/>
          <w:highlight w:val="none"/>
        </w:rPr>
        <w:sectPr>
          <w:pgSz w:w="11906" w:h="16838"/>
          <w:pgMar w:top="1134" w:right="1134" w:bottom="1134" w:left="1587" w:header="567" w:footer="737" w:gutter="0"/>
          <w:pgBorders>
            <w:top w:val="none" w:sz="0" w:space="0"/>
            <w:left w:val="none" w:sz="0" w:space="0"/>
            <w:bottom w:val="none" w:sz="0" w:space="0"/>
            <w:right w:val="none" w:sz="0" w:space="0"/>
          </w:pgBorders>
          <w:pgNumType w:fmt="decimal"/>
          <w:cols w:space="720" w:num="1"/>
          <w:docGrid w:linePitch="312" w:charSpace="0"/>
        </w:sectPr>
      </w:pPr>
    </w:p>
    <w:p w14:paraId="37F5E684">
      <w:pPr>
        <w:keepLines w:val="0"/>
        <w:pageBreakBefore/>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sz w:val="36"/>
          <w:szCs w:val="36"/>
          <w:highlight w:val="none"/>
        </w:rPr>
      </w:pPr>
      <w:bookmarkStart w:id="181" w:name="_Toc7378"/>
      <w:bookmarkStart w:id="182" w:name="_Toc8977"/>
      <w:bookmarkStart w:id="183" w:name="_Toc5841"/>
      <w:bookmarkStart w:id="184" w:name="_Toc438547164"/>
      <w:bookmarkStart w:id="185" w:name="_Toc6410"/>
      <w:r>
        <w:rPr>
          <w:rFonts w:hint="default" w:ascii="Times New Roman" w:hAnsi="Times New Roman" w:cs="Times New Roman" w:eastAsiaTheme="minorEastAsia"/>
          <w:b/>
          <w:bCs/>
          <w:color w:val="auto"/>
          <w:sz w:val="36"/>
          <w:szCs w:val="36"/>
          <w:highlight w:val="none"/>
          <w:lang w:val="en-US" w:eastAsia="zh-CN"/>
        </w:rPr>
        <w:t>1.12</w:t>
      </w:r>
      <w:r>
        <w:rPr>
          <w:rFonts w:hint="default" w:ascii="Times New Roman" w:hAnsi="Times New Roman" w:cs="Times New Roman" w:eastAsiaTheme="minorEastAsia"/>
          <w:b/>
          <w:bCs/>
          <w:color w:val="auto"/>
          <w:sz w:val="36"/>
          <w:szCs w:val="36"/>
          <w:highlight w:val="none"/>
        </w:rPr>
        <w:t>其他证明材料</w:t>
      </w:r>
      <w:bookmarkEnd w:id="181"/>
      <w:bookmarkEnd w:id="182"/>
      <w:bookmarkEnd w:id="183"/>
      <w:bookmarkEnd w:id="184"/>
      <w:bookmarkEnd w:id="185"/>
    </w:p>
    <w:p w14:paraId="0358C522">
      <w:pPr>
        <w:keepLines w:val="0"/>
        <w:numPr>
          <w:ilvl w:val="0"/>
          <w:numId w:val="9"/>
        </w:numPr>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投标人未被列入“信用中国”网站(www.creditchina.gov.cn)“失信被执行人”记录名单；未处于中国政府采购网(www.ccgp.gov.cn)“政府采购严重违法失信行为记录名单”中的禁止参加政府采购活动期间。（以投标截止日当天在“信用中国”网站（www.creditchina.gov.cn）及中国政府采购网(www.ccgp.gov.cn)查询结果为准，如相关失信记录已失效，投标人需提供相关证明资料。）</w:t>
      </w:r>
    </w:p>
    <w:p w14:paraId="3ED21AE7">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val="0"/>
          <w:bCs/>
          <w:color w:val="auto"/>
          <w:sz w:val="21"/>
          <w:szCs w:val="21"/>
          <w:highlight w:val="none"/>
        </w:rPr>
      </w:pPr>
      <w:r>
        <w:rPr>
          <w:rFonts w:hint="eastAsia" w:ascii="Times New Roman" w:hAnsi="Times New Roman" w:cs="Times New Roman"/>
          <w:bCs/>
          <w:color w:val="auto"/>
          <w:sz w:val="21"/>
          <w:szCs w:val="21"/>
          <w:highlight w:val="none"/>
          <w:lang w:val="en-US" w:eastAsia="zh-CN"/>
        </w:rPr>
        <w:t>2、</w:t>
      </w:r>
      <w:r>
        <w:rPr>
          <w:rFonts w:hint="default" w:ascii="Times New Roman" w:hAnsi="Times New Roman" w:cs="Times New Roman" w:eastAsiaTheme="minorEastAsia"/>
          <w:b w:val="0"/>
          <w:bCs/>
          <w:color w:val="auto"/>
          <w:sz w:val="21"/>
          <w:szCs w:val="21"/>
          <w:highlight w:val="none"/>
        </w:rPr>
        <w:t>供应商认为有必要提供的其他文件材料。</w:t>
      </w:r>
    </w:p>
    <w:bookmarkEnd w:id="148"/>
    <w:p w14:paraId="6B1997AD">
      <w:pPr>
        <w:pStyle w:val="4"/>
        <w:keepLines w:val="0"/>
        <w:pageBreakBefore/>
        <w:kinsoku/>
        <w:wordWrap/>
        <w:overflowPunct/>
        <w:topLinePunct w:val="0"/>
        <w:bidi w:val="0"/>
        <w:spacing w:beforeAutospacing="0" w:afterAutospacing="0" w:line="440" w:lineRule="atLeast"/>
        <w:ind w:left="0" w:leftChars="0" w:right="0" w:rightChars="0"/>
        <w:outlineLvl w:val="0"/>
        <w:rPr>
          <w:rFonts w:hint="default" w:ascii="Times New Roman" w:hAnsi="Times New Roman" w:cs="Times New Roman" w:eastAsiaTheme="minorEastAsia"/>
          <w:b/>
          <w:bCs w:val="0"/>
          <w:color w:val="auto"/>
          <w:sz w:val="36"/>
          <w:szCs w:val="36"/>
          <w:highlight w:val="none"/>
        </w:rPr>
        <w:sectPr>
          <w:pgSz w:w="11906" w:h="16838"/>
          <w:pgMar w:top="1134" w:right="1134" w:bottom="1134" w:left="1587" w:header="567" w:footer="737" w:gutter="0"/>
          <w:pgBorders>
            <w:top w:val="none" w:sz="0" w:space="0"/>
            <w:left w:val="none" w:sz="0" w:space="0"/>
            <w:bottom w:val="none" w:sz="0" w:space="0"/>
            <w:right w:val="none" w:sz="0" w:space="0"/>
          </w:pgBorders>
          <w:pgNumType w:fmt="decimal"/>
          <w:cols w:space="720" w:num="1"/>
          <w:docGrid w:linePitch="312" w:charSpace="0"/>
        </w:sectPr>
      </w:pPr>
      <w:bookmarkStart w:id="186" w:name="_Toc31284"/>
      <w:bookmarkStart w:id="187" w:name="_Toc240108117"/>
      <w:bookmarkStart w:id="188" w:name="_Toc259803670"/>
      <w:bookmarkStart w:id="189" w:name="_Toc28454"/>
      <w:bookmarkStart w:id="190" w:name="_Toc9610"/>
      <w:bookmarkStart w:id="191" w:name="_Toc419106572"/>
      <w:bookmarkStart w:id="192" w:name="_Toc24232"/>
      <w:r>
        <w:rPr>
          <w:rFonts w:hint="default" w:ascii="Times New Roman" w:hAnsi="Times New Roman" w:cs="Times New Roman" w:eastAsiaTheme="minorEastAsia"/>
          <w:b/>
          <w:bCs w:val="0"/>
          <w:color w:val="auto"/>
          <w:sz w:val="36"/>
          <w:szCs w:val="36"/>
          <w:highlight w:val="none"/>
        </w:rPr>
        <w:t>第二章  评审内容索引</w:t>
      </w:r>
      <w:bookmarkEnd w:id="186"/>
      <w:bookmarkEnd w:id="187"/>
      <w:bookmarkEnd w:id="188"/>
      <w:bookmarkEnd w:id="189"/>
      <w:bookmarkEnd w:id="190"/>
      <w:bookmarkEnd w:id="191"/>
      <w:bookmarkEnd w:id="192"/>
    </w:p>
    <w:p w14:paraId="5674F94E">
      <w:pPr>
        <w:keepLines w:val="0"/>
        <w:pageBreakBefore/>
        <w:numPr>
          <w:ilvl w:val="0"/>
          <w:numId w:val="10"/>
        </w:numPr>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sz w:val="36"/>
          <w:szCs w:val="36"/>
          <w:highlight w:val="none"/>
          <w:lang w:val="en-US"/>
        </w:rPr>
      </w:pPr>
      <w:bookmarkStart w:id="193" w:name="_评审内容索引表"/>
      <w:bookmarkEnd w:id="193"/>
      <w:bookmarkStart w:id="194" w:name="_Toc24428"/>
      <w:bookmarkStart w:id="195" w:name="_Toc3608"/>
      <w:bookmarkStart w:id="196" w:name="_Toc28098"/>
      <w:bookmarkStart w:id="197" w:name="_Toc28520"/>
      <w:bookmarkStart w:id="198" w:name="_Toc419106573"/>
      <w:r>
        <w:rPr>
          <w:rFonts w:hint="default" w:ascii="Times New Roman" w:hAnsi="Times New Roman" w:cs="Times New Roman" w:eastAsiaTheme="minorEastAsia"/>
          <w:b/>
          <w:bCs/>
          <w:color w:val="auto"/>
          <w:sz w:val="36"/>
          <w:szCs w:val="36"/>
          <w:highlight w:val="none"/>
          <w:lang w:val="en-US"/>
        </w:rPr>
        <w:t>符合性审查索引表</w:t>
      </w:r>
      <w:bookmarkEnd w:id="194"/>
    </w:p>
    <w:tbl>
      <w:tblPr>
        <w:tblStyle w:val="18"/>
        <w:tblW w:w="97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570"/>
        <w:gridCol w:w="1406"/>
        <w:gridCol w:w="2067"/>
      </w:tblGrid>
      <w:tr w14:paraId="2E31F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7AD6692D">
            <w:pPr>
              <w:pStyle w:val="43"/>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序号</w:t>
            </w:r>
          </w:p>
        </w:tc>
        <w:tc>
          <w:tcPr>
            <w:tcW w:w="557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3048E574">
            <w:pPr>
              <w:pStyle w:val="43"/>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审  查  内  容</w:t>
            </w:r>
          </w:p>
        </w:tc>
        <w:tc>
          <w:tcPr>
            <w:tcW w:w="1406"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2AEE5286">
            <w:pPr>
              <w:pStyle w:val="43"/>
              <w:keepLines w:val="0"/>
              <w:kinsoku/>
              <w:wordWrap/>
              <w:overflowPunct/>
              <w:topLinePunct w:val="0"/>
              <w:bidi w:val="0"/>
              <w:spacing w:beforeAutospacing="0" w:afterAutospacing="0" w:line="440" w:lineRule="atLeast"/>
              <w:ind w:left="0" w:leftChars="0" w:right="0" w:rightChars="0" w:firstLine="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是否响应</w:t>
            </w:r>
          </w:p>
        </w:tc>
        <w:tc>
          <w:tcPr>
            <w:tcW w:w="206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061B0EC4">
            <w:pPr>
              <w:pStyle w:val="43"/>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索引页码</w:t>
            </w:r>
          </w:p>
        </w:tc>
      </w:tr>
      <w:tr w14:paraId="0ED88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6ACB1B32">
            <w:pPr>
              <w:keepLines w:val="0"/>
              <w:tabs>
                <w:tab w:val="left" w:pos="972"/>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rPr>
              <w:t>1</w:t>
            </w:r>
          </w:p>
        </w:tc>
        <w:tc>
          <w:tcPr>
            <w:tcW w:w="5570" w:type="dxa"/>
            <w:tcBorders>
              <w:top w:val="single" w:color="auto" w:sz="4" w:space="0"/>
              <w:left w:val="single" w:color="auto" w:sz="4" w:space="0"/>
              <w:bottom w:val="single" w:color="auto" w:sz="4" w:space="0"/>
              <w:right w:val="single" w:color="auto" w:sz="4" w:space="0"/>
            </w:tcBorders>
            <w:noWrap w:val="0"/>
            <w:vAlign w:val="center"/>
          </w:tcPr>
          <w:p w14:paraId="52CD1FDB">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sz w:val="21"/>
                <w:szCs w:val="21"/>
                <w:highlight w:val="none"/>
              </w:rPr>
              <w:t>投标文件有效性</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74110953">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kern w:val="0"/>
                <w:sz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14:paraId="5F11223E">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kern w:val="0"/>
                <w:sz w:val="24"/>
                <w:szCs w:val="20"/>
                <w:highlight w:val="none"/>
              </w:rPr>
            </w:pPr>
          </w:p>
        </w:tc>
      </w:tr>
      <w:tr w14:paraId="74C8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218685CB">
            <w:pPr>
              <w:keepLines w:val="0"/>
              <w:tabs>
                <w:tab w:val="left" w:pos="972"/>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rPr>
              <w:t>2</w:t>
            </w:r>
          </w:p>
        </w:tc>
        <w:tc>
          <w:tcPr>
            <w:tcW w:w="5570" w:type="dxa"/>
            <w:tcBorders>
              <w:top w:val="single" w:color="auto" w:sz="4" w:space="0"/>
              <w:left w:val="single" w:color="auto" w:sz="4" w:space="0"/>
              <w:bottom w:val="single" w:color="auto" w:sz="4" w:space="0"/>
              <w:right w:val="single" w:color="auto" w:sz="4" w:space="0"/>
            </w:tcBorders>
            <w:noWrap w:val="0"/>
            <w:vAlign w:val="center"/>
          </w:tcPr>
          <w:p w14:paraId="3D65239A">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sz w:val="21"/>
                <w:szCs w:val="21"/>
                <w:highlight w:val="none"/>
              </w:rPr>
              <w:t>响应承诺函</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2E00C4E">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kern w:val="0"/>
                <w:sz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14:paraId="736116CC">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kern w:val="0"/>
                <w:sz w:val="24"/>
                <w:szCs w:val="20"/>
                <w:highlight w:val="none"/>
              </w:rPr>
            </w:pPr>
          </w:p>
        </w:tc>
      </w:tr>
      <w:tr w14:paraId="6D75E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2F8974BF">
            <w:pPr>
              <w:keepLines w:val="0"/>
              <w:tabs>
                <w:tab w:val="left" w:pos="972"/>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rPr>
              <w:t>3</w:t>
            </w:r>
          </w:p>
        </w:tc>
        <w:tc>
          <w:tcPr>
            <w:tcW w:w="5570" w:type="dxa"/>
            <w:tcBorders>
              <w:top w:val="single" w:color="auto" w:sz="4" w:space="0"/>
              <w:left w:val="single" w:color="auto" w:sz="4" w:space="0"/>
              <w:bottom w:val="single" w:color="auto" w:sz="4" w:space="0"/>
              <w:right w:val="single" w:color="auto" w:sz="4" w:space="0"/>
            </w:tcBorders>
            <w:noWrap w:val="0"/>
            <w:vAlign w:val="center"/>
          </w:tcPr>
          <w:p w14:paraId="45338989">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sz w:val="21"/>
                <w:szCs w:val="21"/>
                <w:highlight w:val="none"/>
              </w:rPr>
              <w:t>实质性响应条款（即标注★ 号条款）</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1398E2F">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kern w:val="0"/>
                <w:sz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14:paraId="5B1B9C13">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kern w:val="0"/>
                <w:sz w:val="24"/>
                <w:szCs w:val="20"/>
                <w:highlight w:val="none"/>
              </w:rPr>
            </w:pPr>
          </w:p>
        </w:tc>
      </w:tr>
      <w:tr w14:paraId="2824C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1639B852">
            <w:pPr>
              <w:keepLines w:val="0"/>
              <w:tabs>
                <w:tab w:val="left" w:pos="972"/>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szCs w:val="21"/>
                <w:highlight w:val="none"/>
                <w:lang w:eastAsia="zh-CN"/>
              </w:rPr>
            </w:pPr>
            <w:r>
              <w:rPr>
                <w:rFonts w:hint="default" w:ascii="Times New Roman" w:hAnsi="Times New Roman" w:cs="Times New Roman" w:eastAsiaTheme="minorEastAsia"/>
                <w:b/>
                <w:color w:val="auto"/>
                <w:szCs w:val="21"/>
                <w:highlight w:val="none"/>
                <w:lang w:val="en-US" w:eastAsia="zh-CN"/>
              </w:rPr>
              <w:t>4</w:t>
            </w:r>
          </w:p>
        </w:tc>
        <w:tc>
          <w:tcPr>
            <w:tcW w:w="5570" w:type="dxa"/>
            <w:tcBorders>
              <w:top w:val="single" w:color="auto" w:sz="4" w:space="0"/>
              <w:left w:val="single" w:color="auto" w:sz="4" w:space="0"/>
              <w:bottom w:val="single" w:color="auto" w:sz="4" w:space="0"/>
              <w:right w:val="single" w:color="auto" w:sz="4" w:space="0"/>
            </w:tcBorders>
            <w:noWrap w:val="0"/>
            <w:vAlign w:val="center"/>
          </w:tcPr>
          <w:p w14:paraId="35F69291">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szCs w:val="21"/>
                <w:highlight w:val="none"/>
              </w:rPr>
              <w:t>报价要求</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DA8D680">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kern w:val="0"/>
                <w:sz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14:paraId="0496BA9B">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kern w:val="0"/>
                <w:sz w:val="24"/>
                <w:szCs w:val="20"/>
                <w:highlight w:val="none"/>
              </w:rPr>
            </w:pPr>
          </w:p>
        </w:tc>
      </w:tr>
      <w:tr w14:paraId="36FC2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61439B28">
            <w:pPr>
              <w:keepLines w:val="0"/>
              <w:tabs>
                <w:tab w:val="left" w:pos="972"/>
              </w:tabs>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szCs w:val="21"/>
                <w:highlight w:val="none"/>
                <w:lang w:val="en-US" w:eastAsia="zh-CN"/>
              </w:rPr>
            </w:pPr>
            <w:bookmarkStart w:id="199" w:name="_Toc29137"/>
            <w:r>
              <w:rPr>
                <w:rFonts w:hint="eastAsia" w:ascii="Times New Roman" w:hAnsi="Times New Roman" w:cs="Times New Roman"/>
                <w:b/>
                <w:color w:val="auto"/>
                <w:szCs w:val="21"/>
                <w:highlight w:val="none"/>
                <w:lang w:val="en-US" w:eastAsia="zh-CN"/>
              </w:rPr>
              <w:t>5</w:t>
            </w:r>
          </w:p>
        </w:tc>
        <w:tc>
          <w:tcPr>
            <w:tcW w:w="5570" w:type="dxa"/>
            <w:tcBorders>
              <w:top w:val="single" w:color="auto" w:sz="4" w:space="0"/>
              <w:left w:val="single" w:color="auto" w:sz="4" w:space="0"/>
              <w:bottom w:val="single" w:color="auto" w:sz="4" w:space="0"/>
              <w:right w:val="single" w:color="auto" w:sz="4" w:space="0"/>
            </w:tcBorders>
            <w:noWrap w:val="0"/>
            <w:vAlign w:val="center"/>
          </w:tcPr>
          <w:p w14:paraId="2CE9C8EA">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szCs w:val="21"/>
                <w:highlight w:val="none"/>
              </w:rPr>
              <w:t>其它</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5D9E51C">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kern w:val="0"/>
                <w:sz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14:paraId="234673D9">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kern w:val="0"/>
                <w:sz w:val="24"/>
                <w:szCs w:val="20"/>
                <w:highlight w:val="none"/>
              </w:rPr>
            </w:pPr>
          </w:p>
        </w:tc>
      </w:tr>
    </w:tbl>
    <w:p w14:paraId="77DF8083">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sz w:val="36"/>
          <w:szCs w:val="36"/>
          <w:highlight w:val="none"/>
        </w:rPr>
      </w:pPr>
      <w:r>
        <w:rPr>
          <w:rFonts w:hint="default" w:ascii="Times New Roman" w:hAnsi="Times New Roman" w:cs="Times New Roman" w:eastAsiaTheme="minorEastAsia"/>
          <w:b/>
          <w:bCs/>
          <w:color w:val="auto"/>
          <w:sz w:val="36"/>
          <w:szCs w:val="36"/>
          <w:highlight w:val="none"/>
        </w:rPr>
        <w:br w:type="page"/>
      </w:r>
    </w:p>
    <w:p w14:paraId="0217CE26">
      <w:pPr>
        <w:pStyle w:val="21"/>
        <w:keepLines w:val="0"/>
        <w:kinsoku/>
        <w:wordWrap/>
        <w:overflowPunct/>
        <w:topLinePunct w:val="0"/>
        <w:bidi w:val="0"/>
        <w:spacing w:beforeAutospacing="0" w:afterAutospacing="0" w:line="440" w:lineRule="atLeas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（对于采购需求</w:t>
      </w:r>
      <w:r>
        <w:rPr>
          <w:rFonts w:hint="eastAsia" w:ascii="宋体" w:hAnsi="宋体" w:eastAsia="宋体" w:cs="宋体"/>
          <w:color w:val="auto"/>
          <w:sz w:val="21"/>
          <w:szCs w:val="21"/>
          <w:highlight w:val="none"/>
          <w:lang w:eastAsia="zh-CN"/>
        </w:rPr>
        <w:t>需响应</w:t>
      </w:r>
      <w:r>
        <w:rPr>
          <w:rFonts w:hint="eastAsia" w:ascii="宋体" w:hAnsi="宋体" w:eastAsia="宋体" w:cs="宋体"/>
          <w:color w:val="auto"/>
          <w:sz w:val="21"/>
          <w:szCs w:val="21"/>
          <w:highlight w:val="none"/>
        </w:rPr>
        <w:t>的条款，供应商可参照以下格式提供承诺）</w:t>
      </w:r>
    </w:p>
    <w:p w14:paraId="4A258C7D">
      <w:pPr>
        <w:pStyle w:val="21"/>
        <w:keepLines w:val="0"/>
        <w:kinsoku/>
        <w:wordWrap/>
        <w:overflowPunct/>
        <w:topLinePunct w:val="0"/>
        <w:bidi w:val="0"/>
        <w:spacing w:beforeAutospacing="0" w:afterAutospacing="0" w:line="440" w:lineRule="atLeast"/>
        <w:ind w:left="0" w:leftChars="0" w:right="0" w:rightChars="0"/>
        <w:rPr>
          <w:rFonts w:hint="eastAsia" w:ascii="宋体" w:hAnsi="宋体" w:eastAsia="宋体" w:cs="宋体"/>
          <w:color w:val="auto"/>
          <w:sz w:val="21"/>
          <w:szCs w:val="21"/>
          <w:highlight w:val="none"/>
        </w:rPr>
      </w:pPr>
    </w:p>
    <w:p w14:paraId="58752701">
      <w:pPr>
        <w:pStyle w:val="21"/>
        <w:keepLines w:val="0"/>
        <w:kinsoku/>
        <w:wordWrap/>
        <w:overflowPunct/>
        <w:topLinePunct w:val="0"/>
        <w:bidi w:val="0"/>
        <w:spacing w:beforeAutospacing="0" w:afterAutospacing="0" w:line="440" w:lineRule="atLeast"/>
        <w:ind w:left="0" w:leftChars="0" w:right="0" w:rightChars="0"/>
        <w:jc w:val="center"/>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承诺函</w:t>
      </w:r>
    </w:p>
    <w:p w14:paraId="7EA9B639">
      <w:pPr>
        <w:pStyle w:val="21"/>
        <w:keepLines w:val="0"/>
        <w:kinsoku/>
        <w:wordWrap/>
        <w:overflowPunct/>
        <w:topLinePunct w:val="0"/>
        <w:bidi w:val="0"/>
        <w:spacing w:beforeAutospacing="0" w:afterAutospacing="0" w:line="440" w:lineRule="atLeast"/>
        <w:ind w:left="0" w:leftChars="0" w:right="0" w:rightChars="0"/>
        <w:jc w:val="center"/>
        <w:outlineLvl w:val="3"/>
        <w:rPr>
          <w:rFonts w:hint="eastAsia" w:ascii="宋体" w:hAnsi="宋体" w:eastAsia="宋体" w:cs="宋体"/>
          <w:b/>
          <w:color w:val="auto"/>
          <w:sz w:val="21"/>
          <w:szCs w:val="21"/>
          <w:highlight w:val="none"/>
        </w:rPr>
      </w:pPr>
    </w:p>
    <w:p w14:paraId="46F06E43">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佛山市高明区人民法院</w:t>
      </w:r>
      <w:r>
        <w:rPr>
          <w:rFonts w:hint="eastAsia" w:ascii="宋体" w:hAnsi="宋体" w:eastAsia="宋体" w:cs="宋体"/>
          <w:color w:val="auto"/>
          <w:sz w:val="21"/>
          <w:szCs w:val="21"/>
          <w:highlight w:val="none"/>
        </w:rPr>
        <w:br w:type="textWrapping"/>
      </w:r>
    </w:p>
    <w:p w14:paraId="320062D5">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w:t>
      </w:r>
      <w:r>
        <w:rPr>
          <w:rFonts w:hint="eastAsia" w:ascii="宋体" w:hAnsi="宋体" w:eastAsia="宋体" w:cs="宋体"/>
          <w:color w:val="auto"/>
          <w:sz w:val="21"/>
          <w:szCs w:val="21"/>
          <w:highlight w:val="none"/>
          <w:u w:val="single"/>
          <w:lang w:eastAsia="zh-CN"/>
        </w:rPr>
        <w:t>佛山市高明区人民法院执行案件集约化送达服务项目</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lang w:eastAsia="zh-CN"/>
        </w:rPr>
        <w:t>GDYD240563</w:t>
      </w:r>
      <w:r>
        <w:rPr>
          <w:rFonts w:hint="eastAsia" w:ascii="宋体" w:hAnsi="宋体" w:eastAsia="宋体" w:cs="宋体"/>
          <w:color w:val="auto"/>
          <w:sz w:val="21"/>
          <w:szCs w:val="21"/>
          <w:highlight w:val="none"/>
        </w:rPr>
        <w:t>），我方郑重承诺如下：</w:t>
      </w:r>
    </w:p>
    <w:p w14:paraId="37C0C769">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如中标/成交，我方承诺严格落实采购文件以下条款：(建议逐条复制采购文件相关条款原文)</w:t>
      </w:r>
    </w:p>
    <w:p w14:paraId="124D73C9">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（一）星号条款</w:t>
      </w:r>
    </w:p>
    <w:p w14:paraId="24132FAF">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4DF345F1">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14:paraId="6DA1D9A3">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4D301CD2">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167C1590">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（二）三角号条款</w:t>
      </w:r>
    </w:p>
    <w:p w14:paraId="5E6C617C">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68640AD5">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14:paraId="78E9FB61">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61095DFC">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3035AFB">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（三）非星号、非三角号条款</w:t>
      </w:r>
    </w:p>
    <w:p w14:paraId="4BD0D10E">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02B14707">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14:paraId="72AADD4C">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2F9B3CFA">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p>
    <w:p w14:paraId="10075352">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45999215">
      <w:pPr>
        <w:pStyle w:val="21"/>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firstLine="480"/>
        <w:textAlignment w:val="auto"/>
        <w:rPr>
          <w:rFonts w:hint="eastAsia" w:ascii="宋体" w:hAnsi="宋体" w:eastAsia="宋体" w:cs="宋体"/>
          <w:color w:val="auto"/>
          <w:sz w:val="21"/>
          <w:szCs w:val="21"/>
          <w:highlight w:val="none"/>
        </w:rPr>
      </w:pPr>
    </w:p>
    <w:p w14:paraId="765D0B16">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jc w:val="righ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供应商名称：</w:t>
      </w:r>
      <w:r>
        <w:rPr>
          <w:rFonts w:hint="default" w:ascii="Times New Roman" w:hAnsi="Times New Roman" w:cs="Times New Roman" w:eastAsiaTheme="minorEastAsia"/>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eastAsia="zh-CN"/>
        </w:rPr>
        <w:t>单位名称</w:t>
      </w:r>
      <w:r>
        <w:rPr>
          <w:rFonts w:hint="default" w:ascii="Times New Roman" w:hAnsi="Times New Roman" w:cs="Times New Roman" w:eastAsiaTheme="minorEastAsia"/>
          <w:color w:val="auto"/>
          <w:sz w:val="21"/>
          <w:szCs w:val="21"/>
          <w:highlight w:val="none"/>
          <w:u w:val="single"/>
        </w:rPr>
        <w:t xml:space="preserve">全称）                </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lang w:val="zh-CN"/>
        </w:rPr>
        <w:t>加盖供应商公章</w:t>
      </w:r>
      <w:r>
        <w:rPr>
          <w:rFonts w:hint="default" w:ascii="Times New Roman" w:hAnsi="Times New Roman" w:cs="Times New Roman" w:eastAsiaTheme="minorEastAsia"/>
          <w:color w:val="auto"/>
          <w:sz w:val="21"/>
          <w:szCs w:val="21"/>
          <w:highlight w:val="none"/>
        </w:rPr>
        <w:t>）</w:t>
      </w:r>
    </w:p>
    <w:p w14:paraId="61996ED1">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right"/>
        <w:textAlignment w:val="auto"/>
        <w:rPr>
          <w:rFonts w:hint="default" w:ascii="Times New Roman" w:hAnsi="Times New Roman" w:cs="Times New Roman" w:eastAsiaTheme="minorEastAsia"/>
          <w:color w:val="auto"/>
          <w:sz w:val="21"/>
          <w:szCs w:val="21"/>
          <w:highlight w:val="none"/>
          <w:u w:val="single"/>
        </w:rPr>
      </w:pPr>
      <w:r>
        <w:rPr>
          <w:rFonts w:hint="default" w:ascii="Times New Roman" w:hAnsi="Times New Roman" w:cs="Times New Roman" w:eastAsiaTheme="minorEastAsia"/>
          <w:b w:val="0"/>
          <w:bCs/>
          <w:color w:val="auto"/>
          <w:sz w:val="21"/>
          <w:szCs w:val="21"/>
          <w:highlight w:val="none"/>
        </w:rPr>
        <w:t>日期：</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年</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月</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日</w:t>
      </w:r>
    </w:p>
    <w:p w14:paraId="785BE7EC">
      <w:pPr>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p>
    <w:p w14:paraId="762B19FA">
      <w:pPr>
        <w:keepLines w:val="0"/>
        <w:pageBreakBefore/>
        <w:numPr>
          <w:ilvl w:val="0"/>
          <w:numId w:val="10"/>
        </w:numPr>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sz w:val="36"/>
          <w:szCs w:val="36"/>
          <w:highlight w:val="none"/>
        </w:rPr>
      </w:pPr>
      <w:r>
        <w:rPr>
          <w:rFonts w:hint="default" w:ascii="Times New Roman" w:hAnsi="Times New Roman" w:cs="Times New Roman" w:eastAsiaTheme="minorEastAsia"/>
          <w:b/>
          <w:bCs/>
          <w:color w:val="auto"/>
          <w:sz w:val="36"/>
          <w:szCs w:val="36"/>
          <w:highlight w:val="none"/>
        </w:rPr>
        <w:t>评审内容索引表</w:t>
      </w:r>
      <w:bookmarkEnd w:id="195"/>
      <w:bookmarkEnd w:id="196"/>
      <w:bookmarkEnd w:id="197"/>
      <w:bookmarkEnd w:id="198"/>
      <w:bookmarkEnd w:id="199"/>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464"/>
        <w:gridCol w:w="3401"/>
        <w:gridCol w:w="972"/>
        <w:gridCol w:w="1254"/>
        <w:gridCol w:w="1488"/>
      </w:tblGrid>
      <w:tr w14:paraId="79BB6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3" w:hRule="exact"/>
          <w:tblHeader/>
          <w:jc w:val="center"/>
        </w:trPr>
        <w:tc>
          <w:tcPr>
            <w:tcW w:w="155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4F5436A7">
            <w:pPr>
              <w:pStyle w:val="43"/>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评审内容</w:t>
            </w:r>
          </w:p>
        </w:tc>
        <w:tc>
          <w:tcPr>
            <w:tcW w:w="3865"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14:paraId="7F31A661">
            <w:pPr>
              <w:pStyle w:val="43"/>
              <w:keepLines w:val="0"/>
              <w:kinsoku/>
              <w:wordWrap/>
              <w:overflowPunct/>
              <w:topLinePunct w:val="0"/>
              <w:bidi w:val="0"/>
              <w:spacing w:beforeAutospacing="0" w:afterAutospacing="0" w:line="440" w:lineRule="atLeast"/>
              <w:ind w:left="0" w:leftChars="0" w:right="0" w:rightChars="0" w:firstLine="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  审  因 素</w:t>
            </w:r>
          </w:p>
        </w:tc>
        <w:tc>
          <w:tcPr>
            <w:tcW w:w="972"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04653DD0">
            <w:pPr>
              <w:pStyle w:val="43"/>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分值</w:t>
            </w:r>
          </w:p>
        </w:tc>
        <w:tc>
          <w:tcPr>
            <w:tcW w:w="125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1F5D5021">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自评分</w:t>
            </w:r>
          </w:p>
          <w:p w14:paraId="6624810F">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（仅供参考）</w:t>
            </w:r>
          </w:p>
        </w:tc>
        <w:tc>
          <w:tcPr>
            <w:tcW w:w="148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2C6A962F">
            <w:pPr>
              <w:pStyle w:val="43"/>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资料所在</w:t>
            </w:r>
          </w:p>
          <w:p w14:paraId="0541D9BB">
            <w:pPr>
              <w:pStyle w:val="43"/>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页码范围</w:t>
            </w:r>
          </w:p>
          <w:p w14:paraId="2849EA25">
            <w:pPr>
              <w:pStyle w:val="7"/>
              <w:keepLines w:val="0"/>
              <w:kinsoku/>
              <w:wordWrap/>
              <w:overflowPunct/>
              <w:topLinePunct w:val="0"/>
              <w:bidi w:val="0"/>
              <w:spacing w:before="0" w:beforeLines="0" w:beforeAutospacing="0" w:after="0" w:afterLines="0" w:afterAutospacing="0" w:line="440" w:lineRule="atLeast"/>
              <w:ind w:left="0" w:leftChars="0" w:right="0" w:rightChars="0" w:firstLine="195"/>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b/>
                <w:color w:val="auto"/>
                <w:sz w:val="18"/>
                <w:szCs w:val="18"/>
                <w:highlight w:val="none"/>
              </w:rPr>
              <w:t>（必填项）</w:t>
            </w:r>
          </w:p>
        </w:tc>
      </w:tr>
      <w:tr w14:paraId="1E454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noWrap w:val="0"/>
            <w:vAlign w:val="center"/>
          </w:tcPr>
          <w:p w14:paraId="136C6A9A">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商务部分</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28648F6F">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1F35AB69">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629B275C">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6CAF7A19">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E085126">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r>
      <w:tr w14:paraId="582ED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14:paraId="3223325D">
            <w:pPr>
              <w:keepLines w:val="0"/>
              <w:widowControl/>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67492FE1">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6809ABD1">
            <w:pPr>
              <w:pStyle w:val="4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07A51E44">
            <w:pPr>
              <w:pStyle w:val="4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1184484F">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E78B576">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r>
      <w:tr w14:paraId="19BED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14:paraId="67436925">
            <w:pPr>
              <w:keepLines w:val="0"/>
              <w:widowControl/>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366995E6">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71690975">
            <w:pPr>
              <w:pStyle w:val="4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24943872">
            <w:pPr>
              <w:pStyle w:val="4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45983822">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FFD4B5D">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r>
      <w:tr w14:paraId="0D869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14:paraId="31DD13EF">
            <w:pPr>
              <w:keepLines w:val="0"/>
              <w:widowControl/>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26A7EF2A">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59335B04">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7608259C">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07B3D04B">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A3B9A1E">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r>
      <w:tr w14:paraId="683F6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14:paraId="008827D2">
            <w:pPr>
              <w:keepLines w:val="0"/>
              <w:widowControl/>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0DCFC646">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5</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74333D2C">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56B8BFA9">
            <w:pPr>
              <w:pStyle w:val="45"/>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10E2EA9E">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65C6BD4">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r>
      <w:tr w14:paraId="56CF7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14:paraId="5723E028">
            <w:pPr>
              <w:keepLines w:val="0"/>
              <w:widowControl/>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25618051">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6</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7B58177C">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6DBD72E8">
            <w:pPr>
              <w:pStyle w:val="45"/>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48922DC7">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7792AC8">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r>
      <w:tr w14:paraId="59CA5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14:paraId="7F80E383">
            <w:pPr>
              <w:keepLines w:val="0"/>
              <w:widowControl/>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5147E928">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7</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40FB3426">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4B626DCB">
            <w:pPr>
              <w:pStyle w:val="45"/>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3F19D24A">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70F1D77">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r>
      <w:tr w14:paraId="027D0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noWrap w:val="0"/>
            <w:vAlign w:val="center"/>
          </w:tcPr>
          <w:p w14:paraId="11658991">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技术部分</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57D4290D">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0F1BDE80">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0316476C">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0F26570A">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41FB72B">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r>
      <w:tr w14:paraId="31AF2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14:paraId="43DAA601">
            <w:pPr>
              <w:keepLines w:val="0"/>
              <w:widowControl/>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363D5A5C">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0BEC2811">
            <w:pPr>
              <w:pStyle w:val="45"/>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1969A696">
            <w:pPr>
              <w:pStyle w:val="45"/>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527AC8B1">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54FD4E3">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r>
      <w:tr w14:paraId="59C7D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14:paraId="1F3A589C">
            <w:pPr>
              <w:keepLines w:val="0"/>
              <w:widowControl/>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24E3083D">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56A7301A">
            <w:pPr>
              <w:pStyle w:val="4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22E06654">
            <w:pPr>
              <w:pStyle w:val="44"/>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4217518B">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DD6BDBE">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r>
      <w:tr w14:paraId="74ED3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14:paraId="1F6E71B5">
            <w:pPr>
              <w:keepLines w:val="0"/>
              <w:widowControl/>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76F4D4F5">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3F707F3E">
            <w:pPr>
              <w:pStyle w:val="45"/>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7A780AEA">
            <w:pPr>
              <w:pStyle w:val="45"/>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00A130D9">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4CA3AD4">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r>
      <w:tr w14:paraId="7909A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14:paraId="1233AE66">
            <w:pPr>
              <w:keepLines w:val="0"/>
              <w:widowControl/>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35C9E8B8">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5</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01DBB2E4">
            <w:pPr>
              <w:pStyle w:val="45"/>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0E78464A">
            <w:pPr>
              <w:pStyle w:val="45"/>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006C4EB5">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26CC338">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r>
      <w:tr w14:paraId="13C4D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14:paraId="6095E0DF">
            <w:pPr>
              <w:keepLines w:val="0"/>
              <w:widowControl/>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3E1F8378">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6</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3DF4FFB6">
            <w:pPr>
              <w:pStyle w:val="45"/>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5B3DCFEF">
            <w:pPr>
              <w:pStyle w:val="45"/>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02377CA4">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25A7F3D">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r>
      <w:tr w14:paraId="7F6D8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14:paraId="7B50B8A9">
            <w:pPr>
              <w:keepLines w:val="0"/>
              <w:widowControl/>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3CBAFB27">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7</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4E58B4C0">
            <w:pPr>
              <w:pStyle w:val="45"/>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76475834">
            <w:pPr>
              <w:pStyle w:val="45"/>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080CE0C9">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EB1E4B4">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highlight w:val="none"/>
              </w:rPr>
            </w:pPr>
          </w:p>
        </w:tc>
      </w:tr>
    </w:tbl>
    <w:p w14:paraId="048A240B">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sectPr>
          <w:pgSz w:w="11906" w:h="16838"/>
          <w:pgMar w:top="1134" w:right="1134" w:bottom="1134" w:left="1587" w:header="567" w:footer="737" w:gutter="0"/>
          <w:pgBorders>
            <w:top w:val="none" w:sz="0" w:space="0"/>
            <w:left w:val="none" w:sz="0" w:space="0"/>
            <w:bottom w:val="none" w:sz="0" w:space="0"/>
            <w:right w:val="none" w:sz="0" w:space="0"/>
          </w:pgBorders>
          <w:pgNumType w:fmt="decimal"/>
          <w:cols w:space="720" w:num="1"/>
          <w:docGrid w:linePitch="312" w:charSpace="0"/>
        </w:sectPr>
      </w:pPr>
    </w:p>
    <w:p w14:paraId="6BFA6285">
      <w:pPr>
        <w:pStyle w:val="4"/>
        <w:keepLines w:val="0"/>
        <w:pageBreakBefore/>
        <w:kinsoku/>
        <w:wordWrap/>
        <w:overflowPunct/>
        <w:topLinePunct w:val="0"/>
        <w:bidi w:val="0"/>
        <w:spacing w:beforeAutospacing="0" w:afterAutospacing="0" w:line="440" w:lineRule="atLeast"/>
        <w:ind w:left="0" w:leftChars="0" w:right="0" w:rightChars="0"/>
        <w:outlineLvl w:val="0"/>
        <w:rPr>
          <w:rFonts w:hint="default" w:ascii="Times New Roman" w:hAnsi="Times New Roman" w:cs="Times New Roman" w:eastAsiaTheme="minorEastAsia"/>
          <w:b/>
          <w:bCs w:val="0"/>
          <w:color w:val="auto"/>
          <w:sz w:val="36"/>
          <w:szCs w:val="36"/>
          <w:highlight w:val="none"/>
        </w:rPr>
        <w:sectPr>
          <w:pgSz w:w="11906" w:h="16838"/>
          <w:pgMar w:top="1134" w:right="1134" w:bottom="1134" w:left="1587" w:header="567" w:footer="737" w:gutter="0"/>
          <w:pgBorders>
            <w:top w:val="none" w:sz="0" w:space="0"/>
            <w:left w:val="none" w:sz="0" w:space="0"/>
            <w:bottom w:val="none" w:sz="0" w:space="0"/>
            <w:right w:val="none" w:sz="0" w:space="0"/>
          </w:pgBorders>
          <w:pgNumType w:fmt="decimal"/>
          <w:cols w:space="720" w:num="1"/>
          <w:docGrid w:linePitch="312" w:charSpace="0"/>
        </w:sectPr>
      </w:pPr>
      <w:bookmarkStart w:id="200" w:name="_Toc28710"/>
      <w:bookmarkStart w:id="201" w:name="_Toc8179"/>
      <w:bookmarkStart w:id="202" w:name="_Toc14556"/>
      <w:bookmarkStart w:id="203" w:name="_Toc18263"/>
      <w:r>
        <w:rPr>
          <w:rFonts w:hint="default" w:ascii="Times New Roman" w:hAnsi="Times New Roman" w:cs="Times New Roman" w:eastAsiaTheme="minorEastAsia"/>
          <w:b/>
          <w:bCs w:val="0"/>
          <w:color w:val="auto"/>
          <w:sz w:val="36"/>
          <w:szCs w:val="36"/>
          <w:highlight w:val="none"/>
        </w:rPr>
        <w:fldChar w:fldCharType="begin"/>
      </w:r>
      <w:r>
        <w:rPr>
          <w:rFonts w:hint="default" w:ascii="Times New Roman" w:hAnsi="Times New Roman" w:cs="Times New Roman" w:eastAsiaTheme="minorEastAsia"/>
          <w:b/>
          <w:bCs w:val="0"/>
          <w:color w:val="auto"/>
          <w:sz w:val="36"/>
          <w:szCs w:val="36"/>
          <w:highlight w:val="none"/>
        </w:rPr>
        <w:instrText xml:space="preserve"> HYPERLINK  \l "_投标文件目录" </w:instrText>
      </w:r>
      <w:r>
        <w:rPr>
          <w:rFonts w:hint="default" w:ascii="Times New Roman" w:hAnsi="Times New Roman" w:cs="Times New Roman" w:eastAsiaTheme="minorEastAsia"/>
          <w:b/>
          <w:bCs w:val="0"/>
          <w:color w:val="auto"/>
          <w:sz w:val="36"/>
          <w:szCs w:val="36"/>
          <w:highlight w:val="none"/>
        </w:rPr>
        <w:fldChar w:fldCharType="separate"/>
      </w:r>
      <w:bookmarkStart w:id="204" w:name="_Toc259803671"/>
      <w:bookmarkStart w:id="205" w:name="_Toc113157430"/>
      <w:bookmarkStart w:id="206" w:name="_Toc240108118"/>
      <w:bookmarkStart w:id="207" w:name="_Toc419106574"/>
      <w:r>
        <w:rPr>
          <w:rFonts w:hint="default" w:ascii="Times New Roman" w:hAnsi="Times New Roman" w:cs="Times New Roman" w:eastAsiaTheme="minorEastAsia"/>
          <w:b/>
          <w:bCs w:val="0"/>
          <w:color w:val="auto"/>
          <w:sz w:val="36"/>
          <w:szCs w:val="36"/>
          <w:highlight w:val="none"/>
        </w:rPr>
        <w:t xml:space="preserve">第三章  </w:t>
      </w:r>
      <w:bookmarkStart w:id="208" w:name="_Hlt113156969"/>
      <w:r>
        <w:rPr>
          <w:rFonts w:hint="default" w:ascii="Times New Roman" w:hAnsi="Times New Roman" w:cs="Times New Roman" w:eastAsiaTheme="minorEastAsia"/>
          <w:b/>
          <w:bCs w:val="0"/>
          <w:color w:val="auto"/>
          <w:sz w:val="36"/>
          <w:szCs w:val="36"/>
          <w:highlight w:val="none"/>
        </w:rPr>
        <w:t>商</w:t>
      </w:r>
      <w:bookmarkEnd w:id="208"/>
      <w:r>
        <w:rPr>
          <w:rFonts w:hint="default" w:ascii="Times New Roman" w:hAnsi="Times New Roman" w:cs="Times New Roman" w:eastAsiaTheme="minorEastAsia"/>
          <w:b/>
          <w:bCs w:val="0"/>
          <w:color w:val="auto"/>
          <w:sz w:val="36"/>
          <w:szCs w:val="36"/>
          <w:highlight w:val="none"/>
        </w:rPr>
        <w:t>务部</w:t>
      </w:r>
      <w:bookmarkStart w:id="209" w:name="_Hlt112738997"/>
      <w:r>
        <w:rPr>
          <w:rFonts w:hint="default" w:ascii="Times New Roman" w:hAnsi="Times New Roman" w:cs="Times New Roman" w:eastAsiaTheme="minorEastAsia"/>
          <w:b/>
          <w:bCs w:val="0"/>
          <w:color w:val="auto"/>
          <w:sz w:val="36"/>
          <w:szCs w:val="36"/>
          <w:highlight w:val="none"/>
        </w:rPr>
        <w:t>分</w:t>
      </w:r>
      <w:bookmarkEnd w:id="204"/>
      <w:bookmarkEnd w:id="205"/>
      <w:bookmarkEnd w:id="206"/>
      <w:bookmarkEnd w:id="207"/>
      <w:bookmarkEnd w:id="209"/>
      <w:r>
        <w:rPr>
          <w:rFonts w:hint="default" w:ascii="Times New Roman" w:hAnsi="Times New Roman" w:cs="Times New Roman" w:eastAsiaTheme="minorEastAsia"/>
          <w:b/>
          <w:bCs w:val="0"/>
          <w:color w:val="auto"/>
          <w:sz w:val="36"/>
          <w:szCs w:val="36"/>
          <w:highlight w:val="none"/>
        </w:rPr>
        <w:fldChar w:fldCharType="end"/>
      </w:r>
      <w:bookmarkEnd w:id="200"/>
      <w:bookmarkEnd w:id="201"/>
      <w:bookmarkEnd w:id="202"/>
      <w:bookmarkEnd w:id="203"/>
    </w:p>
    <w:p w14:paraId="6D317381">
      <w:pPr>
        <w:keepLines w:val="0"/>
        <w:pageBreakBefore/>
        <w:numPr>
          <w:ilvl w:val="0"/>
          <w:numId w:val="11"/>
        </w:numPr>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sz w:val="36"/>
          <w:szCs w:val="36"/>
          <w:highlight w:val="none"/>
        </w:rPr>
      </w:pPr>
      <w:bookmarkStart w:id="210" w:name="_企业综合概况与计划"/>
      <w:bookmarkEnd w:id="210"/>
      <w:bookmarkStart w:id="211" w:name="_企业综合概况"/>
      <w:bookmarkEnd w:id="211"/>
      <w:bookmarkStart w:id="212" w:name="_商务条款响应表"/>
      <w:bookmarkEnd w:id="212"/>
      <w:bookmarkStart w:id="213" w:name="_Toc11846"/>
      <w:bookmarkStart w:id="214" w:name="_Toc22477"/>
      <w:bookmarkStart w:id="215" w:name="_Toc13645"/>
      <w:bookmarkStart w:id="216" w:name="_Toc20878"/>
      <w:bookmarkStart w:id="217" w:name="_Toc119321155"/>
      <w:bookmarkStart w:id="218" w:name="_Toc136682920"/>
      <w:bookmarkStart w:id="219" w:name="_Toc136662944"/>
      <w:bookmarkStart w:id="220" w:name="_Toc159385079"/>
      <w:bookmarkStart w:id="221" w:name="_Toc108234926"/>
      <w:r>
        <w:rPr>
          <w:rFonts w:hint="default" w:ascii="Times New Roman" w:hAnsi="Times New Roman" w:cs="Times New Roman" w:eastAsiaTheme="minorEastAsia"/>
          <w:b/>
          <w:bCs/>
          <w:color w:val="auto"/>
          <w:sz w:val="36"/>
          <w:szCs w:val="36"/>
          <w:highlight w:val="none"/>
        </w:rPr>
        <w:fldChar w:fldCharType="begin"/>
      </w:r>
      <w:r>
        <w:rPr>
          <w:rFonts w:hint="default" w:ascii="Times New Roman" w:hAnsi="Times New Roman" w:cs="Times New Roman" w:eastAsiaTheme="minorEastAsia"/>
          <w:b/>
          <w:bCs/>
          <w:color w:val="auto"/>
          <w:sz w:val="36"/>
          <w:szCs w:val="36"/>
          <w:highlight w:val="none"/>
        </w:rPr>
        <w:instrText xml:space="preserve"> DOCVARIABLE  商务条款响应表开始  \* MERGEFORMAT </w:instrText>
      </w:r>
      <w:r>
        <w:rPr>
          <w:rFonts w:hint="default" w:ascii="Times New Roman" w:hAnsi="Times New Roman" w:cs="Times New Roman" w:eastAsiaTheme="minorEastAsia"/>
          <w:b/>
          <w:bCs/>
          <w:color w:val="auto"/>
          <w:sz w:val="36"/>
          <w:szCs w:val="36"/>
          <w:highlight w:val="none"/>
        </w:rPr>
        <w:fldChar w:fldCharType="separate"/>
      </w:r>
      <w:r>
        <w:rPr>
          <w:rFonts w:hint="default" w:ascii="Times New Roman" w:hAnsi="Times New Roman" w:cs="Times New Roman" w:eastAsiaTheme="minorEastAsia"/>
          <w:b/>
          <w:bCs/>
          <w:color w:val="auto"/>
          <w:sz w:val="36"/>
          <w:szCs w:val="36"/>
          <w:highlight w:val="none"/>
        </w:rPr>
        <w:fldChar w:fldCharType="end"/>
      </w:r>
      <w:bookmarkStart w:id="222" w:name="_Toc419106575"/>
      <w:r>
        <w:rPr>
          <w:rFonts w:hint="default" w:ascii="Times New Roman" w:hAnsi="Times New Roman" w:cs="Times New Roman" w:eastAsiaTheme="minorEastAsia"/>
          <w:b/>
          <w:bCs/>
          <w:color w:val="auto"/>
          <w:sz w:val="36"/>
          <w:szCs w:val="36"/>
          <w:highlight w:val="none"/>
        </w:rPr>
        <w:t>商务条款响应表</w:t>
      </w:r>
      <w:bookmarkEnd w:id="213"/>
      <w:bookmarkEnd w:id="214"/>
      <w:bookmarkEnd w:id="215"/>
      <w:bookmarkEnd w:id="216"/>
      <w:bookmarkEnd w:id="222"/>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14:paraId="323D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14:paraId="2E38A898">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一、商务条款响应情况</w:t>
            </w:r>
          </w:p>
        </w:tc>
      </w:tr>
      <w:tr w14:paraId="43D1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30DFC041">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398CE2A7">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主要商务条款</w:t>
            </w:r>
          </w:p>
        </w:tc>
        <w:tc>
          <w:tcPr>
            <w:tcW w:w="179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6A962BEC">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是否响应</w:t>
            </w:r>
          </w:p>
        </w:tc>
      </w:tr>
      <w:tr w14:paraId="0381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5218EEF">
            <w:pPr>
              <w:keepLines w:val="0"/>
              <w:numPr>
                <w:ilvl w:val="0"/>
                <w:numId w:val="12"/>
              </w:numPr>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14:paraId="7C4F61A1">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完全理解并接受对合格供应商要求</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57B483B2">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r>
      <w:tr w14:paraId="1E68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4A3E41C">
            <w:pPr>
              <w:keepLines w:val="0"/>
              <w:numPr>
                <w:ilvl w:val="0"/>
                <w:numId w:val="12"/>
              </w:numPr>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14:paraId="0744EF26">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完全理解并接受对供应商的各项须知、规约要求和责任义务</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650B9D12">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r>
      <w:tr w14:paraId="5010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6C20FA8">
            <w:pPr>
              <w:keepLines w:val="0"/>
              <w:numPr>
                <w:ilvl w:val="0"/>
                <w:numId w:val="12"/>
              </w:numPr>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14:paraId="3B48984A">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同意接受合同范本所列述的各项条款</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FB745F6">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r>
      <w:tr w14:paraId="640B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5D32302">
            <w:pPr>
              <w:keepLines w:val="0"/>
              <w:numPr>
                <w:ilvl w:val="0"/>
                <w:numId w:val="12"/>
              </w:numPr>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14:paraId="34AB8400">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同意按本项目要求缴付相关款项</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1277897B">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r>
      <w:tr w14:paraId="2665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BE8A46C">
            <w:pPr>
              <w:keepLines w:val="0"/>
              <w:numPr>
                <w:ilvl w:val="0"/>
                <w:numId w:val="12"/>
              </w:numPr>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14:paraId="5D685377">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采购文件中的全部商务条款均能完全响应</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D2B1580">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r>
      <w:tr w14:paraId="6BF4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B821FDA">
            <w:pPr>
              <w:keepLines w:val="0"/>
              <w:numPr>
                <w:ilvl w:val="0"/>
                <w:numId w:val="12"/>
              </w:numPr>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14:paraId="334EF256">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同意接受</w:t>
            </w:r>
            <w:r>
              <w:rPr>
                <w:rFonts w:hint="eastAsia" w:ascii="Times New Roman" w:hAnsi="Times New Roman" w:cs="Times New Roman"/>
                <w:color w:val="auto"/>
                <w:highlight w:val="none"/>
                <w:lang w:eastAsia="zh-CN"/>
              </w:rPr>
              <w:t>采购人</w:t>
            </w:r>
            <w:r>
              <w:rPr>
                <w:rFonts w:hint="default" w:ascii="Times New Roman" w:hAnsi="Times New Roman" w:cs="Times New Roman" w:eastAsiaTheme="minorEastAsia"/>
                <w:color w:val="auto"/>
                <w:highlight w:val="none"/>
              </w:rPr>
              <w:t>发布的补充通知中各项商务要求（如有）</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6CEB3449">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r>
      <w:tr w14:paraId="69B0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D314D02">
            <w:pPr>
              <w:keepLines w:val="0"/>
              <w:numPr>
                <w:ilvl w:val="0"/>
                <w:numId w:val="12"/>
              </w:numPr>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14:paraId="28AB2537">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w:t>
            </w:r>
            <w:r>
              <w:rPr>
                <w:rFonts w:hint="eastAsia" w:ascii="Times New Roman" w:hAnsi="Times New Roman" w:cs="Times New Roman"/>
                <w:color w:val="auto"/>
                <w:highlight w:val="none"/>
                <w:lang w:eastAsia="zh-CN"/>
              </w:rPr>
              <w:t>采购人</w:t>
            </w:r>
            <w:r>
              <w:rPr>
                <w:rFonts w:hint="default" w:ascii="Times New Roman" w:hAnsi="Times New Roman" w:cs="Times New Roman" w:eastAsiaTheme="minorEastAsia"/>
                <w:color w:val="auto"/>
                <w:highlight w:val="none"/>
              </w:rPr>
              <w:t>以任何形式对我方提供的商务部分内容的真实性和有效性进行公开审查验证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7565094E">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r>
      <w:tr w14:paraId="0100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14:paraId="6EC93FD5">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二、商务条款偏离情况说明（如有）：</w:t>
            </w:r>
          </w:p>
        </w:tc>
      </w:tr>
      <w:tr w14:paraId="2AC1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A2DE878">
            <w:pPr>
              <w:keepLines w:val="0"/>
              <w:numPr>
                <w:ilvl w:val="0"/>
                <w:numId w:val="12"/>
              </w:numPr>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color w:val="auto"/>
                <w:highlight w:val="none"/>
              </w:rPr>
            </w:pPr>
          </w:p>
        </w:tc>
        <w:tc>
          <w:tcPr>
            <w:tcW w:w="8135" w:type="dxa"/>
            <w:gridSpan w:val="2"/>
            <w:tcBorders>
              <w:top w:val="single" w:color="auto" w:sz="4" w:space="0"/>
              <w:left w:val="single" w:color="auto" w:sz="4" w:space="0"/>
              <w:bottom w:val="single" w:color="auto" w:sz="4" w:space="0"/>
              <w:right w:val="single" w:color="auto" w:sz="4" w:space="0"/>
            </w:tcBorders>
            <w:noWrap w:val="0"/>
            <w:vAlign w:val="center"/>
          </w:tcPr>
          <w:p w14:paraId="739E804A">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不同意公开的商务部分内容（如有）：</w:t>
            </w:r>
          </w:p>
        </w:tc>
      </w:tr>
    </w:tbl>
    <w:p w14:paraId="4664039F">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p>
    <w:p w14:paraId="0B8DC3F0">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p>
    <w:p w14:paraId="1291653E">
      <w:pPr>
        <w:keepLines w:val="0"/>
        <w:kinsoku/>
        <w:wordWrap/>
        <w:overflowPunct/>
        <w:topLinePunct w:val="0"/>
        <w:bidi w:val="0"/>
        <w:spacing w:beforeAutospacing="0" w:afterAutospacing="0" w:line="440" w:lineRule="atLeast"/>
        <w:ind w:left="840" w:leftChars="0" w:right="0" w:rightChars="0" w:hanging="840" w:hangingChars="4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填表要求：</w:t>
      </w:r>
    </w:p>
    <w:p w14:paraId="4346465F">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1、响应栏内空白及打“√”表示完全响应；打“×”视为偏离，请在“商务条款偏离情况说明”栏中扼要说明偏离情况。</w:t>
      </w:r>
    </w:p>
    <w:p w14:paraId="4FC4159A">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2、若上述商务条款内容与“采购项目商务要求”列述不一致时，均以“采购项目商务要求”详细内容为准。</w:t>
      </w:r>
    </w:p>
    <w:p w14:paraId="70A44D43">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3、本表内容不得擅自删改。</w:t>
      </w:r>
    </w:p>
    <w:p w14:paraId="7D7F0848">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p>
    <w:p w14:paraId="308B1A9C">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jc w:val="righ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供应商名称：</w:t>
      </w:r>
      <w:r>
        <w:rPr>
          <w:rFonts w:hint="default" w:ascii="Times New Roman" w:hAnsi="Times New Roman" w:cs="Times New Roman" w:eastAsiaTheme="minorEastAsia"/>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eastAsia="zh-CN"/>
        </w:rPr>
        <w:t>单位名称</w:t>
      </w:r>
      <w:r>
        <w:rPr>
          <w:rFonts w:hint="default" w:ascii="Times New Roman" w:hAnsi="Times New Roman" w:cs="Times New Roman" w:eastAsiaTheme="minorEastAsia"/>
          <w:color w:val="auto"/>
          <w:sz w:val="21"/>
          <w:szCs w:val="21"/>
          <w:highlight w:val="none"/>
          <w:u w:val="single"/>
        </w:rPr>
        <w:t xml:space="preserve">全称）                </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lang w:val="zh-CN"/>
        </w:rPr>
        <w:t>加盖供应商公章</w:t>
      </w:r>
      <w:r>
        <w:rPr>
          <w:rFonts w:hint="default" w:ascii="Times New Roman" w:hAnsi="Times New Roman" w:cs="Times New Roman" w:eastAsiaTheme="minorEastAsia"/>
          <w:color w:val="auto"/>
          <w:sz w:val="21"/>
          <w:szCs w:val="21"/>
          <w:highlight w:val="none"/>
        </w:rPr>
        <w:t>）</w:t>
      </w:r>
    </w:p>
    <w:p w14:paraId="2E528042">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right"/>
        <w:textAlignment w:val="auto"/>
        <w:rPr>
          <w:rFonts w:hint="default" w:ascii="Times New Roman" w:hAnsi="Times New Roman" w:cs="Times New Roman" w:eastAsiaTheme="minorEastAsia"/>
          <w:color w:val="auto"/>
          <w:sz w:val="21"/>
          <w:szCs w:val="21"/>
          <w:highlight w:val="none"/>
          <w:u w:val="single"/>
        </w:rPr>
      </w:pPr>
      <w:r>
        <w:rPr>
          <w:rFonts w:hint="default" w:ascii="Times New Roman" w:hAnsi="Times New Roman" w:cs="Times New Roman" w:eastAsiaTheme="minorEastAsia"/>
          <w:b w:val="0"/>
          <w:bCs/>
          <w:color w:val="auto"/>
          <w:sz w:val="21"/>
          <w:szCs w:val="21"/>
          <w:highlight w:val="none"/>
        </w:rPr>
        <w:t>日期：</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年</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月</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日</w:t>
      </w:r>
    </w:p>
    <w:p w14:paraId="277E3F5D">
      <w:pPr>
        <w:keepNext w:val="0"/>
        <w:keepLines w:val="0"/>
        <w:pageBreakBefore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sz w:val="21"/>
          <w:szCs w:val="21"/>
          <w:highlight w:val="none"/>
        </w:rPr>
      </w:pPr>
    </w:p>
    <w:p w14:paraId="0B42AF35">
      <w:pPr>
        <w:keepLines w:val="0"/>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color w:val="auto"/>
          <w:sz w:val="36"/>
          <w:szCs w:val="36"/>
          <w:highlight w:val="none"/>
        </w:rPr>
      </w:pPr>
      <w:r>
        <w:rPr>
          <w:rFonts w:hint="default" w:ascii="Times New Roman" w:hAnsi="Times New Roman" w:cs="Times New Roman" w:eastAsiaTheme="minorEastAsia"/>
          <w:b/>
          <w:color w:val="auto"/>
          <w:sz w:val="36"/>
          <w:szCs w:val="36"/>
          <w:highlight w:val="none"/>
        </w:rPr>
        <w:br w:type="page"/>
      </w:r>
      <w:bookmarkStart w:id="223" w:name="_企业综合概况与实施方案"/>
      <w:bookmarkEnd w:id="223"/>
      <w:bookmarkStart w:id="224" w:name="_Toc13404"/>
      <w:bookmarkStart w:id="225" w:name="_Toc18968"/>
      <w:bookmarkStart w:id="226" w:name="_Toc13946"/>
      <w:bookmarkStart w:id="227" w:name="_Toc26351"/>
      <w:bookmarkStart w:id="228" w:name="_Toc419106576"/>
      <w:r>
        <w:rPr>
          <w:rFonts w:hint="default" w:ascii="Times New Roman" w:hAnsi="Times New Roman" w:cs="Times New Roman" w:eastAsiaTheme="minorEastAsia"/>
          <w:b/>
          <w:color w:val="auto"/>
          <w:sz w:val="36"/>
          <w:szCs w:val="36"/>
          <w:highlight w:val="none"/>
        </w:rPr>
        <w:t>3.2</w:t>
      </w:r>
      <w:r>
        <w:rPr>
          <w:rFonts w:hint="default" w:ascii="Times New Roman" w:hAnsi="Times New Roman" w:cs="Times New Roman" w:eastAsiaTheme="minorEastAsia"/>
          <w:b/>
          <w:bCs/>
          <w:color w:val="auto"/>
          <w:sz w:val="36"/>
          <w:szCs w:val="36"/>
          <w:highlight w:val="none"/>
        </w:rPr>
        <w:t>综合概况</w:t>
      </w:r>
      <w:bookmarkEnd w:id="217"/>
      <w:bookmarkEnd w:id="218"/>
      <w:bookmarkEnd w:id="219"/>
      <w:bookmarkEnd w:id="220"/>
      <w:bookmarkEnd w:id="221"/>
      <w:r>
        <w:rPr>
          <w:rFonts w:hint="default" w:ascii="Times New Roman" w:hAnsi="Times New Roman" w:cs="Times New Roman" w:eastAsiaTheme="minorEastAsia"/>
          <w:b/>
          <w:bCs/>
          <w:color w:val="auto"/>
          <w:sz w:val="36"/>
          <w:szCs w:val="36"/>
          <w:highlight w:val="none"/>
        </w:rPr>
        <w:t>与实施方案</w:t>
      </w:r>
      <w:bookmarkEnd w:id="224"/>
      <w:bookmarkEnd w:id="225"/>
      <w:bookmarkEnd w:id="226"/>
      <w:bookmarkEnd w:id="227"/>
      <w:bookmarkEnd w:id="228"/>
    </w:p>
    <w:p w14:paraId="63410891">
      <w:pPr>
        <w:pStyle w:val="46"/>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32"/>
          <w:szCs w:val="32"/>
          <w:highlight w:val="none"/>
        </w:rPr>
      </w:pPr>
    </w:p>
    <w:p w14:paraId="7FF8B090">
      <w:pPr>
        <w:keepLines w:val="0"/>
        <w:numPr>
          <w:ilvl w:val="0"/>
          <w:numId w:val="13"/>
        </w:numPr>
        <w:tabs>
          <w:tab w:val="left" w:pos="220"/>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rPr>
        <w:t>基本概况</w:t>
      </w:r>
    </w:p>
    <w:p w14:paraId="56FB9D4B">
      <w:pPr>
        <w:keepLines w:val="0"/>
        <w:numPr>
          <w:ilvl w:val="1"/>
          <w:numId w:val="13"/>
        </w:numPr>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文字描述主要内容</w:t>
      </w:r>
    </w:p>
    <w:p w14:paraId="7695CF9C">
      <w:pPr>
        <w:keepLines w:val="0"/>
        <w:numPr>
          <w:ilvl w:val="0"/>
          <w:numId w:val="14"/>
        </w:numPr>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单位性质；发展历程；经营规模及服务理念。</w:t>
      </w:r>
    </w:p>
    <w:p w14:paraId="0E56ED94">
      <w:pPr>
        <w:keepLines w:val="0"/>
        <w:numPr>
          <w:ilvl w:val="0"/>
          <w:numId w:val="14"/>
        </w:numPr>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主营产品专业服务优势和特点。</w:t>
      </w:r>
    </w:p>
    <w:p w14:paraId="50FC67DB">
      <w:pPr>
        <w:keepLines w:val="0"/>
        <w:numPr>
          <w:ilvl w:val="0"/>
          <w:numId w:val="14"/>
        </w:numPr>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专业能力和服务力量配置等。</w:t>
      </w:r>
    </w:p>
    <w:p w14:paraId="7E315306">
      <w:pPr>
        <w:pStyle w:val="47"/>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p>
    <w:p w14:paraId="466A18CE">
      <w:pPr>
        <w:pStyle w:val="48"/>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sectPr>
          <w:pgSz w:w="11906" w:h="16838"/>
          <w:pgMar w:top="1134" w:right="1134" w:bottom="1134" w:left="1587" w:header="567" w:footer="737" w:gutter="0"/>
          <w:pgBorders>
            <w:top w:val="none" w:sz="0" w:space="0"/>
            <w:left w:val="none" w:sz="0" w:space="0"/>
            <w:bottom w:val="none" w:sz="0" w:space="0"/>
            <w:right w:val="none" w:sz="0" w:space="0"/>
          </w:pgBorders>
          <w:pgNumType w:fmt="decimal"/>
          <w:cols w:space="720" w:num="1"/>
          <w:docGrid w:linePitch="312" w:charSpace="0"/>
        </w:sectPr>
      </w:pPr>
    </w:p>
    <w:p w14:paraId="09CF5329">
      <w:pPr>
        <w:keepNext w:val="0"/>
        <w:keepLines w:val="0"/>
        <w:pageBreakBefore w:val="0"/>
        <w:widowControl w:val="0"/>
        <w:numPr>
          <w:ilvl w:val="0"/>
          <w:numId w:val="13"/>
        </w:numPr>
        <w:tabs>
          <w:tab w:val="left" w:pos="540"/>
        </w:tabs>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rPr>
        <w:t>管理体系认证</w:t>
      </w:r>
    </w:p>
    <w:p w14:paraId="34E8DB81">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u w:val="double"/>
        </w:rPr>
        <w:t>本表附件</w:t>
      </w:r>
      <w:r>
        <w:rPr>
          <w:rFonts w:hint="default" w:ascii="Times New Roman" w:hAnsi="Times New Roman" w:cs="Times New Roman" w:eastAsiaTheme="minorEastAsia"/>
          <w:b/>
          <w:color w:val="auto"/>
          <w:highlight w:val="none"/>
        </w:rPr>
        <w:t>：提供</w:t>
      </w:r>
      <w:r>
        <w:rPr>
          <w:rFonts w:hint="default" w:ascii="Times New Roman" w:hAnsi="Times New Roman" w:cs="Times New Roman" w:eastAsiaTheme="minorEastAsia"/>
          <w:b/>
          <w:bCs/>
          <w:color w:val="auto"/>
          <w:highlight w:val="none"/>
        </w:rPr>
        <w:t>评分标准中要求的证明资料。</w:t>
      </w:r>
    </w:p>
    <w:p w14:paraId="1473BE63">
      <w:pPr>
        <w:pStyle w:val="2"/>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sz w:val="48"/>
          <w:szCs w:val="48"/>
          <w:highlight w:val="none"/>
        </w:rPr>
      </w:pPr>
    </w:p>
    <w:p w14:paraId="051EEEC4">
      <w:pPr>
        <w:keepNext w:val="0"/>
        <w:keepLines w:val="0"/>
        <w:pageBreakBefore w:val="0"/>
        <w:widowControl w:val="0"/>
        <w:numPr>
          <w:ilvl w:val="0"/>
          <w:numId w:val="13"/>
        </w:numPr>
        <w:tabs>
          <w:tab w:val="left" w:pos="540"/>
        </w:tabs>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rPr>
        <w:t>拟派的项目经理和人员证书情况</w:t>
      </w:r>
    </w:p>
    <w:p w14:paraId="1E911473">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u w:val="double"/>
        </w:rPr>
        <w:t>本表附件</w:t>
      </w:r>
      <w:r>
        <w:rPr>
          <w:rFonts w:hint="default" w:ascii="Times New Roman" w:hAnsi="Times New Roman" w:cs="Times New Roman" w:eastAsiaTheme="minorEastAsia"/>
          <w:b/>
          <w:color w:val="auto"/>
          <w:highlight w:val="none"/>
        </w:rPr>
        <w:t>：提供</w:t>
      </w:r>
      <w:r>
        <w:rPr>
          <w:rFonts w:hint="default" w:ascii="Times New Roman" w:hAnsi="Times New Roman" w:cs="Times New Roman" w:eastAsiaTheme="minorEastAsia"/>
          <w:b/>
          <w:bCs/>
          <w:color w:val="auto"/>
          <w:highlight w:val="none"/>
        </w:rPr>
        <w:t>评分标准中要求的证明资料。</w:t>
      </w:r>
    </w:p>
    <w:p w14:paraId="47F1D528">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color w:val="auto"/>
          <w:highlight w:val="none"/>
        </w:rPr>
      </w:pPr>
    </w:p>
    <w:p w14:paraId="06FD862D">
      <w:pPr>
        <w:keepNext w:val="0"/>
        <w:keepLines w:val="0"/>
        <w:pageBreakBefore w:val="0"/>
        <w:widowControl w:val="0"/>
        <w:numPr>
          <w:ilvl w:val="0"/>
          <w:numId w:val="13"/>
        </w:numPr>
        <w:tabs>
          <w:tab w:val="left" w:pos="540"/>
        </w:tabs>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rPr>
        <w:t>信息安全保障</w:t>
      </w:r>
    </w:p>
    <w:p w14:paraId="79131486">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b/>
          <w:bCs/>
          <w:color w:val="auto"/>
          <w:kern w:val="2"/>
          <w:sz w:val="21"/>
          <w:szCs w:val="24"/>
          <w:highlight w:val="none"/>
          <w:lang w:val="en-US" w:eastAsia="zh-CN" w:bidi="ar-SA"/>
        </w:rPr>
      </w:pPr>
      <w:r>
        <w:rPr>
          <w:rFonts w:hint="default" w:ascii="Times New Roman" w:hAnsi="Times New Roman" w:cs="Times New Roman" w:eastAsiaTheme="minorEastAsia"/>
          <w:b/>
          <w:bCs/>
          <w:color w:val="auto"/>
          <w:kern w:val="2"/>
          <w:sz w:val="21"/>
          <w:szCs w:val="24"/>
          <w:highlight w:val="none"/>
          <w:u w:val="double"/>
          <w:lang w:val="en-US" w:eastAsia="zh-CN" w:bidi="ar-SA"/>
        </w:rPr>
        <w:t>本表附件</w:t>
      </w:r>
      <w:r>
        <w:rPr>
          <w:rFonts w:hint="default" w:ascii="Times New Roman" w:hAnsi="Times New Roman" w:cs="Times New Roman" w:eastAsiaTheme="minorEastAsia"/>
          <w:b/>
          <w:bCs/>
          <w:color w:val="auto"/>
          <w:kern w:val="2"/>
          <w:sz w:val="21"/>
          <w:szCs w:val="24"/>
          <w:highlight w:val="none"/>
          <w:lang w:val="en-US" w:eastAsia="zh-CN" w:bidi="ar-SA"/>
        </w:rPr>
        <w:t>：提供评分标准中要求的证明资料。</w:t>
      </w:r>
    </w:p>
    <w:p w14:paraId="5CCB2759">
      <w:pPr>
        <w:pStyle w:val="2"/>
        <w:rPr>
          <w:rFonts w:hint="default"/>
          <w:color w:val="auto"/>
          <w:highlight w:val="none"/>
          <w:lang w:val="en-US" w:eastAsia="zh-CN"/>
        </w:rPr>
      </w:pPr>
    </w:p>
    <w:p w14:paraId="1F6EEA90">
      <w:pPr>
        <w:keepNext w:val="0"/>
        <w:keepLines w:val="0"/>
        <w:pageBreakBefore w:val="0"/>
        <w:widowControl w:val="0"/>
        <w:numPr>
          <w:ilvl w:val="0"/>
          <w:numId w:val="13"/>
        </w:numPr>
        <w:tabs>
          <w:tab w:val="left" w:pos="540"/>
        </w:tabs>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rPr>
        <w:t>技术实施能力</w:t>
      </w:r>
    </w:p>
    <w:p w14:paraId="0D467F78">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b/>
          <w:bCs/>
          <w:color w:val="auto"/>
          <w:kern w:val="2"/>
          <w:sz w:val="21"/>
          <w:szCs w:val="24"/>
          <w:highlight w:val="none"/>
          <w:lang w:val="en-US" w:eastAsia="zh-CN" w:bidi="ar-SA"/>
        </w:rPr>
      </w:pPr>
      <w:r>
        <w:rPr>
          <w:rFonts w:hint="default" w:ascii="Times New Roman" w:hAnsi="Times New Roman" w:cs="Times New Roman" w:eastAsiaTheme="minorEastAsia"/>
          <w:b/>
          <w:bCs/>
          <w:color w:val="auto"/>
          <w:kern w:val="2"/>
          <w:sz w:val="21"/>
          <w:szCs w:val="24"/>
          <w:highlight w:val="none"/>
          <w:u w:val="double"/>
          <w:lang w:val="en-US" w:eastAsia="zh-CN" w:bidi="ar-SA"/>
        </w:rPr>
        <w:t>本表附件</w:t>
      </w:r>
      <w:r>
        <w:rPr>
          <w:rFonts w:hint="default" w:ascii="Times New Roman" w:hAnsi="Times New Roman" w:cs="Times New Roman" w:eastAsiaTheme="minorEastAsia"/>
          <w:b/>
          <w:bCs/>
          <w:color w:val="auto"/>
          <w:kern w:val="2"/>
          <w:sz w:val="21"/>
          <w:szCs w:val="24"/>
          <w:highlight w:val="none"/>
          <w:lang w:val="en-US" w:eastAsia="zh-CN" w:bidi="ar-SA"/>
        </w:rPr>
        <w:t>：提供评分标准中要求的证明资料。</w:t>
      </w:r>
    </w:p>
    <w:p w14:paraId="13898E72">
      <w:pPr>
        <w:pStyle w:val="2"/>
        <w:rPr>
          <w:rFonts w:hint="default"/>
          <w:color w:val="auto"/>
          <w:highlight w:val="none"/>
          <w:lang w:val="en-US" w:eastAsia="zh-CN"/>
        </w:rPr>
      </w:pPr>
    </w:p>
    <w:p w14:paraId="10BA2C3F">
      <w:pPr>
        <w:keepNext w:val="0"/>
        <w:keepLines w:val="0"/>
        <w:pageBreakBefore w:val="0"/>
        <w:widowControl w:val="0"/>
        <w:numPr>
          <w:ilvl w:val="0"/>
          <w:numId w:val="13"/>
        </w:numPr>
        <w:tabs>
          <w:tab w:val="left" w:pos="540"/>
        </w:tabs>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rPr>
        <w:t>配套服务软件能力</w:t>
      </w:r>
    </w:p>
    <w:p w14:paraId="07C6AA7D">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b/>
          <w:bCs/>
          <w:color w:val="auto"/>
          <w:kern w:val="2"/>
          <w:sz w:val="21"/>
          <w:szCs w:val="24"/>
          <w:highlight w:val="none"/>
          <w:lang w:val="en-US" w:eastAsia="zh-CN" w:bidi="ar-SA"/>
        </w:rPr>
      </w:pPr>
      <w:r>
        <w:rPr>
          <w:rFonts w:hint="default" w:ascii="Times New Roman" w:hAnsi="Times New Roman" w:cs="Times New Roman" w:eastAsiaTheme="minorEastAsia"/>
          <w:b/>
          <w:bCs/>
          <w:color w:val="auto"/>
          <w:kern w:val="2"/>
          <w:sz w:val="21"/>
          <w:szCs w:val="24"/>
          <w:highlight w:val="none"/>
          <w:u w:val="double"/>
          <w:lang w:val="en-US" w:eastAsia="zh-CN" w:bidi="ar-SA"/>
        </w:rPr>
        <w:t>本表附件</w:t>
      </w:r>
      <w:r>
        <w:rPr>
          <w:rFonts w:hint="default" w:ascii="Times New Roman" w:hAnsi="Times New Roman" w:cs="Times New Roman" w:eastAsiaTheme="minorEastAsia"/>
          <w:b/>
          <w:bCs/>
          <w:color w:val="auto"/>
          <w:kern w:val="2"/>
          <w:sz w:val="21"/>
          <w:szCs w:val="24"/>
          <w:highlight w:val="none"/>
          <w:lang w:val="en-US" w:eastAsia="zh-CN" w:bidi="ar-SA"/>
        </w:rPr>
        <w:t>：提供评分标准中要求的证明资料。</w:t>
      </w:r>
    </w:p>
    <w:p w14:paraId="62EE80F4">
      <w:pPr>
        <w:pStyle w:val="2"/>
        <w:rPr>
          <w:rFonts w:hint="default"/>
          <w:color w:val="auto"/>
          <w:highlight w:val="none"/>
          <w:lang w:val="en-US" w:eastAsia="zh-CN"/>
        </w:rPr>
      </w:pPr>
    </w:p>
    <w:p w14:paraId="5E95EFCA">
      <w:pPr>
        <w:keepNext w:val="0"/>
        <w:keepLines w:val="0"/>
        <w:pageBreakBefore w:val="0"/>
        <w:widowControl w:val="0"/>
        <w:numPr>
          <w:ilvl w:val="0"/>
          <w:numId w:val="13"/>
        </w:numPr>
        <w:tabs>
          <w:tab w:val="left" w:pos="540"/>
        </w:tabs>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rPr>
        <w:t>服务响应承诺</w:t>
      </w:r>
    </w:p>
    <w:p w14:paraId="16D293C3">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b/>
          <w:bCs/>
          <w:color w:val="auto"/>
          <w:kern w:val="2"/>
          <w:sz w:val="21"/>
          <w:szCs w:val="24"/>
          <w:highlight w:val="none"/>
          <w:lang w:val="en-US" w:eastAsia="zh-CN" w:bidi="ar-SA"/>
        </w:rPr>
      </w:pPr>
      <w:r>
        <w:rPr>
          <w:rFonts w:hint="default" w:ascii="Times New Roman" w:hAnsi="Times New Roman" w:cs="Times New Roman" w:eastAsiaTheme="minorEastAsia"/>
          <w:b/>
          <w:bCs/>
          <w:color w:val="auto"/>
          <w:kern w:val="2"/>
          <w:sz w:val="21"/>
          <w:szCs w:val="24"/>
          <w:highlight w:val="none"/>
          <w:u w:val="double"/>
          <w:lang w:val="en-US" w:eastAsia="zh-CN" w:bidi="ar-SA"/>
        </w:rPr>
        <w:t>本表附件</w:t>
      </w:r>
      <w:r>
        <w:rPr>
          <w:rFonts w:hint="default" w:ascii="Times New Roman" w:hAnsi="Times New Roman" w:cs="Times New Roman" w:eastAsiaTheme="minorEastAsia"/>
          <w:b/>
          <w:bCs/>
          <w:color w:val="auto"/>
          <w:kern w:val="2"/>
          <w:sz w:val="21"/>
          <w:szCs w:val="24"/>
          <w:highlight w:val="none"/>
          <w:lang w:val="en-US" w:eastAsia="zh-CN" w:bidi="ar-SA"/>
        </w:rPr>
        <w:t>：提供评分标准中要求的证明资料。</w:t>
      </w:r>
    </w:p>
    <w:p w14:paraId="0F51BC79">
      <w:pPr>
        <w:pStyle w:val="2"/>
        <w:rPr>
          <w:rFonts w:hint="default"/>
          <w:color w:val="auto"/>
          <w:highlight w:val="none"/>
          <w:lang w:val="en-US" w:eastAsia="zh-CN"/>
        </w:rPr>
      </w:pPr>
    </w:p>
    <w:p w14:paraId="415F6B66">
      <w:pPr>
        <w:keepNext w:val="0"/>
        <w:keepLines w:val="0"/>
        <w:pageBreakBefore w:val="0"/>
        <w:widowControl w:val="0"/>
        <w:numPr>
          <w:ilvl w:val="0"/>
          <w:numId w:val="13"/>
        </w:numPr>
        <w:tabs>
          <w:tab w:val="left" w:pos="540"/>
        </w:tabs>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rPr>
        <w:t>类似业绩</w:t>
      </w:r>
    </w:p>
    <w:tbl>
      <w:tblPr>
        <w:tblStyle w:val="18"/>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953"/>
        <w:gridCol w:w="2713"/>
        <w:gridCol w:w="2155"/>
        <w:gridCol w:w="1408"/>
        <w:gridCol w:w="1386"/>
      </w:tblGrid>
      <w:tr w14:paraId="05AB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jc w:val="center"/>
        </w:trPr>
        <w:tc>
          <w:tcPr>
            <w:tcW w:w="583" w:type="dxa"/>
            <w:shd w:val="clear" w:color="auto" w:fill="F3F3F3"/>
            <w:noWrap w:val="0"/>
            <w:vAlign w:val="center"/>
          </w:tcPr>
          <w:p w14:paraId="4C20C1CF">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1953" w:type="dxa"/>
            <w:shd w:val="clear" w:color="auto" w:fill="F3F3F3"/>
            <w:noWrap w:val="0"/>
            <w:vAlign w:val="center"/>
          </w:tcPr>
          <w:p w14:paraId="054D7F1C">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客户单位名称</w:t>
            </w:r>
          </w:p>
        </w:tc>
        <w:tc>
          <w:tcPr>
            <w:tcW w:w="2713" w:type="dxa"/>
            <w:shd w:val="clear" w:color="auto" w:fill="F3F3F3"/>
            <w:noWrap w:val="0"/>
            <w:vAlign w:val="center"/>
          </w:tcPr>
          <w:p w14:paraId="39A7CB59">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项目名称</w:t>
            </w:r>
          </w:p>
        </w:tc>
        <w:tc>
          <w:tcPr>
            <w:tcW w:w="2155" w:type="dxa"/>
            <w:shd w:val="clear" w:color="auto" w:fill="F3F3F3"/>
            <w:noWrap w:val="0"/>
            <w:vAlign w:val="center"/>
          </w:tcPr>
          <w:p w14:paraId="58AF8C0E">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合同金额（万元）</w:t>
            </w:r>
          </w:p>
        </w:tc>
        <w:tc>
          <w:tcPr>
            <w:tcW w:w="1408" w:type="dxa"/>
            <w:shd w:val="clear" w:color="auto" w:fill="F3F3F3"/>
            <w:noWrap w:val="0"/>
            <w:vAlign w:val="center"/>
          </w:tcPr>
          <w:p w14:paraId="78E52C17">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签订时间</w:t>
            </w:r>
          </w:p>
        </w:tc>
        <w:tc>
          <w:tcPr>
            <w:tcW w:w="1386" w:type="dxa"/>
            <w:shd w:val="clear" w:color="auto" w:fill="F3F3F3"/>
            <w:noWrap w:val="0"/>
            <w:vAlign w:val="center"/>
          </w:tcPr>
          <w:p w14:paraId="01BDCACB">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联系人及电话</w:t>
            </w:r>
          </w:p>
        </w:tc>
      </w:tr>
      <w:tr w14:paraId="1CF7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3" w:type="dxa"/>
            <w:noWrap w:val="0"/>
            <w:vAlign w:val="center"/>
          </w:tcPr>
          <w:p w14:paraId="261B6CDD">
            <w:pPr>
              <w:keepNext w:val="0"/>
              <w:keepLines w:val="0"/>
              <w:pageBreakBefore w:val="0"/>
              <w:widowControl w:val="0"/>
              <w:numPr>
                <w:ilvl w:val="0"/>
                <w:numId w:val="15"/>
              </w:numPr>
              <w:tabs>
                <w:tab w:val="left" w:pos="180"/>
              </w:tabs>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c>
          <w:tcPr>
            <w:tcW w:w="1953" w:type="dxa"/>
            <w:noWrap w:val="0"/>
            <w:vAlign w:val="center"/>
          </w:tcPr>
          <w:p w14:paraId="3B103F33">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c>
          <w:tcPr>
            <w:tcW w:w="2713" w:type="dxa"/>
            <w:noWrap w:val="0"/>
            <w:vAlign w:val="center"/>
          </w:tcPr>
          <w:p w14:paraId="73434408">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c>
          <w:tcPr>
            <w:tcW w:w="2155" w:type="dxa"/>
            <w:noWrap w:val="0"/>
            <w:vAlign w:val="center"/>
          </w:tcPr>
          <w:p w14:paraId="12195244">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c>
          <w:tcPr>
            <w:tcW w:w="1408" w:type="dxa"/>
            <w:noWrap w:val="0"/>
            <w:vAlign w:val="center"/>
          </w:tcPr>
          <w:p w14:paraId="56338317">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c>
          <w:tcPr>
            <w:tcW w:w="1386" w:type="dxa"/>
            <w:noWrap w:val="0"/>
            <w:vAlign w:val="center"/>
          </w:tcPr>
          <w:p w14:paraId="3F594888">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r>
      <w:tr w14:paraId="093A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3" w:type="dxa"/>
            <w:noWrap w:val="0"/>
            <w:vAlign w:val="center"/>
          </w:tcPr>
          <w:p w14:paraId="16BB7061">
            <w:pPr>
              <w:keepNext w:val="0"/>
              <w:keepLines w:val="0"/>
              <w:pageBreakBefore w:val="0"/>
              <w:widowControl w:val="0"/>
              <w:numPr>
                <w:ilvl w:val="0"/>
                <w:numId w:val="15"/>
              </w:numPr>
              <w:tabs>
                <w:tab w:val="left" w:pos="180"/>
              </w:tabs>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c>
          <w:tcPr>
            <w:tcW w:w="1953" w:type="dxa"/>
            <w:noWrap w:val="0"/>
            <w:vAlign w:val="center"/>
          </w:tcPr>
          <w:p w14:paraId="3290619B">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c>
          <w:tcPr>
            <w:tcW w:w="2713" w:type="dxa"/>
            <w:noWrap w:val="0"/>
            <w:vAlign w:val="center"/>
          </w:tcPr>
          <w:p w14:paraId="2C52F666">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c>
          <w:tcPr>
            <w:tcW w:w="2155" w:type="dxa"/>
            <w:noWrap w:val="0"/>
            <w:vAlign w:val="center"/>
          </w:tcPr>
          <w:p w14:paraId="09CCFD0B">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c>
          <w:tcPr>
            <w:tcW w:w="1408" w:type="dxa"/>
            <w:noWrap w:val="0"/>
            <w:vAlign w:val="center"/>
          </w:tcPr>
          <w:p w14:paraId="19B4D171">
            <w:pPr>
              <w:pStyle w:val="43"/>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highlight w:val="none"/>
              </w:rPr>
            </w:pPr>
          </w:p>
        </w:tc>
        <w:tc>
          <w:tcPr>
            <w:tcW w:w="1386" w:type="dxa"/>
            <w:noWrap w:val="0"/>
            <w:vAlign w:val="center"/>
          </w:tcPr>
          <w:p w14:paraId="08D623CE">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r>
    </w:tbl>
    <w:p w14:paraId="466B98F4">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b/>
          <w:bCs/>
          <w:color w:val="auto"/>
          <w:kern w:val="2"/>
          <w:sz w:val="21"/>
          <w:szCs w:val="24"/>
          <w:highlight w:val="none"/>
          <w:lang w:val="en-US" w:eastAsia="zh-CN" w:bidi="ar-SA"/>
        </w:rPr>
      </w:pPr>
      <w:r>
        <w:rPr>
          <w:rFonts w:hint="default" w:ascii="Times New Roman" w:hAnsi="Times New Roman" w:cs="Times New Roman" w:eastAsiaTheme="minorEastAsia"/>
          <w:b/>
          <w:bCs/>
          <w:color w:val="auto"/>
          <w:kern w:val="2"/>
          <w:sz w:val="21"/>
          <w:szCs w:val="24"/>
          <w:highlight w:val="none"/>
          <w:u w:val="double"/>
          <w:lang w:val="en-US" w:eastAsia="zh-CN" w:bidi="ar-SA"/>
        </w:rPr>
        <w:t>本表附件</w:t>
      </w:r>
      <w:r>
        <w:rPr>
          <w:rFonts w:hint="default" w:ascii="Times New Roman" w:hAnsi="Times New Roman" w:cs="Times New Roman" w:eastAsiaTheme="minorEastAsia"/>
          <w:b/>
          <w:bCs/>
          <w:color w:val="auto"/>
          <w:kern w:val="2"/>
          <w:sz w:val="21"/>
          <w:szCs w:val="24"/>
          <w:highlight w:val="none"/>
          <w:lang w:val="en-US" w:eastAsia="zh-CN" w:bidi="ar-SA"/>
        </w:rPr>
        <w:t>：提供评分标准中要求的证明资料。</w:t>
      </w:r>
    </w:p>
    <w:p w14:paraId="7AC27B90">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imes New Roman" w:hAnsi="Times New Roman" w:cs="Times New Roman" w:eastAsiaTheme="minorEastAsia"/>
          <w:color w:val="auto"/>
          <w:sz w:val="48"/>
          <w:szCs w:val="48"/>
          <w:highlight w:val="none"/>
        </w:rPr>
      </w:pPr>
    </w:p>
    <w:p w14:paraId="0072F164">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outlineLvl w:val="9"/>
        <w:rPr>
          <w:rFonts w:hint="default" w:asciiTheme="minorHAnsi" w:hAnsiTheme="minorHAnsi" w:eastAsiaTheme="minorEastAsia" w:cstheme="minorBidi"/>
          <w:color w:val="auto"/>
          <w:highlight w:val="none"/>
        </w:rPr>
      </w:pPr>
    </w:p>
    <w:p w14:paraId="71643A01">
      <w:pPr>
        <w:keepNext w:val="0"/>
        <w:keepLines w:val="0"/>
        <w:pageBreakBefore w:val="0"/>
        <w:widowControl w:val="0"/>
        <w:numPr>
          <w:ilvl w:val="0"/>
          <w:numId w:val="13"/>
        </w:numPr>
        <w:tabs>
          <w:tab w:val="left" w:pos="540"/>
        </w:tabs>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rPr>
        <w:t>其它材料</w:t>
      </w:r>
    </w:p>
    <w:p w14:paraId="04FEB4ED">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highlight w:val="none"/>
        </w:rPr>
        <w:sectPr>
          <w:pgSz w:w="11906" w:h="16838"/>
          <w:pgMar w:top="1134" w:right="1134" w:bottom="1134" w:left="1587" w:header="567" w:footer="737" w:gutter="0"/>
          <w:pgBorders>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cs="Times New Roman" w:eastAsiaTheme="minorEastAsia"/>
          <w:color w:val="auto"/>
          <w:highlight w:val="none"/>
        </w:rPr>
        <w:t>（供应商根据自身实际情况进行提供，内容包括但不限于：需要向磋商小组如实告知的重要事项、重要补充承诺等)</w:t>
      </w:r>
      <w:bookmarkStart w:id="229" w:name="_投标报价汇总表"/>
      <w:bookmarkEnd w:id="229"/>
    </w:p>
    <w:p w14:paraId="25450603">
      <w:pPr>
        <w:keepLines w:val="0"/>
        <w:kinsoku/>
        <w:wordWrap/>
        <w:overflowPunct/>
        <w:topLinePunct w:val="0"/>
        <w:bidi w:val="0"/>
        <w:spacing w:beforeAutospacing="0" w:afterAutospacing="0" w:line="440" w:lineRule="atLeast"/>
        <w:ind w:left="0" w:leftChars="0" w:right="0" w:rightChars="0"/>
        <w:jc w:val="center"/>
        <w:outlineLvl w:val="0"/>
        <w:rPr>
          <w:rFonts w:hint="default" w:ascii="Times New Roman" w:hAnsi="Times New Roman" w:cs="Times New Roman" w:eastAsiaTheme="minorEastAsia"/>
          <w:b/>
          <w:color w:val="auto"/>
          <w:sz w:val="36"/>
          <w:szCs w:val="36"/>
          <w:highlight w:val="none"/>
        </w:rPr>
        <w:sectPr>
          <w:headerReference r:id="rId5" w:type="default"/>
          <w:pgSz w:w="11906" w:h="16838"/>
          <w:pgMar w:top="1134" w:right="1134" w:bottom="1134" w:left="1587" w:header="567" w:footer="737" w:gutter="0"/>
          <w:pgBorders>
            <w:top w:val="none" w:sz="0" w:space="0"/>
            <w:left w:val="none" w:sz="0" w:space="0"/>
            <w:bottom w:val="none" w:sz="0" w:space="0"/>
            <w:right w:val="none" w:sz="0" w:space="0"/>
          </w:pgBorders>
          <w:pgNumType w:fmt="decimal"/>
          <w:cols w:space="720" w:num="1"/>
          <w:docGrid w:linePitch="312" w:charSpace="0"/>
        </w:sectPr>
      </w:pPr>
      <w:bookmarkStart w:id="230" w:name="_投标报价汇总表_1"/>
      <w:bookmarkEnd w:id="230"/>
      <w:bookmarkStart w:id="231" w:name="_Toc8467"/>
      <w:bookmarkStart w:id="232" w:name="_Toc18982"/>
      <w:r>
        <w:rPr>
          <w:rFonts w:hint="default" w:ascii="Times New Roman" w:hAnsi="Times New Roman" w:cs="Times New Roman" w:eastAsiaTheme="minorEastAsia"/>
          <w:b/>
          <w:bCs/>
          <w:color w:val="auto"/>
          <w:sz w:val="36"/>
          <w:szCs w:val="36"/>
          <w:highlight w:val="none"/>
        </w:rPr>
        <w:fldChar w:fldCharType="begin"/>
      </w:r>
      <w:r>
        <w:rPr>
          <w:rFonts w:hint="default" w:ascii="Times New Roman" w:hAnsi="Times New Roman" w:cs="Times New Roman" w:eastAsiaTheme="minorEastAsia"/>
          <w:b/>
          <w:bCs/>
          <w:color w:val="auto"/>
          <w:sz w:val="36"/>
          <w:szCs w:val="36"/>
          <w:highlight w:val="none"/>
        </w:rPr>
        <w:instrText xml:space="preserve"> HYPERLINK  \l "_投标文件目录" </w:instrText>
      </w:r>
      <w:r>
        <w:rPr>
          <w:rFonts w:hint="default" w:ascii="Times New Roman" w:hAnsi="Times New Roman" w:cs="Times New Roman" w:eastAsiaTheme="minorEastAsia"/>
          <w:b/>
          <w:bCs/>
          <w:color w:val="auto"/>
          <w:sz w:val="36"/>
          <w:szCs w:val="36"/>
          <w:highlight w:val="none"/>
        </w:rPr>
        <w:fldChar w:fldCharType="separate"/>
      </w:r>
      <w:r>
        <w:rPr>
          <w:rFonts w:hint="default" w:ascii="Times New Roman" w:hAnsi="Times New Roman" w:cs="Times New Roman" w:eastAsiaTheme="minorEastAsia"/>
          <w:b/>
          <w:bCs/>
          <w:color w:val="auto"/>
          <w:sz w:val="36"/>
          <w:szCs w:val="36"/>
          <w:highlight w:val="none"/>
        </w:rPr>
        <w:t>第四章  技术部分</w:t>
      </w:r>
      <w:r>
        <w:rPr>
          <w:rFonts w:hint="default" w:ascii="Times New Roman" w:hAnsi="Times New Roman" w:cs="Times New Roman" w:eastAsiaTheme="minorEastAsia"/>
          <w:b/>
          <w:bCs/>
          <w:color w:val="auto"/>
          <w:sz w:val="36"/>
          <w:szCs w:val="36"/>
          <w:highlight w:val="none"/>
        </w:rPr>
        <w:fldChar w:fldCharType="end"/>
      </w:r>
      <w:bookmarkEnd w:id="231"/>
      <w:bookmarkEnd w:id="232"/>
    </w:p>
    <w:bookmarkEnd w:id="74"/>
    <w:bookmarkEnd w:id="75"/>
    <w:bookmarkEnd w:id="76"/>
    <w:bookmarkEnd w:id="77"/>
    <w:bookmarkEnd w:id="78"/>
    <w:p w14:paraId="12C497E4">
      <w:pPr>
        <w:keepLines w:val="0"/>
        <w:pageBreakBefore/>
        <w:numPr>
          <w:ilvl w:val="0"/>
          <w:numId w:val="16"/>
        </w:numPr>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sz w:val="36"/>
          <w:szCs w:val="36"/>
          <w:highlight w:val="none"/>
        </w:rPr>
      </w:pPr>
      <w:bookmarkStart w:id="233" w:name="_方案设计与组织实施"/>
      <w:bookmarkEnd w:id="233"/>
      <w:bookmarkStart w:id="234" w:name="_组织实施方案"/>
      <w:bookmarkEnd w:id="234"/>
      <w:bookmarkStart w:id="235" w:name="_Toc108234924"/>
      <w:bookmarkStart w:id="236" w:name="_Toc136682924"/>
      <w:bookmarkStart w:id="237" w:name="_Toc119321159"/>
      <w:bookmarkStart w:id="238" w:name="_Toc4253"/>
      <w:bookmarkStart w:id="239" w:name="_Toc136662948"/>
      <w:bookmarkStart w:id="240" w:name="_Toc23802"/>
      <w:bookmarkStart w:id="241" w:name="_Toc24333"/>
      <w:bookmarkStart w:id="242" w:name="_Toc37670367"/>
      <w:bookmarkStart w:id="243" w:name="_Toc49329271"/>
      <w:bookmarkStart w:id="244" w:name="_Toc419106585"/>
      <w:bookmarkStart w:id="245" w:name="_Toc325031962"/>
      <w:bookmarkStart w:id="246" w:name="_Toc373767222"/>
      <w:bookmarkStart w:id="247" w:name="_Toc37670374"/>
      <w:bookmarkStart w:id="248" w:name="_Toc10384"/>
      <w:bookmarkStart w:id="249" w:name="_Toc310519907"/>
      <w:bookmarkStart w:id="250" w:name="_Toc49329275"/>
      <w:r>
        <w:rPr>
          <w:rFonts w:hint="default" w:ascii="Times New Roman" w:hAnsi="Times New Roman" w:cs="Times New Roman" w:eastAsiaTheme="minorEastAsia"/>
          <w:b/>
          <w:bCs/>
          <w:color w:val="auto"/>
          <w:sz w:val="36"/>
          <w:szCs w:val="36"/>
          <w:highlight w:val="none"/>
        </w:rPr>
        <w:fldChar w:fldCharType="begin"/>
      </w:r>
      <w:r>
        <w:rPr>
          <w:rFonts w:hint="default" w:ascii="Times New Roman" w:hAnsi="Times New Roman" w:cs="Times New Roman" w:eastAsiaTheme="minorEastAsia"/>
          <w:b/>
          <w:bCs/>
          <w:color w:val="auto"/>
          <w:sz w:val="36"/>
          <w:szCs w:val="36"/>
          <w:highlight w:val="none"/>
        </w:rPr>
        <w:instrText xml:space="preserve"> DOCVARIABLE  设备技术响应表开始  \* MERGEFORMAT </w:instrText>
      </w:r>
      <w:r>
        <w:rPr>
          <w:rFonts w:hint="default" w:ascii="Times New Roman" w:hAnsi="Times New Roman" w:cs="Times New Roman" w:eastAsiaTheme="minorEastAsia"/>
          <w:b/>
          <w:bCs/>
          <w:color w:val="auto"/>
          <w:sz w:val="36"/>
          <w:szCs w:val="36"/>
          <w:highlight w:val="none"/>
        </w:rPr>
        <w:fldChar w:fldCharType="separate"/>
      </w:r>
      <w:r>
        <w:rPr>
          <w:rFonts w:hint="default" w:ascii="Times New Roman" w:hAnsi="Times New Roman" w:cs="Times New Roman" w:eastAsiaTheme="minorEastAsia"/>
          <w:b/>
          <w:bCs/>
          <w:color w:val="auto"/>
          <w:sz w:val="36"/>
          <w:szCs w:val="36"/>
          <w:highlight w:val="none"/>
        </w:rPr>
        <w:fldChar w:fldCharType="end"/>
      </w:r>
      <w:bookmarkStart w:id="251" w:name="_Toc419106581"/>
      <w:bookmarkStart w:id="252" w:name="_Toc159385085"/>
      <w:r>
        <w:rPr>
          <w:rFonts w:hint="default" w:ascii="Times New Roman" w:hAnsi="Times New Roman" w:cs="Times New Roman" w:eastAsiaTheme="minorEastAsia"/>
          <w:b/>
          <w:bCs/>
          <w:color w:val="auto"/>
          <w:sz w:val="36"/>
          <w:szCs w:val="36"/>
          <w:highlight w:val="none"/>
        </w:rPr>
        <w:t>技术条款响应表</w:t>
      </w:r>
      <w:bookmarkEnd w:id="235"/>
      <w:bookmarkEnd w:id="236"/>
      <w:bookmarkEnd w:id="237"/>
      <w:bookmarkEnd w:id="238"/>
      <w:bookmarkEnd w:id="239"/>
      <w:bookmarkEnd w:id="240"/>
      <w:bookmarkEnd w:id="241"/>
      <w:bookmarkEnd w:id="251"/>
      <w:bookmarkEnd w:id="252"/>
    </w:p>
    <w:bookmarkEnd w:id="242"/>
    <w:bookmarkEnd w:id="243"/>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14:paraId="4D06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14:paraId="106EB70B">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一、技术参数响应情况</w:t>
            </w:r>
          </w:p>
        </w:tc>
      </w:tr>
      <w:tr w14:paraId="4819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05776EDD">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59E35F14">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主要技术条款</w:t>
            </w:r>
          </w:p>
        </w:tc>
        <w:tc>
          <w:tcPr>
            <w:tcW w:w="179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159A90EA">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是否响应</w:t>
            </w:r>
          </w:p>
        </w:tc>
      </w:tr>
      <w:tr w14:paraId="56E7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A0EBBB8">
            <w:pPr>
              <w:keepNext w:val="0"/>
              <w:keepLines w:val="0"/>
              <w:pageBreakBefore w:val="0"/>
              <w:widowControl w:val="0"/>
              <w:numPr>
                <w:ilvl w:val="0"/>
                <w:numId w:val="17"/>
              </w:numPr>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14:paraId="3E0F7860">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完全理解对服务的各项要求、项目实施效果、实现目标等。</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35F99977">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r>
      <w:tr w14:paraId="6390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124A811">
            <w:pPr>
              <w:keepNext w:val="0"/>
              <w:keepLines w:val="0"/>
              <w:pageBreakBefore w:val="0"/>
              <w:widowControl w:val="0"/>
              <w:numPr>
                <w:ilvl w:val="0"/>
                <w:numId w:val="17"/>
              </w:numPr>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14:paraId="791FB66E">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采购文件中的全部技术条款均能完全响应。</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67A0C641">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r>
      <w:tr w14:paraId="6FFD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903BD47">
            <w:pPr>
              <w:keepNext w:val="0"/>
              <w:keepLines w:val="0"/>
              <w:pageBreakBefore w:val="0"/>
              <w:widowControl w:val="0"/>
              <w:numPr>
                <w:ilvl w:val="0"/>
                <w:numId w:val="17"/>
              </w:numPr>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14:paraId="319B8111">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b/>
                <w:color w:val="auto"/>
                <w:highlight w:val="none"/>
              </w:rPr>
            </w:pPr>
            <w:r>
              <w:rPr>
                <w:rFonts w:hint="eastAsia" w:ascii="Times New Roman" w:hAnsi="Times New Roman" w:cs="Times New Roman"/>
                <w:b/>
                <w:color w:val="auto"/>
                <w:highlight w:val="none"/>
                <w:lang w:eastAsia="zh-CN"/>
              </w:rPr>
              <w:t>采购人</w:t>
            </w:r>
            <w:r>
              <w:rPr>
                <w:rFonts w:hint="default" w:ascii="Times New Roman" w:hAnsi="Times New Roman" w:cs="Times New Roman" w:eastAsiaTheme="minorEastAsia"/>
                <w:b/>
                <w:color w:val="auto"/>
                <w:highlight w:val="none"/>
              </w:rPr>
              <w:t>发布的补充通知中各项技术要求（如有）</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03D49657">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r>
      <w:tr w14:paraId="44C5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169DE65">
            <w:pPr>
              <w:keepNext w:val="0"/>
              <w:keepLines w:val="0"/>
              <w:pageBreakBefore w:val="0"/>
              <w:widowControl w:val="0"/>
              <w:numPr>
                <w:ilvl w:val="0"/>
                <w:numId w:val="17"/>
              </w:numPr>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14:paraId="42AE840F">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同意</w:t>
            </w:r>
            <w:r>
              <w:rPr>
                <w:rFonts w:hint="eastAsia" w:ascii="Times New Roman" w:hAnsi="Times New Roman" w:cs="Times New Roman"/>
                <w:color w:val="auto"/>
                <w:highlight w:val="none"/>
                <w:lang w:eastAsia="zh-CN"/>
              </w:rPr>
              <w:t>采购人</w:t>
            </w:r>
            <w:r>
              <w:rPr>
                <w:rFonts w:hint="default" w:ascii="Times New Roman" w:hAnsi="Times New Roman" w:cs="Times New Roman" w:eastAsiaTheme="minorEastAsia"/>
                <w:color w:val="auto"/>
                <w:highlight w:val="none"/>
              </w:rPr>
              <w:t>以任何形式对我方提供的技术部分内容的真实性和有效性进行公开审查验证。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120ACEF3">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r>
      <w:tr w14:paraId="515D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14:paraId="357AAF61">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二、技术参数偏离情况说明（如有）：</w:t>
            </w:r>
          </w:p>
        </w:tc>
      </w:tr>
      <w:tr w14:paraId="10F6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0F18E5B">
            <w:pPr>
              <w:keepNext w:val="0"/>
              <w:keepLines w:val="0"/>
              <w:pageBreakBefore w:val="0"/>
              <w:widowControl w:val="0"/>
              <w:numPr>
                <w:ilvl w:val="0"/>
                <w:numId w:val="17"/>
              </w:numPr>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Times New Roman" w:hAnsi="Times New Roman" w:cs="Times New Roman" w:eastAsiaTheme="minorEastAsia"/>
                <w:color w:val="auto"/>
                <w:highlight w:val="none"/>
              </w:rPr>
            </w:pPr>
          </w:p>
        </w:tc>
        <w:tc>
          <w:tcPr>
            <w:tcW w:w="8135" w:type="dxa"/>
            <w:gridSpan w:val="2"/>
            <w:tcBorders>
              <w:top w:val="single" w:color="auto" w:sz="4" w:space="0"/>
              <w:left w:val="single" w:color="auto" w:sz="4" w:space="0"/>
              <w:bottom w:val="single" w:color="auto" w:sz="4" w:space="0"/>
              <w:right w:val="single" w:color="auto" w:sz="4" w:space="0"/>
            </w:tcBorders>
            <w:noWrap w:val="0"/>
            <w:vAlign w:val="center"/>
          </w:tcPr>
          <w:p w14:paraId="63A3BB9A">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不同意公开的技术部分内容（如有）：</w:t>
            </w:r>
          </w:p>
        </w:tc>
      </w:tr>
    </w:tbl>
    <w:p w14:paraId="37A20C67">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630" w:leftChars="0" w:right="0" w:rightChars="0" w:hanging="630" w:hangingChars="300"/>
        <w:textAlignment w:val="auto"/>
        <w:rPr>
          <w:rFonts w:hint="default" w:ascii="Times New Roman" w:hAnsi="Times New Roman" w:cs="Times New Roman" w:eastAsiaTheme="minorEastAsia"/>
          <w:color w:val="auto"/>
          <w:highlight w:val="none"/>
        </w:rPr>
      </w:pPr>
    </w:p>
    <w:p w14:paraId="2AA8280E">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840" w:leftChars="0" w:right="0" w:rightChars="0" w:hanging="840" w:hangingChars="4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填表说明：</w:t>
      </w:r>
    </w:p>
    <w:p w14:paraId="65860856">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420" w:leftChars="0" w:right="0" w:rightChars="0" w:hanging="420" w:hanging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1、响应栏内空白或打“√”表示完全响应；对打“×”视为偏离，若技术参数存在偏离，请在“技术参数偏离情况说明栏”扼要描述。</w:t>
      </w:r>
    </w:p>
    <w:p w14:paraId="2A1E889A">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420" w:leftChars="0" w:right="0" w:rightChars="0" w:hanging="420" w:hanging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2、若上述技术条款内容与“采购项目技术要求”列述不一致时，均以“采购项目技术要求”详细内容为准。</w:t>
      </w:r>
    </w:p>
    <w:p w14:paraId="57B4D3D8">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420" w:leftChars="0" w:right="0" w:rightChars="0" w:hanging="420" w:hanging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3、本表内容不得擅自删改。</w:t>
      </w:r>
    </w:p>
    <w:p w14:paraId="394DA77A">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textAlignment w:val="auto"/>
        <w:rPr>
          <w:rFonts w:hint="default" w:ascii="Times New Roman" w:hAnsi="Times New Roman" w:cs="Times New Roman" w:eastAsiaTheme="minorEastAsia"/>
          <w:color w:val="auto"/>
          <w:highlight w:val="none"/>
        </w:rPr>
      </w:pPr>
    </w:p>
    <w:p w14:paraId="511FB022">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jc w:val="righ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供应商名称：</w:t>
      </w:r>
      <w:r>
        <w:rPr>
          <w:rFonts w:hint="default" w:ascii="Times New Roman" w:hAnsi="Times New Roman" w:cs="Times New Roman" w:eastAsiaTheme="minorEastAsia"/>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eastAsia="zh-CN"/>
        </w:rPr>
        <w:t>单位名称</w:t>
      </w:r>
      <w:r>
        <w:rPr>
          <w:rFonts w:hint="default" w:ascii="Times New Roman" w:hAnsi="Times New Roman" w:cs="Times New Roman" w:eastAsiaTheme="minorEastAsia"/>
          <w:color w:val="auto"/>
          <w:sz w:val="21"/>
          <w:szCs w:val="21"/>
          <w:highlight w:val="none"/>
          <w:u w:val="single"/>
        </w:rPr>
        <w:t xml:space="preserve">全称）                </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lang w:val="zh-CN"/>
        </w:rPr>
        <w:t>加盖供应商公章</w:t>
      </w:r>
      <w:r>
        <w:rPr>
          <w:rFonts w:hint="default" w:ascii="Times New Roman" w:hAnsi="Times New Roman" w:cs="Times New Roman" w:eastAsiaTheme="minorEastAsia"/>
          <w:color w:val="auto"/>
          <w:sz w:val="21"/>
          <w:szCs w:val="21"/>
          <w:highlight w:val="none"/>
        </w:rPr>
        <w:t>）</w:t>
      </w:r>
    </w:p>
    <w:p w14:paraId="63F6DA70">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right"/>
        <w:textAlignment w:val="auto"/>
        <w:rPr>
          <w:rFonts w:hint="default" w:ascii="Times New Roman" w:hAnsi="Times New Roman" w:cs="Times New Roman" w:eastAsiaTheme="minorEastAsia"/>
          <w:color w:val="auto"/>
          <w:sz w:val="21"/>
          <w:szCs w:val="21"/>
          <w:highlight w:val="none"/>
          <w:u w:val="single"/>
        </w:rPr>
      </w:pPr>
      <w:r>
        <w:rPr>
          <w:rFonts w:hint="default" w:ascii="Times New Roman" w:hAnsi="Times New Roman" w:cs="Times New Roman" w:eastAsiaTheme="minorEastAsia"/>
          <w:b w:val="0"/>
          <w:bCs/>
          <w:color w:val="auto"/>
          <w:sz w:val="21"/>
          <w:szCs w:val="21"/>
          <w:highlight w:val="none"/>
        </w:rPr>
        <w:t>日期：</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年</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月</w:t>
      </w:r>
      <w:r>
        <w:rPr>
          <w:rFonts w:hint="default" w:ascii="Times New Roman" w:hAnsi="Times New Roman" w:cs="Times New Roman" w:eastAsiaTheme="minorEastAsia"/>
          <w:b w:val="0"/>
          <w:bCs/>
          <w:color w:val="auto"/>
          <w:sz w:val="21"/>
          <w:szCs w:val="21"/>
          <w:highlight w:val="none"/>
          <w:u w:val="single"/>
        </w:rPr>
        <w:t xml:space="preserve">    </w:t>
      </w:r>
      <w:r>
        <w:rPr>
          <w:rFonts w:hint="default" w:ascii="Times New Roman" w:hAnsi="Times New Roman" w:cs="Times New Roman" w:eastAsiaTheme="minorEastAsia"/>
          <w:b w:val="0"/>
          <w:bCs/>
          <w:color w:val="auto"/>
          <w:sz w:val="21"/>
          <w:szCs w:val="21"/>
          <w:highlight w:val="none"/>
        </w:rPr>
        <w:t>日</w:t>
      </w:r>
    </w:p>
    <w:p w14:paraId="6D4C0153">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color w:val="auto"/>
          <w:highlight w:val="none"/>
        </w:rPr>
      </w:pPr>
    </w:p>
    <w:p w14:paraId="4A6DF286">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color w:val="auto"/>
          <w:highlight w:val="none"/>
        </w:rPr>
        <w:sectPr>
          <w:headerReference r:id="rId7" w:type="first"/>
          <w:headerReference r:id="rId6" w:type="default"/>
          <w:pgSz w:w="11906" w:h="16838"/>
          <w:pgMar w:top="1134" w:right="1134" w:bottom="1134" w:left="1588" w:header="567" w:footer="737" w:gutter="0"/>
          <w:pgBorders>
            <w:top w:val="none" w:sz="0" w:space="0"/>
            <w:left w:val="none" w:sz="0" w:space="0"/>
            <w:bottom w:val="none" w:sz="0" w:space="0"/>
            <w:right w:val="none" w:sz="0" w:space="0"/>
          </w:pgBorders>
          <w:pgNumType w:fmt="decimal"/>
          <w:cols w:space="720" w:num="1"/>
          <w:docGrid w:linePitch="312" w:charSpace="0"/>
        </w:sectPr>
      </w:pPr>
    </w:p>
    <w:p w14:paraId="20226239">
      <w:pPr>
        <w:keepLines w:val="0"/>
        <w:pageBreakBefore/>
        <w:numPr>
          <w:ilvl w:val="0"/>
          <w:numId w:val="18"/>
        </w:numPr>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sz w:val="36"/>
          <w:szCs w:val="36"/>
          <w:highlight w:val="none"/>
        </w:rPr>
      </w:pPr>
      <w:bookmarkStart w:id="253" w:name="_Toc7892"/>
      <w:bookmarkStart w:id="254" w:name="_Toc22957"/>
      <w:bookmarkStart w:id="255" w:name="_Toc9103"/>
      <w:bookmarkStart w:id="256" w:name="_Toc419106582"/>
      <w:r>
        <w:rPr>
          <w:rFonts w:hint="default" w:ascii="Times New Roman" w:hAnsi="Times New Roman" w:cs="Times New Roman" w:eastAsiaTheme="minorEastAsia"/>
          <w:b/>
          <w:bCs/>
          <w:color w:val="auto"/>
          <w:sz w:val="36"/>
          <w:szCs w:val="36"/>
          <w:highlight w:val="none"/>
        </w:rPr>
        <w:t>技术方案总体内容</w:t>
      </w:r>
      <w:bookmarkEnd w:id="253"/>
      <w:bookmarkEnd w:id="254"/>
      <w:bookmarkEnd w:id="255"/>
      <w:bookmarkEnd w:id="256"/>
    </w:p>
    <w:p w14:paraId="53F65501">
      <w:pPr>
        <w:keepNext w:val="0"/>
        <w:keepLines w:val="0"/>
        <w:pageBreakBefore w:val="0"/>
        <w:widowControl w:val="0"/>
        <w:tabs>
          <w:tab w:val="left" w:pos="1322"/>
        </w:tabs>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 w:val="0"/>
          <w:bCs/>
          <w:color w:val="auto"/>
          <w:sz w:val="21"/>
          <w:szCs w:val="21"/>
          <w:highlight w:val="none"/>
        </w:rPr>
        <w:t>技术方案必须科学合理、真实可行，能充分体现出自身技术和专业优势。技术方案必须对应评审方法中评审子项的顺序逐一进行描述，格式自拟，不限于以下内容要点：</w:t>
      </w:r>
    </w:p>
    <w:p w14:paraId="203771D5">
      <w:pPr>
        <w:keepNext w:val="0"/>
        <w:keepLines w:val="0"/>
        <w:pageBreakBefore w:val="0"/>
        <w:widowControl w:val="0"/>
        <w:numPr>
          <w:ilvl w:val="-1"/>
          <w:numId w:val="0"/>
        </w:numPr>
        <w:tabs>
          <w:tab w:val="left" w:pos="1322"/>
        </w:tabs>
        <w:kinsoku/>
        <w:wordWrap/>
        <w:overflowPunct/>
        <w:topLinePunct w:val="0"/>
        <w:autoSpaceDE/>
        <w:autoSpaceDN/>
        <w:bidi w:val="0"/>
        <w:adjustRightInd/>
        <w:snapToGrid/>
        <w:spacing w:beforeAutospacing="0" w:afterAutospacing="0" w:line="440" w:lineRule="atLeast"/>
        <w:ind w:left="0" w:leftChars="0" w:right="0" w:rightChars="0" w:firstLine="0" w:firstLineChars="0"/>
        <w:textAlignment w:val="auto"/>
        <w:rPr>
          <w:rFonts w:hint="eastAsia" w:ascii="Times New Roman" w:hAnsi="Times New Roman" w:cs="Times New Roman" w:eastAsiaTheme="minorEastAsia"/>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1、对项目的理解</w:t>
      </w:r>
      <w:r>
        <w:rPr>
          <w:rFonts w:hint="eastAsia" w:ascii="Times New Roman" w:hAnsi="Times New Roman" w:cs="Times New Roman"/>
          <w:b w:val="0"/>
          <w:bCs w:val="0"/>
          <w:color w:val="auto"/>
          <w:sz w:val="21"/>
          <w:szCs w:val="21"/>
          <w:highlight w:val="none"/>
          <w:lang w:eastAsia="zh-CN"/>
        </w:rPr>
        <w:t>；</w:t>
      </w:r>
    </w:p>
    <w:p w14:paraId="2C890275">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2、总体设计</w:t>
      </w:r>
      <w:r>
        <w:rPr>
          <w:rFonts w:hint="eastAsia" w:ascii="Times New Roman" w:hAnsi="Times New Roman" w:cs="Times New Roman" w:eastAsiaTheme="minorEastAsia"/>
          <w:b w:val="0"/>
          <w:bCs w:val="0"/>
          <w:color w:val="auto"/>
          <w:sz w:val="21"/>
          <w:szCs w:val="21"/>
          <w:highlight w:val="none"/>
          <w:lang w:eastAsia="zh-CN"/>
        </w:rPr>
        <w:t>；</w:t>
      </w:r>
    </w:p>
    <w:p w14:paraId="6D8363A9">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3、综合送达管理平台解决方案；</w:t>
      </w:r>
    </w:p>
    <w:p w14:paraId="71F34A95">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4、集约送达服务方案；</w:t>
      </w:r>
    </w:p>
    <w:p w14:paraId="34EC1659">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5、送达地址库管理服务；</w:t>
      </w:r>
    </w:p>
    <w:p w14:paraId="0ACEE8FC">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6、项目管理及组织措施方案；</w:t>
      </w:r>
    </w:p>
    <w:p w14:paraId="38A7B40A">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7、培训方案；</w:t>
      </w:r>
    </w:p>
    <w:p w14:paraId="144D1872">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8、项目安全保密措施；</w:t>
      </w:r>
    </w:p>
    <w:p w14:paraId="43E30239">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9、人力资源保障措施；</w:t>
      </w:r>
    </w:p>
    <w:p w14:paraId="7FD84EEA">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10、应急情况处理方案；</w:t>
      </w:r>
    </w:p>
    <w:p w14:paraId="6D138D1B">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default"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11、系统优化承诺；</w:t>
      </w:r>
    </w:p>
    <w:p w14:paraId="43C23C71">
      <w:pPr>
        <w:pStyle w:val="2"/>
        <w:keepLines w:val="0"/>
        <w:kinsoku/>
        <w:wordWrap/>
        <w:overflowPunct/>
        <w:topLinePunct w:val="0"/>
        <w:bidi w:val="0"/>
        <w:spacing w:beforeAutospacing="0" w:afterAutospacing="0" w:line="440" w:lineRule="atLeast"/>
        <w:ind w:left="0" w:leftChars="0" w:right="0" w:rightChars="0"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p>
    <w:p w14:paraId="05D3CB83">
      <w:pPr>
        <w:pStyle w:val="2"/>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4"/>
          <w:szCs w:val="24"/>
          <w:highlight w:val="none"/>
        </w:rPr>
        <w:sectPr>
          <w:pgSz w:w="11906" w:h="16838"/>
          <w:pgMar w:top="1134" w:right="1134" w:bottom="1134" w:left="1588" w:header="567" w:footer="737" w:gutter="0"/>
          <w:pgBorders>
            <w:top w:val="none" w:sz="0" w:space="0"/>
            <w:left w:val="none" w:sz="0" w:space="0"/>
            <w:bottom w:val="none" w:sz="0" w:space="0"/>
            <w:right w:val="none" w:sz="0" w:space="0"/>
          </w:pgBorders>
          <w:pgNumType w:fmt="decimal"/>
          <w:cols w:space="720" w:num="1"/>
          <w:docGrid w:linePitch="312" w:charSpace="0"/>
        </w:sectPr>
      </w:pPr>
    </w:p>
    <w:p w14:paraId="4780F488">
      <w:pPr>
        <w:keepLines w:val="0"/>
        <w:kinsoku/>
        <w:wordWrap/>
        <w:overflowPunct/>
        <w:topLinePunct w:val="0"/>
        <w:bidi w:val="0"/>
        <w:spacing w:beforeAutospacing="0" w:afterAutospacing="0" w:line="440" w:lineRule="atLeast"/>
        <w:ind w:left="0" w:leftChars="0" w:right="0" w:rightChars="0"/>
        <w:jc w:val="center"/>
        <w:outlineLvl w:val="0"/>
        <w:rPr>
          <w:rFonts w:hint="default" w:ascii="Times New Roman" w:hAnsi="Times New Roman" w:cs="Times New Roman" w:eastAsiaTheme="minorEastAsia"/>
          <w:b/>
          <w:color w:val="auto"/>
          <w:sz w:val="36"/>
          <w:szCs w:val="36"/>
          <w:highlight w:val="none"/>
        </w:rPr>
        <w:sectPr>
          <w:headerReference r:id="rId8" w:type="default"/>
          <w:pgSz w:w="11906" w:h="16838"/>
          <w:pgMar w:top="1134" w:right="1134" w:bottom="1134" w:left="1587" w:header="567" w:footer="737" w:gutter="0"/>
          <w:pgBorders>
            <w:top w:val="none" w:sz="0" w:space="0"/>
            <w:left w:val="none" w:sz="0" w:space="0"/>
            <w:bottom w:val="none" w:sz="0" w:space="0"/>
            <w:right w:val="none" w:sz="0" w:space="0"/>
          </w:pgBorders>
          <w:pgNumType w:fmt="decimal"/>
          <w:cols w:space="720" w:num="1"/>
          <w:docGrid w:linePitch="312" w:charSpace="0"/>
        </w:sectPr>
      </w:pPr>
      <w:bookmarkStart w:id="257" w:name="_Toc17802"/>
      <w:bookmarkStart w:id="258" w:name="_Toc21415"/>
      <w:bookmarkStart w:id="259" w:name="_Toc10979"/>
      <w:bookmarkStart w:id="260" w:name="_Toc29497"/>
      <w:bookmarkStart w:id="261" w:name="_Toc11945"/>
      <w:r>
        <w:rPr>
          <w:rFonts w:hint="default" w:ascii="Times New Roman" w:hAnsi="Times New Roman" w:cs="Times New Roman" w:eastAsiaTheme="minorEastAsia"/>
          <w:b/>
          <w:bCs/>
          <w:color w:val="auto"/>
          <w:sz w:val="36"/>
          <w:szCs w:val="36"/>
          <w:highlight w:val="none"/>
        </w:rPr>
        <w:fldChar w:fldCharType="begin"/>
      </w:r>
      <w:r>
        <w:rPr>
          <w:rFonts w:hint="default" w:ascii="Times New Roman" w:hAnsi="Times New Roman" w:cs="Times New Roman" w:eastAsiaTheme="minorEastAsia"/>
          <w:b/>
          <w:bCs/>
          <w:color w:val="auto"/>
          <w:sz w:val="36"/>
          <w:szCs w:val="36"/>
          <w:highlight w:val="none"/>
        </w:rPr>
        <w:instrText xml:space="preserve"> HYPERLINK  \l "_投标文件目录" </w:instrText>
      </w:r>
      <w:r>
        <w:rPr>
          <w:rFonts w:hint="default" w:ascii="Times New Roman" w:hAnsi="Times New Roman" w:cs="Times New Roman" w:eastAsiaTheme="minorEastAsia"/>
          <w:b/>
          <w:bCs/>
          <w:color w:val="auto"/>
          <w:sz w:val="36"/>
          <w:szCs w:val="36"/>
          <w:highlight w:val="none"/>
        </w:rPr>
        <w:fldChar w:fldCharType="separate"/>
      </w:r>
      <w:r>
        <w:rPr>
          <w:rFonts w:hint="default" w:ascii="Times New Roman" w:hAnsi="Times New Roman" w:cs="Times New Roman" w:eastAsiaTheme="minorEastAsia"/>
          <w:b/>
          <w:bCs/>
          <w:color w:val="auto"/>
          <w:sz w:val="36"/>
          <w:szCs w:val="36"/>
          <w:highlight w:val="none"/>
        </w:rPr>
        <w:t>第五章  价格部分</w:t>
      </w:r>
      <w:r>
        <w:rPr>
          <w:rFonts w:hint="default" w:ascii="Times New Roman" w:hAnsi="Times New Roman" w:cs="Times New Roman" w:eastAsiaTheme="minorEastAsia"/>
          <w:b/>
          <w:bCs/>
          <w:color w:val="auto"/>
          <w:sz w:val="36"/>
          <w:szCs w:val="36"/>
          <w:highlight w:val="none"/>
        </w:rPr>
        <w:fldChar w:fldCharType="end"/>
      </w:r>
      <w:bookmarkEnd w:id="257"/>
      <w:bookmarkEnd w:id="258"/>
    </w:p>
    <w:p w14:paraId="280BFBFE">
      <w:pPr>
        <w:keepLines w:val="0"/>
        <w:pageBreakBefore/>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color w:val="auto"/>
          <w:sz w:val="36"/>
          <w:szCs w:val="36"/>
          <w:highlight w:val="none"/>
        </w:rPr>
      </w:pPr>
      <w:bookmarkStart w:id="262" w:name="_Toc29896"/>
      <w:bookmarkStart w:id="263" w:name="_Toc26059"/>
      <w:r>
        <w:rPr>
          <w:rFonts w:hint="default" w:ascii="Times New Roman" w:hAnsi="Times New Roman" w:cs="Times New Roman" w:eastAsiaTheme="minorEastAsia"/>
          <w:b/>
          <w:bCs/>
          <w:color w:val="auto"/>
          <w:sz w:val="36"/>
          <w:szCs w:val="36"/>
          <w:highlight w:val="none"/>
          <w:lang w:val="en-US"/>
        </w:rPr>
        <w:t>5.1</w:t>
      </w:r>
      <w:r>
        <w:rPr>
          <w:rFonts w:hint="default" w:ascii="Times New Roman" w:hAnsi="Times New Roman" w:cs="Times New Roman" w:eastAsiaTheme="minorEastAsia"/>
          <w:b/>
          <w:bCs/>
          <w:color w:val="auto"/>
          <w:sz w:val="36"/>
          <w:szCs w:val="36"/>
          <w:highlight w:val="none"/>
        </w:rPr>
        <w:fldChar w:fldCharType="begin"/>
      </w:r>
      <w:r>
        <w:rPr>
          <w:rFonts w:hint="default" w:ascii="Times New Roman" w:hAnsi="Times New Roman" w:cs="Times New Roman" w:eastAsiaTheme="minorEastAsia"/>
          <w:b/>
          <w:bCs/>
          <w:color w:val="auto"/>
          <w:sz w:val="36"/>
          <w:szCs w:val="36"/>
          <w:highlight w:val="none"/>
        </w:rPr>
        <w:instrText xml:space="preserve"> DOCVARIABLE  报价一览表开始  \* MERGEFORMAT </w:instrText>
      </w:r>
      <w:r>
        <w:rPr>
          <w:rFonts w:hint="default" w:ascii="Times New Roman" w:hAnsi="Times New Roman" w:cs="Times New Roman" w:eastAsiaTheme="minorEastAsia"/>
          <w:b/>
          <w:bCs/>
          <w:color w:val="auto"/>
          <w:sz w:val="36"/>
          <w:szCs w:val="36"/>
          <w:highlight w:val="none"/>
        </w:rPr>
        <w:fldChar w:fldCharType="separate"/>
      </w:r>
      <w:r>
        <w:rPr>
          <w:rFonts w:hint="default" w:ascii="Times New Roman" w:hAnsi="Times New Roman" w:cs="Times New Roman" w:eastAsiaTheme="minorEastAsia"/>
          <w:b/>
          <w:bCs/>
          <w:color w:val="auto"/>
          <w:sz w:val="36"/>
          <w:szCs w:val="36"/>
          <w:highlight w:val="none"/>
        </w:rPr>
        <w:fldChar w:fldCharType="end"/>
      </w:r>
      <w:bookmarkStart w:id="264" w:name="_Toc159385082"/>
      <w:bookmarkStart w:id="265" w:name="_Toc419106577"/>
      <w:r>
        <w:rPr>
          <w:rFonts w:hint="default" w:ascii="Times New Roman" w:hAnsi="Times New Roman" w:cs="Times New Roman" w:eastAsiaTheme="minorEastAsia"/>
          <w:b/>
          <w:bCs/>
          <w:color w:val="auto"/>
          <w:sz w:val="36"/>
          <w:szCs w:val="36"/>
          <w:highlight w:val="none"/>
        </w:rPr>
        <w:t>报价汇总表</w:t>
      </w:r>
      <w:bookmarkEnd w:id="259"/>
      <w:bookmarkEnd w:id="260"/>
      <w:bookmarkEnd w:id="262"/>
      <w:bookmarkEnd w:id="263"/>
      <w:bookmarkEnd w:id="264"/>
      <w:bookmarkEnd w:id="265"/>
    </w:p>
    <w:p w14:paraId="6560E2EA">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bCs/>
          <w:color w:val="auto"/>
          <w:highlight w:val="none"/>
        </w:rPr>
      </w:pPr>
    </w:p>
    <w:p w14:paraId="01A2D23F">
      <w:pPr>
        <w:keepLines w:val="0"/>
        <w:pageBreakBefore w:val="0"/>
        <w:widowControl w:val="0"/>
        <w:tabs>
          <w:tab w:val="left" w:pos="5940"/>
        </w:tabs>
        <w:kinsoku/>
        <w:wordWrap/>
        <w:overflowPunct/>
        <w:topLinePunct w:val="0"/>
        <w:autoSpaceDE/>
        <w:autoSpaceDN/>
        <w:bidi w:val="0"/>
        <w:adjustRightInd/>
        <w:snapToGrid/>
        <w:spacing w:beforeAutospacing="0" w:afterAutospacing="0" w:line="440" w:lineRule="atLeast"/>
        <w:ind w:left="0" w:leftChars="0" w:right="0" w:rightChars="0"/>
        <w:jc w:val="left"/>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rPr>
        <w:t>项目名称：</w:t>
      </w:r>
      <w:r>
        <w:rPr>
          <w:rFonts w:hint="eastAsia" w:ascii="Times New Roman" w:hAnsi="Times New Roman" w:cs="Times New Roman"/>
          <w:bCs/>
          <w:color w:val="auto"/>
          <w:highlight w:val="none"/>
          <w:lang w:eastAsia="zh-CN"/>
        </w:rPr>
        <w:t>佛山市高明区人民法院执行案件集约化送达服务项目</w:t>
      </w:r>
    </w:p>
    <w:p w14:paraId="3B25C257">
      <w:pPr>
        <w:keepLines w:val="0"/>
        <w:pageBreakBefore w:val="0"/>
        <w:widowControl w:val="0"/>
        <w:tabs>
          <w:tab w:val="left" w:pos="5940"/>
        </w:tabs>
        <w:kinsoku/>
        <w:wordWrap/>
        <w:overflowPunct/>
        <w:topLinePunct w:val="0"/>
        <w:autoSpaceDE/>
        <w:autoSpaceDN/>
        <w:bidi w:val="0"/>
        <w:adjustRightInd/>
        <w:snapToGrid/>
        <w:spacing w:beforeAutospacing="0" w:afterAutospacing="0" w:line="440" w:lineRule="atLeast"/>
        <w:ind w:left="0" w:leftChars="0" w:right="0" w:rightChars="0"/>
        <w:jc w:val="left"/>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rPr>
        <w:t>项目编号：</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采购编号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eastAsia" w:ascii="Times New Roman" w:hAnsi="Times New Roman" w:cs="Times New Roman"/>
          <w:bCs/>
          <w:color w:val="auto"/>
          <w:highlight w:val="none"/>
          <w:lang w:eastAsia="zh-CN"/>
        </w:rPr>
        <w:t>GDYD240563</w:t>
      </w:r>
    </w:p>
    <w:tbl>
      <w:tblPr>
        <w:tblStyle w:val="18"/>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14:paraId="69269DCA">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20E3C93D">
            <w:pPr>
              <w:pStyle w:val="31"/>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atLeast"/>
              <w:ind w:left="0" w:leftChars="0" w:right="0" w:rightChars="0"/>
              <w:rPr>
                <w:rFonts w:hint="default" w:ascii="Times New Roman" w:hAnsi="Times New Roman" w:cs="Times New Roman" w:eastAsiaTheme="minorEastAsia"/>
                <w:color w:val="auto"/>
                <w:szCs w:val="24"/>
                <w:highlight w:val="none"/>
              </w:rPr>
            </w:pPr>
            <w:r>
              <w:rPr>
                <w:rFonts w:hint="default" w:ascii="Times New Roman" w:hAnsi="Times New Roman" w:cs="Times New Roman" w:eastAsiaTheme="minorEastAsia"/>
                <w:snapToGrid/>
                <w:color w:val="auto"/>
                <w:spacing w:val="0"/>
                <w:kern w:val="2"/>
                <w:szCs w:val="24"/>
                <w:highlight w:val="none"/>
              </w:rPr>
              <w:t>报价分项</w:t>
            </w:r>
          </w:p>
        </w:tc>
        <w:tc>
          <w:tcPr>
            <w:tcW w:w="699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2B074E82">
            <w:pPr>
              <w:pStyle w:val="31"/>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atLeast"/>
              <w:ind w:left="0" w:leftChars="0" w:right="0" w:rightChars="0"/>
              <w:rPr>
                <w:rFonts w:hint="default" w:ascii="Times New Roman" w:hAnsi="Times New Roman" w:cs="Times New Roman" w:eastAsiaTheme="minorEastAsia"/>
                <w:color w:val="auto"/>
                <w:szCs w:val="24"/>
                <w:highlight w:val="none"/>
              </w:rPr>
            </w:pPr>
            <w:r>
              <w:rPr>
                <w:rFonts w:hint="default" w:ascii="Times New Roman" w:hAnsi="Times New Roman" w:cs="Times New Roman" w:eastAsiaTheme="minorEastAsia"/>
                <w:snapToGrid/>
                <w:color w:val="auto"/>
                <w:spacing w:val="0"/>
                <w:kern w:val="2"/>
                <w:szCs w:val="24"/>
                <w:highlight w:val="none"/>
              </w:rPr>
              <w:t>合计</w:t>
            </w:r>
          </w:p>
        </w:tc>
      </w:tr>
      <w:tr w14:paraId="1F1C9D97">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PrEx>
        <w:trPr>
          <w:cantSplit/>
          <w:trHeight w:val="1145"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45D74CF7">
            <w:pPr>
              <w:pStyle w:val="31"/>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atLeast"/>
              <w:ind w:left="0" w:leftChars="0" w:right="0" w:rightChars="0"/>
              <w:rPr>
                <w:rFonts w:hint="default" w:ascii="Times New Roman" w:hAnsi="Times New Roman" w:cs="Times New Roman" w:eastAsiaTheme="minorEastAsia"/>
                <w:snapToGrid/>
                <w:color w:val="auto"/>
                <w:spacing w:val="0"/>
                <w:kern w:val="2"/>
                <w:szCs w:val="24"/>
                <w:highlight w:val="none"/>
                <w:lang w:eastAsia="zh-CN"/>
              </w:rPr>
            </w:pPr>
            <w:r>
              <w:rPr>
                <w:rFonts w:hint="default" w:ascii="Times New Roman" w:hAnsi="Times New Roman" w:cs="Times New Roman" w:eastAsiaTheme="minorEastAsia"/>
                <w:snapToGrid/>
                <w:color w:val="auto"/>
                <w:spacing w:val="0"/>
                <w:kern w:val="2"/>
                <w:szCs w:val="24"/>
                <w:highlight w:val="none"/>
                <w:lang w:eastAsia="zh-CN"/>
              </w:rPr>
              <w:t>报价合计</w:t>
            </w:r>
          </w:p>
        </w:tc>
        <w:tc>
          <w:tcPr>
            <w:tcW w:w="6995" w:type="dxa"/>
            <w:tcBorders>
              <w:top w:val="single" w:color="auto" w:sz="4" w:space="0"/>
              <w:left w:val="single" w:color="auto" w:sz="4" w:space="0"/>
              <w:bottom w:val="single" w:color="auto" w:sz="4" w:space="0"/>
              <w:right w:val="single" w:color="auto" w:sz="4" w:space="0"/>
            </w:tcBorders>
            <w:noWrap w:val="0"/>
            <w:vAlign w:val="center"/>
          </w:tcPr>
          <w:p w14:paraId="54DB7647">
            <w:pPr>
              <w:pStyle w:val="31"/>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atLeast"/>
              <w:ind w:left="0" w:leftChars="0" w:right="0" w:rightChars="0"/>
              <w:jc w:val="both"/>
              <w:rPr>
                <w:rFonts w:hint="default" w:ascii="Times New Roman" w:hAnsi="Times New Roman" w:cs="Times New Roman" w:eastAsiaTheme="minorEastAsia"/>
                <w:color w:val="auto"/>
                <w:szCs w:val="24"/>
                <w:highlight w:val="none"/>
                <w:lang w:eastAsia="zh-CN"/>
              </w:rPr>
            </w:pPr>
            <w:r>
              <w:rPr>
                <w:rFonts w:hint="default" w:ascii="Times New Roman" w:hAnsi="Times New Roman" w:cs="Times New Roman" w:eastAsiaTheme="minorEastAsia"/>
                <w:color w:val="auto"/>
                <w:szCs w:val="24"/>
                <w:highlight w:val="none"/>
              </w:rPr>
              <w:t>小写：</w:t>
            </w:r>
            <w:r>
              <w:rPr>
                <w:rFonts w:hint="default" w:ascii="Times New Roman" w:hAnsi="Times New Roman" w:cs="Times New Roman" w:eastAsiaTheme="minorEastAsia"/>
                <w:color w:val="auto"/>
                <w:szCs w:val="24"/>
                <w:highlight w:val="none"/>
                <w:u w:val="single"/>
              </w:rPr>
              <w:t xml:space="preserve">      </w:t>
            </w:r>
            <w:r>
              <w:rPr>
                <w:rFonts w:hint="eastAsia" w:ascii="Times New Roman" w:hAnsi="Times New Roman" w:cs="Times New Roman" w:eastAsiaTheme="minorEastAsia"/>
                <w:color w:val="auto"/>
                <w:szCs w:val="24"/>
                <w:highlight w:val="none"/>
                <w:lang w:val="en-US" w:eastAsia="zh-CN"/>
              </w:rPr>
              <w:t>元</w:t>
            </w:r>
          </w:p>
          <w:p w14:paraId="3FFC84BF">
            <w:pPr>
              <w:pStyle w:val="31"/>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atLeast"/>
              <w:ind w:left="0" w:leftChars="0" w:right="0" w:rightChars="0"/>
              <w:jc w:val="both"/>
              <w:rPr>
                <w:rFonts w:hint="default" w:ascii="Times New Roman" w:hAnsi="Times New Roman" w:cs="Times New Roman" w:eastAsiaTheme="minorEastAsia"/>
                <w:snapToGrid/>
                <w:color w:val="auto"/>
                <w:spacing w:val="0"/>
                <w:kern w:val="2"/>
                <w:szCs w:val="24"/>
                <w:highlight w:val="none"/>
              </w:rPr>
            </w:pPr>
            <w:r>
              <w:rPr>
                <w:rFonts w:hint="default" w:ascii="Times New Roman" w:hAnsi="Times New Roman" w:cs="Times New Roman" w:eastAsiaTheme="minorEastAsia"/>
                <w:color w:val="auto"/>
                <w:szCs w:val="24"/>
                <w:highlight w:val="none"/>
              </w:rPr>
              <w:t>大写：</w:t>
            </w:r>
            <w:r>
              <w:rPr>
                <w:rFonts w:hint="eastAsia" w:ascii="Times New Roman" w:hAnsi="Times New Roman" w:cs="Times New Roman" w:eastAsiaTheme="minorEastAsia"/>
                <w:color w:val="auto"/>
                <w:szCs w:val="24"/>
                <w:highlight w:val="none"/>
                <w:lang w:eastAsia="zh-CN"/>
              </w:rPr>
              <w:t>人民币</w:t>
            </w:r>
            <w:r>
              <w:rPr>
                <w:rFonts w:hint="default" w:ascii="Times New Roman" w:hAnsi="Times New Roman" w:cs="Times New Roman" w:eastAsiaTheme="minorEastAsia"/>
                <w:color w:val="auto"/>
                <w:szCs w:val="24"/>
                <w:highlight w:val="none"/>
                <w:u w:val="single"/>
              </w:rPr>
              <w:t xml:space="preserve">         </w:t>
            </w:r>
          </w:p>
        </w:tc>
      </w:tr>
    </w:tbl>
    <w:p w14:paraId="2F0DEB93">
      <w:pPr>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left"/>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注：</w:t>
      </w:r>
    </w:p>
    <w:p w14:paraId="5421B291">
      <w:pPr>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left"/>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1、</w:t>
      </w:r>
      <w:r>
        <w:rPr>
          <w:rFonts w:hint="eastAsia" w:ascii="宋体" w:hAnsi="宋体" w:cs="宋体"/>
          <w:color w:val="auto"/>
          <w:highlight w:val="none"/>
        </w:rPr>
        <w:t>总价应为各分项报价之和，响应文件差异修正准则参见响应文件说明</w:t>
      </w:r>
      <w:r>
        <w:rPr>
          <w:rFonts w:hint="eastAsia" w:ascii="Times New Roman" w:hAnsi="Times New Roman" w:cs="Times New Roman"/>
          <w:color w:val="auto"/>
          <w:highlight w:val="none"/>
          <w:lang w:eastAsia="zh-CN"/>
        </w:rPr>
        <w:t>。</w:t>
      </w:r>
    </w:p>
    <w:p w14:paraId="31FB943D">
      <w:pPr>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0" w:firstLineChars="0"/>
        <w:rPr>
          <w:rFonts w:hint="default" w:ascii="Times New Roman" w:hAnsi="Times New Roman" w:cs="Times New Roman" w:eastAsiaTheme="minorEastAsia"/>
          <w:color w:val="auto"/>
          <w:highlight w:val="none"/>
        </w:rPr>
      </w:pPr>
      <w:r>
        <w:rPr>
          <w:rFonts w:hint="eastAsia" w:ascii="Times New Roman" w:hAnsi="Times New Roman" w:cs="Times New Roman"/>
          <w:color w:val="auto"/>
          <w:highlight w:val="none"/>
          <w:lang w:eastAsia="zh-CN"/>
        </w:rPr>
        <w:t>2、</w:t>
      </w:r>
      <w:r>
        <w:rPr>
          <w:rFonts w:hint="default" w:ascii="Times New Roman" w:hAnsi="Times New Roman" w:cs="Times New Roman" w:eastAsiaTheme="minorEastAsia"/>
          <w:color w:val="auto"/>
          <w:highlight w:val="none"/>
        </w:rPr>
        <w:t>报价表述限于选用中文大写或阿拉伯数字小写，均已核定准确无误。</w:t>
      </w:r>
    </w:p>
    <w:p w14:paraId="39ABFB65">
      <w:pPr>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p>
    <w:p w14:paraId="0AB76A91">
      <w:pPr>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p>
    <w:p w14:paraId="249A2295">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jc w:val="righ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供应商名称：</w:t>
      </w:r>
      <w:r>
        <w:rPr>
          <w:rFonts w:hint="default" w:ascii="Times New Roman" w:hAnsi="Times New Roman" w:cs="Times New Roman" w:eastAsiaTheme="minorEastAsia"/>
          <w:b w:val="0"/>
          <w:bCs w:val="0"/>
          <w:color w:val="auto"/>
          <w:sz w:val="21"/>
          <w:szCs w:val="21"/>
          <w:highlight w:val="none"/>
          <w:u w:val="single"/>
        </w:rPr>
        <w:t xml:space="preserve">           （</w:t>
      </w:r>
      <w:r>
        <w:rPr>
          <w:rFonts w:hint="eastAsia" w:ascii="Times New Roman" w:hAnsi="Times New Roman" w:cs="Times New Roman"/>
          <w:b w:val="0"/>
          <w:bCs w:val="0"/>
          <w:color w:val="auto"/>
          <w:sz w:val="21"/>
          <w:szCs w:val="21"/>
          <w:highlight w:val="none"/>
          <w:u w:val="single"/>
          <w:lang w:eastAsia="zh-CN"/>
        </w:rPr>
        <w:t>单位名称</w:t>
      </w:r>
      <w:r>
        <w:rPr>
          <w:rFonts w:hint="default" w:ascii="Times New Roman" w:hAnsi="Times New Roman" w:cs="Times New Roman" w:eastAsiaTheme="minorEastAsia"/>
          <w:b w:val="0"/>
          <w:bCs w:val="0"/>
          <w:color w:val="auto"/>
          <w:sz w:val="21"/>
          <w:szCs w:val="21"/>
          <w:highlight w:val="none"/>
          <w:u w:val="single"/>
        </w:rPr>
        <w:t xml:space="preserve">全称）                </w:t>
      </w:r>
      <w:r>
        <w:rPr>
          <w:rFonts w:hint="default" w:ascii="Times New Roman" w:hAnsi="Times New Roman" w:cs="Times New Roman" w:eastAsiaTheme="minorEastAsia"/>
          <w:b w:val="0"/>
          <w:bCs w:val="0"/>
          <w:color w:val="auto"/>
          <w:sz w:val="21"/>
          <w:szCs w:val="21"/>
          <w:highlight w:val="none"/>
        </w:rPr>
        <w:t>（</w:t>
      </w:r>
      <w:r>
        <w:rPr>
          <w:rFonts w:hint="default" w:ascii="Times New Roman" w:hAnsi="Times New Roman" w:cs="Times New Roman" w:eastAsiaTheme="minorEastAsia"/>
          <w:b w:val="0"/>
          <w:bCs w:val="0"/>
          <w:color w:val="auto"/>
          <w:sz w:val="21"/>
          <w:szCs w:val="21"/>
          <w:highlight w:val="none"/>
          <w:lang w:val="zh-CN"/>
        </w:rPr>
        <w:t>加盖供应商公章</w:t>
      </w:r>
      <w:r>
        <w:rPr>
          <w:rFonts w:hint="default" w:ascii="Times New Roman" w:hAnsi="Times New Roman" w:cs="Times New Roman" w:eastAsiaTheme="minorEastAsia"/>
          <w:b w:val="0"/>
          <w:bCs w:val="0"/>
          <w:color w:val="auto"/>
          <w:sz w:val="21"/>
          <w:szCs w:val="21"/>
          <w:highlight w:val="none"/>
        </w:rPr>
        <w:t>）</w:t>
      </w:r>
    </w:p>
    <w:p w14:paraId="15F097C4">
      <w:pPr>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right"/>
        <w:rPr>
          <w:rFonts w:hint="default" w:ascii="Times New Roman" w:hAnsi="Times New Roman" w:cs="Times New Roman" w:eastAsiaTheme="minorEastAsia"/>
          <w:b w:val="0"/>
          <w:bCs w:val="0"/>
          <w:color w:val="auto"/>
          <w:highlight w:val="none"/>
        </w:rPr>
      </w:pPr>
      <w:r>
        <w:rPr>
          <w:rFonts w:hint="default" w:ascii="Times New Roman" w:hAnsi="Times New Roman" w:cs="Times New Roman" w:eastAsiaTheme="minorEastAsia"/>
          <w:b w:val="0"/>
          <w:bCs w:val="0"/>
          <w:color w:val="auto"/>
          <w:highlight w:val="none"/>
        </w:rPr>
        <w:t>授权代表：</w:t>
      </w:r>
      <w:r>
        <w:rPr>
          <w:rFonts w:hint="default" w:ascii="Times New Roman" w:hAnsi="Times New Roman" w:cs="Times New Roman" w:eastAsiaTheme="minorEastAsia"/>
          <w:b w:val="0"/>
          <w:bCs w:val="0"/>
          <w:color w:val="auto"/>
          <w:highlight w:val="none"/>
          <w:u w:val="single"/>
        </w:rPr>
        <w:t xml:space="preserve">                              </w:t>
      </w:r>
      <w:r>
        <w:rPr>
          <w:rFonts w:hint="default" w:ascii="Times New Roman" w:hAnsi="Times New Roman" w:cs="Times New Roman" w:eastAsiaTheme="minorEastAsia"/>
          <w:b w:val="0"/>
          <w:bCs w:val="0"/>
          <w:color w:val="auto"/>
          <w:highlight w:val="none"/>
        </w:rPr>
        <w:t>（亲笔签名）</w:t>
      </w:r>
    </w:p>
    <w:p w14:paraId="45EE1B89">
      <w:pPr>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right"/>
        <w:rPr>
          <w:rFonts w:hint="default" w:ascii="Times New Roman" w:hAnsi="Times New Roman" w:cs="Times New Roman" w:eastAsiaTheme="minorEastAsia"/>
          <w:b w:val="0"/>
          <w:bCs w:val="0"/>
          <w:color w:val="auto"/>
          <w:sz w:val="21"/>
          <w:szCs w:val="21"/>
          <w:highlight w:val="none"/>
          <w:u w:val="single"/>
        </w:rPr>
      </w:pPr>
      <w:r>
        <w:rPr>
          <w:rFonts w:hint="default" w:ascii="Times New Roman" w:hAnsi="Times New Roman" w:cs="Times New Roman" w:eastAsiaTheme="minorEastAsia"/>
          <w:b w:val="0"/>
          <w:bCs w:val="0"/>
          <w:color w:val="auto"/>
          <w:sz w:val="21"/>
          <w:szCs w:val="21"/>
          <w:highlight w:val="none"/>
        </w:rPr>
        <w:t>日期：</w:t>
      </w:r>
      <w:r>
        <w:rPr>
          <w:rFonts w:hint="default" w:ascii="Times New Roman" w:hAnsi="Times New Roman" w:cs="Times New Roman" w:eastAsiaTheme="minorEastAsia"/>
          <w:b w:val="0"/>
          <w:bCs w:val="0"/>
          <w:color w:val="auto"/>
          <w:sz w:val="21"/>
          <w:szCs w:val="21"/>
          <w:highlight w:val="none"/>
          <w:u w:val="single"/>
        </w:rPr>
        <w:t xml:space="preserve">    </w:t>
      </w:r>
      <w:r>
        <w:rPr>
          <w:rFonts w:hint="default" w:ascii="Times New Roman" w:hAnsi="Times New Roman" w:cs="Times New Roman" w:eastAsiaTheme="minorEastAsia"/>
          <w:b w:val="0"/>
          <w:bCs w:val="0"/>
          <w:color w:val="auto"/>
          <w:sz w:val="21"/>
          <w:szCs w:val="21"/>
          <w:highlight w:val="none"/>
        </w:rPr>
        <w:t>年</w:t>
      </w:r>
      <w:r>
        <w:rPr>
          <w:rFonts w:hint="default" w:ascii="Times New Roman" w:hAnsi="Times New Roman" w:cs="Times New Roman" w:eastAsiaTheme="minorEastAsia"/>
          <w:b w:val="0"/>
          <w:bCs w:val="0"/>
          <w:color w:val="auto"/>
          <w:sz w:val="21"/>
          <w:szCs w:val="21"/>
          <w:highlight w:val="none"/>
          <w:u w:val="single"/>
        </w:rPr>
        <w:t xml:space="preserve">    </w:t>
      </w:r>
      <w:r>
        <w:rPr>
          <w:rFonts w:hint="default" w:ascii="Times New Roman" w:hAnsi="Times New Roman" w:cs="Times New Roman" w:eastAsiaTheme="minorEastAsia"/>
          <w:b w:val="0"/>
          <w:bCs w:val="0"/>
          <w:color w:val="auto"/>
          <w:sz w:val="21"/>
          <w:szCs w:val="21"/>
          <w:highlight w:val="none"/>
        </w:rPr>
        <w:t>月</w:t>
      </w:r>
      <w:r>
        <w:rPr>
          <w:rFonts w:hint="default" w:ascii="Times New Roman" w:hAnsi="Times New Roman" w:cs="Times New Roman" w:eastAsiaTheme="minorEastAsia"/>
          <w:b w:val="0"/>
          <w:bCs w:val="0"/>
          <w:color w:val="auto"/>
          <w:sz w:val="21"/>
          <w:szCs w:val="21"/>
          <w:highlight w:val="none"/>
          <w:u w:val="single"/>
        </w:rPr>
        <w:t xml:space="preserve">    </w:t>
      </w:r>
      <w:r>
        <w:rPr>
          <w:rFonts w:hint="default" w:ascii="Times New Roman" w:hAnsi="Times New Roman" w:cs="Times New Roman" w:eastAsiaTheme="minorEastAsia"/>
          <w:b w:val="0"/>
          <w:bCs w:val="0"/>
          <w:color w:val="auto"/>
          <w:sz w:val="21"/>
          <w:szCs w:val="21"/>
          <w:highlight w:val="none"/>
        </w:rPr>
        <w:t>日</w:t>
      </w:r>
    </w:p>
    <w:p w14:paraId="43F21E54">
      <w:pPr>
        <w:pStyle w:val="17"/>
        <w:keepLines w:val="0"/>
        <w:kinsoku/>
        <w:wordWrap/>
        <w:overflowPunct/>
        <w:topLinePunct w:val="0"/>
        <w:bidi w:val="0"/>
        <w:spacing w:before="0" w:beforeLines="0" w:beforeAutospacing="0" w:after="0" w:afterLines="0" w:afterAutospacing="0" w:line="440" w:lineRule="atLeast"/>
        <w:ind w:left="0" w:leftChars="0" w:right="0" w:rightChars="0" w:firstLine="0" w:firstLineChars="0"/>
        <w:rPr>
          <w:rFonts w:hint="default" w:ascii="Times New Roman" w:hAnsi="Times New Roman" w:cs="Times New Roman" w:eastAsiaTheme="minorEastAsia"/>
          <w:b/>
          <w:color w:val="auto"/>
          <w:highlight w:val="none"/>
        </w:rPr>
      </w:pPr>
    </w:p>
    <w:p w14:paraId="2773BA8E">
      <w:pPr>
        <w:pStyle w:val="17"/>
        <w:keepLines w:val="0"/>
        <w:kinsoku/>
        <w:wordWrap/>
        <w:overflowPunct/>
        <w:topLinePunct w:val="0"/>
        <w:bidi w:val="0"/>
        <w:spacing w:before="0" w:beforeLines="0" w:beforeAutospacing="0" w:after="0" w:afterLines="0" w:afterAutospacing="0" w:line="440" w:lineRule="atLeast"/>
        <w:ind w:left="0" w:leftChars="0" w:right="0" w:rightChars="0" w:firstLine="0" w:firstLineChars="0"/>
        <w:rPr>
          <w:rFonts w:hint="default" w:ascii="Times New Roman" w:hAnsi="Times New Roman" w:cs="Times New Roman" w:eastAsiaTheme="minorEastAsia"/>
          <w:b/>
          <w:color w:val="auto"/>
          <w:highlight w:val="none"/>
        </w:rPr>
        <w:sectPr>
          <w:headerReference r:id="rId9" w:type="default"/>
          <w:pgSz w:w="11906" w:h="16838"/>
          <w:pgMar w:top="1134" w:right="1134" w:bottom="1134" w:left="1588" w:header="567" w:footer="737" w:gutter="0"/>
          <w:pgBorders>
            <w:top w:val="none" w:sz="0" w:space="0"/>
            <w:left w:val="none" w:sz="0" w:space="0"/>
            <w:bottom w:val="none" w:sz="0" w:space="0"/>
            <w:right w:val="none" w:sz="0" w:space="0"/>
          </w:pgBorders>
          <w:pgNumType w:fmt="decimal"/>
          <w:cols w:space="720" w:num="1"/>
          <w:docGrid w:linePitch="312" w:charSpace="0"/>
        </w:sectPr>
      </w:pPr>
    </w:p>
    <w:p w14:paraId="4D9ACD07">
      <w:pPr>
        <w:keepLines w:val="0"/>
        <w:kinsoku/>
        <w:wordWrap/>
        <w:overflowPunct/>
        <w:topLinePunct w:val="0"/>
        <w:bidi w:val="0"/>
        <w:spacing w:beforeAutospacing="0" w:afterAutospacing="0" w:line="440" w:lineRule="atLeast"/>
        <w:ind w:left="0" w:leftChars="0" w:right="0" w:rightChars="0"/>
        <w:jc w:val="center"/>
        <w:rPr>
          <w:rFonts w:hint="eastAsia"/>
          <w:b/>
          <w:color w:val="auto"/>
          <w:kern w:val="0"/>
          <w:sz w:val="36"/>
          <w:szCs w:val="36"/>
          <w:highlight w:val="none"/>
        </w:rPr>
      </w:pPr>
      <w:bookmarkStart w:id="266" w:name="_Toc419106583"/>
      <w:bookmarkStart w:id="267" w:name="_Toc30104"/>
      <w:bookmarkStart w:id="268" w:name="_Toc259803673"/>
      <w:bookmarkStart w:id="269" w:name="_Toc1321"/>
      <w:r>
        <w:rPr>
          <w:rFonts w:hint="eastAsia"/>
          <w:b/>
          <w:color w:val="auto"/>
          <w:kern w:val="0"/>
          <w:sz w:val="36"/>
          <w:szCs w:val="36"/>
          <w:highlight w:val="none"/>
        </w:rPr>
        <w:t>报价清单明细表</w:t>
      </w:r>
    </w:p>
    <w:p w14:paraId="0F17162F">
      <w:pPr>
        <w:keepNext w:val="0"/>
        <w:keepLines w:val="0"/>
        <w:pageBreakBefore w:val="0"/>
        <w:widowControl w:val="0"/>
        <w:tabs>
          <w:tab w:val="left" w:pos="5940"/>
        </w:tabs>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ascii="宋体" w:hAnsi="宋体" w:cs="宋体"/>
          <w:bCs/>
          <w:color w:val="auto"/>
          <w:highlight w:val="none"/>
        </w:rPr>
      </w:pPr>
      <w:r>
        <w:rPr>
          <w:rFonts w:hint="eastAsia" w:ascii="宋体" w:hAnsi="宋体" w:cs="宋体"/>
          <w:bCs/>
          <w:color w:val="auto"/>
          <w:highlight w:val="none"/>
        </w:rPr>
        <w:t>项目名称：</w:t>
      </w:r>
      <w:r>
        <w:rPr>
          <w:rFonts w:hint="eastAsia" w:ascii="Times New Roman" w:hAnsi="Times New Roman" w:cs="Times New Roman"/>
          <w:bCs/>
          <w:color w:val="auto"/>
          <w:highlight w:val="none"/>
          <w:lang w:eastAsia="zh-CN"/>
        </w:rPr>
        <w:t>佛山市高明区人民法院执行案件集约化送达服务项目</w:t>
      </w:r>
      <w:r>
        <w:rPr>
          <w:rFonts w:hint="eastAsia" w:ascii="宋体" w:hAnsi="宋体" w:cs="宋体"/>
          <w:color w:val="auto"/>
          <w:highlight w:val="none"/>
        </w:rPr>
        <w:fldChar w:fldCharType="begin"/>
      </w:r>
      <w:r>
        <w:rPr>
          <w:rFonts w:hint="eastAsia" w:ascii="宋体" w:hAnsi="宋体" w:cs="宋体"/>
          <w:color w:val="auto"/>
          <w:highlight w:val="none"/>
        </w:rPr>
        <w:instrText xml:space="preserve"> DOCVARIABLE  项目名称  \* MERGEFORMAT </w:instrText>
      </w:r>
      <w:r>
        <w:rPr>
          <w:rFonts w:ascii="宋体" w:hAnsi="宋体" w:cs="宋体"/>
          <w:color w:val="auto"/>
          <w:highlight w:val="none"/>
        </w:rPr>
        <w:fldChar w:fldCharType="separate"/>
      </w:r>
      <w:r>
        <w:rPr>
          <w:rFonts w:hint="eastAsia" w:ascii="宋体" w:hAnsi="宋体" w:cs="宋体"/>
          <w:color w:val="auto"/>
          <w:highlight w:val="none"/>
        </w:rPr>
        <w:fldChar w:fldCharType="end"/>
      </w:r>
      <w:r>
        <w:rPr>
          <w:rFonts w:hint="eastAsia" w:ascii="宋体" w:hAnsi="宋体" w:cs="宋体"/>
          <w:color w:val="auto"/>
          <w:highlight w:val="none"/>
        </w:rPr>
        <w:t xml:space="preserve"> </w:t>
      </w:r>
      <w:r>
        <w:rPr>
          <w:rFonts w:hint="eastAsia" w:ascii="宋体" w:hAnsi="宋体" w:cs="宋体"/>
          <w:bCs/>
          <w:color w:val="auto"/>
          <w:highlight w:val="none"/>
        </w:rPr>
        <w:t xml:space="preserve">        </w:t>
      </w:r>
    </w:p>
    <w:p w14:paraId="083CD5FD">
      <w:pPr>
        <w:keepNext w:val="0"/>
        <w:keepLines w:val="0"/>
        <w:pageBreakBefore w:val="0"/>
        <w:widowControl w:val="0"/>
        <w:tabs>
          <w:tab w:val="left" w:pos="5940"/>
        </w:tabs>
        <w:kinsoku/>
        <w:wordWrap/>
        <w:overflowPunct/>
        <w:topLinePunct w:val="0"/>
        <w:autoSpaceDE/>
        <w:autoSpaceDN/>
        <w:bidi w:val="0"/>
        <w:adjustRightInd/>
        <w:snapToGrid/>
        <w:spacing w:beforeAutospacing="0" w:afterAutospacing="0" w:line="440" w:lineRule="atLeast"/>
        <w:ind w:left="0" w:leftChars="0" w:right="0" w:rightChars="0"/>
        <w:jc w:val="left"/>
        <w:textAlignment w:val="auto"/>
        <w:rPr>
          <w:rFonts w:hint="default" w:ascii="宋体" w:hAnsi="宋体" w:eastAsia="宋体" w:cs="宋体"/>
          <w:bCs/>
          <w:color w:val="auto"/>
          <w:highlight w:val="none"/>
          <w:lang w:val="en-IE" w:eastAsia="zh-CN"/>
        </w:rPr>
      </w:pPr>
      <w:r>
        <w:rPr>
          <w:rFonts w:hint="eastAsia" w:ascii="宋体" w:hAnsi="宋体" w:cs="宋体"/>
          <w:bCs/>
          <w:color w:val="auto"/>
          <w:highlight w:val="none"/>
        </w:rPr>
        <w:t>项目编号：</w:t>
      </w:r>
      <w:r>
        <w:rPr>
          <w:rFonts w:hint="eastAsia" w:ascii="Times New Roman" w:hAnsi="Times New Roman" w:cs="Times New Roman"/>
          <w:bCs/>
          <w:color w:val="auto"/>
          <w:highlight w:val="none"/>
          <w:lang w:eastAsia="zh-CN"/>
        </w:rPr>
        <w:t>GDYD240563</w:t>
      </w:r>
    </w:p>
    <w:tbl>
      <w:tblPr>
        <w:tblStyle w:val="18"/>
        <w:tblW w:w="14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508"/>
        <w:gridCol w:w="4175"/>
        <w:gridCol w:w="1620"/>
        <w:gridCol w:w="1110"/>
        <w:gridCol w:w="1050"/>
        <w:gridCol w:w="1260"/>
        <w:gridCol w:w="2420"/>
      </w:tblGrid>
      <w:tr w14:paraId="2C2D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751" w:type="dxa"/>
            <w:gridSpan w:val="8"/>
            <w:tcBorders>
              <w:left w:val="threeDEmboss" w:color="auto" w:sz="6" w:space="0"/>
              <w:right w:val="threeDEmboss" w:color="auto" w:sz="6" w:space="0"/>
            </w:tcBorders>
            <w:shd w:val="clear" w:color="auto" w:fill="F3F3F3"/>
            <w:vAlign w:val="center"/>
          </w:tcPr>
          <w:p w14:paraId="506004E3">
            <w:pPr>
              <w:keepNext w:val="0"/>
              <w:keepLines w:val="0"/>
              <w:pageBreakBefore w:val="0"/>
              <w:widowControl w:val="0"/>
              <w:tabs>
                <w:tab w:val="left" w:pos="9585"/>
                <w:tab w:val="left" w:pos="11205"/>
              </w:tabs>
              <w:kinsoku/>
              <w:wordWrap/>
              <w:overflowPunct/>
              <w:topLinePunct w:val="0"/>
              <w:autoSpaceDE/>
              <w:autoSpaceDN/>
              <w:bidi w:val="0"/>
              <w:adjustRightInd/>
              <w:snapToGrid/>
              <w:spacing w:beforeAutospacing="0" w:afterAutospacing="0" w:line="440" w:lineRule="atLeast"/>
              <w:ind w:left="0" w:leftChars="0" w:right="0" w:rightChars="0" w:firstLine="24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一、服务类</w:t>
            </w:r>
          </w:p>
        </w:tc>
      </w:tr>
      <w:tr w14:paraId="0F51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08" w:type="dxa"/>
            <w:tcBorders>
              <w:left w:val="threeDEmboss" w:color="auto" w:sz="6" w:space="0"/>
            </w:tcBorders>
            <w:vAlign w:val="center"/>
          </w:tcPr>
          <w:p w14:paraId="4AFF6231">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eastAsia" w:ascii="宋体" w:hAnsi="宋体" w:eastAsia="宋体" w:cs="宋体"/>
                <w:b/>
                <w:color w:val="auto"/>
                <w:sz w:val="18"/>
                <w:highlight w:val="none"/>
              </w:rPr>
            </w:pPr>
            <w:r>
              <w:rPr>
                <w:rFonts w:hint="eastAsia" w:ascii="宋体" w:hAnsi="宋体" w:eastAsia="宋体" w:cs="宋体"/>
                <w:b/>
                <w:color w:val="auto"/>
                <w:sz w:val="18"/>
                <w:highlight w:val="none"/>
              </w:rPr>
              <w:t>序号</w:t>
            </w:r>
          </w:p>
        </w:tc>
        <w:tc>
          <w:tcPr>
            <w:tcW w:w="2508" w:type="dxa"/>
            <w:vAlign w:val="center"/>
          </w:tcPr>
          <w:p w14:paraId="6D0512C6">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eastAsia" w:ascii="宋体" w:hAnsi="宋体" w:eastAsia="宋体" w:cs="宋体"/>
                <w:b/>
                <w:color w:val="auto"/>
                <w:sz w:val="18"/>
                <w:highlight w:val="none"/>
              </w:rPr>
            </w:pPr>
            <w:r>
              <w:rPr>
                <w:rFonts w:hint="eastAsia" w:ascii="宋体" w:hAnsi="宋体" w:eastAsia="宋体" w:cs="宋体"/>
                <w:b/>
                <w:color w:val="auto"/>
                <w:sz w:val="18"/>
                <w:highlight w:val="none"/>
              </w:rPr>
              <w:t>分项名称</w:t>
            </w:r>
          </w:p>
        </w:tc>
        <w:tc>
          <w:tcPr>
            <w:tcW w:w="4175" w:type="dxa"/>
            <w:vAlign w:val="center"/>
          </w:tcPr>
          <w:p w14:paraId="1FBC49E9">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eastAsia" w:ascii="宋体" w:hAnsi="宋体" w:eastAsia="宋体" w:cs="宋体"/>
                <w:b/>
                <w:color w:val="auto"/>
                <w:sz w:val="18"/>
                <w:highlight w:val="none"/>
              </w:rPr>
            </w:pPr>
            <w:r>
              <w:rPr>
                <w:rFonts w:hint="eastAsia" w:ascii="宋体" w:hAnsi="宋体" w:eastAsia="宋体" w:cs="宋体"/>
                <w:b/>
                <w:color w:val="auto"/>
                <w:sz w:val="18"/>
                <w:highlight w:val="none"/>
              </w:rPr>
              <w:t>具体内容</w:t>
            </w:r>
          </w:p>
        </w:tc>
        <w:tc>
          <w:tcPr>
            <w:tcW w:w="1620" w:type="dxa"/>
            <w:vAlign w:val="center"/>
          </w:tcPr>
          <w:p w14:paraId="2C2E78AC">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单位</w:t>
            </w:r>
          </w:p>
        </w:tc>
        <w:tc>
          <w:tcPr>
            <w:tcW w:w="1110" w:type="dxa"/>
            <w:vAlign w:val="center"/>
          </w:tcPr>
          <w:p w14:paraId="4C6F0AA6">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数量</w:t>
            </w:r>
          </w:p>
        </w:tc>
        <w:tc>
          <w:tcPr>
            <w:tcW w:w="1050" w:type="dxa"/>
            <w:vAlign w:val="center"/>
          </w:tcPr>
          <w:p w14:paraId="1B60E15A">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eastAsia" w:ascii="宋体" w:hAnsi="宋体" w:eastAsia="宋体" w:cs="宋体"/>
                <w:b/>
                <w:color w:val="auto"/>
                <w:sz w:val="18"/>
                <w:highlight w:val="none"/>
              </w:rPr>
            </w:pPr>
            <w:r>
              <w:rPr>
                <w:rFonts w:hint="eastAsia" w:ascii="宋体" w:hAnsi="宋体" w:eastAsia="宋体" w:cs="宋体"/>
                <w:b/>
                <w:color w:val="auto"/>
                <w:sz w:val="18"/>
                <w:highlight w:val="none"/>
              </w:rPr>
              <w:t>单价</w:t>
            </w:r>
          </w:p>
        </w:tc>
        <w:tc>
          <w:tcPr>
            <w:tcW w:w="1260" w:type="dxa"/>
            <w:vAlign w:val="center"/>
          </w:tcPr>
          <w:p w14:paraId="6FD55E8F">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eastAsia" w:ascii="宋体" w:hAnsi="宋体" w:eastAsia="宋体" w:cs="宋体"/>
                <w:b/>
                <w:color w:val="auto"/>
                <w:sz w:val="18"/>
                <w:highlight w:val="none"/>
              </w:rPr>
            </w:pPr>
            <w:r>
              <w:rPr>
                <w:rFonts w:hint="eastAsia" w:ascii="宋体" w:hAnsi="宋体" w:eastAsia="宋体" w:cs="宋体"/>
                <w:b/>
                <w:color w:val="auto"/>
                <w:sz w:val="18"/>
                <w:highlight w:val="none"/>
              </w:rPr>
              <w:t>合计（元）</w:t>
            </w:r>
          </w:p>
        </w:tc>
        <w:tc>
          <w:tcPr>
            <w:tcW w:w="2420" w:type="dxa"/>
            <w:tcBorders>
              <w:right w:val="threeDEmboss" w:color="auto" w:sz="6" w:space="0"/>
            </w:tcBorders>
            <w:vAlign w:val="center"/>
          </w:tcPr>
          <w:p w14:paraId="3DA428A3">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eastAsia" w:ascii="宋体" w:hAnsi="宋体" w:eastAsia="宋体" w:cs="宋体"/>
                <w:b/>
                <w:color w:val="auto"/>
                <w:sz w:val="18"/>
                <w:highlight w:val="none"/>
              </w:rPr>
            </w:pPr>
            <w:r>
              <w:rPr>
                <w:rFonts w:hint="eastAsia" w:ascii="宋体" w:hAnsi="宋体" w:eastAsia="宋体" w:cs="宋体"/>
                <w:b/>
                <w:color w:val="auto"/>
                <w:sz w:val="18"/>
                <w:highlight w:val="none"/>
              </w:rPr>
              <w:t>说    明</w:t>
            </w:r>
          </w:p>
        </w:tc>
      </w:tr>
      <w:tr w14:paraId="71E6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08" w:type="dxa"/>
            <w:tcBorders>
              <w:left w:val="threeDEmboss" w:color="auto" w:sz="6" w:space="0"/>
            </w:tcBorders>
            <w:vAlign w:val="center"/>
          </w:tcPr>
          <w:p w14:paraId="234C9295">
            <w:pPr>
              <w:keepNext w:val="0"/>
              <w:keepLines w:val="0"/>
              <w:pageBreakBefore w:val="0"/>
              <w:widowControl w:val="0"/>
              <w:numPr>
                <w:ilvl w:val="0"/>
                <w:numId w:val="19"/>
              </w:numPr>
              <w:kinsoku/>
              <w:wordWrap/>
              <w:overflowPunct/>
              <w:topLinePunct w:val="0"/>
              <w:autoSpaceDE/>
              <w:autoSpaceDN/>
              <w:bidi w:val="0"/>
              <w:adjustRightInd/>
              <w:snapToGrid/>
              <w:spacing w:beforeAutospacing="0" w:afterAutospacing="0" w:line="440" w:lineRule="atLeast"/>
              <w:ind w:left="-68" w:leftChars="0" w:right="0" w:rightChars="0" w:firstLine="68" w:firstLineChars="0"/>
              <w:jc w:val="both"/>
              <w:textAlignment w:val="auto"/>
              <w:rPr>
                <w:rFonts w:hint="eastAsia" w:ascii="宋体" w:hAnsi="宋体" w:eastAsia="宋体" w:cs="宋体"/>
                <w:bCs/>
                <w:color w:val="auto"/>
                <w:sz w:val="18"/>
                <w:highlight w:val="none"/>
              </w:rPr>
            </w:pPr>
          </w:p>
        </w:tc>
        <w:tc>
          <w:tcPr>
            <w:tcW w:w="2508" w:type="dxa"/>
            <w:vAlign w:val="center"/>
          </w:tcPr>
          <w:p w14:paraId="5D5BDFB7">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eastAsia" w:ascii="宋体" w:hAnsi="宋体" w:eastAsia="宋体" w:cs="宋体"/>
                <w:color w:val="auto"/>
                <w:sz w:val="18"/>
                <w:highlight w:val="none"/>
                <w:lang w:eastAsia="zh-CN"/>
              </w:rPr>
            </w:pPr>
            <w:r>
              <w:rPr>
                <w:rFonts w:hint="eastAsia" w:ascii="宋体" w:hAnsi="宋体" w:eastAsia="宋体" w:cs="宋体"/>
                <w:color w:val="auto"/>
                <w:sz w:val="18"/>
                <w:highlight w:val="none"/>
                <w:lang w:eastAsia="zh-CN"/>
              </w:rPr>
              <w:t>佛山市高明区人民法院执行案件集约化送达服务项目</w:t>
            </w:r>
          </w:p>
        </w:tc>
        <w:tc>
          <w:tcPr>
            <w:tcW w:w="4175" w:type="dxa"/>
            <w:vAlign w:val="center"/>
          </w:tcPr>
          <w:p w14:paraId="3BA2B81F">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提供集电话送达，电子送达，EMS邮寄送达等为一体的多元化“综合送达平台”系统服务，打造高明法院送达特色应用</w:t>
            </w:r>
          </w:p>
          <w:p w14:paraId="5D1BE644">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提供若干名驻场服务人员，为高明区人民法院提供集约化送达服务</w:t>
            </w:r>
          </w:p>
        </w:tc>
        <w:tc>
          <w:tcPr>
            <w:tcW w:w="1620" w:type="dxa"/>
            <w:vAlign w:val="center"/>
          </w:tcPr>
          <w:p w14:paraId="34EF25CB">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eastAsia" w:ascii="宋体" w:hAnsi="宋体" w:eastAsia="宋体" w:cs="宋体"/>
                <w:bCs/>
                <w:color w:val="auto"/>
                <w:sz w:val="18"/>
                <w:highlight w:val="none"/>
                <w:lang w:eastAsia="zh-CN"/>
              </w:rPr>
            </w:pPr>
            <w:r>
              <w:rPr>
                <w:rFonts w:hint="eastAsia" w:ascii="宋体" w:hAnsi="宋体" w:eastAsia="宋体" w:cs="宋体"/>
                <w:bCs/>
                <w:color w:val="auto"/>
                <w:sz w:val="18"/>
                <w:highlight w:val="none"/>
                <w:lang w:eastAsia="zh-CN"/>
              </w:rPr>
              <w:t>件</w:t>
            </w:r>
          </w:p>
        </w:tc>
        <w:tc>
          <w:tcPr>
            <w:tcW w:w="1110" w:type="dxa"/>
            <w:vAlign w:val="center"/>
          </w:tcPr>
          <w:p w14:paraId="254F8704">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center"/>
              <w:textAlignment w:val="auto"/>
              <w:rPr>
                <w:rFonts w:hint="default" w:ascii="宋体" w:hAnsi="宋体" w:eastAsia="宋体" w:cs="宋体"/>
                <w:bCs/>
                <w:color w:val="auto"/>
                <w:sz w:val="18"/>
                <w:highlight w:val="none"/>
                <w:lang w:val="en-US" w:eastAsia="zh-CN"/>
              </w:rPr>
            </w:pPr>
            <w:r>
              <w:rPr>
                <w:rFonts w:hint="eastAsia" w:ascii="宋体" w:hAnsi="宋体" w:eastAsia="宋体" w:cs="宋体"/>
                <w:bCs/>
                <w:color w:val="auto"/>
                <w:sz w:val="18"/>
                <w:highlight w:val="none"/>
                <w:lang w:val="en-US" w:eastAsia="zh-CN"/>
              </w:rPr>
              <w:t>13000</w:t>
            </w:r>
          </w:p>
        </w:tc>
        <w:tc>
          <w:tcPr>
            <w:tcW w:w="1050" w:type="dxa"/>
            <w:vAlign w:val="center"/>
          </w:tcPr>
          <w:p w14:paraId="45757669">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eastAsia" w:ascii="宋体" w:hAnsi="宋体" w:eastAsia="宋体" w:cs="宋体"/>
                <w:bCs/>
                <w:color w:val="auto"/>
                <w:sz w:val="18"/>
                <w:highlight w:val="none"/>
              </w:rPr>
            </w:pPr>
          </w:p>
        </w:tc>
        <w:tc>
          <w:tcPr>
            <w:tcW w:w="1260" w:type="dxa"/>
            <w:vAlign w:val="center"/>
          </w:tcPr>
          <w:p w14:paraId="39F516CA">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eastAsia" w:ascii="宋体" w:hAnsi="宋体" w:eastAsia="宋体" w:cs="宋体"/>
                <w:b/>
                <w:color w:val="auto"/>
                <w:sz w:val="18"/>
                <w:highlight w:val="none"/>
              </w:rPr>
            </w:pPr>
          </w:p>
        </w:tc>
        <w:tc>
          <w:tcPr>
            <w:tcW w:w="2420" w:type="dxa"/>
            <w:tcBorders>
              <w:right w:val="threeDEmboss" w:color="auto" w:sz="6" w:space="0"/>
            </w:tcBorders>
            <w:vAlign w:val="center"/>
          </w:tcPr>
          <w:p w14:paraId="710B81AF">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eastAsia" w:ascii="宋体" w:hAnsi="宋体" w:eastAsia="宋体" w:cs="宋体"/>
                <w:bCs/>
                <w:color w:val="auto"/>
                <w:sz w:val="18"/>
                <w:highlight w:val="none"/>
              </w:rPr>
            </w:pPr>
          </w:p>
        </w:tc>
      </w:tr>
      <w:tr w14:paraId="7750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08" w:type="dxa"/>
            <w:tcBorders>
              <w:left w:val="threeDEmboss" w:color="auto" w:sz="6" w:space="0"/>
            </w:tcBorders>
            <w:vAlign w:val="center"/>
          </w:tcPr>
          <w:p w14:paraId="1236744F">
            <w:pPr>
              <w:keepNext w:val="0"/>
              <w:keepLines w:val="0"/>
              <w:pageBreakBefore w:val="0"/>
              <w:widowControl w:val="0"/>
              <w:numPr>
                <w:ilvl w:val="0"/>
                <w:numId w:val="19"/>
              </w:numPr>
              <w:kinsoku/>
              <w:wordWrap/>
              <w:overflowPunct/>
              <w:topLinePunct w:val="0"/>
              <w:autoSpaceDE/>
              <w:autoSpaceDN/>
              <w:bidi w:val="0"/>
              <w:adjustRightInd/>
              <w:snapToGrid/>
              <w:spacing w:beforeAutospacing="0" w:afterAutospacing="0" w:line="440" w:lineRule="atLeast"/>
              <w:ind w:left="-68" w:leftChars="0" w:right="0" w:rightChars="0" w:firstLine="68" w:firstLineChars="0"/>
              <w:jc w:val="both"/>
              <w:textAlignment w:val="auto"/>
              <w:rPr>
                <w:rFonts w:hint="eastAsia" w:ascii="宋体" w:hAnsi="宋体" w:eastAsia="宋体" w:cs="宋体"/>
                <w:bCs/>
                <w:color w:val="auto"/>
                <w:sz w:val="18"/>
                <w:highlight w:val="none"/>
              </w:rPr>
            </w:pPr>
          </w:p>
        </w:tc>
        <w:tc>
          <w:tcPr>
            <w:tcW w:w="2508" w:type="dxa"/>
            <w:vAlign w:val="center"/>
          </w:tcPr>
          <w:p w14:paraId="3C53401F">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default" w:ascii="宋体" w:hAnsi="宋体" w:eastAsia="宋体" w:cs="宋体"/>
                <w:color w:val="auto"/>
                <w:sz w:val="18"/>
                <w:highlight w:val="none"/>
                <w:lang w:val="en-US" w:eastAsia="zh-CN"/>
              </w:rPr>
            </w:pPr>
            <w:r>
              <w:rPr>
                <w:rFonts w:hint="eastAsia" w:ascii="宋体" w:hAnsi="宋体" w:eastAsia="宋体" w:cs="宋体"/>
                <w:color w:val="auto"/>
                <w:sz w:val="18"/>
                <w:highlight w:val="none"/>
                <w:lang w:val="en-US" w:eastAsia="zh-CN"/>
              </w:rPr>
              <w:t>......</w:t>
            </w:r>
          </w:p>
        </w:tc>
        <w:tc>
          <w:tcPr>
            <w:tcW w:w="4175" w:type="dxa"/>
            <w:vAlign w:val="center"/>
          </w:tcPr>
          <w:p w14:paraId="57D229AA">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eastAsia" w:ascii="宋体" w:hAnsi="宋体" w:eastAsia="宋体" w:cs="宋体"/>
                <w:bCs/>
                <w:color w:val="auto"/>
                <w:sz w:val="18"/>
                <w:highlight w:val="none"/>
              </w:rPr>
            </w:pPr>
          </w:p>
        </w:tc>
        <w:tc>
          <w:tcPr>
            <w:tcW w:w="1620" w:type="dxa"/>
            <w:vAlign w:val="center"/>
          </w:tcPr>
          <w:p w14:paraId="5370B075">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eastAsia" w:ascii="宋体" w:hAnsi="宋体" w:eastAsia="宋体" w:cs="宋体"/>
                <w:bCs/>
                <w:color w:val="auto"/>
                <w:sz w:val="18"/>
                <w:highlight w:val="none"/>
              </w:rPr>
            </w:pPr>
          </w:p>
        </w:tc>
        <w:tc>
          <w:tcPr>
            <w:tcW w:w="1110" w:type="dxa"/>
            <w:vAlign w:val="center"/>
          </w:tcPr>
          <w:p w14:paraId="748ADBEE">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eastAsia" w:ascii="宋体" w:hAnsi="宋体" w:eastAsia="宋体" w:cs="宋体"/>
                <w:bCs/>
                <w:color w:val="auto"/>
                <w:sz w:val="18"/>
                <w:highlight w:val="none"/>
              </w:rPr>
            </w:pPr>
          </w:p>
        </w:tc>
        <w:tc>
          <w:tcPr>
            <w:tcW w:w="1050" w:type="dxa"/>
            <w:vAlign w:val="center"/>
          </w:tcPr>
          <w:p w14:paraId="54556053">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eastAsia" w:ascii="宋体" w:hAnsi="宋体" w:eastAsia="宋体" w:cs="宋体"/>
                <w:bCs/>
                <w:color w:val="auto"/>
                <w:sz w:val="18"/>
                <w:highlight w:val="none"/>
              </w:rPr>
            </w:pPr>
          </w:p>
        </w:tc>
        <w:tc>
          <w:tcPr>
            <w:tcW w:w="1260" w:type="dxa"/>
            <w:vAlign w:val="center"/>
          </w:tcPr>
          <w:p w14:paraId="0FE3654F">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eastAsia" w:ascii="宋体" w:hAnsi="宋体" w:eastAsia="宋体" w:cs="宋体"/>
                <w:b/>
                <w:color w:val="auto"/>
                <w:sz w:val="18"/>
                <w:highlight w:val="none"/>
              </w:rPr>
            </w:pPr>
          </w:p>
        </w:tc>
        <w:tc>
          <w:tcPr>
            <w:tcW w:w="2420" w:type="dxa"/>
            <w:tcBorders>
              <w:right w:val="threeDEmboss" w:color="auto" w:sz="6" w:space="0"/>
            </w:tcBorders>
            <w:vAlign w:val="center"/>
          </w:tcPr>
          <w:p w14:paraId="526D1B18">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eastAsia" w:ascii="宋体" w:hAnsi="宋体" w:eastAsia="宋体" w:cs="宋体"/>
                <w:bCs/>
                <w:color w:val="auto"/>
                <w:sz w:val="18"/>
                <w:highlight w:val="none"/>
              </w:rPr>
            </w:pPr>
          </w:p>
        </w:tc>
      </w:tr>
      <w:tr w14:paraId="2A44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91" w:type="dxa"/>
            <w:gridSpan w:val="3"/>
            <w:tcBorders>
              <w:left w:val="threeDEmboss" w:color="auto" w:sz="6" w:space="0"/>
            </w:tcBorders>
            <w:shd w:val="clear" w:color="auto" w:fill="auto"/>
            <w:vAlign w:val="center"/>
          </w:tcPr>
          <w:p w14:paraId="48F320CA">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eastAsia" w:ascii="宋体" w:hAnsi="宋体" w:eastAsia="宋体" w:cs="宋体"/>
                <w:b/>
                <w:bCs/>
                <w:i/>
                <w:iCs/>
                <w:color w:val="auto"/>
                <w:highlight w:val="none"/>
              </w:rPr>
            </w:pPr>
            <w:r>
              <w:rPr>
                <w:rFonts w:hint="eastAsia" w:ascii="宋体" w:hAnsi="宋体" w:eastAsia="宋体" w:cs="宋体"/>
                <w:b/>
                <w:bCs/>
                <w:i w:val="0"/>
                <w:iCs w:val="0"/>
                <w:color w:val="auto"/>
                <w:highlight w:val="none"/>
              </w:rPr>
              <w:t xml:space="preserve">合     计 </w:t>
            </w:r>
            <w:r>
              <w:rPr>
                <w:rFonts w:hint="eastAsia" w:ascii="宋体" w:hAnsi="宋体" w:eastAsia="宋体" w:cs="宋体"/>
                <w:b/>
                <w:bCs/>
                <w:i/>
                <w:iCs/>
                <w:color w:val="auto"/>
                <w:highlight w:val="none"/>
              </w:rPr>
              <w:t xml:space="preserve">                               </w:t>
            </w:r>
          </w:p>
        </w:tc>
        <w:tc>
          <w:tcPr>
            <w:tcW w:w="7460" w:type="dxa"/>
            <w:gridSpan w:val="5"/>
            <w:tcBorders>
              <w:right w:val="threeDEmboss" w:color="auto" w:sz="6" w:space="0"/>
            </w:tcBorders>
            <w:shd w:val="clear" w:color="auto" w:fill="FFFFCC"/>
            <w:vAlign w:val="center"/>
          </w:tcPr>
          <w:p w14:paraId="3B9AF92B">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合计报价：     元</w:t>
            </w:r>
          </w:p>
        </w:tc>
      </w:tr>
    </w:tbl>
    <w:p w14:paraId="42FECC3C">
      <w:pPr>
        <w:pStyle w:val="10"/>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color w:val="auto"/>
          <w:highlight w:val="none"/>
        </w:rPr>
      </w:pPr>
    </w:p>
    <w:p w14:paraId="2776DFE8">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textAlignment w:val="auto"/>
        <w:rPr>
          <w:rFonts w:hint="eastAsia" w:ascii="宋体" w:hAnsi="宋体" w:eastAsia="宋体" w:cs="宋体"/>
          <w:color w:val="auto"/>
          <w:highlight w:val="none"/>
        </w:rPr>
      </w:pPr>
      <w:r>
        <w:rPr>
          <w:rFonts w:hint="eastAsia" w:ascii="宋体" w:hAnsi="宋体" w:cs="宋体"/>
          <w:color w:val="auto"/>
          <w:szCs w:val="21"/>
          <w:highlight w:val="none"/>
        </w:rPr>
        <w:t>注：</w:t>
      </w:r>
      <w:r>
        <w:rPr>
          <w:rFonts w:hint="eastAsia" w:ascii="宋体" w:hAnsi="宋体" w:eastAsia="宋体" w:cs="宋体"/>
          <w:color w:val="auto"/>
          <w:highlight w:val="none"/>
        </w:rPr>
        <w:t>1、以上表格仅供参考，可根据自身需要适当调整表格内容。</w:t>
      </w:r>
    </w:p>
    <w:p w14:paraId="20686EB1">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2、以上内容必须与响应方案中所介绍的内容、《报价汇总表》一致相符。</w:t>
      </w:r>
    </w:p>
    <w:p w14:paraId="4A9EDE21">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2" w:firstLineChars="200"/>
        <w:textAlignment w:val="auto"/>
        <w:rPr>
          <w:rFonts w:ascii="宋体" w:hAnsi="宋体" w:cs="宋体"/>
          <w:b/>
          <w:color w:val="auto"/>
          <w:szCs w:val="21"/>
          <w:highlight w:val="none"/>
          <w:u w:val="single"/>
        </w:rPr>
      </w:pPr>
    </w:p>
    <w:p w14:paraId="34C54B4D">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470" w:leftChars="0" w:right="0" w:rightChars="0" w:hanging="470" w:hangingChars="196"/>
        <w:jc w:val="center"/>
        <w:textAlignment w:val="auto"/>
        <w:rPr>
          <w:rFonts w:ascii="宋体" w:hAnsi="宋体" w:cs="宋体"/>
          <w:color w:val="auto"/>
          <w:sz w:val="24"/>
          <w:highlight w:val="none"/>
          <w:lang w:val="zh-CN"/>
        </w:rPr>
      </w:pPr>
      <w:bookmarkStart w:id="270" w:name="_Toc334280827"/>
      <w:bookmarkStart w:id="271" w:name="_Toc334432602"/>
      <w:bookmarkStart w:id="272" w:name="_Toc332900955"/>
    </w:p>
    <w:bookmarkEnd w:id="270"/>
    <w:bookmarkEnd w:id="271"/>
    <w:bookmarkEnd w:id="272"/>
    <w:p w14:paraId="191BEBB5">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jc w:val="righ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供应商名称：</w:t>
      </w:r>
      <w:r>
        <w:rPr>
          <w:rFonts w:hint="default" w:ascii="Times New Roman" w:hAnsi="Times New Roman" w:cs="Times New Roman" w:eastAsiaTheme="minorEastAsia"/>
          <w:b w:val="0"/>
          <w:bCs w:val="0"/>
          <w:color w:val="auto"/>
          <w:sz w:val="21"/>
          <w:szCs w:val="21"/>
          <w:highlight w:val="none"/>
          <w:u w:val="single"/>
        </w:rPr>
        <w:t xml:space="preserve">           （</w:t>
      </w:r>
      <w:r>
        <w:rPr>
          <w:rFonts w:hint="eastAsia" w:ascii="Times New Roman" w:hAnsi="Times New Roman" w:cs="Times New Roman"/>
          <w:b w:val="0"/>
          <w:bCs w:val="0"/>
          <w:color w:val="auto"/>
          <w:sz w:val="21"/>
          <w:szCs w:val="21"/>
          <w:highlight w:val="none"/>
          <w:u w:val="single"/>
          <w:lang w:eastAsia="zh-CN"/>
        </w:rPr>
        <w:t>单位名称</w:t>
      </w:r>
      <w:r>
        <w:rPr>
          <w:rFonts w:hint="default" w:ascii="Times New Roman" w:hAnsi="Times New Roman" w:cs="Times New Roman" w:eastAsiaTheme="minorEastAsia"/>
          <w:b w:val="0"/>
          <w:bCs w:val="0"/>
          <w:color w:val="auto"/>
          <w:sz w:val="21"/>
          <w:szCs w:val="21"/>
          <w:highlight w:val="none"/>
          <w:u w:val="single"/>
        </w:rPr>
        <w:t xml:space="preserve">全称）                </w:t>
      </w:r>
      <w:r>
        <w:rPr>
          <w:rFonts w:hint="default" w:ascii="Times New Roman" w:hAnsi="Times New Roman" w:cs="Times New Roman" w:eastAsiaTheme="minorEastAsia"/>
          <w:b w:val="0"/>
          <w:bCs w:val="0"/>
          <w:color w:val="auto"/>
          <w:sz w:val="21"/>
          <w:szCs w:val="21"/>
          <w:highlight w:val="none"/>
        </w:rPr>
        <w:t>（</w:t>
      </w:r>
      <w:r>
        <w:rPr>
          <w:rFonts w:hint="default" w:ascii="Times New Roman" w:hAnsi="Times New Roman" w:cs="Times New Roman" w:eastAsiaTheme="minorEastAsia"/>
          <w:b w:val="0"/>
          <w:bCs w:val="0"/>
          <w:color w:val="auto"/>
          <w:sz w:val="21"/>
          <w:szCs w:val="21"/>
          <w:highlight w:val="none"/>
          <w:lang w:val="zh-CN"/>
        </w:rPr>
        <w:t>加盖供应商公章</w:t>
      </w:r>
      <w:r>
        <w:rPr>
          <w:rFonts w:hint="default" w:ascii="Times New Roman" w:hAnsi="Times New Roman" w:cs="Times New Roman" w:eastAsiaTheme="minorEastAsia"/>
          <w:b w:val="0"/>
          <w:bCs w:val="0"/>
          <w:color w:val="auto"/>
          <w:sz w:val="21"/>
          <w:szCs w:val="21"/>
          <w:highlight w:val="none"/>
        </w:rPr>
        <w:t>）</w:t>
      </w:r>
    </w:p>
    <w:p w14:paraId="70774F8E">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right"/>
        <w:textAlignment w:val="auto"/>
        <w:rPr>
          <w:rFonts w:hint="default" w:ascii="Times New Roman" w:hAnsi="Times New Roman" w:cs="Times New Roman" w:eastAsiaTheme="minorEastAsia"/>
          <w:b w:val="0"/>
          <w:bCs w:val="0"/>
          <w:color w:val="auto"/>
          <w:sz w:val="21"/>
          <w:szCs w:val="21"/>
          <w:highlight w:val="none"/>
          <w:u w:val="single"/>
        </w:rPr>
      </w:pPr>
      <w:r>
        <w:rPr>
          <w:rFonts w:hint="default" w:ascii="Times New Roman" w:hAnsi="Times New Roman" w:cs="Times New Roman" w:eastAsiaTheme="minorEastAsia"/>
          <w:b w:val="0"/>
          <w:bCs w:val="0"/>
          <w:color w:val="auto"/>
          <w:sz w:val="21"/>
          <w:szCs w:val="21"/>
          <w:highlight w:val="none"/>
        </w:rPr>
        <w:t>日期：</w:t>
      </w:r>
      <w:r>
        <w:rPr>
          <w:rFonts w:hint="default" w:ascii="Times New Roman" w:hAnsi="Times New Roman" w:cs="Times New Roman" w:eastAsiaTheme="minorEastAsia"/>
          <w:b w:val="0"/>
          <w:bCs w:val="0"/>
          <w:color w:val="auto"/>
          <w:sz w:val="21"/>
          <w:szCs w:val="21"/>
          <w:highlight w:val="none"/>
          <w:u w:val="single"/>
        </w:rPr>
        <w:t xml:space="preserve">    </w:t>
      </w:r>
      <w:r>
        <w:rPr>
          <w:rFonts w:hint="default" w:ascii="Times New Roman" w:hAnsi="Times New Roman" w:cs="Times New Roman" w:eastAsiaTheme="minorEastAsia"/>
          <w:b w:val="0"/>
          <w:bCs w:val="0"/>
          <w:color w:val="auto"/>
          <w:sz w:val="21"/>
          <w:szCs w:val="21"/>
          <w:highlight w:val="none"/>
        </w:rPr>
        <w:t>年</w:t>
      </w:r>
      <w:r>
        <w:rPr>
          <w:rFonts w:hint="default" w:ascii="Times New Roman" w:hAnsi="Times New Roman" w:cs="Times New Roman" w:eastAsiaTheme="minorEastAsia"/>
          <w:b w:val="0"/>
          <w:bCs w:val="0"/>
          <w:color w:val="auto"/>
          <w:sz w:val="21"/>
          <w:szCs w:val="21"/>
          <w:highlight w:val="none"/>
          <w:u w:val="single"/>
        </w:rPr>
        <w:t xml:space="preserve">    </w:t>
      </w:r>
      <w:r>
        <w:rPr>
          <w:rFonts w:hint="default" w:ascii="Times New Roman" w:hAnsi="Times New Roman" w:cs="Times New Roman" w:eastAsiaTheme="minorEastAsia"/>
          <w:b w:val="0"/>
          <w:bCs w:val="0"/>
          <w:color w:val="auto"/>
          <w:sz w:val="21"/>
          <w:szCs w:val="21"/>
          <w:highlight w:val="none"/>
        </w:rPr>
        <w:t>月</w:t>
      </w:r>
      <w:r>
        <w:rPr>
          <w:rFonts w:hint="default" w:ascii="Times New Roman" w:hAnsi="Times New Roman" w:cs="Times New Roman" w:eastAsiaTheme="minorEastAsia"/>
          <w:b w:val="0"/>
          <w:bCs w:val="0"/>
          <w:color w:val="auto"/>
          <w:sz w:val="21"/>
          <w:szCs w:val="21"/>
          <w:highlight w:val="none"/>
          <w:u w:val="single"/>
        </w:rPr>
        <w:t xml:space="preserve">    </w:t>
      </w:r>
      <w:r>
        <w:rPr>
          <w:rFonts w:hint="default" w:ascii="Times New Roman" w:hAnsi="Times New Roman" w:cs="Times New Roman" w:eastAsiaTheme="minorEastAsia"/>
          <w:b w:val="0"/>
          <w:bCs w:val="0"/>
          <w:color w:val="auto"/>
          <w:sz w:val="21"/>
          <w:szCs w:val="21"/>
          <w:highlight w:val="none"/>
        </w:rPr>
        <w:t>日</w:t>
      </w:r>
    </w:p>
    <w:p w14:paraId="233D473E">
      <w:pPr>
        <w:keepLines w:val="0"/>
        <w:kinsoku/>
        <w:wordWrap/>
        <w:overflowPunct/>
        <w:topLinePunct w:val="0"/>
        <w:bidi w:val="0"/>
        <w:spacing w:beforeAutospacing="0" w:afterAutospacing="0" w:line="440" w:lineRule="atLeast"/>
        <w:ind w:left="0" w:leftChars="0" w:right="0" w:rightChars="0"/>
        <w:jc w:val="center"/>
        <w:rPr>
          <w:rFonts w:hint="eastAsia" w:ascii="宋体" w:hAnsi="宋体" w:cs="宋体"/>
          <w:color w:val="auto"/>
          <w:sz w:val="24"/>
          <w:highlight w:val="none"/>
          <w:lang w:val="zh-CN"/>
        </w:rPr>
      </w:pPr>
    </w:p>
    <w:p w14:paraId="0CA9B68F">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val="0"/>
          <w:bCs/>
          <w:color w:val="auto"/>
          <w:sz w:val="52"/>
          <w:highlight w:val="none"/>
        </w:rPr>
        <w:sectPr>
          <w:pgSz w:w="16838" w:h="11906" w:orient="landscape"/>
          <w:pgMar w:top="1588" w:right="1134" w:bottom="1134" w:left="1134" w:header="567" w:footer="737" w:gutter="0"/>
          <w:pgBorders>
            <w:top w:val="none" w:sz="0" w:space="0"/>
            <w:left w:val="none" w:sz="0" w:space="0"/>
            <w:bottom w:val="none" w:sz="0" w:space="0"/>
            <w:right w:val="none" w:sz="0" w:space="0"/>
          </w:pgBorders>
          <w:pgNumType w:fmt="decimal"/>
          <w:cols w:space="720" w:num="1"/>
          <w:docGrid w:linePitch="312" w:charSpace="0"/>
        </w:sectPr>
      </w:pPr>
    </w:p>
    <w:p w14:paraId="79E5B007">
      <w:pPr>
        <w:pStyle w:val="4"/>
        <w:keepLines w:val="0"/>
        <w:pageBreakBefore/>
        <w:kinsoku/>
        <w:wordWrap/>
        <w:overflowPunct/>
        <w:topLinePunct w:val="0"/>
        <w:bidi w:val="0"/>
        <w:spacing w:beforeAutospacing="0" w:afterAutospacing="0" w:line="440" w:lineRule="atLeast"/>
        <w:ind w:left="0" w:leftChars="0" w:right="0" w:rightChars="0"/>
        <w:jc w:val="center"/>
        <w:outlineLvl w:val="0"/>
        <w:rPr>
          <w:rFonts w:hint="default" w:ascii="Times New Roman" w:hAnsi="Times New Roman" w:cs="Times New Roman" w:eastAsiaTheme="minorEastAsia"/>
          <w:b/>
          <w:bCs w:val="0"/>
          <w:color w:val="auto"/>
          <w:sz w:val="36"/>
          <w:szCs w:val="36"/>
          <w:highlight w:val="none"/>
          <w:shd w:val="clear" w:color="auto" w:fill="CCFFFF"/>
        </w:rPr>
        <w:sectPr>
          <w:pgSz w:w="11906" w:h="16838"/>
          <w:pgMar w:top="1134" w:right="1134" w:bottom="1134" w:left="1588" w:header="567" w:footer="737" w:gutter="0"/>
          <w:pgBorders>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cs="Times New Roman" w:eastAsiaTheme="minorEastAsia"/>
          <w:b/>
          <w:bCs w:val="0"/>
          <w:color w:val="auto"/>
          <w:sz w:val="36"/>
          <w:szCs w:val="36"/>
          <w:highlight w:val="none"/>
        </w:rPr>
        <w:t>第六章 其他文件</w:t>
      </w:r>
      <w:bookmarkEnd w:id="261"/>
      <w:bookmarkEnd w:id="266"/>
      <w:bookmarkEnd w:id="267"/>
      <w:bookmarkEnd w:id="268"/>
      <w:bookmarkEnd w:id="269"/>
    </w:p>
    <w:p w14:paraId="16096FE0">
      <w:pPr>
        <w:keepLines w:val="0"/>
        <w:pageBreakBefore/>
        <w:kinsoku/>
        <w:wordWrap/>
        <w:overflowPunct/>
        <w:topLinePunct w:val="0"/>
        <w:bidi w:val="0"/>
        <w:spacing w:beforeAutospacing="0" w:afterAutospacing="0" w:line="440" w:lineRule="atLeast"/>
        <w:ind w:left="0" w:leftChars="0" w:right="0" w:rightChars="0"/>
        <w:jc w:val="center"/>
        <w:outlineLvl w:val="1"/>
        <w:rPr>
          <w:rFonts w:hint="default" w:ascii="Times New Roman" w:hAnsi="Times New Roman" w:cs="Times New Roman" w:eastAsiaTheme="minorEastAsia"/>
          <w:b/>
          <w:bCs w:val="0"/>
          <w:color w:val="auto"/>
          <w:sz w:val="36"/>
          <w:highlight w:val="none"/>
        </w:rPr>
      </w:pPr>
      <w:bookmarkStart w:id="273" w:name="_Toc11055"/>
      <w:bookmarkStart w:id="274" w:name="_Toc419106584"/>
      <w:bookmarkStart w:id="275" w:name="_Toc18123"/>
      <w:bookmarkStart w:id="276" w:name="_Toc28248"/>
      <w:r>
        <w:rPr>
          <w:rFonts w:hint="default" w:ascii="Times New Roman" w:hAnsi="Times New Roman" w:cs="Times New Roman" w:eastAsiaTheme="minorEastAsia"/>
          <w:b/>
          <w:bCs w:val="0"/>
          <w:color w:val="auto"/>
          <w:sz w:val="36"/>
          <w:highlight w:val="none"/>
        </w:rPr>
        <w:t>其它文件资料</w:t>
      </w:r>
      <w:bookmarkEnd w:id="273"/>
      <w:bookmarkEnd w:id="274"/>
      <w:bookmarkEnd w:id="275"/>
      <w:bookmarkEnd w:id="276"/>
    </w:p>
    <w:p w14:paraId="0EA77868">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sz w:val="28"/>
          <w:szCs w:val="28"/>
          <w:highlight w:val="none"/>
        </w:rPr>
      </w:pPr>
    </w:p>
    <w:p w14:paraId="5CCF3BBA">
      <w:pPr>
        <w:keepLines w:val="0"/>
        <w:numPr>
          <w:ilvl w:val="-1"/>
          <w:numId w:val="0"/>
        </w:numPr>
        <w:kinsoku/>
        <w:wordWrap/>
        <w:overflowPunct/>
        <w:topLinePunct w:val="0"/>
        <w:bidi w:val="0"/>
        <w:spacing w:beforeAutospacing="0" w:afterAutospacing="0" w:line="440" w:lineRule="atLeast"/>
        <w:ind w:left="-510" w:leftChars="0" w:right="0" w:rightChars="0" w:firstLine="562" w:firstLineChars="200"/>
        <w:rPr>
          <w:rFonts w:hint="default" w:ascii="Times New Roman" w:hAnsi="Times New Roman" w:cs="Times New Roman" w:eastAsiaTheme="minorEastAsia"/>
          <w:color w:val="auto"/>
          <w:sz w:val="28"/>
          <w:szCs w:val="28"/>
          <w:highlight w:val="none"/>
        </w:rPr>
      </w:pPr>
      <w:r>
        <w:rPr>
          <w:rFonts w:hint="eastAsia" w:ascii="Times New Roman" w:hAnsi="Times New Roman" w:cs="Times New Roman"/>
          <w:b/>
          <w:color w:val="auto"/>
          <w:sz w:val="28"/>
          <w:szCs w:val="28"/>
          <w:highlight w:val="none"/>
          <w:lang w:eastAsia="zh-CN"/>
        </w:rPr>
        <w:t>一、</w:t>
      </w:r>
      <w:r>
        <w:rPr>
          <w:rFonts w:hint="default" w:ascii="Times New Roman" w:hAnsi="Times New Roman" w:cs="Times New Roman" w:eastAsiaTheme="minorEastAsia"/>
          <w:b/>
          <w:color w:val="auto"/>
          <w:sz w:val="28"/>
          <w:szCs w:val="28"/>
          <w:highlight w:val="none"/>
        </w:rPr>
        <w:t>供应商认为有必要提供的其它材料。</w:t>
      </w:r>
    </w:p>
    <w:p w14:paraId="32A99AEC">
      <w:pPr>
        <w:keepLines w:val="0"/>
        <w:kinsoku/>
        <w:wordWrap/>
        <w:overflowPunct/>
        <w:topLinePunct w:val="0"/>
        <w:bidi w:val="0"/>
        <w:spacing w:beforeAutospacing="0" w:afterAutospacing="0" w:line="440" w:lineRule="atLeast"/>
        <w:ind w:left="0" w:leftChars="0" w:right="0" w:rightChars="0"/>
        <w:rPr>
          <w:rFonts w:hint="eastAsia" w:ascii="Times New Roman" w:hAnsi="Times New Roman" w:cs="Times New Roman" w:eastAsiaTheme="minorEastAsia"/>
          <w:b/>
          <w:color w:val="auto"/>
          <w:sz w:val="24"/>
          <w:szCs w:val="24"/>
          <w:highlight w:val="none"/>
          <w:lang w:eastAsia="zh-CN"/>
        </w:rPr>
      </w:pPr>
      <w:r>
        <w:rPr>
          <w:rFonts w:hint="eastAsia" w:ascii="Times New Roman" w:hAnsi="Times New Roman" w:cs="Times New Roman"/>
          <w:b/>
          <w:color w:val="auto"/>
          <w:sz w:val="24"/>
          <w:szCs w:val="24"/>
          <w:highlight w:val="none"/>
          <w:lang w:eastAsia="zh-CN"/>
        </w:rPr>
        <w:t>（</w:t>
      </w:r>
      <w:r>
        <w:rPr>
          <w:rFonts w:hint="default" w:ascii="Times New Roman" w:hAnsi="Times New Roman" w:cs="Times New Roman" w:eastAsiaTheme="minorEastAsia"/>
          <w:color w:val="auto"/>
          <w:sz w:val="24"/>
          <w:highlight w:val="none"/>
        </w:rPr>
        <w:t>供应商根据自身实际情况进行提供</w:t>
      </w:r>
      <w:r>
        <w:rPr>
          <w:rFonts w:hint="eastAsia" w:ascii="Times New Roman" w:hAnsi="Times New Roman" w:cs="Times New Roman"/>
          <w:color w:val="auto"/>
          <w:sz w:val="24"/>
          <w:highlight w:val="none"/>
          <w:lang w:eastAsia="zh-CN"/>
        </w:rPr>
        <w:t>。</w:t>
      </w:r>
      <w:r>
        <w:rPr>
          <w:rFonts w:hint="eastAsia" w:ascii="Times New Roman" w:hAnsi="Times New Roman" w:cs="Times New Roman"/>
          <w:b/>
          <w:color w:val="auto"/>
          <w:sz w:val="24"/>
          <w:szCs w:val="24"/>
          <w:highlight w:val="none"/>
          <w:lang w:eastAsia="zh-CN"/>
        </w:rPr>
        <w:t>）</w:t>
      </w:r>
    </w:p>
    <w:p w14:paraId="39F0ABCB">
      <w:pPr>
        <w:pStyle w:val="2"/>
        <w:rPr>
          <w:rFonts w:hint="default" w:ascii="Times New Roman" w:hAnsi="Times New Roman" w:cs="Times New Roman" w:eastAsiaTheme="minorEastAsia"/>
          <w:b/>
          <w:color w:val="auto"/>
          <w:sz w:val="28"/>
          <w:szCs w:val="28"/>
          <w:highlight w:val="none"/>
        </w:rPr>
      </w:pPr>
    </w:p>
    <w:p w14:paraId="51C7C5B0">
      <w:pPr>
        <w:pStyle w:val="2"/>
        <w:rPr>
          <w:rFonts w:hint="default" w:ascii="Times New Roman" w:hAnsi="Times New Roman" w:cs="Times New Roman" w:eastAsiaTheme="minorEastAsia"/>
          <w:b/>
          <w:color w:val="auto"/>
          <w:sz w:val="28"/>
          <w:szCs w:val="28"/>
          <w:highlight w:val="none"/>
        </w:rPr>
      </w:pPr>
    </w:p>
    <w:p w14:paraId="7C3984A4">
      <w:pPr>
        <w:pStyle w:val="2"/>
        <w:rPr>
          <w:rFonts w:hint="default" w:ascii="Times New Roman" w:hAnsi="Times New Roman" w:cs="Times New Roman" w:eastAsiaTheme="minorEastAsia"/>
          <w:b/>
          <w:color w:val="auto"/>
          <w:sz w:val="28"/>
          <w:szCs w:val="28"/>
          <w:highlight w:val="none"/>
        </w:rPr>
      </w:pPr>
    </w:p>
    <w:p w14:paraId="57930BBE">
      <w:pPr>
        <w:pStyle w:val="2"/>
        <w:rPr>
          <w:rFonts w:hint="default" w:ascii="Times New Roman" w:hAnsi="Times New Roman" w:cs="Times New Roman" w:eastAsiaTheme="minorEastAsia"/>
          <w:b/>
          <w:color w:val="auto"/>
          <w:sz w:val="28"/>
          <w:szCs w:val="28"/>
          <w:highlight w:val="none"/>
        </w:rPr>
      </w:pPr>
    </w:p>
    <w:p w14:paraId="7248C401">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rPr>
        <w:t>二、唱标信封</w:t>
      </w:r>
    </w:p>
    <w:p w14:paraId="49532DC1">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sz w:val="28"/>
          <w:szCs w:val="28"/>
          <w:highlight w:val="none"/>
        </w:rPr>
      </w:pPr>
      <w:r>
        <w:rPr>
          <w:rFonts w:hint="default" w:ascii="Times New Roman" w:hAnsi="Times New Roman" w:cs="Times New Roman" w:eastAsiaTheme="minorEastAsia"/>
          <w:b/>
          <w:bCs/>
          <w:color w:val="auto"/>
          <w:sz w:val="28"/>
          <w:szCs w:val="28"/>
          <w:highlight w:val="none"/>
        </w:rPr>
        <w:fldChar w:fldCharType="begin"/>
      </w:r>
      <w:r>
        <w:rPr>
          <w:rFonts w:hint="default" w:ascii="Times New Roman" w:hAnsi="Times New Roman" w:cs="Times New Roman" w:eastAsiaTheme="minorEastAsia"/>
          <w:b/>
          <w:bCs/>
          <w:color w:val="auto"/>
          <w:sz w:val="28"/>
          <w:szCs w:val="28"/>
          <w:highlight w:val="none"/>
        </w:rPr>
        <w:instrText xml:space="preserve"> DOCVARIABLE  报价一览表开始  \* MERGEFORMAT </w:instrText>
      </w:r>
      <w:r>
        <w:rPr>
          <w:rFonts w:hint="default" w:ascii="Times New Roman" w:hAnsi="Times New Roman" w:cs="Times New Roman" w:eastAsiaTheme="minorEastAsia"/>
          <w:b/>
          <w:bCs/>
          <w:color w:val="auto"/>
          <w:sz w:val="28"/>
          <w:szCs w:val="28"/>
          <w:highlight w:val="none"/>
        </w:rPr>
        <w:fldChar w:fldCharType="separate"/>
      </w:r>
      <w:r>
        <w:rPr>
          <w:rFonts w:hint="default" w:ascii="Times New Roman" w:hAnsi="Times New Roman" w:cs="Times New Roman" w:eastAsiaTheme="minorEastAsia"/>
          <w:b/>
          <w:bCs/>
          <w:color w:val="auto"/>
          <w:sz w:val="28"/>
          <w:szCs w:val="28"/>
          <w:highlight w:val="none"/>
        </w:rPr>
        <w:fldChar w:fldCharType="end"/>
      </w:r>
      <w:r>
        <w:rPr>
          <w:rFonts w:hint="default" w:ascii="Times New Roman" w:hAnsi="Times New Roman" w:cs="Times New Roman" w:eastAsiaTheme="minorEastAsia"/>
          <w:b/>
          <w:bCs/>
          <w:color w:val="auto"/>
          <w:sz w:val="28"/>
          <w:szCs w:val="28"/>
          <w:highlight w:val="none"/>
        </w:rPr>
        <w:t>报价汇总表</w:t>
      </w:r>
    </w:p>
    <w:p w14:paraId="2DE1D409">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bCs/>
          <w:color w:val="auto"/>
          <w:sz w:val="28"/>
          <w:szCs w:val="28"/>
          <w:highlight w:val="none"/>
        </w:rPr>
      </w:pPr>
    </w:p>
    <w:p w14:paraId="1B07174E">
      <w:pPr>
        <w:keepLines w:val="0"/>
        <w:tabs>
          <w:tab w:val="left" w:pos="5940"/>
        </w:tabs>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rPr>
        <w:t xml:space="preserve">项目名称： </w:t>
      </w:r>
      <w:r>
        <w:rPr>
          <w:rFonts w:hint="eastAsia" w:ascii="Times New Roman" w:hAnsi="Times New Roman" w:cs="Times New Roman"/>
          <w:bCs/>
          <w:color w:val="auto"/>
          <w:highlight w:val="none"/>
          <w:lang w:eastAsia="zh-CN"/>
        </w:rPr>
        <w:t>佛山市高明区人民法院执行案件集约化送达服务项目</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p>
    <w:p w14:paraId="4F8E24FA">
      <w:pPr>
        <w:keepLines w:val="0"/>
        <w:tabs>
          <w:tab w:val="left" w:pos="5940"/>
        </w:tabs>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rPr>
        <w:t>项目编号：</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采购编号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highlight w:val="none"/>
        </w:rPr>
        <w:t xml:space="preserve"> </w:t>
      </w:r>
      <w:r>
        <w:rPr>
          <w:rFonts w:hint="eastAsia" w:ascii="Times New Roman" w:hAnsi="Times New Roman" w:cs="Times New Roman"/>
          <w:bCs/>
          <w:color w:val="auto"/>
          <w:highlight w:val="none"/>
          <w:lang w:eastAsia="zh-CN"/>
        </w:rPr>
        <w:t>GDYD240563</w:t>
      </w:r>
    </w:p>
    <w:tbl>
      <w:tblPr>
        <w:tblStyle w:val="18"/>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14:paraId="371C3709">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3F735210">
            <w:pPr>
              <w:pStyle w:val="31"/>
              <w:keepLines w:val="0"/>
              <w:kinsoku/>
              <w:wordWrap/>
              <w:overflowPunct/>
              <w:topLinePunct w:val="0"/>
              <w:bidi w:val="0"/>
              <w:spacing w:before="0" w:beforeLines="0" w:beforeAutospacing="0" w:after="0" w:afterLines="0" w:afterAutospacing="0" w:line="440" w:lineRule="atLeast"/>
              <w:ind w:left="0" w:leftChars="0" w:right="0" w:rightChars="0"/>
              <w:rPr>
                <w:rFonts w:hint="default" w:ascii="Times New Roman" w:hAnsi="Times New Roman" w:cs="Times New Roman" w:eastAsiaTheme="minorEastAsia"/>
                <w:color w:val="auto"/>
                <w:szCs w:val="24"/>
                <w:highlight w:val="none"/>
              </w:rPr>
            </w:pPr>
            <w:r>
              <w:rPr>
                <w:rFonts w:hint="default" w:ascii="Times New Roman" w:hAnsi="Times New Roman" w:cs="Times New Roman" w:eastAsiaTheme="minorEastAsia"/>
                <w:snapToGrid/>
                <w:color w:val="auto"/>
                <w:spacing w:val="0"/>
                <w:kern w:val="2"/>
                <w:szCs w:val="24"/>
                <w:highlight w:val="none"/>
              </w:rPr>
              <w:t>报价分项</w:t>
            </w:r>
          </w:p>
        </w:tc>
        <w:tc>
          <w:tcPr>
            <w:tcW w:w="699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4C9D9185">
            <w:pPr>
              <w:pStyle w:val="31"/>
              <w:keepLines w:val="0"/>
              <w:kinsoku/>
              <w:wordWrap/>
              <w:overflowPunct/>
              <w:topLinePunct w:val="0"/>
              <w:bidi w:val="0"/>
              <w:spacing w:before="0" w:beforeLines="0" w:beforeAutospacing="0" w:after="0" w:afterLines="0" w:afterAutospacing="0" w:line="440" w:lineRule="atLeast"/>
              <w:ind w:left="0" w:leftChars="0" w:right="0" w:rightChars="0"/>
              <w:rPr>
                <w:rFonts w:hint="default" w:ascii="Times New Roman" w:hAnsi="Times New Roman" w:cs="Times New Roman" w:eastAsiaTheme="minorEastAsia"/>
                <w:color w:val="auto"/>
                <w:szCs w:val="24"/>
                <w:highlight w:val="none"/>
              </w:rPr>
            </w:pPr>
            <w:r>
              <w:rPr>
                <w:rFonts w:hint="default" w:ascii="Times New Roman" w:hAnsi="Times New Roman" w:cs="Times New Roman" w:eastAsiaTheme="minorEastAsia"/>
                <w:snapToGrid/>
                <w:color w:val="auto"/>
                <w:spacing w:val="0"/>
                <w:kern w:val="2"/>
                <w:szCs w:val="24"/>
                <w:highlight w:val="none"/>
              </w:rPr>
              <w:t>合计</w:t>
            </w:r>
          </w:p>
        </w:tc>
      </w:tr>
      <w:tr w14:paraId="5AC6D1D3">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45"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62BCA9E9">
            <w:pPr>
              <w:pStyle w:val="31"/>
              <w:keepLines w:val="0"/>
              <w:kinsoku/>
              <w:wordWrap/>
              <w:overflowPunct/>
              <w:topLinePunct w:val="0"/>
              <w:bidi w:val="0"/>
              <w:spacing w:before="0" w:beforeLines="0" w:beforeAutospacing="0" w:after="0" w:afterLines="0" w:afterAutospacing="0" w:line="440" w:lineRule="atLeast"/>
              <w:ind w:left="0" w:leftChars="0" w:right="0" w:rightChars="0"/>
              <w:rPr>
                <w:rFonts w:hint="default" w:ascii="Times New Roman" w:hAnsi="Times New Roman" w:cs="Times New Roman" w:eastAsiaTheme="minorEastAsia"/>
                <w:snapToGrid/>
                <w:color w:val="auto"/>
                <w:spacing w:val="0"/>
                <w:kern w:val="2"/>
                <w:szCs w:val="24"/>
                <w:highlight w:val="none"/>
                <w:lang w:eastAsia="zh-CN"/>
              </w:rPr>
            </w:pPr>
            <w:r>
              <w:rPr>
                <w:rFonts w:hint="default" w:ascii="Times New Roman" w:hAnsi="Times New Roman" w:cs="Times New Roman" w:eastAsiaTheme="minorEastAsia"/>
                <w:snapToGrid/>
                <w:color w:val="auto"/>
                <w:spacing w:val="0"/>
                <w:kern w:val="2"/>
                <w:szCs w:val="24"/>
                <w:highlight w:val="none"/>
                <w:lang w:eastAsia="zh-CN"/>
              </w:rPr>
              <w:t>报价合计</w:t>
            </w:r>
          </w:p>
        </w:tc>
        <w:tc>
          <w:tcPr>
            <w:tcW w:w="6995" w:type="dxa"/>
            <w:tcBorders>
              <w:top w:val="single" w:color="auto" w:sz="4" w:space="0"/>
              <w:left w:val="single" w:color="auto" w:sz="4" w:space="0"/>
              <w:bottom w:val="single" w:color="auto" w:sz="4" w:space="0"/>
              <w:right w:val="single" w:color="auto" w:sz="4" w:space="0"/>
            </w:tcBorders>
            <w:noWrap w:val="0"/>
            <w:vAlign w:val="center"/>
          </w:tcPr>
          <w:p w14:paraId="15BE287A">
            <w:pPr>
              <w:pStyle w:val="31"/>
              <w:keepLines w:val="0"/>
              <w:kinsoku/>
              <w:wordWrap/>
              <w:overflowPunct/>
              <w:topLinePunct w:val="0"/>
              <w:bidi w:val="0"/>
              <w:spacing w:before="0" w:beforeLines="0" w:beforeAutospacing="0" w:after="0" w:afterLines="0" w:afterAutospacing="0" w:line="440" w:lineRule="atLeast"/>
              <w:ind w:left="0" w:leftChars="0" w:right="0" w:rightChars="0"/>
              <w:jc w:val="both"/>
              <w:rPr>
                <w:rFonts w:hint="default" w:ascii="Times New Roman" w:hAnsi="Times New Roman" w:cs="Times New Roman" w:eastAsiaTheme="minorEastAsia"/>
                <w:color w:val="auto"/>
                <w:szCs w:val="24"/>
                <w:highlight w:val="none"/>
                <w:lang w:eastAsia="zh-CN"/>
              </w:rPr>
            </w:pPr>
            <w:r>
              <w:rPr>
                <w:rFonts w:hint="default" w:ascii="Times New Roman" w:hAnsi="Times New Roman" w:cs="Times New Roman" w:eastAsiaTheme="minorEastAsia"/>
                <w:color w:val="auto"/>
                <w:szCs w:val="24"/>
                <w:highlight w:val="none"/>
              </w:rPr>
              <w:t>小写：</w:t>
            </w:r>
            <w:r>
              <w:rPr>
                <w:rFonts w:hint="default" w:ascii="Times New Roman" w:hAnsi="Times New Roman" w:cs="Times New Roman" w:eastAsiaTheme="minorEastAsia"/>
                <w:color w:val="auto"/>
                <w:szCs w:val="24"/>
                <w:highlight w:val="none"/>
                <w:u w:val="single"/>
              </w:rPr>
              <w:t xml:space="preserve">      </w:t>
            </w:r>
            <w:r>
              <w:rPr>
                <w:rFonts w:hint="eastAsia" w:ascii="Times New Roman" w:hAnsi="Times New Roman" w:cs="Times New Roman" w:eastAsiaTheme="minorEastAsia"/>
                <w:color w:val="auto"/>
                <w:szCs w:val="24"/>
                <w:highlight w:val="none"/>
                <w:lang w:val="en-US" w:eastAsia="zh-CN"/>
              </w:rPr>
              <w:t>元</w:t>
            </w:r>
          </w:p>
          <w:p w14:paraId="03795A8E">
            <w:pPr>
              <w:pStyle w:val="31"/>
              <w:keepLines w:val="0"/>
              <w:kinsoku/>
              <w:wordWrap/>
              <w:overflowPunct/>
              <w:topLinePunct w:val="0"/>
              <w:bidi w:val="0"/>
              <w:spacing w:before="0" w:beforeLines="0" w:beforeAutospacing="0" w:after="0" w:afterLines="0" w:afterAutospacing="0" w:line="440" w:lineRule="atLeast"/>
              <w:ind w:left="0" w:leftChars="0" w:right="0" w:rightChars="0"/>
              <w:jc w:val="both"/>
              <w:rPr>
                <w:rFonts w:hint="default" w:ascii="Times New Roman" w:hAnsi="Times New Roman" w:cs="Times New Roman" w:eastAsiaTheme="minorEastAsia"/>
                <w:snapToGrid/>
                <w:color w:val="auto"/>
                <w:spacing w:val="0"/>
                <w:kern w:val="2"/>
                <w:szCs w:val="24"/>
                <w:highlight w:val="none"/>
              </w:rPr>
            </w:pPr>
            <w:r>
              <w:rPr>
                <w:rFonts w:hint="default" w:ascii="Times New Roman" w:hAnsi="Times New Roman" w:cs="Times New Roman" w:eastAsiaTheme="minorEastAsia"/>
                <w:color w:val="auto"/>
                <w:szCs w:val="24"/>
                <w:highlight w:val="none"/>
              </w:rPr>
              <w:t>大写：</w:t>
            </w:r>
            <w:r>
              <w:rPr>
                <w:rFonts w:hint="eastAsia" w:ascii="Times New Roman" w:hAnsi="Times New Roman" w:cs="Times New Roman" w:eastAsiaTheme="minorEastAsia"/>
                <w:color w:val="auto"/>
                <w:szCs w:val="24"/>
                <w:highlight w:val="none"/>
                <w:lang w:eastAsia="zh-CN"/>
              </w:rPr>
              <w:t>人民币</w:t>
            </w:r>
            <w:r>
              <w:rPr>
                <w:rFonts w:hint="default" w:ascii="Times New Roman" w:hAnsi="Times New Roman" w:cs="Times New Roman" w:eastAsiaTheme="minorEastAsia"/>
                <w:color w:val="auto"/>
                <w:szCs w:val="24"/>
                <w:highlight w:val="none"/>
                <w:u w:val="single"/>
              </w:rPr>
              <w:t xml:space="preserve">         </w:t>
            </w:r>
          </w:p>
        </w:tc>
      </w:tr>
    </w:tbl>
    <w:p w14:paraId="7ACE4F98">
      <w:pPr>
        <w:keepLines w:val="0"/>
        <w:kinsoku/>
        <w:wordWrap/>
        <w:overflowPunct/>
        <w:topLinePunct w:val="0"/>
        <w:bidi w:val="0"/>
        <w:spacing w:beforeAutospacing="0" w:afterAutospacing="0" w:line="440" w:lineRule="atLeast"/>
        <w:ind w:left="0" w:leftChars="0" w:right="0" w:rightChars="0"/>
        <w:jc w:val="left"/>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注：</w:t>
      </w:r>
    </w:p>
    <w:p w14:paraId="6C641338">
      <w:pPr>
        <w:keepLines w:val="0"/>
        <w:kinsoku/>
        <w:wordWrap/>
        <w:overflowPunct/>
        <w:topLinePunct w:val="0"/>
        <w:bidi w:val="0"/>
        <w:spacing w:beforeAutospacing="0" w:afterAutospacing="0" w:line="440" w:lineRule="atLeast"/>
        <w:ind w:left="0" w:leftChars="0" w:right="0" w:rightChars="0"/>
        <w:jc w:val="left"/>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1、</w:t>
      </w:r>
      <w:r>
        <w:rPr>
          <w:rFonts w:hint="eastAsia" w:ascii="宋体" w:hAnsi="宋体" w:cs="宋体"/>
          <w:color w:val="auto"/>
          <w:highlight w:val="none"/>
        </w:rPr>
        <w:t>总价应为各分项报价之和，响应文件差异修正准则参见响应文件说明</w:t>
      </w:r>
      <w:r>
        <w:rPr>
          <w:rFonts w:hint="eastAsia" w:ascii="Times New Roman" w:hAnsi="Times New Roman" w:cs="Times New Roman"/>
          <w:color w:val="auto"/>
          <w:highlight w:val="none"/>
          <w:lang w:eastAsia="zh-CN"/>
        </w:rPr>
        <w:t>。</w:t>
      </w:r>
    </w:p>
    <w:p w14:paraId="19FA2A5C">
      <w:pPr>
        <w:keepLines w:val="0"/>
        <w:kinsoku/>
        <w:wordWrap/>
        <w:overflowPunct/>
        <w:topLinePunct w:val="0"/>
        <w:bidi w:val="0"/>
        <w:spacing w:beforeAutospacing="0" w:afterAutospacing="0" w:line="440" w:lineRule="atLeast"/>
        <w:ind w:left="0" w:leftChars="0" w:right="0" w:rightChars="0" w:firstLine="0" w:firstLineChars="0"/>
        <w:rPr>
          <w:rFonts w:hint="default" w:ascii="Times New Roman" w:hAnsi="Times New Roman" w:cs="Times New Roman" w:eastAsiaTheme="minorEastAsia"/>
          <w:color w:val="auto"/>
          <w:highlight w:val="none"/>
        </w:rPr>
      </w:pPr>
      <w:r>
        <w:rPr>
          <w:rFonts w:hint="eastAsia" w:ascii="Times New Roman" w:hAnsi="Times New Roman" w:cs="Times New Roman"/>
          <w:color w:val="auto"/>
          <w:highlight w:val="none"/>
          <w:lang w:eastAsia="zh-CN"/>
        </w:rPr>
        <w:t>2、</w:t>
      </w:r>
      <w:r>
        <w:rPr>
          <w:rFonts w:hint="default" w:ascii="Times New Roman" w:hAnsi="Times New Roman" w:cs="Times New Roman" w:eastAsiaTheme="minorEastAsia"/>
          <w:color w:val="auto"/>
          <w:highlight w:val="none"/>
        </w:rPr>
        <w:t>报价表述限于选用中文大写或阿拉伯数字小写，均已核定准确无误。</w:t>
      </w:r>
    </w:p>
    <w:p w14:paraId="43161875">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p>
    <w:p w14:paraId="300578EF">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color w:val="auto"/>
          <w:highlight w:val="none"/>
        </w:rPr>
      </w:pPr>
    </w:p>
    <w:p w14:paraId="3BDF069E">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20" w:firstLineChars="200"/>
        <w:jc w:val="righ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供应商名称：</w:t>
      </w:r>
      <w:r>
        <w:rPr>
          <w:rFonts w:hint="default" w:ascii="Times New Roman" w:hAnsi="Times New Roman" w:cs="Times New Roman" w:eastAsiaTheme="minorEastAsia"/>
          <w:b w:val="0"/>
          <w:bCs w:val="0"/>
          <w:color w:val="auto"/>
          <w:sz w:val="21"/>
          <w:szCs w:val="21"/>
          <w:highlight w:val="none"/>
          <w:u w:val="single"/>
        </w:rPr>
        <w:t xml:space="preserve">           （</w:t>
      </w:r>
      <w:r>
        <w:rPr>
          <w:rFonts w:hint="eastAsia" w:ascii="Times New Roman" w:hAnsi="Times New Roman" w:cs="Times New Roman"/>
          <w:b w:val="0"/>
          <w:bCs w:val="0"/>
          <w:color w:val="auto"/>
          <w:sz w:val="21"/>
          <w:szCs w:val="21"/>
          <w:highlight w:val="none"/>
          <w:u w:val="single"/>
          <w:lang w:eastAsia="zh-CN"/>
        </w:rPr>
        <w:t>单位名称</w:t>
      </w:r>
      <w:r>
        <w:rPr>
          <w:rFonts w:hint="default" w:ascii="Times New Roman" w:hAnsi="Times New Roman" w:cs="Times New Roman" w:eastAsiaTheme="minorEastAsia"/>
          <w:b w:val="0"/>
          <w:bCs w:val="0"/>
          <w:color w:val="auto"/>
          <w:sz w:val="21"/>
          <w:szCs w:val="21"/>
          <w:highlight w:val="none"/>
          <w:u w:val="single"/>
        </w:rPr>
        <w:t xml:space="preserve">全称）                </w:t>
      </w:r>
      <w:r>
        <w:rPr>
          <w:rFonts w:hint="default" w:ascii="Times New Roman" w:hAnsi="Times New Roman" w:cs="Times New Roman" w:eastAsiaTheme="minorEastAsia"/>
          <w:b w:val="0"/>
          <w:bCs w:val="0"/>
          <w:color w:val="auto"/>
          <w:sz w:val="21"/>
          <w:szCs w:val="21"/>
          <w:highlight w:val="none"/>
        </w:rPr>
        <w:t>（</w:t>
      </w:r>
      <w:r>
        <w:rPr>
          <w:rFonts w:hint="default" w:ascii="Times New Roman" w:hAnsi="Times New Roman" w:cs="Times New Roman" w:eastAsiaTheme="minorEastAsia"/>
          <w:b w:val="0"/>
          <w:bCs w:val="0"/>
          <w:color w:val="auto"/>
          <w:sz w:val="21"/>
          <w:szCs w:val="21"/>
          <w:highlight w:val="none"/>
          <w:lang w:val="zh-CN"/>
        </w:rPr>
        <w:t>加盖供应商公章</w:t>
      </w:r>
      <w:r>
        <w:rPr>
          <w:rFonts w:hint="default" w:ascii="Times New Roman" w:hAnsi="Times New Roman" w:cs="Times New Roman" w:eastAsiaTheme="minorEastAsia"/>
          <w:b w:val="0"/>
          <w:bCs w:val="0"/>
          <w:color w:val="auto"/>
          <w:sz w:val="21"/>
          <w:szCs w:val="21"/>
          <w:highlight w:val="none"/>
        </w:rPr>
        <w:t>）</w:t>
      </w:r>
    </w:p>
    <w:p w14:paraId="44A866E4">
      <w:pPr>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right"/>
        <w:rPr>
          <w:rFonts w:hint="default" w:ascii="Times New Roman" w:hAnsi="Times New Roman" w:cs="Times New Roman" w:eastAsiaTheme="minorEastAsia"/>
          <w:b w:val="0"/>
          <w:bCs w:val="0"/>
          <w:color w:val="auto"/>
          <w:highlight w:val="none"/>
        </w:rPr>
      </w:pPr>
      <w:r>
        <w:rPr>
          <w:rFonts w:hint="default" w:ascii="Times New Roman" w:hAnsi="Times New Roman" w:cs="Times New Roman" w:eastAsiaTheme="minorEastAsia"/>
          <w:b w:val="0"/>
          <w:bCs w:val="0"/>
          <w:color w:val="auto"/>
          <w:highlight w:val="none"/>
        </w:rPr>
        <w:t>授权代表：</w:t>
      </w:r>
      <w:r>
        <w:rPr>
          <w:rFonts w:hint="default" w:ascii="Times New Roman" w:hAnsi="Times New Roman" w:cs="Times New Roman" w:eastAsiaTheme="minorEastAsia"/>
          <w:b w:val="0"/>
          <w:bCs w:val="0"/>
          <w:color w:val="auto"/>
          <w:highlight w:val="none"/>
          <w:u w:val="single"/>
        </w:rPr>
        <w:t xml:space="preserve">                              </w:t>
      </w:r>
      <w:r>
        <w:rPr>
          <w:rFonts w:hint="default" w:ascii="Times New Roman" w:hAnsi="Times New Roman" w:cs="Times New Roman" w:eastAsiaTheme="minorEastAsia"/>
          <w:b w:val="0"/>
          <w:bCs w:val="0"/>
          <w:color w:val="auto"/>
          <w:highlight w:val="none"/>
        </w:rPr>
        <w:t>（亲笔签名）</w:t>
      </w:r>
    </w:p>
    <w:p w14:paraId="037B6C12">
      <w:pPr>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jc w:val="right"/>
        <w:rPr>
          <w:rFonts w:hint="default" w:ascii="Times New Roman" w:hAnsi="Times New Roman" w:cs="Times New Roman" w:eastAsiaTheme="minorEastAsia"/>
          <w:b w:val="0"/>
          <w:bCs w:val="0"/>
          <w:color w:val="auto"/>
          <w:sz w:val="21"/>
          <w:szCs w:val="21"/>
          <w:highlight w:val="none"/>
          <w:u w:val="single"/>
        </w:rPr>
      </w:pPr>
      <w:r>
        <w:rPr>
          <w:rFonts w:hint="default" w:ascii="Times New Roman" w:hAnsi="Times New Roman" w:cs="Times New Roman" w:eastAsiaTheme="minorEastAsia"/>
          <w:b w:val="0"/>
          <w:bCs w:val="0"/>
          <w:color w:val="auto"/>
          <w:sz w:val="21"/>
          <w:szCs w:val="21"/>
          <w:highlight w:val="none"/>
        </w:rPr>
        <w:t>日期：</w:t>
      </w:r>
      <w:r>
        <w:rPr>
          <w:rFonts w:hint="default" w:ascii="Times New Roman" w:hAnsi="Times New Roman" w:cs="Times New Roman" w:eastAsiaTheme="minorEastAsia"/>
          <w:b w:val="0"/>
          <w:bCs w:val="0"/>
          <w:color w:val="auto"/>
          <w:sz w:val="21"/>
          <w:szCs w:val="21"/>
          <w:highlight w:val="none"/>
          <w:u w:val="single"/>
        </w:rPr>
        <w:t xml:space="preserve">    </w:t>
      </w:r>
      <w:r>
        <w:rPr>
          <w:rFonts w:hint="default" w:ascii="Times New Roman" w:hAnsi="Times New Roman" w:cs="Times New Roman" w:eastAsiaTheme="minorEastAsia"/>
          <w:b w:val="0"/>
          <w:bCs w:val="0"/>
          <w:color w:val="auto"/>
          <w:sz w:val="21"/>
          <w:szCs w:val="21"/>
          <w:highlight w:val="none"/>
        </w:rPr>
        <w:t>年</w:t>
      </w:r>
      <w:r>
        <w:rPr>
          <w:rFonts w:hint="default" w:ascii="Times New Roman" w:hAnsi="Times New Roman" w:cs="Times New Roman" w:eastAsiaTheme="minorEastAsia"/>
          <w:b w:val="0"/>
          <w:bCs w:val="0"/>
          <w:color w:val="auto"/>
          <w:sz w:val="21"/>
          <w:szCs w:val="21"/>
          <w:highlight w:val="none"/>
          <w:u w:val="single"/>
        </w:rPr>
        <w:t xml:space="preserve">    </w:t>
      </w:r>
      <w:r>
        <w:rPr>
          <w:rFonts w:hint="default" w:ascii="Times New Roman" w:hAnsi="Times New Roman" w:cs="Times New Roman" w:eastAsiaTheme="minorEastAsia"/>
          <w:b w:val="0"/>
          <w:bCs w:val="0"/>
          <w:color w:val="auto"/>
          <w:sz w:val="21"/>
          <w:szCs w:val="21"/>
          <w:highlight w:val="none"/>
        </w:rPr>
        <w:t>月</w:t>
      </w:r>
      <w:r>
        <w:rPr>
          <w:rFonts w:hint="default" w:ascii="Times New Roman" w:hAnsi="Times New Roman" w:cs="Times New Roman" w:eastAsiaTheme="minorEastAsia"/>
          <w:b w:val="0"/>
          <w:bCs w:val="0"/>
          <w:color w:val="auto"/>
          <w:sz w:val="21"/>
          <w:szCs w:val="21"/>
          <w:highlight w:val="none"/>
          <w:u w:val="single"/>
        </w:rPr>
        <w:t xml:space="preserve">    </w:t>
      </w:r>
      <w:r>
        <w:rPr>
          <w:rFonts w:hint="default" w:ascii="Times New Roman" w:hAnsi="Times New Roman" w:cs="Times New Roman" w:eastAsiaTheme="minorEastAsia"/>
          <w:b w:val="0"/>
          <w:bCs w:val="0"/>
          <w:color w:val="auto"/>
          <w:sz w:val="21"/>
          <w:szCs w:val="21"/>
          <w:highlight w:val="none"/>
        </w:rPr>
        <w:t>日</w:t>
      </w:r>
    </w:p>
    <w:p w14:paraId="71750F6E">
      <w:pPr>
        <w:keepLines w:val="0"/>
        <w:kinsoku/>
        <w:wordWrap/>
        <w:overflowPunct/>
        <w:topLinePunct w:val="0"/>
        <w:bidi w:val="0"/>
        <w:spacing w:beforeAutospacing="0" w:afterAutospacing="0" w:line="440" w:lineRule="atLeast"/>
        <w:ind w:left="0" w:leftChars="0" w:right="0" w:rightChars="0"/>
        <w:jc w:val="left"/>
        <w:rPr>
          <w:rFonts w:hint="default" w:ascii="Times New Roman" w:hAnsi="Times New Roman" w:cs="Times New Roman" w:eastAsiaTheme="minorEastAsia"/>
          <w:b/>
          <w:color w:val="auto"/>
          <w:highlight w:val="none"/>
        </w:rPr>
      </w:pPr>
    </w:p>
    <w:p w14:paraId="1886D7E0">
      <w:pPr>
        <w:pStyle w:val="17"/>
        <w:keepLines w:val="0"/>
        <w:kinsoku/>
        <w:wordWrap/>
        <w:overflowPunct/>
        <w:topLinePunct w:val="0"/>
        <w:bidi w:val="0"/>
        <w:spacing w:before="0" w:beforeLines="0" w:beforeAutospacing="0" w:after="0" w:afterLines="0" w:afterAutospacing="0" w:line="440" w:lineRule="atLeast"/>
        <w:ind w:left="0" w:leftChars="0" w:right="0" w:rightChars="0" w:firstLine="0" w:firstLineChars="0"/>
        <w:rPr>
          <w:rFonts w:hint="default" w:ascii="Times New Roman" w:hAnsi="Times New Roman" w:cs="Times New Roman" w:eastAsiaTheme="minorEastAsia"/>
          <w:b/>
          <w:color w:val="auto"/>
          <w:highlight w:val="none"/>
        </w:rPr>
        <w:sectPr>
          <w:headerReference r:id="rId10" w:type="default"/>
          <w:pgSz w:w="11906" w:h="16838"/>
          <w:pgMar w:top="1134" w:right="1134" w:bottom="1134" w:left="1588" w:header="567" w:footer="737" w:gutter="0"/>
          <w:pgBorders>
            <w:top w:val="none" w:sz="0" w:space="0"/>
            <w:left w:val="none" w:sz="0" w:space="0"/>
            <w:bottom w:val="none" w:sz="0" w:space="0"/>
            <w:right w:val="none" w:sz="0" w:space="0"/>
          </w:pgBorders>
          <w:pgNumType w:fmt="decimal"/>
          <w:cols w:space="720" w:num="1"/>
          <w:docGrid w:linePitch="312" w:charSpace="0"/>
        </w:sectPr>
      </w:pPr>
    </w:p>
    <w:bookmarkEnd w:id="244"/>
    <w:bookmarkEnd w:id="245"/>
    <w:bookmarkEnd w:id="246"/>
    <w:bookmarkEnd w:id="247"/>
    <w:bookmarkEnd w:id="248"/>
    <w:bookmarkEnd w:id="249"/>
    <w:bookmarkEnd w:id="250"/>
    <w:p w14:paraId="3EDF85C1">
      <w:pPr>
        <w:keepLines w:val="0"/>
        <w:pageBreakBefore/>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val="0"/>
          <w:bCs/>
          <w:color w:val="auto"/>
          <w:sz w:val="36"/>
          <w:highlight w:val="none"/>
        </w:rPr>
      </w:pPr>
      <w:bookmarkStart w:id="277" w:name="_Toc38337722"/>
      <w:bookmarkStart w:id="278" w:name="_Toc49329276"/>
      <w:bookmarkStart w:id="279" w:name="_Toc22927"/>
      <w:bookmarkStart w:id="280" w:name="_Toc310519909"/>
      <w:bookmarkStart w:id="281" w:name="_Toc419106587"/>
      <w:bookmarkStart w:id="282" w:name="_Toc325031964"/>
      <w:bookmarkStart w:id="283" w:name="_Toc373767224"/>
      <w:bookmarkStart w:id="284" w:name="_Toc18239"/>
      <w:bookmarkStart w:id="285" w:name="_Toc24787"/>
      <w:r>
        <w:rPr>
          <w:rFonts w:hint="default" w:ascii="Times New Roman" w:hAnsi="Times New Roman" w:cs="Times New Roman" w:eastAsiaTheme="minorEastAsia"/>
          <w:b w:val="0"/>
          <w:bCs/>
          <w:color w:val="auto"/>
          <w:sz w:val="36"/>
          <w:highlight w:val="none"/>
        </w:rPr>
        <w:t>文件包装袋</w:t>
      </w:r>
      <w:bookmarkEnd w:id="277"/>
      <w:bookmarkEnd w:id="278"/>
      <w:r>
        <w:rPr>
          <w:rFonts w:hint="default" w:ascii="Times New Roman" w:hAnsi="Times New Roman" w:cs="Times New Roman" w:eastAsiaTheme="minorEastAsia"/>
          <w:b w:val="0"/>
          <w:bCs/>
          <w:color w:val="auto"/>
          <w:sz w:val="36"/>
          <w:highlight w:val="none"/>
        </w:rPr>
        <w:t>封面标贴格式</w:t>
      </w:r>
      <w:bookmarkEnd w:id="279"/>
      <w:bookmarkEnd w:id="280"/>
      <w:bookmarkEnd w:id="281"/>
      <w:bookmarkEnd w:id="282"/>
      <w:bookmarkEnd w:id="283"/>
      <w:bookmarkEnd w:id="284"/>
      <w:bookmarkEnd w:id="285"/>
    </w:p>
    <w:tbl>
      <w:tblPr>
        <w:tblStyle w:val="18"/>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Layout w:type="fixed"/>
        <w:tblCellMar>
          <w:top w:w="0" w:type="dxa"/>
          <w:left w:w="108" w:type="dxa"/>
          <w:bottom w:w="0" w:type="dxa"/>
          <w:right w:w="108" w:type="dxa"/>
        </w:tblCellMar>
      </w:tblPr>
      <w:tblGrid>
        <w:gridCol w:w="9149"/>
      </w:tblGrid>
      <w:tr w14:paraId="7F447AF1">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CellMar>
            <w:top w:w="0" w:type="dxa"/>
            <w:left w:w="108" w:type="dxa"/>
            <w:bottom w:w="0" w:type="dxa"/>
            <w:right w:w="108" w:type="dxa"/>
          </w:tblCellMar>
        </w:tblPrEx>
        <w:trPr>
          <w:trHeight w:val="5855" w:hRule="atLeast"/>
          <w:jc w:val="center"/>
        </w:trPr>
        <w:tc>
          <w:tcPr>
            <w:tcW w:w="9149" w:type="dxa"/>
            <w:shd w:val="clear" w:color="auto" w:fill="99CCFF"/>
            <w:noWrap w:val="0"/>
            <w:vAlign w:val="top"/>
          </w:tcPr>
          <w:p w14:paraId="222766B5">
            <w:pPr>
              <w:keepLines w:val="0"/>
              <w:kinsoku/>
              <w:wordWrap/>
              <w:overflowPunct/>
              <w:topLinePunct w:val="0"/>
              <w:bidi w:val="0"/>
              <w:snapToGrid w:val="0"/>
              <w:spacing w:beforeAutospacing="0" w:afterAutospacing="0" w:line="440" w:lineRule="atLeast"/>
              <w:ind w:left="0" w:leftChars="0" w:right="0" w:rightChars="0"/>
              <w:jc w:val="center"/>
              <w:rPr>
                <w:rFonts w:hint="default" w:ascii="Times New Roman" w:hAnsi="Times New Roman" w:cs="Times New Roman" w:eastAsiaTheme="minorEastAsia"/>
                <w:b/>
                <w:color w:val="auto"/>
                <w:sz w:val="30"/>
                <w:highlight w:val="none"/>
              </w:rPr>
            </w:pPr>
          </w:p>
          <w:p w14:paraId="66C46F7A">
            <w:pPr>
              <w:pStyle w:val="2"/>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sz w:val="48"/>
                <w:highlight w:val="none"/>
              </w:rPr>
            </w:pPr>
            <w:r>
              <w:rPr>
                <w:rFonts w:hint="default" w:ascii="Times New Roman" w:hAnsi="Times New Roman" w:cs="Times New Roman" w:eastAsiaTheme="minorEastAsia"/>
                <w:b/>
                <w:bCs/>
                <w:color w:val="auto"/>
                <w:sz w:val="48"/>
                <w:highlight w:val="none"/>
              </w:rPr>
              <w:t>采购项目响应文件</w:t>
            </w:r>
          </w:p>
          <w:p w14:paraId="2DECC282">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密封内容：</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b/>
                <w:bCs/>
                <w:color w:val="auto"/>
                <w:sz w:val="24"/>
                <w:szCs w:val="24"/>
                <w:highlight w:val="none"/>
              </w:rPr>
              <w:t xml:space="preserve">报价信封 / </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b/>
                <w:bCs/>
                <w:color w:val="auto"/>
                <w:sz w:val="24"/>
                <w:szCs w:val="24"/>
                <w:highlight w:val="none"/>
              </w:rPr>
              <w:t>正、副本响应文件</w:t>
            </w:r>
          </w:p>
          <w:p w14:paraId="34722F4B">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color w:val="auto"/>
                <w:sz w:val="11"/>
                <w:szCs w:val="11"/>
                <w:highlight w:val="none"/>
              </w:rPr>
            </w:pPr>
          </w:p>
          <w:p w14:paraId="2F9AE904">
            <w:pPr>
              <w:keepLines w:val="0"/>
              <w:kinsoku/>
              <w:wordWrap/>
              <w:overflowPunct/>
              <w:topLinePunct w:val="0"/>
              <w:bidi w:val="0"/>
              <w:spacing w:beforeAutospacing="0" w:afterAutospacing="0" w:line="440" w:lineRule="atLeast"/>
              <w:ind w:left="0" w:leftChars="0" w:right="0" w:rightChars="0" w:firstLine="964" w:firstLineChars="400"/>
              <w:rPr>
                <w:rFonts w:hint="default" w:ascii="Times New Roman" w:hAnsi="Times New Roman" w:cs="Times New Roman" w:eastAsiaTheme="minorEastAsia"/>
                <w:b/>
                <w:bCs/>
                <w:color w:val="auto"/>
                <w:sz w:val="24"/>
                <w:highlight w:val="none"/>
                <w:u w:val="single"/>
              </w:rPr>
            </w:pPr>
            <w:r>
              <w:rPr>
                <w:rFonts w:hint="default" w:ascii="Times New Roman" w:hAnsi="Times New Roman" w:cs="Times New Roman" w:eastAsiaTheme="minorEastAsia"/>
                <w:b/>
                <w:bCs/>
                <w:color w:val="auto"/>
                <w:sz w:val="24"/>
                <w:highlight w:val="none"/>
              </w:rPr>
              <w:t>供应商名称：</w:t>
            </w:r>
            <w:r>
              <w:rPr>
                <w:rFonts w:hint="default" w:ascii="Times New Roman" w:hAnsi="Times New Roman" w:cs="Times New Roman" w:eastAsiaTheme="minorEastAsia"/>
                <w:color w:val="auto"/>
                <w:sz w:val="24"/>
                <w:highlight w:val="none"/>
                <w:u w:val="dotted"/>
              </w:rPr>
              <w:t xml:space="preserve">                                                  </w:t>
            </w:r>
          </w:p>
          <w:p w14:paraId="263AF514">
            <w:pPr>
              <w:keepLines w:val="0"/>
              <w:kinsoku/>
              <w:wordWrap/>
              <w:overflowPunct/>
              <w:topLinePunct w:val="0"/>
              <w:bidi w:val="0"/>
              <w:spacing w:beforeAutospacing="0" w:afterAutospacing="0" w:line="440" w:lineRule="atLeast"/>
              <w:ind w:left="0" w:leftChars="0" w:right="0" w:rightChars="0" w:firstLine="960" w:firstLineChars="4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项目编号：</w:t>
            </w:r>
            <w:r>
              <w:rPr>
                <w:rFonts w:hint="eastAsia" w:ascii="Times New Roman" w:hAnsi="Times New Roman" w:cs="Times New Roman"/>
                <w:b/>
                <w:color w:val="auto"/>
                <w:highlight w:val="none"/>
                <w:u w:val="dotted"/>
                <w:lang w:eastAsia="zh-CN"/>
              </w:rPr>
              <w:t>GDYD240563</w:t>
            </w:r>
            <w:r>
              <w:rPr>
                <w:rFonts w:hint="default" w:ascii="Times New Roman" w:hAnsi="Times New Roman" w:cs="Times New Roman" w:eastAsiaTheme="minorEastAsia"/>
                <w:color w:val="auto"/>
                <w:highlight w:val="none"/>
                <w:u w:val="dotted"/>
              </w:rPr>
              <w:t xml:space="preserve">       </w:t>
            </w:r>
            <w:r>
              <w:rPr>
                <w:rFonts w:hint="default" w:ascii="Times New Roman" w:hAnsi="Times New Roman" w:cs="Times New Roman" w:eastAsiaTheme="minorEastAsia"/>
                <w:color w:val="auto"/>
                <w:sz w:val="24"/>
                <w:highlight w:val="none"/>
                <w:u w:val="dotted"/>
              </w:rPr>
              <w:t xml:space="preserve">                </w:t>
            </w:r>
          </w:p>
          <w:p w14:paraId="5AEB7639">
            <w:pPr>
              <w:keepLines w:val="0"/>
              <w:kinsoku/>
              <w:wordWrap/>
              <w:overflowPunct/>
              <w:topLinePunct w:val="0"/>
              <w:bidi w:val="0"/>
              <w:spacing w:beforeAutospacing="0" w:afterAutospacing="0" w:line="440" w:lineRule="atLeast"/>
              <w:ind w:left="0" w:leftChars="0" w:right="0" w:rightChars="0" w:firstLine="960" w:firstLineChars="400"/>
              <w:jc w:val="both"/>
              <w:rPr>
                <w:rFonts w:hint="default" w:ascii="Times New Roman" w:hAnsi="Times New Roman" w:cs="Times New Roman" w:eastAsiaTheme="minorEastAsia"/>
                <w:b/>
                <w:bCs/>
                <w:color w:val="auto"/>
                <w:highlight w:val="none"/>
                <w:lang w:eastAsia="zh-CN"/>
              </w:rPr>
            </w:pPr>
            <w:r>
              <w:rPr>
                <w:rFonts w:hint="default" w:ascii="Times New Roman" w:hAnsi="Times New Roman" w:cs="Times New Roman" w:eastAsiaTheme="minorEastAsia"/>
                <w:color w:val="auto"/>
                <w:sz w:val="24"/>
                <w:highlight w:val="none"/>
              </w:rPr>
              <w:t>项目名称：</w:t>
            </w:r>
            <w:r>
              <w:rPr>
                <w:rFonts w:hint="eastAsia" w:ascii="Times New Roman" w:hAnsi="Times New Roman" w:cs="Times New Roman"/>
                <w:b/>
                <w:color w:val="auto"/>
                <w:highlight w:val="none"/>
                <w:u w:val="dotted"/>
                <w:lang w:eastAsia="zh-CN"/>
              </w:rPr>
              <w:t>佛山市高明区人民法院执行案件集约化送达服务项目</w:t>
            </w:r>
          </w:p>
          <w:tbl>
            <w:tblPr>
              <w:tblStyle w:val="18"/>
              <w:tblW w:w="0" w:type="auto"/>
              <w:jc w:val="center"/>
              <w:tblLayout w:type="fixed"/>
              <w:tblCellMar>
                <w:top w:w="0" w:type="dxa"/>
                <w:left w:w="108" w:type="dxa"/>
                <w:bottom w:w="0" w:type="dxa"/>
                <w:right w:w="108" w:type="dxa"/>
              </w:tblCellMar>
            </w:tblPr>
            <w:tblGrid>
              <w:gridCol w:w="1260"/>
              <w:gridCol w:w="7246"/>
            </w:tblGrid>
            <w:tr w14:paraId="36AF1AAB">
              <w:tblPrEx>
                <w:tblCellMar>
                  <w:top w:w="0" w:type="dxa"/>
                  <w:left w:w="108" w:type="dxa"/>
                  <w:bottom w:w="0" w:type="dxa"/>
                  <w:right w:w="108" w:type="dxa"/>
                </w:tblCellMar>
              </w:tblPrEx>
              <w:trPr>
                <w:trHeight w:val="480" w:hRule="atLeast"/>
                <w:jc w:val="center"/>
              </w:trPr>
              <w:tc>
                <w:tcPr>
                  <w:tcW w:w="8506" w:type="dxa"/>
                  <w:gridSpan w:val="2"/>
                  <w:noWrap w:val="0"/>
                  <w:vAlign w:val="center"/>
                </w:tcPr>
                <w:p w14:paraId="16001229">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在2024年</w:t>
                  </w:r>
                  <w:r>
                    <w:rPr>
                      <w:rFonts w:hint="default" w:ascii="Times New Roman" w:hAnsi="Times New Roman" w:cs="Times New Roman" w:eastAsiaTheme="minorEastAsia"/>
                      <w:b/>
                      <w:bCs/>
                      <w:color w:val="auto"/>
                      <w:highlight w:val="none"/>
                      <w:lang w:val="en-US" w:eastAsia="zh-CN"/>
                    </w:rPr>
                    <w:t xml:space="preserve">  </w:t>
                  </w:r>
                  <w:r>
                    <w:rPr>
                      <w:rFonts w:hint="default" w:ascii="Times New Roman" w:hAnsi="Times New Roman" w:cs="Times New Roman" w:eastAsiaTheme="minorEastAsia"/>
                      <w:b/>
                      <w:bCs/>
                      <w:color w:val="auto"/>
                      <w:szCs w:val="21"/>
                      <w:highlight w:val="none"/>
                    </w:rPr>
                    <w:t>月</w:t>
                  </w:r>
                  <w:r>
                    <w:rPr>
                      <w:rFonts w:hint="default" w:ascii="Times New Roman" w:hAnsi="Times New Roman" w:cs="Times New Roman" w:eastAsiaTheme="minorEastAsia"/>
                      <w:b/>
                      <w:bCs/>
                      <w:color w:val="auto"/>
                      <w:szCs w:val="21"/>
                      <w:highlight w:val="none"/>
                      <w:lang w:val="en-US" w:eastAsia="zh-CN"/>
                    </w:rPr>
                    <w:t xml:space="preserve">  </w:t>
                  </w:r>
                  <w:r>
                    <w:rPr>
                      <w:rFonts w:hint="default" w:ascii="Times New Roman" w:hAnsi="Times New Roman" w:cs="Times New Roman" w:eastAsiaTheme="minorEastAsia"/>
                      <w:b/>
                      <w:bCs/>
                      <w:color w:val="auto"/>
                      <w:highlight w:val="none"/>
                    </w:rPr>
                    <w:t xml:space="preserve">日 </w:t>
                  </w:r>
                  <w:r>
                    <w:rPr>
                      <w:rFonts w:hint="default" w:ascii="Times New Roman" w:hAnsi="Times New Roman" w:cs="Times New Roman" w:eastAsiaTheme="minorEastAsia"/>
                      <w:b/>
                      <w:bCs/>
                      <w:color w:val="auto"/>
                      <w:highlight w:val="none"/>
                      <w:lang w:val="en-US" w:eastAsia="zh-CN"/>
                    </w:rPr>
                    <w:t xml:space="preserve"> </w:t>
                  </w:r>
                  <w:r>
                    <w:rPr>
                      <w:rFonts w:hint="default" w:ascii="Times New Roman" w:hAnsi="Times New Roman" w:cs="Times New Roman" w:eastAsiaTheme="minorEastAsia"/>
                      <w:b/>
                      <w:bCs/>
                      <w:color w:val="auto"/>
                      <w:highlight w:val="none"/>
                    </w:rPr>
                    <w:t xml:space="preserve"> 午 </w:t>
                  </w:r>
                  <w:r>
                    <w:rPr>
                      <w:rFonts w:hint="default" w:ascii="Times New Roman" w:hAnsi="Times New Roman" w:cs="Times New Roman" w:eastAsiaTheme="minorEastAsia"/>
                      <w:b/>
                      <w:bCs/>
                      <w:color w:val="auto"/>
                      <w:highlight w:val="none"/>
                      <w:lang w:val="en-US" w:eastAsia="zh-CN"/>
                    </w:rPr>
                    <w:t xml:space="preserve">  </w:t>
                  </w:r>
                  <w:r>
                    <w:rPr>
                      <w:rFonts w:hint="default" w:ascii="Times New Roman" w:hAnsi="Times New Roman" w:cs="Times New Roman" w:eastAsiaTheme="minorEastAsia"/>
                      <w:b/>
                      <w:bCs/>
                      <w:color w:val="auto"/>
                      <w:highlight w:val="none"/>
                    </w:rPr>
                    <w:t>：</w:t>
                  </w:r>
                  <w:r>
                    <w:rPr>
                      <w:rFonts w:hint="default" w:ascii="Times New Roman" w:hAnsi="Times New Roman" w:cs="Times New Roman" w:eastAsiaTheme="minorEastAsia"/>
                      <w:b/>
                      <w:bCs/>
                      <w:color w:val="auto"/>
                      <w:highlight w:val="none"/>
                      <w:lang w:val="en-US" w:eastAsia="zh-CN"/>
                    </w:rPr>
                    <w:t xml:space="preserve">  </w:t>
                  </w:r>
                  <w:r>
                    <w:rPr>
                      <w:rFonts w:hint="default" w:ascii="Times New Roman" w:hAnsi="Times New Roman" w:cs="Times New Roman" w:eastAsiaTheme="minorEastAsia"/>
                      <w:b/>
                      <w:bCs/>
                      <w:color w:val="auto"/>
                      <w:highlight w:val="none"/>
                    </w:rPr>
                    <w:t xml:space="preserve"> 时之间准时当面递交且不得启封。</w:t>
                  </w:r>
                </w:p>
              </w:tc>
            </w:tr>
            <w:tr w14:paraId="113FC2B0">
              <w:tblPrEx>
                <w:tblCellMar>
                  <w:top w:w="0" w:type="dxa"/>
                  <w:left w:w="108" w:type="dxa"/>
                  <w:bottom w:w="0" w:type="dxa"/>
                  <w:right w:w="108" w:type="dxa"/>
                </w:tblCellMar>
              </w:tblPrEx>
              <w:trPr>
                <w:trHeight w:val="615" w:hRule="atLeast"/>
                <w:jc w:val="center"/>
              </w:trPr>
              <w:tc>
                <w:tcPr>
                  <w:tcW w:w="1260" w:type="dxa"/>
                  <w:noWrap w:val="0"/>
                  <w:vAlign w:val="center"/>
                </w:tcPr>
                <w:p w14:paraId="7A4A8AF3">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递交地点：</w:t>
                  </w:r>
                </w:p>
              </w:tc>
              <w:tc>
                <w:tcPr>
                  <w:tcW w:w="7246" w:type="dxa"/>
                  <w:noWrap w:val="0"/>
                  <w:vAlign w:val="center"/>
                </w:tcPr>
                <w:p w14:paraId="7DADB641">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佛山市禅城区季华五路10号金融广场大厦17层A区（广东远东招标代理有限公司开标室）。</w:t>
                  </w:r>
                </w:p>
              </w:tc>
            </w:tr>
            <w:tr w14:paraId="0915D6D1">
              <w:tblPrEx>
                <w:tblCellMar>
                  <w:top w:w="0" w:type="dxa"/>
                  <w:left w:w="108" w:type="dxa"/>
                  <w:bottom w:w="0" w:type="dxa"/>
                  <w:right w:w="108" w:type="dxa"/>
                </w:tblCellMar>
              </w:tblPrEx>
              <w:trPr>
                <w:trHeight w:val="465" w:hRule="atLeast"/>
                <w:jc w:val="center"/>
              </w:trPr>
              <w:tc>
                <w:tcPr>
                  <w:tcW w:w="1260" w:type="dxa"/>
                  <w:noWrap w:val="0"/>
                  <w:vAlign w:val="center"/>
                </w:tcPr>
                <w:p w14:paraId="791A0835">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电    话：</w:t>
                  </w:r>
                </w:p>
              </w:tc>
              <w:tc>
                <w:tcPr>
                  <w:tcW w:w="7246" w:type="dxa"/>
                  <w:noWrap w:val="0"/>
                  <w:vAlign w:val="center"/>
                </w:tcPr>
                <w:p w14:paraId="1FFF3740">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0757-83332528。</w:t>
                  </w:r>
                </w:p>
              </w:tc>
            </w:tr>
            <w:tr w14:paraId="39866743">
              <w:tblPrEx>
                <w:tblCellMar>
                  <w:top w:w="0" w:type="dxa"/>
                  <w:left w:w="108" w:type="dxa"/>
                  <w:bottom w:w="0" w:type="dxa"/>
                  <w:right w:w="108" w:type="dxa"/>
                </w:tblCellMar>
              </w:tblPrEx>
              <w:trPr>
                <w:trHeight w:val="285" w:hRule="atLeast"/>
                <w:jc w:val="center"/>
              </w:trPr>
              <w:tc>
                <w:tcPr>
                  <w:tcW w:w="1260" w:type="dxa"/>
                  <w:noWrap w:val="0"/>
                  <w:vAlign w:val="center"/>
                </w:tcPr>
                <w:p w14:paraId="325A52C0">
                  <w:pPr>
                    <w:keepLines w:val="0"/>
                    <w:kinsoku/>
                    <w:wordWrap/>
                    <w:overflowPunct/>
                    <w:topLinePunct w:val="0"/>
                    <w:bidi w:val="0"/>
                    <w:spacing w:beforeAutospacing="0" w:afterAutospacing="0" w:line="440" w:lineRule="atLeast"/>
                    <w:ind w:left="0" w:leftChars="0" w:right="0" w:rightChars="0"/>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声    明：</w:t>
                  </w:r>
                </w:p>
              </w:tc>
              <w:tc>
                <w:tcPr>
                  <w:tcW w:w="7246" w:type="dxa"/>
                  <w:noWrap w:val="0"/>
                  <w:vAlign w:val="center"/>
                </w:tcPr>
                <w:p w14:paraId="69C539B0">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同意由递交响应文件登记顺序的前两名供应商，将作为集中推选的代表，现场对所有响应文件进行密封性检查。</w:t>
                  </w:r>
                </w:p>
              </w:tc>
            </w:tr>
          </w:tbl>
          <w:p w14:paraId="10753BE5">
            <w:pPr>
              <w:keepLines w:val="0"/>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p>
        </w:tc>
      </w:tr>
    </w:tbl>
    <w:p w14:paraId="05BEEE15">
      <w:pPr>
        <w:keepLines w:val="0"/>
        <w:kinsoku/>
        <w:wordWrap/>
        <w:overflowPunct/>
        <w:topLinePunct w:val="0"/>
        <w:bidi w:val="0"/>
        <w:spacing w:beforeAutospacing="0" w:afterAutospacing="0" w:line="440" w:lineRule="atLeast"/>
        <w:ind w:left="0" w:leftChars="0" w:right="0" w:rightChars="0" w:firstLine="480" w:firstLineChars="200"/>
        <w:rPr>
          <w:rFonts w:hint="default" w:ascii="Times New Roman" w:hAnsi="Times New Roman" w:cs="Times New Roman" w:eastAsiaTheme="minorEastAsia"/>
          <w:color w:val="auto"/>
          <w:sz w:val="24"/>
          <w:highlight w:val="none"/>
        </w:rPr>
      </w:pPr>
    </w:p>
    <w:p w14:paraId="49B0F63A">
      <w:pPr>
        <w:keepLines w:val="0"/>
        <w:kinsoku/>
        <w:wordWrap/>
        <w:overflowPunct/>
        <w:topLinePunct w:val="0"/>
        <w:bidi w:val="0"/>
        <w:spacing w:beforeAutospacing="0" w:afterAutospacing="0" w:line="440" w:lineRule="atLeast"/>
        <w:ind w:left="0" w:leftChars="0" w:right="0" w:rightChars="0" w:firstLine="480" w:firstLineChars="100"/>
        <w:rPr>
          <w:rFonts w:hint="default" w:ascii="Times New Roman" w:hAnsi="Times New Roman" w:cs="Times New Roman" w:eastAsiaTheme="minorEastAsia"/>
          <w:color w:val="auto"/>
          <w:sz w:val="48"/>
          <w:szCs w:val="48"/>
          <w:highlight w:val="none"/>
        </w:rPr>
      </w:pPr>
      <w:r>
        <w:rPr>
          <w:rFonts w:hint="default" w:ascii="Times New Roman" w:hAnsi="Times New Roman" w:cs="Times New Roman" w:eastAsiaTheme="minorEastAsia"/>
          <w:color w:val="auto"/>
          <w:sz w:val="48"/>
          <w:szCs w:val="48"/>
          <w:highlight w:val="none"/>
        </w:rPr>
        <w:t>注意事项</w:t>
      </w:r>
    </w:p>
    <w:p w14:paraId="2051F617">
      <w:pPr>
        <w:keepLines w:val="0"/>
        <w:kinsoku/>
        <w:wordWrap/>
        <w:overflowPunct/>
        <w:topLinePunct w:val="0"/>
        <w:bidi w:val="0"/>
        <w:spacing w:beforeAutospacing="0" w:afterAutospacing="0" w:line="440" w:lineRule="atLeast"/>
        <w:ind w:left="0" w:leftChars="0" w:right="0" w:rightChars="0" w:firstLine="480" w:firstLineChars="20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一、报价信封另单独封装，并按下列顺序装订：</w:t>
      </w:r>
    </w:p>
    <w:p w14:paraId="626AC79F">
      <w:pPr>
        <w:keepLines w:val="0"/>
        <w:tabs>
          <w:tab w:val="left" w:pos="900"/>
        </w:tabs>
        <w:kinsoku/>
        <w:wordWrap/>
        <w:overflowPunct/>
        <w:topLinePunct w:val="0"/>
        <w:bidi w:val="0"/>
        <w:spacing w:beforeAutospacing="0" w:afterAutospacing="0" w:line="440" w:lineRule="atLeast"/>
        <w:ind w:left="0" w:leftChars="0" w:right="0" w:rightChars="0"/>
        <w:outlineLvl w:val="1"/>
        <w:rPr>
          <w:rFonts w:hint="default" w:ascii="Times New Roman" w:hAnsi="Times New Roman" w:cs="Times New Roman" w:eastAsiaTheme="minorEastAsia"/>
          <w:color w:val="auto"/>
          <w:highlight w:val="none"/>
        </w:rPr>
      </w:pPr>
      <w:bookmarkStart w:id="286" w:name="_Toc10860"/>
      <w:r>
        <w:rPr>
          <w:rFonts w:hint="default" w:ascii="Times New Roman" w:hAnsi="Times New Roman" w:cs="Times New Roman" w:eastAsiaTheme="minorEastAsia"/>
          <w:color w:val="auto"/>
          <w:highlight w:val="none"/>
        </w:rPr>
        <w:t>1、《报价汇总表》 原件（须加盖公章）；</w:t>
      </w:r>
      <w:bookmarkEnd w:id="286"/>
    </w:p>
    <w:p w14:paraId="5AA639EE">
      <w:pPr>
        <w:keepLines w:val="0"/>
        <w:tabs>
          <w:tab w:val="left" w:pos="900"/>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2、电子文件（须包含资格性文件、评审内容索引、技术部分、商务部分、价格部分、其他文件等；具体格式要求详见“投标人须知”）。</w:t>
      </w:r>
    </w:p>
    <w:p w14:paraId="61C1F820">
      <w:pPr>
        <w:keepLines w:val="0"/>
        <w:kinsoku/>
        <w:wordWrap/>
        <w:overflowPunct/>
        <w:topLinePunct w:val="0"/>
        <w:bidi w:val="0"/>
        <w:spacing w:beforeAutospacing="0" w:afterAutospacing="0" w:line="440" w:lineRule="atLeast"/>
        <w:ind w:left="0" w:leftChars="0" w:right="0" w:rightChars="0" w:firstLine="480" w:firstLineChars="200"/>
        <w:rPr>
          <w:rFonts w:hint="default" w:ascii="Times New Roman" w:hAnsi="Times New Roman" w:cs="Times New Roman" w:eastAsiaTheme="minorEastAsia"/>
          <w:color w:val="auto"/>
          <w:sz w:val="24"/>
          <w:szCs w:val="24"/>
          <w:highlight w:val="none"/>
        </w:rPr>
      </w:pPr>
    </w:p>
    <w:p w14:paraId="6546A13D">
      <w:pPr>
        <w:keepLines w:val="0"/>
        <w:kinsoku/>
        <w:wordWrap/>
        <w:overflowPunct/>
        <w:topLinePunct w:val="0"/>
        <w:bidi w:val="0"/>
        <w:spacing w:beforeAutospacing="0" w:afterAutospacing="0" w:line="440" w:lineRule="atLeast"/>
        <w:ind w:left="0" w:leftChars="0" w:right="0" w:rightChars="0" w:firstLine="480" w:firstLineChars="200"/>
        <w:rPr>
          <w:rFonts w:hint="default" w:ascii="Times New Roman" w:hAnsi="Times New Roman" w:cs="Times New Roman" w:eastAsiaTheme="minorEastAsia"/>
          <w:color w:val="auto"/>
          <w:sz w:val="24"/>
          <w:szCs w:val="24"/>
          <w:highlight w:val="none"/>
        </w:rPr>
      </w:pPr>
    </w:p>
    <w:p w14:paraId="3670C147">
      <w:pPr>
        <w:keepLines w:val="0"/>
        <w:kinsoku/>
        <w:wordWrap/>
        <w:overflowPunct/>
        <w:topLinePunct w:val="0"/>
        <w:bidi w:val="0"/>
        <w:spacing w:beforeAutospacing="0" w:afterAutospacing="0" w:line="440" w:lineRule="atLeast"/>
        <w:ind w:left="0" w:leftChars="0" w:right="0" w:rightChars="0" w:firstLine="480" w:firstLineChars="20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二、重要提示：</w:t>
      </w:r>
    </w:p>
    <w:p w14:paraId="3197E52D">
      <w:pPr>
        <w:keepLines w:val="0"/>
        <w:tabs>
          <w:tab w:val="left" w:pos="900"/>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US" w:eastAsia="zh-CN"/>
        </w:rPr>
        <w:t>1.</w:t>
      </w:r>
      <w:r>
        <w:rPr>
          <w:rFonts w:hint="default" w:ascii="Times New Roman" w:hAnsi="Times New Roman" w:cs="Times New Roman" w:eastAsiaTheme="minorEastAsia"/>
          <w:color w:val="auto"/>
          <w:highlight w:val="none"/>
        </w:rPr>
        <w:t>唱标信封与正、副本必须分开单独封装并标贴此封面，密封口处须加盖公章或授权代表签名。</w:t>
      </w:r>
    </w:p>
    <w:p w14:paraId="4426C913">
      <w:pPr>
        <w:keepLines w:val="0"/>
        <w:tabs>
          <w:tab w:val="left" w:pos="900"/>
        </w:tabs>
        <w:kinsoku/>
        <w:wordWrap/>
        <w:overflowPunct/>
        <w:topLinePunct w:val="0"/>
        <w:bidi w:val="0"/>
        <w:spacing w:beforeAutospacing="0" w:afterAutospacing="0" w:line="440" w:lineRule="atLeast"/>
        <w:ind w:left="0" w:leftChars="0" w:right="0" w:rightChars="0"/>
        <w:rPr>
          <w:rFonts w:hint="default" w:ascii="Times New Roman" w:hAnsi="Times New Roman" w:cs="Times New Roman" w:eastAsiaTheme="minorEastAsia"/>
          <w:color w:val="auto"/>
          <w:highlight w:val="none"/>
          <w:lang w:val="en-US" w:eastAsia="zh-Hans"/>
        </w:rPr>
      </w:pPr>
      <w:r>
        <w:rPr>
          <w:rFonts w:hint="default" w:ascii="Times New Roman" w:hAnsi="Times New Roman" w:cs="Times New Roman" w:eastAsiaTheme="minorEastAsia"/>
          <w:color w:val="auto"/>
          <w:highlight w:val="none"/>
          <w:lang w:val="en-US" w:eastAsia="zh-CN"/>
        </w:rPr>
        <w:t>2.</w:t>
      </w:r>
      <w:r>
        <w:rPr>
          <w:rFonts w:hint="default" w:ascii="Times New Roman" w:hAnsi="Times New Roman" w:cs="Times New Roman" w:eastAsiaTheme="minorEastAsia"/>
          <w:color w:val="auto"/>
          <w:highlight w:val="none"/>
        </w:rPr>
        <w:t>递交文件登记顺序的前二名供应商，将作为集中推选的代表现场对所有响应文件进行密封性检查。</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F56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D3745">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6D3745">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6E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BB3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8A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D127D">
    <w:pPr>
      <w:pBdr>
        <w:bottom w:val="single" w:color="auto" w:sz="4" w:space="1"/>
      </w:pBdr>
    </w:pPr>
    <w:r>
      <w:rPr>
        <w:rFonts w:hint="eastAsia" w:ascii="宋体" w:hAnsi="宋体"/>
      </w:rPr>
      <w:t>项目名称：                                                     采购编号：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24B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B724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5DB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71C8E"/>
    <w:multiLevelType w:val="multilevel"/>
    <w:tmpl w:val="A4571C8E"/>
    <w:lvl w:ilvl="0" w:tentative="0">
      <w:start w:val="1"/>
      <w:numFmt w:val="decimal"/>
      <w:lvlText w:val="%1"/>
      <w:lvlJc w:val="center"/>
      <w:pPr>
        <w:tabs>
          <w:tab w:val="left" w:pos="-61"/>
        </w:tabs>
        <w:ind w:left="41" w:firstLine="179"/>
      </w:pPr>
      <w:rPr>
        <w:rFonts w:hint="eastAsia"/>
        <w:spacing w:val="-20"/>
        <w:kern w:val="2"/>
        <w:position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A"/>
    <w:multiLevelType w:val="multilevel"/>
    <w:tmpl w:val="0000000A"/>
    <w:lvl w:ilvl="0" w:tentative="0">
      <w:start w:val="1"/>
      <w:numFmt w:val="decimal"/>
      <w:lvlText w:val="4.%1"/>
      <w:lvlJc w:val="left"/>
      <w:pPr>
        <w:tabs>
          <w:tab w:val="left" w:pos="855"/>
        </w:tabs>
        <w:ind w:left="855"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multilevel"/>
    <w:tmpl w:val="0000000B"/>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multilevel"/>
    <w:tmpl w:val="0000000D"/>
    <w:lvl w:ilvl="0" w:tentative="0">
      <w:start w:val="1"/>
      <w:numFmt w:val="bullet"/>
      <w:lvlText w:val=""/>
      <w:lvlJc w:val="left"/>
      <w:pPr>
        <w:tabs>
          <w:tab w:val="left" w:pos="930"/>
        </w:tabs>
        <w:ind w:left="930" w:hanging="51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00000010"/>
    <w:multiLevelType w:val="multilevel"/>
    <w:tmpl w:val="00000010"/>
    <w:lvl w:ilvl="0" w:tentative="0">
      <w:start w:val="3"/>
      <w:numFmt w:val="decimal"/>
      <w:lvlText w:val="1.%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12"/>
    <w:multiLevelType w:val="multilevel"/>
    <w:tmpl w:val="00000012"/>
    <w:lvl w:ilvl="0" w:tentative="0">
      <w:start w:val="2"/>
      <w:numFmt w:val="decimal"/>
      <w:lvlText w:val="4.%1"/>
      <w:lvlJc w:val="left"/>
      <w:pPr>
        <w:tabs>
          <w:tab w:val="left" w:pos="567"/>
        </w:tabs>
        <w:ind w:left="567" w:hanging="567"/>
      </w:pPr>
      <w:rPr>
        <w:rFonts w:hint="eastAsia" w:eastAsia="宋体"/>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3"/>
    <w:multiLevelType w:val="multilevel"/>
    <w:tmpl w:val="00000013"/>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4"/>
    <w:multiLevelType w:val="singleLevel"/>
    <w:tmpl w:val="00000014"/>
    <w:lvl w:ilvl="0" w:tentative="0">
      <w:start w:val="1"/>
      <w:numFmt w:val="decimal"/>
      <w:lvlText w:val="%1."/>
      <w:lvlJc w:val="left"/>
      <w:pPr>
        <w:tabs>
          <w:tab w:val="left" w:pos="425"/>
        </w:tabs>
        <w:ind w:left="425" w:hanging="425"/>
      </w:pPr>
      <w:rPr>
        <w:rFonts w:hint="default"/>
      </w:rPr>
    </w:lvl>
  </w:abstractNum>
  <w:abstractNum w:abstractNumId="8">
    <w:nsid w:val="00000015"/>
    <w:multiLevelType w:val="multilevel"/>
    <w:tmpl w:val="0000001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6"/>
    <w:multiLevelType w:val="multilevel"/>
    <w:tmpl w:val="00000016"/>
    <w:lvl w:ilvl="0" w:tentative="0">
      <w:start w:val="1"/>
      <w:numFmt w:val="decimal"/>
      <w:lvlText w:val="1.%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multilevel"/>
    <w:tmpl w:val="00000017"/>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9"/>
    <w:multiLevelType w:val="multilevel"/>
    <w:tmpl w:val="00000019"/>
    <w:lvl w:ilvl="0" w:tentative="0">
      <w:start w:val="1"/>
      <w:numFmt w:val="decimal"/>
      <w:lvlText w:val="3.%1"/>
      <w:lvlJc w:val="left"/>
      <w:pPr>
        <w:tabs>
          <w:tab w:val="left" w:pos="851"/>
        </w:tabs>
        <w:ind w:left="851"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A"/>
    <w:multiLevelType w:val="multilevel"/>
    <w:tmpl w:val="0000001A"/>
    <w:lvl w:ilvl="0" w:tentative="0">
      <w:start w:val="1"/>
      <w:numFmt w:val="decimal"/>
      <w:lvlText w:val="%1"/>
      <w:lvlJc w:val="left"/>
      <w:pPr>
        <w:tabs>
          <w:tab w:val="left" w:pos="360"/>
        </w:tabs>
        <w:ind w:left="0" w:firstLine="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B"/>
    <w:multiLevelType w:val="multilevel"/>
    <w:tmpl w:val="0000001B"/>
    <w:lvl w:ilvl="0" w:tentative="0">
      <w:start w:val="1"/>
      <w:numFmt w:val="bullet"/>
      <w:lvlText w:val=""/>
      <w:lvlJc w:val="left"/>
      <w:pPr>
        <w:tabs>
          <w:tab w:val="left" w:pos="695"/>
        </w:tabs>
        <w:ind w:left="695" w:hanging="420"/>
      </w:pPr>
      <w:rPr>
        <w:rFonts w:hint="default" w:ascii="Wingdings" w:hAnsi="Wingdings"/>
        <w:color w:val="auto"/>
        <w:sz w:val="28"/>
        <w:szCs w:val="28"/>
      </w:rPr>
    </w:lvl>
    <w:lvl w:ilvl="1" w:tentative="0">
      <w:start w:val="1"/>
      <w:numFmt w:val="decimal"/>
      <w:lvlText w:val="%2)"/>
      <w:lvlJc w:val="left"/>
      <w:pPr>
        <w:tabs>
          <w:tab w:val="left" w:pos="1115"/>
        </w:tabs>
        <w:ind w:left="1115" w:hanging="420"/>
      </w:pPr>
      <w:rPr>
        <w:rFonts w:hint="default"/>
      </w:rPr>
    </w:lvl>
    <w:lvl w:ilvl="2" w:tentative="0">
      <w:start w:val="1"/>
      <w:numFmt w:val="bullet"/>
      <w:lvlText w:val=""/>
      <w:lvlJc w:val="left"/>
      <w:pPr>
        <w:tabs>
          <w:tab w:val="left" w:pos="1535"/>
        </w:tabs>
        <w:ind w:left="1535" w:hanging="420"/>
      </w:pPr>
      <w:rPr>
        <w:rFonts w:hint="default" w:ascii="Wingdings" w:hAnsi="Wingdings"/>
      </w:rPr>
    </w:lvl>
    <w:lvl w:ilvl="3" w:tentative="0">
      <w:start w:val="1"/>
      <w:numFmt w:val="bullet"/>
      <w:lvlText w:val=""/>
      <w:lvlJc w:val="left"/>
      <w:pPr>
        <w:tabs>
          <w:tab w:val="left" w:pos="1955"/>
        </w:tabs>
        <w:ind w:left="1955" w:hanging="420"/>
      </w:pPr>
      <w:rPr>
        <w:rFonts w:hint="default" w:ascii="Wingdings" w:hAnsi="Wingdings"/>
      </w:rPr>
    </w:lvl>
    <w:lvl w:ilvl="4" w:tentative="0">
      <w:start w:val="1"/>
      <w:numFmt w:val="bullet"/>
      <w:lvlText w:val=""/>
      <w:lvlJc w:val="left"/>
      <w:pPr>
        <w:tabs>
          <w:tab w:val="left" w:pos="2375"/>
        </w:tabs>
        <w:ind w:left="2375" w:hanging="420"/>
      </w:pPr>
      <w:rPr>
        <w:rFonts w:hint="default" w:ascii="Wingdings" w:hAnsi="Wingdings"/>
      </w:rPr>
    </w:lvl>
    <w:lvl w:ilvl="5" w:tentative="0">
      <w:start w:val="1"/>
      <w:numFmt w:val="bullet"/>
      <w:lvlText w:val=""/>
      <w:lvlJc w:val="left"/>
      <w:pPr>
        <w:tabs>
          <w:tab w:val="left" w:pos="2795"/>
        </w:tabs>
        <w:ind w:left="2795" w:hanging="420"/>
      </w:pPr>
      <w:rPr>
        <w:rFonts w:hint="default" w:ascii="Wingdings" w:hAnsi="Wingdings"/>
      </w:rPr>
    </w:lvl>
    <w:lvl w:ilvl="6" w:tentative="0">
      <w:start w:val="1"/>
      <w:numFmt w:val="bullet"/>
      <w:lvlText w:val=""/>
      <w:lvlJc w:val="left"/>
      <w:pPr>
        <w:tabs>
          <w:tab w:val="left" w:pos="3215"/>
        </w:tabs>
        <w:ind w:left="3215" w:hanging="420"/>
      </w:pPr>
      <w:rPr>
        <w:rFonts w:hint="default" w:ascii="Wingdings" w:hAnsi="Wingdings"/>
      </w:rPr>
    </w:lvl>
    <w:lvl w:ilvl="7" w:tentative="0">
      <w:start w:val="1"/>
      <w:numFmt w:val="bullet"/>
      <w:lvlText w:val=""/>
      <w:lvlJc w:val="left"/>
      <w:pPr>
        <w:tabs>
          <w:tab w:val="left" w:pos="3635"/>
        </w:tabs>
        <w:ind w:left="3635" w:hanging="420"/>
      </w:pPr>
      <w:rPr>
        <w:rFonts w:hint="default" w:ascii="Wingdings" w:hAnsi="Wingdings"/>
      </w:rPr>
    </w:lvl>
    <w:lvl w:ilvl="8" w:tentative="0">
      <w:start w:val="1"/>
      <w:numFmt w:val="bullet"/>
      <w:lvlText w:val=""/>
      <w:lvlJc w:val="left"/>
      <w:pPr>
        <w:tabs>
          <w:tab w:val="left" w:pos="4055"/>
        </w:tabs>
        <w:ind w:left="4055" w:hanging="420"/>
      </w:pPr>
      <w:rPr>
        <w:rFonts w:hint="default" w:ascii="Wingdings" w:hAnsi="Wingdings"/>
      </w:rPr>
    </w:lvl>
  </w:abstractNum>
  <w:abstractNum w:abstractNumId="14">
    <w:nsid w:val="0000001C"/>
    <w:multiLevelType w:val="multilevel"/>
    <w:tmpl w:val="0000001C"/>
    <w:lvl w:ilvl="0" w:tentative="0">
      <w:start w:val="1"/>
      <w:numFmt w:val="decimal"/>
      <w:lvlText w:val="2.%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D"/>
    <w:multiLevelType w:val="multilevel"/>
    <w:tmpl w:val="0000001D"/>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D76780"/>
    <w:multiLevelType w:val="multilevel"/>
    <w:tmpl w:val="3CD76780"/>
    <w:lvl w:ilvl="0" w:tentative="0">
      <w:start w:val="1"/>
      <w:numFmt w:val="chineseCountingThousand"/>
      <w:lvlText w:val="%1、"/>
      <w:lvlJc w:val="left"/>
      <w:pPr>
        <w:tabs>
          <w:tab w:val="left" w:pos="510"/>
        </w:tabs>
        <w:ind w:left="510" w:hanging="510"/>
      </w:pPr>
      <w:rPr>
        <w:rFonts w:hint="eastAsia"/>
        <w:b/>
        <w:i w:val="0"/>
        <w:caps w:val="0"/>
        <w:color w:val="000000"/>
        <w:spacing w:val="0"/>
        <w:w w:val="100"/>
        <w:sz w:val="24"/>
        <w:szCs w:val="24"/>
        <w:u w:val="none"/>
      </w:rPr>
    </w:lvl>
    <w:lvl w:ilvl="1" w:tentative="0">
      <w:start w:val="1"/>
      <w:numFmt w:val="decimal"/>
      <w:lvlText w:val="%2."/>
      <w:lvlJc w:val="left"/>
      <w:pPr>
        <w:tabs>
          <w:tab w:val="left" w:pos="510"/>
        </w:tabs>
        <w:ind w:left="0" w:leftChars="0" w:firstLine="0" w:firstLineChars="0"/>
      </w:pPr>
      <w:rPr>
        <w:rFonts w:hint="eastAsia"/>
        <w:b/>
        <w:i w:val="0"/>
        <w:caps w:val="0"/>
        <w:color w:val="000000"/>
        <w:spacing w:val="0"/>
        <w:w w:val="100"/>
        <w:sz w:val="24"/>
        <w:szCs w:val="24"/>
        <w:u w:val="none"/>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4598D3F1"/>
    <w:multiLevelType w:val="singleLevel"/>
    <w:tmpl w:val="4598D3F1"/>
    <w:lvl w:ilvl="0" w:tentative="0">
      <w:start w:val="1"/>
      <w:numFmt w:val="decimal"/>
      <w:suff w:val="nothing"/>
      <w:lvlText w:val="%1、"/>
      <w:lvlJc w:val="left"/>
    </w:lvl>
  </w:abstractNum>
  <w:abstractNum w:abstractNumId="18">
    <w:nsid w:val="66D52DFB"/>
    <w:multiLevelType w:val="singleLevel"/>
    <w:tmpl w:val="66D52DFB"/>
    <w:lvl w:ilvl="0" w:tentative="0">
      <w:start w:val="1"/>
      <w:numFmt w:val="decimal"/>
      <w:suff w:val="nothing"/>
      <w:lvlText w:val="%1、"/>
      <w:lvlJc w:val="left"/>
    </w:lvl>
  </w:abstractNum>
  <w:num w:numId="1">
    <w:abstractNumId w:val="17"/>
  </w:num>
  <w:num w:numId="2">
    <w:abstractNumId w:val="16"/>
  </w:num>
  <w:num w:numId="3">
    <w:abstractNumId w:val="13"/>
  </w:num>
  <w:num w:numId="4">
    <w:abstractNumId w:val="12"/>
  </w:num>
  <w:num w:numId="5">
    <w:abstractNumId w:val="8"/>
  </w:num>
  <w:num w:numId="6">
    <w:abstractNumId w:val="9"/>
  </w:num>
  <w:num w:numId="7">
    <w:abstractNumId w:val="4"/>
  </w:num>
  <w:num w:numId="8">
    <w:abstractNumId w:val="7"/>
  </w:num>
  <w:num w:numId="9">
    <w:abstractNumId w:val="18"/>
  </w:num>
  <w:num w:numId="10">
    <w:abstractNumId w:val="14"/>
  </w:num>
  <w:num w:numId="11">
    <w:abstractNumId w:val="11"/>
  </w:num>
  <w:num w:numId="12">
    <w:abstractNumId w:val="6"/>
  </w:num>
  <w:num w:numId="13">
    <w:abstractNumId w:val="2"/>
  </w:num>
  <w:num w:numId="14">
    <w:abstractNumId w:val="3"/>
  </w:num>
  <w:num w:numId="15">
    <w:abstractNumId w:val="10"/>
  </w:num>
  <w:num w:numId="16">
    <w:abstractNumId w:val="1"/>
  </w:num>
  <w:num w:numId="17">
    <w:abstractNumId w:val="15"/>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ZGU4ZTA2ZGIwZjQ3ZDc0ZWZlNGRkMmViYTk4Y2MifQ=="/>
  </w:docVars>
  <w:rsids>
    <w:rsidRoot w:val="53B52B8D"/>
    <w:rsid w:val="007D4F6C"/>
    <w:rsid w:val="00AC2428"/>
    <w:rsid w:val="00F42B70"/>
    <w:rsid w:val="01164C6F"/>
    <w:rsid w:val="01287101"/>
    <w:rsid w:val="02DD6033"/>
    <w:rsid w:val="030C3A54"/>
    <w:rsid w:val="03640C37"/>
    <w:rsid w:val="03712C1D"/>
    <w:rsid w:val="038D224B"/>
    <w:rsid w:val="04EE6D03"/>
    <w:rsid w:val="05717438"/>
    <w:rsid w:val="05814DD8"/>
    <w:rsid w:val="06290392"/>
    <w:rsid w:val="06760529"/>
    <w:rsid w:val="068406C7"/>
    <w:rsid w:val="06BD1984"/>
    <w:rsid w:val="073A2F80"/>
    <w:rsid w:val="07725360"/>
    <w:rsid w:val="07797A4C"/>
    <w:rsid w:val="07A8437E"/>
    <w:rsid w:val="084B5CF7"/>
    <w:rsid w:val="087A387F"/>
    <w:rsid w:val="08E21B49"/>
    <w:rsid w:val="08F8435C"/>
    <w:rsid w:val="090E4181"/>
    <w:rsid w:val="092B4FD8"/>
    <w:rsid w:val="093223D0"/>
    <w:rsid w:val="0937642F"/>
    <w:rsid w:val="09B11BD0"/>
    <w:rsid w:val="0B202517"/>
    <w:rsid w:val="0B892782"/>
    <w:rsid w:val="0B9A495D"/>
    <w:rsid w:val="0BEC14C3"/>
    <w:rsid w:val="0E747096"/>
    <w:rsid w:val="0ED426DE"/>
    <w:rsid w:val="0F6273CA"/>
    <w:rsid w:val="0FD833CB"/>
    <w:rsid w:val="10B353ED"/>
    <w:rsid w:val="10E41613"/>
    <w:rsid w:val="11B27A23"/>
    <w:rsid w:val="135A32B1"/>
    <w:rsid w:val="13E73EF9"/>
    <w:rsid w:val="13F07F97"/>
    <w:rsid w:val="14576AF9"/>
    <w:rsid w:val="14927E49"/>
    <w:rsid w:val="1582093B"/>
    <w:rsid w:val="16315EBE"/>
    <w:rsid w:val="16627D11"/>
    <w:rsid w:val="16D345D7"/>
    <w:rsid w:val="16ED1BA1"/>
    <w:rsid w:val="177F50ED"/>
    <w:rsid w:val="17F77304"/>
    <w:rsid w:val="184513B2"/>
    <w:rsid w:val="184D6DCC"/>
    <w:rsid w:val="19805192"/>
    <w:rsid w:val="19FA2401"/>
    <w:rsid w:val="1ACC0944"/>
    <w:rsid w:val="1AEF5419"/>
    <w:rsid w:val="1B670350"/>
    <w:rsid w:val="1B974FD5"/>
    <w:rsid w:val="1BA60602"/>
    <w:rsid w:val="1BF00B53"/>
    <w:rsid w:val="1C1A51C0"/>
    <w:rsid w:val="1C56667E"/>
    <w:rsid w:val="1CE8451F"/>
    <w:rsid w:val="1D0D62DF"/>
    <w:rsid w:val="1D734062"/>
    <w:rsid w:val="1D81039B"/>
    <w:rsid w:val="1DA557E7"/>
    <w:rsid w:val="1DE01BCA"/>
    <w:rsid w:val="1DEC46DC"/>
    <w:rsid w:val="1E0C6498"/>
    <w:rsid w:val="1E4C6754"/>
    <w:rsid w:val="20580CB1"/>
    <w:rsid w:val="205D5D4B"/>
    <w:rsid w:val="20A82EE1"/>
    <w:rsid w:val="21894680"/>
    <w:rsid w:val="21CF3709"/>
    <w:rsid w:val="21F11636"/>
    <w:rsid w:val="22655D1C"/>
    <w:rsid w:val="229A609C"/>
    <w:rsid w:val="235F050E"/>
    <w:rsid w:val="23A40CFC"/>
    <w:rsid w:val="23B0363D"/>
    <w:rsid w:val="23BB718F"/>
    <w:rsid w:val="248155AF"/>
    <w:rsid w:val="248926CC"/>
    <w:rsid w:val="24C56E96"/>
    <w:rsid w:val="24D9595E"/>
    <w:rsid w:val="24DE1416"/>
    <w:rsid w:val="25E310F1"/>
    <w:rsid w:val="264C1327"/>
    <w:rsid w:val="26594A5E"/>
    <w:rsid w:val="267C1339"/>
    <w:rsid w:val="26862B41"/>
    <w:rsid w:val="26B9344C"/>
    <w:rsid w:val="26C64D67"/>
    <w:rsid w:val="26E37BD5"/>
    <w:rsid w:val="27594AE0"/>
    <w:rsid w:val="281D1523"/>
    <w:rsid w:val="28F752E4"/>
    <w:rsid w:val="28F94FC5"/>
    <w:rsid w:val="295B3AA4"/>
    <w:rsid w:val="298338DB"/>
    <w:rsid w:val="2995312F"/>
    <w:rsid w:val="2A053176"/>
    <w:rsid w:val="2AA3400B"/>
    <w:rsid w:val="2AB12D68"/>
    <w:rsid w:val="2AD04692"/>
    <w:rsid w:val="2B471263"/>
    <w:rsid w:val="2BF15B26"/>
    <w:rsid w:val="2D64113C"/>
    <w:rsid w:val="2D700F57"/>
    <w:rsid w:val="2E1037AC"/>
    <w:rsid w:val="2E5F7614"/>
    <w:rsid w:val="2EF553F5"/>
    <w:rsid w:val="2F4D4F3E"/>
    <w:rsid w:val="2F772127"/>
    <w:rsid w:val="2FAD0BBB"/>
    <w:rsid w:val="2FC647D1"/>
    <w:rsid w:val="30851BFE"/>
    <w:rsid w:val="313030E2"/>
    <w:rsid w:val="313A6116"/>
    <w:rsid w:val="314B3AFF"/>
    <w:rsid w:val="322A618B"/>
    <w:rsid w:val="32555174"/>
    <w:rsid w:val="32786EF6"/>
    <w:rsid w:val="32A44717"/>
    <w:rsid w:val="32FF0E87"/>
    <w:rsid w:val="334E26D2"/>
    <w:rsid w:val="348151C9"/>
    <w:rsid w:val="3523626A"/>
    <w:rsid w:val="366D365F"/>
    <w:rsid w:val="3735048E"/>
    <w:rsid w:val="37914FF6"/>
    <w:rsid w:val="37A42790"/>
    <w:rsid w:val="38150003"/>
    <w:rsid w:val="38223E1B"/>
    <w:rsid w:val="38B14685"/>
    <w:rsid w:val="38B20E6C"/>
    <w:rsid w:val="38DB3B74"/>
    <w:rsid w:val="3933116D"/>
    <w:rsid w:val="39E0610D"/>
    <w:rsid w:val="39E56093"/>
    <w:rsid w:val="3AE534FD"/>
    <w:rsid w:val="3AF963A7"/>
    <w:rsid w:val="3B9431ED"/>
    <w:rsid w:val="3B9A2EF8"/>
    <w:rsid w:val="3BB12A92"/>
    <w:rsid w:val="3BB371F1"/>
    <w:rsid w:val="3BDE1F6B"/>
    <w:rsid w:val="3C380386"/>
    <w:rsid w:val="3C844A43"/>
    <w:rsid w:val="3CF0648C"/>
    <w:rsid w:val="3D0E2985"/>
    <w:rsid w:val="3D155716"/>
    <w:rsid w:val="3DA037A5"/>
    <w:rsid w:val="3DA442BB"/>
    <w:rsid w:val="3DB95E3A"/>
    <w:rsid w:val="3F246899"/>
    <w:rsid w:val="3F2A73B9"/>
    <w:rsid w:val="3F4357C6"/>
    <w:rsid w:val="3F4E4BBE"/>
    <w:rsid w:val="3F51536E"/>
    <w:rsid w:val="3F5376E9"/>
    <w:rsid w:val="3F543C83"/>
    <w:rsid w:val="3F5B5C7D"/>
    <w:rsid w:val="3FFF7DD0"/>
    <w:rsid w:val="40093884"/>
    <w:rsid w:val="40356162"/>
    <w:rsid w:val="404367B8"/>
    <w:rsid w:val="405E3601"/>
    <w:rsid w:val="40D55E4F"/>
    <w:rsid w:val="41104C09"/>
    <w:rsid w:val="411C7EDE"/>
    <w:rsid w:val="412C0C8E"/>
    <w:rsid w:val="41546D16"/>
    <w:rsid w:val="41666B4A"/>
    <w:rsid w:val="426B5597"/>
    <w:rsid w:val="42A27F69"/>
    <w:rsid w:val="434979F3"/>
    <w:rsid w:val="43633C60"/>
    <w:rsid w:val="43E323C7"/>
    <w:rsid w:val="445E7455"/>
    <w:rsid w:val="44D84527"/>
    <w:rsid w:val="45055262"/>
    <w:rsid w:val="45216639"/>
    <w:rsid w:val="456E4143"/>
    <w:rsid w:val="45E6619E"/>
    <w:rsid w:val="45F67B77"/>
    <w:rsid w:val="460A1F4F"/>
    <w:rsid w:val="46322751"/>
    <w:rsid w:val="466C70B0"/>
    <w:rsid w:val="46D10A76"/>
    <w:rsid w:val="47185ED5"/>
    <w:rsid w:val="472933AD"/>
    <w:rsid w:val="47752E85"/>
    <w:rsid w:val="48721204"/>
    <w:rsid w:val="487466ED"/>
    <w:rsid w:val="488B012C"/>
    <w:rsid w:val="49550E48"/>
    <w:rsid w:val="4A4C3ABB"/>
    <w:rsid w:val="4AB77AAC"/>
    <w:rsid w:val="4B3F661F"/>
    <w:rsid w:val="4B9B6F36"/>
    <w:rsid w:val="4D937D80"/>
    <w:rsid w:val="4DBF3025"/>
    <w:rsid w:val="4DE804C5"/>
    <w:rsid w:val="4E4D0DDF"/>
    <w:rsid w:val="4EC43E0B"/>
    <w:rsid w:val="4F314687"/>
    <w:rsid w:val="4F7F25E0"/>
    <w:rsid w:val="4F8534D4"/>
    <w:rsid w:val="4FBD17B5"/>
    <w:rsid w:val="500C3C97"/>
    <w:rsid w:val="50BF3B17"/>
    <w:rsid w:val="50E25A58"/>
    <w:rsid w:val="51167616"/>
    <w:rsid w:val="51212285"/>
    <w:rsid w:val="517F7502"/>
    <w:rsid w:val="51C730BB"/>
    <w:rsid w:val="527B23E0"/>
    <w:rsid w:val="52F7005F"/>
    <w:rsid w:val="52F9777F"/>
    <w:rsid w:val="530A0261"/>
    <w:rsid w:val="5341518C"/>
    <w:rsid w:val="5389509E"/>
    <w:rsid w:val="53A05E55"/>
    <w:rsid w:val="53B52B8D"/>
    <w:rsid w:val="53ED2917"/>
    <w:rsid w:val="546C42F7"/>
    <w:rsid w:val="55313209"/>
    <w:rsid w:val="554F18E1"/>
    <w:rsid w:val="55762362"/>
    <w:rsid w:val="55C63470"/>
    <w:rsid w:val="56BC3A54"/>
    <w:rsid w:val="57CB3347"/>
    <w:rsid w:val="57E44562"/>
    <w:rsid w:val="58156E12"/>
    <w:rsid w:val="58224D61"/>
    <w:rsid w:val="586E28CA"/>
    <w:rsid w:val="58E660B8"/>
    <w:rsid w:val="58ED2DF8"/>
    <w:rsid w:val="58F564FB"/>
    <w:rsid w:val="59CC128C"/>
    <w:rsid w:val="5A6E1145"/>
    <w:rsid w:val="5A8F0AE0"/>
    <w:rsid w:val="5AC36D8D"/>
    <w:rsid w:val="5AE22E06"/>
    <w:rsid w:val="5AEE750A"/>
    <w:rsid w:val="5AEF3C49"/>
    <w:rsid w:val="5B1104DF"/>
    <w:rsid w:val="5B4B673D"/>
    <w:rsid w:val="5BC859E8"/>
    <w:rsid w:val="5BFF190E"/>
    <w:rsid w:val="5C750170"/>
    <w:rsid w:val="5D4F18B9"/>
    <w:rsid w:val="5D9F6BA2"/>
    <w:rsid w:val="5DD415C7"/>
    <w:rsid w:val="5E1935AF"/>
    <w:rsid w:val="5E1C702F"/>
    <w:rsid w:val="5E4A24C9"/>
    <w:rsid w:val="5E7A69B4"/>
    <w:rsid w:val="5ED109C2"/>
    <w:rsid w:val="5F071EFA"/>
    <w:rsid w:val="5F2C2169"/>
    <w:rsid w:val="5FC27515"/>
    <w:rsid w:val="5FFB3C03"/>
    <w:rsid w:val="602A37D7"/>
    <w:rsid w:val="607E6D8D"/>
    <w:rsid w:val="608A0701"/>
    <w:rsid w:val="608F1995"/>
    <w:rsid w:val="60997552"/>
    <w:rsid w:val="61A025AC"/>
    <w:rsid w:val="62174E1A"/>
    <w:rsid w:val="629168EA"/>
    <w:rsid w:val="62B965EC"/>
    <w:rsid w:val="62F151FD"/>
    <w:rsid w:val="63222D38"/>
    <w:rsid w:val="63BC430D"/>
    <w:rsid w:val="641461CF"/>
    <w:rsid w:val="652B74FB"/>
    <w:rsid w:val="657B0C15"/>
    <w:rsid w:val="65D21DE8"/>
    <w:rsid w:val="67810225"/>
    <w:rsid w:val="67D26069"/>
    <w:rsid w:val="67E260DB"/>
    <w:rsid w:val="67FE100B"/>
    <w:rsid w:val="68873690"/>
    <w:rsid w:val="6898707B"/>
    <w:rsid w:val="69AE677E"/>
    <w:rsid w:val="69E92EC5"/>
    <w:rsid w:val="6A466ED2"/>
    <w:rsid w:val="6AB822C6"/>
    <w:rsid w:val="6B1F5212"/>
    <w:rsid w:val="6B257891"/>
    <w:rsid w:val="6B3A562D"/>
    <w:rsid w:val="6B9952FA"/>
    <w:rsid w:val="6D727B58"/>
    <w:rsid w:val="6D88746D"/>
    <w:rsid w:val="6DD71F9A"/>
    <w:rsid w:val="6EB83BFB"/>
    <w:rsid w:val="6F5F7596"/>
    <w:rsid w:val="6F7E40AF"/>
    <w:rsid w:val="6F7E4E45"/>
    <w:rsid w:val="705C369A"/>
    <w:rsid w:val="71465B9E"/>
    <w:rsid w:val="717F3294"/>
    <w:rsid w:val="71DE1576"/>
    <w:rsid w:val="720F713E"/>
    <w:rsid w:val="7220374A"/>
    <w:rsid w:val="724C6340"/>
    <w:rsid w:val="7299158E"/>
    <w:rsid w:val="72D306DE"/>
    <w:rsid w:val="736A2CCC"/>
    <w:rsid w:val="74AF414E"/>
    <w:rsid w:val="74F30699"/>
    <w:rsid w:val="751D1E9F"/>
    <w:rsid w:val="756E3E36"/>
    <w:rsid w:val="75EB4681"/>
    <w:rsid w:val="76262EEE"/>
    <w:rsid w:val="76C526F3"/>
    <w:rsid w:val="77F34477"/>
    <w:rsid w:val="77F79321"/>
    <w:rsid w:val="785D2852"/>
    <w:rsid w:val="78E926CC"/>
    <w:rsid w:val="793E5018"/>
    <w:rsid w:val="79632093"/>
    <w:rsid w:val="79697DCC"/>
    <w:rsid w:val="796F0365"/>
    <w:rsid w:val="799522C2"/>
    <w:rsid w:val="7A190395"/>
    <w:rsid w:val="7AE213CC"/>
    <w:rsid w:val="7AE96FDF"/>
    <w:rsid w:val="7B401FC9"/>
    <w:rsid w:val="7C3522B8"/>
    <w:rsid w:val="7C5807CC"/>
    <w:rsid w:val="7C692EF8"/>
    <w:rsid w:val="7CE8458D"/>
    <w:rsid w:val="7D5E6A79"/>
    <w:rsid w:val="7D66349E"/>
    <w:rsid w:val="7D9D2EC1"/>
    <w:rsid w:val="7E0C3B30"/>
    <w:rsid w:val="7E124BA9"/>
    <w:rsid w:val="7E1919D1"/>
    <w:rsid w:val="7E5C0A47"/>
    <w:rsid w:val="7E920800"/>
    <w:rsid w:val="7EF722B8"/>
    <w:rsid w:val="7F9A43C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0"/>
    <w:pPr>
      <w:autoSpaceDE w:val="0"/>
      <w:autoSpaceDN w:val="0"/>
      <w:adjustRightInd w:val="0"/>
      <w:spacing w:line="360" w:lineRule="auto"/>
      <w:jc w:val="center"/>
      <w:outlineLvl w:val="1"/>
    </w:pPr>
    <w:rPr>
      <w:rFonts w:ascii="宋体" w:hAnsi="宋体" w:eastAsia="宋体" w:cs="Times New Roman"/>
      <w:b/>
      <w:color w:val="000000"/>
      <w:kern w:val="0"/>
      <w:sz w:val="30"/>
      <w:szCs w:val="20"/>
    </w:rPr>
  </w:style>
  <w:style w:type="paragraph" w:styleId="5">
    <w:name w:val="heading 3"/>
    <w:basedOn w:val="1"/>
    <w:next w:val="1"/>
    <w:qFormat/>
    <w:uiPriority w:val="0"/>
    <w:pPr>
      <w:autoSpaceDE w:val="0"/>
      <w:autoSpaceDN w:val="0"/>
      <w:adjustRightInd w:val="0"/>
      <w:spacing w:after="156" w:afterLines="50" w:line="360" w:lineRule="auto"/>
      <w:ind w:left="-4"/>
      <w:jc w:val="center"/>
      <w:outlineLvl w:val="2"/>
    </w:pPr>
    <w:rPr>
      <w:rFonts w:ascii="宋体" w:hAnsi="宋体" w:eastAsia="宋体" w:cs="Times New Roman"/>
      <w:b/>
      <w:color w:val="000000"/>
      <w:kern w:val="0"/>
      <w:szCs w:val="20"/>
    </w:rPr>
  </w:style>
  <w:style w:type="paragraph" w:styleId="6">
    <w:name w:val="heading 4"/>
    <w:basedOn w:val="5"/>
    <w:next w:val="1"/>
    <w:unhideWhenUsed/>
    <w:qFormat/>
    <w:uiPriority w:val="9"/>
    <w:pPr>
      <w:outlineLvl w:val="3"/>
    </w:pPr>
    <w:rPr>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kern w:val="0"/>
      <w:sz w:val="28"/>
      <w:szCs w:val="21"/>
    </w:rPr>
  </w:style>
  <w:style w:type="paragraph" w:styleId="7">
    <w:name w:val="caption"/>
    <w:basedOn w:val="1"/>
    <w:next w:val="1"/>
    <w:qFormat/>
    <w:uiPriority w:val="0"/>
    <w:pPr>
      <w:spacing w:before="152" w:beforeLines="0" w:after="160" w:afterLines="0"/>
    </w:pPr>
    <w:rPr>
      <w:rFonts w:ascii="Arial" w:hAnsi="Arial" w:eastAsia="黑体" w:cs="Arial"/>
      <w:sz w:val="20"/>
      <w:szCs w:val="20"/>
    </w:rPr>
  </w:style>
  <w:style w:type="paragraph" w:styleId="8">
    <w:name w:val="annotation text"/>
    <w:basedOn w:val="1"/>
    <w:qFormat/>
    <w:uiPriority w:val="0"/>
    <w:pPr>
      <w:jc w:val="left"/>
    </w:pPr>
  </w:style>
  <w:style w:type="paragraph" w:styleId="9">
    <w:name w:val="Body Text Indent"/>
    <w:basedOn w:val="1"/>
    <w:qFormat/>
    <w:uiPriority w:val="0"/>
    <w:pPr>
      <w:widowControl/>
      <w:spacing w:before="120" w:beforeLines="0" w:after="120" w:afterLines="0"/>
      <w:ind w:left="420" w:leftChars="200"/>
      <w:jc w:val="left"/>
    </w:pPr>
    <w:rPr>
      <w:rFonts w:ascii="宋体" w:hAnsi="宋体" w:eastAsia="宋体" w:cs="Times New Roman"/>
      <w:bCs/>
      <w:color w:val="000000"/>
      <w:sz w:val="24"/>
      <w:szCs w:val="21"/>
    </w:rPr>
  </w:style>
  <w:style w:type="paragraph" w:styleId="10">
    <w:name w:val="endnote text"/>
    <w:basedOn w:val="1"/>
    <w:qFormat/>
    <w:uiPriority w:val="0"/>
    <w:pPr>
      <w:snapToGrid w:val="0"/>
      <w:jc w:val="left"/>
    </w:pPr>
    <w:rPr>
      <w:rFonts w:ascii="宋体" w:hAnsi="宋体"/>
      <w:kern w:val="0"/>
      <w:sz w:val="28"/>
    </w:rPr>
  </w:style>
  <w:style w:type="paragraph" w:styleId="11">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rPr>
      <w:rFonts w:ascii="Calibri" w:hAnsi="Calibri" w:eastAsia="宋体" w:cs="Times New Roman"/>
    </w:rPr>
  </w:style>
  <w:style w:type="paragraph" w:styleId="15">
    <w:name w:val="Body Text 2"/>
    <w:basedOn w:val="1"/>
    <w:qFormat/>
    <w:uiPriority w:val="0"/>
    <w:pPr>
      <w:spacing w:after="120" w:line="480" w:lineRule="auto"/>
    </w:p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Body Text First Indent 2"/>
    <w:basedOn w:val="9"/>
    <w:qFormat/>
    <w:uiPriority w:val="0"/>
    <w:pPr>
      <w:ind w:firstLine="420" w:firstLineChars="200"/>
    </w:pPr>
    <w:rPr>
      <w:rFonts w:ascii="Times New Roman" w:hAnsi="Times New Roman" w:eastAsia="宋体"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正文_0"/>
    <w:qFormat/>
    <w:uiPriority w:val="0"/>
    <w:rPr>
      <w:rFonts w:ascii="Times New Roman" w:hAnsi="Times New Roman" w:eastAsia="宋体" w:cs="Times New Roman"/>
      <w:kern w:val="0"/>
      <w:sz w:val="21"/>
      <w:szCs w:val="20"/>
      <w:lang w:val="en-US" w:eastAsia="zh-CN" w:bidi="ar-SA"/>
    </w:rPr>
  </w:style>
  <w:style w:type="paragraph" w:customStyle="1" w:styleId="23">
    <w:name w:val="表格文字"/>
    <w:basedOn w:val="1"/>
    <w:next w:val="2"/>
    <w:qFormat/>
    <w:uiPriority w:val="0"/>
    <w:pPr>
      <w:jc w:val="left"/>
    </w:pPr>
    <w:rPr>
      <w:bCs/>
      <w:spacing w:val="10"/>
      <w:kern w:val="0"/>
      <w:sz w:val="24"/>
      <w:szCs w:val="20"/>
    </w:rPr>
  </w:style>
  <w:style w:type="paragraph" w:customStyle="1" w:styleId="24">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正文_5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_4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28">
    <w:name w:val="正文_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0_0_3_0"/>
    <w:qFormat/>
    <w:uiPriority w:val="99"/>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30">
    <w:name w:val="正文_0_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图"/>
    <w:basedOn w:val="1"/>
    <w:qFormat/>
    <w:uiPriority w:val="0"/>
    <w:pPr>
      <w:keepNext/>
      <w:adjustRightInd w:val="0"/>
      <w:spacing w:before="60" w:beforeLines="0" w:after="60" w:afterLines="0" w:line="300" w:lineRule="auto"/>
      <w:jc w:val="center"/>
      <w:textAlignment w:val="center"/>
    </w:pPr>
    <w:rPr>
      <w:rFonts w:ascii="Calibri" w:hAnsi="Calibri" w:eastAsia="宋体" w:cs="Times New Roman"/>
      <w:snapToGrid w:val="0"/>
      <w:spacing w:val="20"/>
      <w:kern w:val="0"/>
      <w:sz w:val="24"/>
      <w:szCs w:val="20"/>
    </w:rPr>
  </w:style>
  <w:style w:type="paragraph" w:customStyle="1" w:styleId="32">
    <w:name w:val="Body Text 3"/>
    <w:basedOn w:val="1"/>
    <w:qFormat/>
    <w:uiPriority w:val="0"/>
    <w:rPr>
      <w:rFonts w:ascii="Calibri" w:hAnsi="Calibri" w:eastAsia="宋体" w:cs="Times New Roman"/>
      <w:color w:val="FF0000"/>
      <w:szCs w:val="21"/>
    </w:rPr>
  </w:style>
  <w:style w:type="paragraph" w:customStyle="1" w:styleId="33">
    <w:name w:val="正文正"/>
    <w:basedOn w:val="1"/>
    <w:qFormat/>
    <w:uiPriority w:val="99"/>
    <w:pPr>
      <w:spacing w:line="560" w:lineRule="exact"/>
      <w:ind w:firstLine="561"/>
    </w:pPr>
    <w:rPr>
      <w:rFonts w:eastAsia="仿宋_GB2312"/>
      <w:sz w:val="28"/>
    </w:rPr>
  </w:style>
  <w:style w:type="paragraph" w:customStyle="1" w:styleId="34">
    <w:name w:val="正文_5_0"/>
    <w:next w:val="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缩进_4_0"/>
    <w:basedOn w:val="36"/>
    <w:qFormat/>
    <w:uiPriority w:val="0"/>
    <w:pPr>
      <w:widowControl/>
      <w:ind w:firstLine="420" w:firstLineChars="200"/>
      <w:jc w:val="left"/>
    </w:pPr>
    <w:rPr>
      <w:rFonts w:ascii="Times New Roman" w:hAnsi="Times New Roman" w:eastAsia="宋体" w:cs="Times New Roman"/>
      <w:kern w:val="0"/>
      <w:sz w:val="20"/>
      <w:szCs w:val="20"/>
    </w:rPr>
  </w:style>
  <w:style w:type="paragraph" w:customStyle="1" w:styleId="36">
    <w:name w:val="正文_5_1"/>
    <w:next w:val="3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纯文本_0"/>
    <w:basedOn w:val="39"/>
    <w:qFormat/>
    <w:uiPriority w:val="0"/>
    <w:rPr>
      <w:rFonts w:ascii="宋体" w:hAnsi="Courier New" w:eastAsia="宋体" w:cs="Times New Roman"/>
      <w:szCs w:val="21"/>
    </w:rPr>
  </w:style>
  <w:style w:type="paragraph" w:customStyle="1" w:styleId="39">
    <w:name w:val="正文_3_1"/>
    <w:next w:val="4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正文缩进_2"/>
    <w:basedOn w:val="41"/>
    <w:qFormat/>
    <w:uiPriority w:val="0"/>
    <w:pPr>
      <w:ind w:firstLine="420" w:firstLineChars="200"/>
    </w:pPr>
    <w:rPr>
      <w:rFonts w:ascii="Calibri" w:hAnsi="Calibri" w:eastAsia="宋体" w:cs="Times New Roman"/>
      <w:szCs w:val="22"/>
    </w:rPr>
  </w:style>
  <w:style w:type="paragraph" w:customStyle="1" w:styleId="41">
    <w:name w:val="正文_3_2"/>
    <w:next w:val="4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文本块1"/>
    <w:basedOn w:val="1"/>
    <w:qFormat/>
    <w:uiPriority w:val="0"/>
    <w:pPr>
      <w:ind w:left="1440" w:leftChars="700" w:right="1440" w:rightChars="700"/>
    </w:pPr>
    <w:rPr>
      <w:rFonts w:ascii="Times New Roman" w:hAnsi="Times New Roman" w:eastAsia="宋体" w:cs="Times New Roman"/>
    </w:rPr>
  </w:style>
  <w:style w:type="paragraph" w:customStyle="1" w:styleId="43">
    <w:name w:val="题注4"/>
    <w:basedOn w:val="1"/>
    <w:next w:val="7"/>
    <w:qFormat/>
    <w:uiPriority w:val="0"/>
    <w:pPr>
      <w:ind w:left="-132" w:leftChars="-64" w:right="-105" w:rightChars="-50" w:hanging="2"/>
      <w:jc w:val="center"/>
    </w:pPr>
    <w:rPr>
      <w:rFonts w:ascii="Calibri" w:hAnsi="Calibri" w:eastAsia="宋体" w:cs="Times New Roman"/>
      <w:b/>
      <w:color w:val="FF0000"/>
      <w:szCs w:val="21"/>
    </w:rPr>
  </w:style>
  <w:style w:type="paragraph" w:customStyle="1" w:styleId="44">
    <w:name w:val="正文 New New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5">
    <w:name w:val="正文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6">
    <w:name w:val="题注5"/>
    <w:basedOn w:val="1"/>
    <w:next w:val="7"/>
    <w:qFormat/>
    <w:uiPriority w:val="0"/>
    <w:pPr>
      <w:jc w:val="center"/>
    </w:pPr>
    <w:rPr>
      <w:rFonts w:ascii="Calibri" w:hAnsi="Calibri" w:eastAsia="宋体" w:cs="Times New Roman"/>
      <w:b/>
      <w:color w:val="000000"/>
      <w:sz w:val="24"/>
      <w:szCs w:val="21"/>
    </w:rPr>
  </w:style>
  <w:style w:type="paragraph" w:customStyle="1" w:styleId="47">
    <w:name w:val="正文缩进1"/>
    <w:basedOn w:val="1"/>
    <w:next w:val="48"/>
    <w:qFormat/>
    <w:uiPriority w:val="0"/>
    <w:pPr>
      <w:ind w:firstLine="420" w:firstLineChars="200"/>
    </w:pPr>
    <w:rPr>
      <w:rFonts w:eastAsia="宋体"/>
      <w:szCs w:val="21"/>
    </w:rPr>
  </w:style>
  <w:style w:type="paragraph" w:customStyle="1" w:styleId="4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9">
    <w:name w:val="正文_27"/>
    <w:next w:val="50"/>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0">
    <w:name w:val="尾注文本_0"/>
    <w:basedOn w:val="51"/>
    <w:qFormat/>
    <w:uiPriority w:val="0"/>
    <w:pPr>
      <w:snapToGrid w:val="0"/>
      <w:jc w:val="left"/>
    </w:pPr>
    <w:rPr>
      <w:rFonts w:ascii="宋体" w:hAnsi="宋体" w:eastAsia="宋体" w:cs="Times New Roman"/>
      <w:kern w:val="0"/>
      <w:sz w:val="28"/>
    </w:rPr>
  </w:style>
  <w:style w:type="paragraph" w:customStyle="1" w:styleId="51">
    <w:name w:val="正文_0_1_1"/>
    <w:next w:val="52"/>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2">
    <w:name w:val="正文缩进_0_0"/>
    <w:basedOn w:val="51"/>
    <w:qFormat/>
    <w:uiPriority w:val="0"/>
    <w:pPr>
      <w:widowControl/>
      <w:ind w:firstLine="420" w:firstLineChars="200"/>
      <w:jc w:val="left"/>
    </w:pPr>
    <w:rPr>
      <w:rFonts w:ascii="Times New Roman" w:hAnsi="Times New Roman" w:eastAsia="宋体" w:cs="Times New Roman"/>
      <w:kern w:val="0"/>
      <w:sz w:val="20"/>
      <w:szCs w:val="20"/>
    </w:rPr>
  </w:style>
  <w:style w:type="paragraph" w:customStyle="1" w:styleId="53">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_2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paragraph" w:customStyle="1" w:styleId="56">
    <w:name w:val="WPSOffice手动目录 2"/>
    <w:qFormat/>
    <w:uiPriority w:val="0"/>
    <w:pPr>
      <w:ind w:leftChars="200"/>
    </w:pPr>
    <w:rPr>
      <w:rFonts w:ascii="Times New Roman" w:hAnsi="Times New Roman" w:eastAsia="宋体" w:cs="Times New Roman"/>
      <w:sz w:val="20"/>
      <w:szCs w:val="20"/>
    </w:rPr>
  </w:style>
  <w:style w:type="paragraph" w:customStyle="1" w:styleId="57">
    <w:name w:val="Body Text First Indent 21"/>
    <w:basedOn w:val="58"/>
    <w:qFormat/>
    <w:uiPriority w:val="0"/>
    <w:pPr>
      <w:ind w:firstLine="420" w:firstLineChars="200"/>
    </w:pPr>
  </w:style>
  <w:style w:type="paragraph" w:customStyle="1" w:styleId="58">
    <w:name w:val="Body Text Indent1"/>
    <w:basedOn w:val="1"/>
    <w:qFormat/>
    <w:uiPriority w:val="0"/>
    <w:pPr>
      <w:spacing w:after="120" w:afterLines="0"/>
      <w:ind w:left="420" w:leftChars="200"/>
    </w:pPr>
    <w:rPr>
      <w:rFonts w:ascii="Times New Roman" w:hAnsi="Times New Roman" w:eastAsia="宋体" w:cs="Times New Roman"/>
      <w:szCs w:val="22"/>
    </w:rPr>
  </w:style>
  <w:style w:type="paragraph" w:customStyle="1" w:styleId="59">
    <w:name w:val="正文_4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List Paragraph"/>
    <w:basedOn w:val="1"/>
    <w:qFormat/>
    <w:uiPriority w:val="11"/>
    <w:pPr>
      <w:ind w:firstLine="0" w:firstLineChars="0"/>
    </w:pPr>
  </w:style>
  <w:style w:type="paragraph" w:customStyle="1" w:styleId="61">
    <w:name w:val="正文2"/>
    <w:qFormat/>
    <w:uiPriority w:val="0"/>
    <w:rPr>
      <w:rFonts w:ascii="Calibri" w:hAnsi="Calibri" w:eastAsia="Times New Roman" w:cs="Times New Roman"/>
      <w:sz w:val="24"/>
      <w:szCs w:val="24"/>
      <w:lang w:val="en-US" w:eastAsia="zh-CN" w:bidi="ar-SA"/>
    </w:rPr>
  </w:style>
  <w:style w:type="paragraph" w:customStyle="1" w:styleId="62">
    <w:name w:val="正文-招标书"/>
    <w:basedOn w:val="1"/>
    <w:qFormat/>
    <w:uiPriority w:val="0"/>
    <w:pPr>
      <w:widowControl/>
      <w:spacing w:line="480" w:lineRule="exact"/>
      <w:jc w:val="left"/>
    </w:pPr>
    <w:rPr>
      <w:rFonts w:ascii="宋体" w:hAnsi="宋体" w:eastAsia="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48371</Words>
  <Characters>49908</Characters>
  <Lines>0</Lines>
  <Paragraphs>0</Paragraphs>
  <TotalTime>14</TotalTime>
  <ScaleCrop>false</ScaleCrop>
  <LinksUpToDate>false</LinksUpToDate>
  <CharactersWithSpaces>51308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招标代理</cp:lastModifiedBy>
  <cp:lastPrinted>2024-07-03T02:38:00Z</cp:lastPrinted>
  <dcterms:modified xsi:type="dcterms:W3CDTF">2024-07-25T09:10:29Z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B54C130831094400948D437C5A444392</vt:lpwstr>
  </property>
</Properties>
</file>